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1" w:lineRule="auto"/>
        <w:rPr/>
      </w:pPr>
      <w:r/>
    </w:p>
    <w:p>
      <w:pPr>
        <w:pStyle w:val="BodyText"/>
        <w:spacing w:line="261" w:lineRule="auto"/>
        <w:rPr/>
      </w:pPr>
      <w:r/>
    </w:p>
    <w:p>
      <w:pPr>
        <w:ind w:left="216"/>
        <w:spacing w:before="304" w:line="185" w:lineRule="auto"/>
        <w:outlineLvl w:val="0"/>
        <w:rPr>
          <w:rFonts w:ascii="Microsoft YaHei" w:hAnsi="Microsoft YaHei" w:eastAsia="Microsoft YaHei" w:cs="Microsoft YaHei"/>
          <w:sz w:val="71"/>
          <w:szCs w:val="71"/>
        </w:rPr>
      </w:pPr>
      <w:r>
        <w:rPr>
          <w:rFonts w:ascii="Microsoft YaHei" w:hAnsi="Microsoft YaHei" w:eastAsia="Microsoft YaHei" w:cs="Microsoft YaHei"/>
          <w:sz w:val="71"/>
          <w:szCs w:val="71"/>
          <w:spacing w:val="9"/>
        </w:rPr>
        <w:t>建设项目环境影响报告表</w:t>
      </w:r>
    </w:p>
    <w:p>
      <w:pPr>
        <w:pStyle w:val="BodyText"/>
        <w:spacing w:line="453" w:lineRule="auto"/>
        <w:rPr/>
      </w:pPr>
      <w:r/>
    </w:p>
    <w:p>
      <w:pPr>
        <w:ind w:left="2541"/>
        <w:spacing w:before="152" w:line="197" w:lineRule="auto"/>
        <w:rPr>
          <w:rFonts w:ascii="KaiTi" w:hAnsi="KaiTi" w:eastAsia="KaiTi" w:cs="KaiTi"/>
          <w:sz w:val="47"/>
          <w:szCs w:val="47"/>
        </w:rPr>
      </w:pPr>
      <w:r>
        <w:rPr>
          <w:rFonts w:ascii="KaiTi" w:hAnsi="KaiTi" w:eastAsia="KaiTi" w:cs="KaiTi"/>
          <w:sz w:val="47"/>
          <w:szCs w:val="47"/>
        </w:rPr>
        <w:t>（污染影响类）</w:t>
      </w:r>
    </w:p>
    <w:p>
      <w:pPr>
        <w:ind w:left="3457"/>
        <w:spacing w:before="2" w:line="235" w:lineRule="auto"/>
        <w:rPr>
          <w:rFonts w:ascii="KaiTi" w:hAnsi="KaiTi" w:eastAsia="KaiTi" w:cs="KaiTi"/>
          <w:sz w:val="47"/>
          <w:szCs w:val="47"/>
        </w:rPr>
      </w:pPr>
      <w:r>
        <w:rPr>
          <w:rFonts w:ascii="KaiTi" w:hAnsi="KaiTi" w:eastAsia="KaiTi" w:cs="KaiTi"/>
          <w:sz w:val="47"/>
          <w:szCs w:val="47"/>
          <w:spacing w:val="6"/>
        </w:rPr>
        <w:t>报批稿</w:t>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1049"/>
        <w:spacing w:before="91" w:line="220" w:lineRule="auto"/>
        <w:rPr>
          <w:rFonts w:ascii="SimSun" w:hAnsi="SimSun" w:eastAsia="SimSun" w:cs="SimSun"/>
          <w:sz w:val="28"/>
          <w:szCs w:val="28"/>
        </w:rPr>
      </w:pPr>
      <w:r>
        <w:drawing>
          <wp:anchor distT="0" distB="0" distL="0" distR="0" simplePos="0" relativeHeight="251658240" behindDoc="1" locked="0" layoutInCell="1" allowOverlap="1">
            <wp:simplePos x="0" y="0"/>
            <wp:positionH relativeFrom="column">
              <wp:posOffset>1910905</wp:posOffset>
            </wp:positionH>
            <wp:positionV relativeFrom="paragraph">
              <wp:posOffset>-777067</wp:posOffset>
            </wp:positionV>
            <wp:extent cx="1511807" cy="1562100"/>
            <wp:effectExtent l="0" t="0" r="0" b="0"/>
            <wp:wrapNone/>
            <wp:docPr id="2" name="IM 2"/>
            <wp:cNvGraphicFramePr/>
            <a:graphic>
              <a:graphicData uri="http://schemas.openxmlformats.org/drawingml/2006/picture">
                <pic:pic>
                  <pic:nvPicPr>
                    <pic:cNvPr id="2" name="IM 2"/>
                    <pic:cNvPicPr/>
                  </pic:nvPicPr>
                  <pic:blipFill>
                    <a:blip r:embed="rId2"/>
                    <a:stretch>
                      <a:fillRect/>
                    </a:stretch>
                  </pic:blipFill>
                  <pic:spPr>
                    <a:xfrm rot="0">
                      <a:off x="0" y="0"/>
                      <a:ext cx="1511807" cy="1562100"/>
                    </a:xfrm>
                    <a:prstGeom prst="rect">
                      <a:avLst/>
                    </a:prstGeom>
                  </pic:spPr>
                </pic:pic>
              </a:graphicData>
            </a:graphic>
          </wp:anchor>
        </w:drawing>
      </w:r>
      <w:r>
        <w:rPr>
          <w:rFonts w:ascii="SimSun" w:hAnsi="SimSun" w:eastAsia="SimSun" w:cs="SimSun"/>
          <w:sz w:val="28"/>
          <w:szCs w:val="28"/>
          <w14:textOutline w14:w="5103" w14:cap="sq" w14:cmpd="sng">
            <w14:solidFill>
              <w14:srgbClr w14:val="000000"/>
            </w14:solidFill>
            <w14:prstDash w14:val="solid"/>
            <w14:bevel/>
          </w14:textOutline>
          <w:spacing w:val="-18"/>
        </w:rPr>
        <w:t>项目名称：呼图壁县丰收塑料制品厂农用地膜加工项目</w:t>
      </w:r>
    </w:p>
    <w:p>
      <w:pPr>
        <w:ind w:left="1996"/>
        <w:spacing w:before="165" w:line="220"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7"/>
        </w:rPr>
        <w:t>建设单位：呼图壁县丰收塑料制品厂</w:t>
      </w:r>
    </w:p>
    <w:p>
      <w:pPr>
        <w:ind w:left="2796"/>
        <w:spacing w:before="165" w:line="220"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4"/>
        </w:rPr>
        <w:t>编制日期：</w:t>
      </w:r>
      <w:r>
        <w:rPr>
          <w:rFonts w:ascii="SimSun" w:hAnsi="SimSun" w:eastAsia="SimSun" w:cs="SimSun"/>
          <w:sz w:val="28"/>
          <w:szCs w:val="28"/>
          <w:spacing w:val="-4"/>
        </w:rPr>
        <w:t xml:space="preserve"> </w:t>
      </w:r>
      <w:r>
        <w:rPr>
          <w:rFonts w:ascii="SimSun" w:hAnsi="SimSun" w:eastAsia="SimSun" w:cs="SimSun"/>
          <w:sz w:val="28"/>
          <w:szCs w:val="28"/>
          <w14:textOutline w14:w="5103" w14:cap="sq" w14:cmpd="sng">
            <w14:solidFill>
              <w14:srgbClr w14:val="000000"/>
            </w14:solidFill>
            <w14:prstDash w14:val="solid"/>
            <w14:bevel/>
          </w14:textOutline>
          <w:spacing w:val="-4"/>
        </w:rPr>
        <w:t>2024年1月</w:t>
      </w:r>
    </w:p>
    <w:p>
      <w:pPr>
        <w:pStyle w:val="BodyText"/>
        <w:spacing w:line="248" w:lineRule="auto"/>
        <w:rPr/>
      </w:pPr>
      <w:r/>
    </w:p>
    <w:p>
      <w:pPr>
        <w:pStyle w:val="BodyText"/>
        <w:spacing w:line="248"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ind w:left="1642"/>
        <w:spacing w:before="115" w:line="230" w:lineRule="auto"/>
        <w:rPr>
          <w:rFonts w:ascii="KaiTi" w:hAnsi="KaiTi" w:eastAsia="KaiTi" w:cs="KaiTi"/>
          <w:sz w:val="35"/>
          <w:szCs w:val="35"/>
        </w:rPr>
      </w:pPr>
      <w:r>
        <w:rPr>
          <w:rFonts w:ascii="KaiTi" w:hAnsi="KaiTi" w:eastAsia="KaiTi" w:cs="KaiTi"/>
          <w:sz w:val="35"/>
          <w:szCs w:val="35"/>
          <w14:textOutline w14:w="6537" w14:cap="sq" w14:cmpd="sng">
            <w14:solidFill>
              <w14:srgbClr w14:val="000000"/>
            </w14:solidFill>
            <w14:prstDash w14:val="solid"/>
            <w14:bevel/>
          </w14:textOutline>
          <w:spacing w:val="6"/>
        </w:rPr>
        <w:t>中华人民共和国生态环境部制</w:t>
      </w:r>
    </w:p>
    <w:p>
      <w:pPr>
        <w:spacing w:line="230" w:lineRule="auto"/>
        <w:sectPr>
          <w:headerReference w:type="default" r:id="rId1"/>
          <w:pgSz w:w="11906" w:h="16839"/>
          <w:pgMar w:top="400" w:right="1785" w:bottom="0" w:left="1785" w:header="0" w:footer="0" w:gutter="0"/>
        </w:sectPr>
        <w:rPr>
          <w:rFonts w:ascii="KaiTi" w:hAnsi="KaiTi" w:eastAsia="KaiTi" w:cs="KaiTi"/>
          <w:sz w:val="35"/>
          <w:szCs w:val="35"/>
        </w:rPr>
      </w:pPr>
    </w:p>
    <w:p>
      <w:pPr>
        <w:pStyle w:val="BodyText"/>
        <w:spacing w:line="351" w:lineRule="auto"/>
        <w:rPr/>
      </w:pPr>
      <w:r/>
    </w:p>
    <w:p>
      <w:pPr>
        <w:pStyle w:val="BodyText"/>
        <w:spacing w:line="351" w:lineRule="auto"/>
        <w:rPr/>
      </w:pPr>
      <w:r/>
    </w:p>
    <w:p>
      <w:pPr>
        <w:spacing w:line="14659" w:lineRule="exact"/>
        <w:rPr/>
      </w:pPr>
      <w:r>
        <w:rPr>
          <w:position w:val="-293"/>
        </w:rPr>
        <w:drawing>
          <wp:inline distT="0" distB="0" distL="0" distR="0">
            <wp:extent cx="5730240" cy="9308592"/>
            <wp:effectExtent l="0" t="0" r="0" b="0"/>
            <wp:docPr id="4" name="IM 4"/>
            <wp:cNvGraphicFramePr/>
            <a:graphic>
              <a:graphicData uri="http://schemas.openxmlformats.org/drawingml/2006/picture">
                <pic:pic>
                  <pic:nvPicPr>
                    <pic:cNvPr id="4" name="IM 4"/>
                    <pic:cNvPicPr/>
                  </pic:nvPicPr>
                  <pic:blipFill>
                    <a:blip r:embed="rId4"/>
                    <a:stretch>
                      <a:fillRect/>
                    </a:stretch>
                  </pic:blipFill>
                  <pic:spPr>
                    <a:xfrm rot="0">
                      <a:off x="0" y="0"/>
                      <a:ext cx="5730240" cy="9308592"/>
                    </a:xfrm>
                    <a:prstGeom prst="rect">
                      <a:avLst/>
                    </a:prstGeom>
                  </pic:spPr>
                </pic:pic>
              </a:graphicData>
            </a:graphic>
          </wp:inline>
        </w:drawing>
      </w:r>
    </w:p>
    <w:p>
      <w:pPr>
        <w:spacing w:line="14659" w:lineRule="exact"/>
        <w:sectPr>
          <w:headerReference w:type="default" r:id="rId3"/>
          <w:pgSz w:w="11906" w:h="16839"/>
          <w:pgMar w:top="400" w:right="1439" w:bottom="0" w:left="1442" w:header="0" w:footer="0" w:gutter="0"/>
        </w:sectPr>
        <w:rPr/>
      </w:pPr>
    </w:p>
    <w:p>
      <w:pPr>
        <w:pStyle w:val="BodyText"/>
        <w:spacing w:line="267" w:lineRule="auto"/>
        <w:rPr/>
      </w:pPr>
      <w:r>
        <w:drawing>
          <wp:anchor distT="0" distB="0" distL="0" distR="0" simplePos="0" relativeHeight="251659264" behindDoc="0" locked="0" layoutInCell="0" allowOverlap="1">
            <wp:simplePos x="0" y="0"/>
            <wp:positionH relativeFrom="page">
              <wp:posOffset>1092708</wp:posOffset>
            </wp:positionH>
            <wp:positionV relativeFrom="page">
              <wp:posOffset>946404</wp:posOffset>
            </wp:positionV>
            <wp:extent cx="2628900" cy="2598419"/>
            <wp:effectExtent l="0" t="0" r="0" b="0"/>
            <wp:wrapNone/>
            <wp:docPr id="6" name="IM 6"/>
            <wp:cNvGraphicFramePr/>
            <a:graphic>
              <a:graphicData uri="http://schemas.openxmlformats.org/drawingml/2006/picture">
                <pic:pic>
                  <pic:nvPicPr>
                    <pic:cNvPr id="6" name="IM 6"/>
                    <pic:cNvPicPr/>
                  </pic:nvPicPr>
                  <pic:blipFill>
                    <a:blip r:embed="rId5"/>
                    <a:stretch>
                      <a:fillRect/>
                    </a:stretch>
                  </pic:blipFill>
                  <pic:spPr>
                    <a:xfrm rot="0">
                      <a:off x="0" y="0"/>
                      <a:ext cx="2628900" cy="2598419"/>
                    </a:xfrm>
                    <a:prstGeom prst="rect">
                      <a:avLst/>
                    </a:prstGeom>
                  </pic:spPr>
                </pic:pic>
              </a:graphicData>
            </a:graphic>
          </wp:anchor>
        </w:drawing>
      </w:r>
      <w:r/>
    </w:p>
    <w:p>
      <w:pPr>
        <w:pStyle w:val="BodyText"/>
        <w:spacing w:line="267" w:lineRule="auto"/>
        <w:rPr/>
      </w:pPr>
      <w:r/>
    </w:p>
    <w:p>
      <w:pPr>
        <w:pStyle w:val="BodyText"/>
        <w:spacing w:line="267" w:lineRule="auto"/>
        <w:rPr/>
      </w:pPr>
      <w:r/>
    </w:p>
    <w:p>
      <w:pPr>
        <w:pStyle w:val="BodyText"/>
        <w:spacing w:line="268" w:lineRule="auto"/>
        <w:rPr/>
      </w:pPr>
      <w:r/>
    </w:p>
    <w:p>
      <w:pPr>
        <w:ind w:firstLine="4209"/>
        <w:spacing w:line="4090" w:lineRule="exact"/>
        <w:rPr/>
      </w:pPr>
      <w:r>
        <w:rPr>
          <w:position w:val="-81"/>
        </w:rPr>
        <w:drawing>
          <wp:inline distT="0" distB="0" distL="0" distR="0">
            <wp:extent cx="2702051" cy="2596895"/>
            <wp:effectExtent l="0" t="0" r="0" b="0"/>
            <wp:docPr id="8" name="IM 8"/>
            <wp:cNvGraphicFramePr/>
            <a:graphic>
              <a:graphicData uri="http://schemas.openxmlformats.org/drawingml/2006/picture">
                <pic:pic>
                  <pic:nvPicPr>
                    <pic:cNvPr id="8" name="IM 8"/>
                    <pic:cNvPicPr/>
                  </pic:nvPicPr>
                  <pic:blipFill>
                    <a:blip r:embed="rId6"/>
                    <a:stretch>
                      <a:fillRect/>
                    </a:stretch>
                  </pic:blipFill>
                  <pic:spPr>
                    <a:xfrm rot="0">
                      <a:off x="0" y="0"/>
                      <a:ext cx="2702051" cy="2596895"/>
                    </a:xfrm>
                    <a:prstGeom prst="rect">
                      <a:avLst/>
                    </a:prstGeom>
                  </pic:spPr>
                </pic:pic>
              </a:graphicData>
            </a:graphic>
          </wp:inline>
        </w:drawing>
      </w:r>
    </w:p>
    <w:p>
      <w:pPr>
        <w:ind w:left="1361"/>
        <w:spacing w:before="114" w:line="222"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1"/>
        </w:rPr>
        <w:t>厂区硬化地面</w:t>
      </w:r>
      <w:r>
        <w:rPr>
          <w:rFonts w:ascii="FangSong" w:hAnsi="FangSong" w:eastAsia="FangSong" w:cs="FangSong"/>
          <w:sz w:val="24"/>
          <w:szCs w:val="24"/>
          <w:spacing w:val="3"/>
        </w:rPr>
        <w:t xml:space="preserve">                   </w:t>
      </w:r>
      <w:r>
        <w:rPr>
          <w:rFonts w:ascii="FangSong" w:hAnsi="FangSong" w:eastAsia="FangSong" w:cs="FangSong"/>
          <w:sz w:val="24"/>
          <w:szCs w:val="24"/>
          <w14:textOutline w14:w="4358" w14:cap="sq" w14:cmpd="sng">
            <w14:solidFill>
              <w14:srgbClr w14:val="000000"/>
            </w14:solidFill>
            <w14:prstDash w14:val="solid"/>
            <w14:bevel/>
          </w14:textOutline>
          <w:spacing w:val="-1"/>
        </w:rPr>
        <w:t>现有项目废气治理装置</w:t>
      </w:r>
    </w:p>
    <w:p>
      <w:pPr>
        <w:spacing w:before="67" w:line="3885" w:lineRule="exact"/>
        <w:rPr/>
      </w:pPr>
      <w:r>
        <w:rPr>
          <w:position w:val="-77"/>
        </w:rPr>
        <w:drawing>
          <wp:inline distT="0" distB="0" distL="0" distR="0">
            <wp:extent cx="5366003" cy="2467355"/>
            <wp:effectExtent l="0" t="0" r="0" b="0"/>
            <wp:docPr id="10" name="IM 10"/>
            <wp:cNvGraphicFramePr/>
            <a:graphic>
              <a:graphicData uri="http://schemas.openxmlformats.org/drawingml/2006/picture">
                <pic:pic>
                  <pic:nvPicPr>
                    <pic:cNvPr id="10" name="IM 10"/>
                    <pic:cNvPicPr/>
                  </pic:nvPicPr>
                  <pic:blipFill>
                    <a:blip r:embed="rId7"/>
                    <a:stretch>
                      <a:fillRect/>
                    </a:stretch>
                  </pic:blipFill>
                  <pic:spPr>
                    <a:xfrm rot="0">
                      <a:off x="0" y="0"/>
                      <a:ext cx="5366003" cy="2467355"/>
                    </a:xfrm>
                    <a:prstGeom prst="rect">
                      <a:avLst/>
                    </a:prstGeom>
                  </pic:spPr>
                </pic:pic>
              </a:graphicData>
            </a:graphic>
          </wp:inline>
        </w:drawing>
      </w:r>
    </w:p>
    <w:p>
      <w:pPr>
        <w:spacing w:line="24" w:lineRule="exact"/>
        <w:rPr/>
      </w:pPr>
      <w:r/>
    </w:p>
    <w:p>
      <w:pPr>
        <w:spacing w:line="24" w:lineRule="exact"/>
        <w:sectPr>
          <w:pgSz w:w="11906" w:h="16839"/>
          <w:pgMar w:top="400" w:right="1720" w:bottom="0" w:left="1720" w:header="0" w:footer="0" w:gutter="0"/>
          <w:cols w:equalWidth="0" w:num="1">
            <w:col w:w="8465" w:space="0"/>
          </w:cols>
        </w:sectPr>
        <w:rPr/>
      </w:pPr>
    </w:p>
    <w:p>
      <w:pPr>
        <w:ind w:left="881"/>
        <w:spacing w:before="48" w:line="222"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1"/>
        </w:rPr>
        <w:t>现有项目废气收集装置</w:t>
      </w:r>
    </w:p>
    <w:p>
      <w:pPr>
        <w:ind w:firstLine="26"/>
        <w:spacing w:before="82" w:line="4224" w:lineRule="exact"/>
        <w:rPr/>
      </w:pPr>
      <w:r>
        <w:rPr>
          <w:position w:val="-84"/>
        </w:rPr>
        <w:drawing>
          <wp:inline distT="0" distB="0" distL="0" distR="0">
            <wp:extent cx="2602992" cy="2682240"/>
            <wp:effectExtent l="0" t="0" r="0" b="0"/>
            <wp:docPr id="12" name="IM 12"/>
            <wp:cNvGraphicFramePr/>
            <a:graphic>
              <a:graphicData uri="http://schemas.openxmlformats.org/drawingml/2006/picture">
                <pic:pic>
                  <pic:nvPicPr>
                    <pic:cNvPr id="12" name="IM 12"/>
                    <pic:cNvPicPr/>
                  </pic:nvPicPr>
                  <pic:blipFill>
                    <a:blip r:embed="rId8"/>
                    <a:stretch>
                      <a:fillRect/>
                    </a:stretch>
                  </pic:blipFill>
                  <pic:spPr>
                    <a:xfrm rot="0">
                      <a:off x="0" y="0"/>
                      <a:ext cx="2602992" cy="2682240"/>
                    </a:xfrm>
                    <a:prstGeom prst="rect">
                      <a:avLst/>
                    </a:prstGeom>
                  </pic:spPr>
                </pic:pic>
              </a:graphicData>
            </a:graphic>
          </wp:inline>
        </w:drawing>
      </w:r>
    </w:p>
    <w:p>
      <w:pPr>
        <w:pStyle w:val="BodyText"/>
        <w:spacing w:line="14" w:lineRule="auto"/>
        <w:rPr>
          <w:sz w:val="2"/>
        </w:rPr>
      </w:pPr>
      <w:r>
        <w:rPr>
          <w:sz w:val="2"/>
          <w:szCs w:val="2"/>
        </w:rPr>
        <w:br w:type="column"/>
      </w:r>
    </w:p>
    <w:p>
      <w:pPr>
        <w:ind w:left="1162"/>
        <w:spacing w:before="48" w:line="219"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1"/>
        </w:rPr>
        <w:t>现有项目生产车间</w:t>
      </w:r>
    </w:p>
    <w:p>
      <w:pPr>
        <w:spacing w:before="75" w:line="4224" w:lineRule="exact"/>
        <w:rPr/>
      </w:pPr>
      <w:r>
        <w:rPr>
          <w:position w:val="-84"/>
        </w:rPr>
        <w:drawing>
          <wp:inline distT="0" distB="0" distL="0" distR="0">
            <wp:extent cx="2691383" cy="2682240"/>
            <wp:effectExtent l="0" t="0" r="0" b="0"/>
            <wp:docPr id="14" name="IM 14"/>
            <wp:cNvGraphicFramePr/>
            <a:graphic>
              <a:graphicData uri="http://schemas.openxmlformats.org/drawingml/2006/picture">
                <pic:pic>
                  <pic:nvPicPr>
                    <pic:cNvPr id="14" name="IM 14"/>
                    <pic:cNvPicPr/>
                  </pic:nvPicPr>
                  <pic:blipFill>
                    <a:blip r:embed="rId9"/>
                    <a:stretch>
                      <a:fillRect/>
                    </a:stretch>
                  </pic:blipFill>
                  <pic:spPr>
                    <a:xfrm rot="0">
                      <a:off x="0" y="0"/>
                      <a:ext cx="2691383" cy="2682240"/>
                    </a:xfrm>
                    <a:prstGeom prst="rect">
                      <a:avLst/>
                    </a:prstGeom>
                  </pic:spPr>
                </pic:pic>
              </a:graphicData>
            </a:graphic>
          </wp:inline>
        </w:drawing>
      </w:r>
    </w:p>
    <w:p>
      <w:pPr>
        <w:spacing w:line="4224" w:lineRule="exact"/>
        <w:sectPr>
          <w:type w:val="continuous"/>
          <w:pgSz w:w="11906" w:h="16839"/>
          <w:pgMar w:top="400" w:right="1720" w:bottom="0" w:left="1720" w:header="0" w:footer="0" w:gutter="0"/>
          <w:cols w:equalWidth="0" w:num="2">
            <w:col w:w="4126" w:space="93"/>
            <w:col w:w="4246" w:space="0"/>
          </w:cols>
        </w:sectPr>
        <w:rPr/>
      </w:pPr>
    </w:p>
    <w:p>
      <w:pPr>
        <w:ind w:left="555"/>
        <w:spacing w:before="76" w:line="189"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1"/>
        </w:rPr>
        <w:t>原料库房（本项目生产车间）</w:t>
      </w:r>
      <w:r>
        <w:rPr>
          <w:rFonts w:ascii="FangSong" w:hAnsi="FangSong" w:eastAsia="FangSong" w:cs="FangSong"/>
          <w:sz w:val="24"/>
          <w:szCs w:val="24"/>
          <w:spacing w:val="5"/>
        </w:rPr>
        <w:t xml:space="preserve">             </w:t>
      </w:r>
      <w:r>
        <w:rPr>
          <w:rFonts w:ascii="FangSong" w:hAnsi="FangSong" w:eastAsia="FangSong" w:cs="FangSong"/>
          <w:sz w:val="24"/>
          <w:szCs w:val="24"/>
          <w14:textOutline w14:w="4358" w14:cap="sq" w14:cmpd="sng">
            <w14:solidFill>
              <w14:srgbClr w14:val="000000"/>
            </w14:solidFill>
            <w14:prstDash w14:val="solid"/>
            <w14:bevel/>
          </w14:textOutline>
          <w:spacing w:val="-1"/>
        </w:rPr>
        <w:t>企业已建危废暂存间</w:t>
      </w:r>
    </w:p>
    <w:p>
      <w:pPr>
        <w:spacing w:line="189" w:lineRule="auto"/>
        <w:sectPr>
          <w:type w:val="continuous"/>
          <w:pgSz w:w="11906" w:h="16839"/>
          <w:pgMar w:top="400" w:right="1720" w:bottom="0" w:left="1720" w:header="0" w:footer="0" w:gutter="0"/>
          <w:cols w:equalWidth="0" w:num="1">
            <w:col w:w="8465" w:space="0"/>
          </w:cols>
        </w:sectPr>
        <w:rPr>
          <w:rFonts w:ascii="FangSong" w:hAnsi="FangSong" w:eastAsia="FangSong" w:cs="FangSong"/>
          <w:sz w:val="24"/>
          <w:szCs w:val="24"/>
        </w:rPr>
      </w:pP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ind w:left="31" w:right="18" w:firstLine="163"/>
        <w:spacing w:before="140" w:line="247" w:lineRule="auto"/>
        <w:outlineLvl w:val="0"/>
        <w:rPr>
          <w:rFonts w:ascii="SimHei" w:hAnsi="SimHei" w:eastAsia="SimHei" w:cs="SimHei"/>
          <w:sz w:val="43"/>
          <w:szCs w:val="43"/>
        </w:rPr>
      </w:pPr>
      <w:r>
        <w:rPr>
          <w:rFonts w:ascii="SimHei" w:hAnsi="SimHei" w:eastAsia="SimHei" w:cs="SimHei"/>
          <w:sz w:val="43"/>
          <w:szCs w:val="43"/>
          <w14:textOutline w14:w="7972" w14:cap="sq" w14:cmpd="sng">
            <w14:solidFill>
              <w14:srgbClr w14:val="000000"/>
            </w14:solidFill>
            <w14:prstDash w14:val="solid"/>
            <w14:bevel/>
          </w14:textOutline>
          <w:spacing w:val="9"/>
        </w:rPr>
        <w:t>《呼图壁县丰收塑料制品厂农用地膜加工</w:t>
      </w:r>
      <w:r>
        <w:rPr>
          <w:rFonts w:ascii="SimHei" w:hAnsi="SimHei" w:eastAsia="SimHei" w:cs="SimHei"/>
          <w:sz w:val="43"/>
          <w:szCs w:val="43"/>
          <w:spacing w:val="9"/>
        </w:rPr>
        <w:t xml:space="preserve"> </w:t>
      </w:r>
      <w:r>
        <w:rPr>
          <w:rFonts w:ascii="SimHei" w:hAnsi="SimHei" w:eastAsia="SimHei" w:cs="SimHei"/>
          <w:sz w:val="43"/>
          <w:szCs w:val="43"/>
          <w14:textOutline w14:w="7972" w14:cap="sq" w14:cmpd="sng">
            <w14:solidFill>
              <w14:srgbClr w14:val="000000"/>
            </w14:solidFill>
            <w14:prstDash w14:val="solid"/>
            <w14:bevel/>
          </w14:textOutline>
          <w:spacing w:val="6"/>
        </w:rPr>
        <w:t>项目环境影响报告表》技术审查会会议纪要</w:t>
      </w:r>
    </w:p>
    <w:p>
      <w:pPr>
        <w:pStyle w:val="BodyText"/>
        <w:spacing w:line="245" w:lineRule="auto"/>
        <w:rPr/>
      </w:pPr>
      <w:r/>
    </w:p>
    <w:p>
      <w:pPr>
        <w:ind w:left="23" w:right="16" w:firstLine="647"/>
        <w:spacing w:before="105" w:line="353" w:lineRule="auto"/>
        <w:jc w:val="both"/>
        <w:rPr>
          <w:rFonts w:ascii="DengXian" w:hAnsi="DengXian" w:eastAsia="DengXian" w:cs="DengXian"/>
          <w:sz w:val="31"/>
          <w:szCs w:val="31"/>
        </w:rPr>
      </w:pPr>
      <w:r>
        <w:rPr>
          <w:rFonts w:ascii="SimSun" w:hAnsi="SimSun" w:eastAsia="SimSun" w:cs="SimSun"/>
          <w:sz w:val="31"/>
          <w:szCs w:val="31"/>
          <w:spacing w:val="2"/>
        </w:rPr>
        <w:t>2023</w:t>
      </w:r>
      <w:r>
        <w:rPr>
          <w:rFonts w:ascii="SimSun" w:hAnsi="SimSun" w:eastAsia="SimSun" w:cs="SimSun"/>
          <w:sz w:val="31"/>
          <w:szCs w:val="31"/>
          <w:spacing w:val="-56"/>
        </w:rPr>
        <w:t xml:space="preserve"> </w:t>
      </w:r>
      <w:r>
        <w:rPr>
          <w:rFonts w:ascii="DengXian" w:hAnsi="DengXian" w:eastAsia="DengXian" w:cs="DengXian"/>
          <w:sz w:val="31"/>
          <w:szCs w:val="31"/>
          <w:spacing w:val="2"/>
        </w:rPr>
        <w:t>年</w:t>
      </w:r>
      <w:r>
        <w:rPr>
          <w:rFonts w:ascii="DengXian" w:hAnsi="DengXian" w:eastAsia="DengXian" w:cs="DengXian"/>
          <w:sz w:val="31"/>
          <w:szCs w:val="31"/>
          <w:spacing w:val="35"/>
        </w:rPr>
        <w:t xml:space="preserve"> </w:t>
      </w:r>
      <w:r>
        <w:rPr>
          <w:rFonts w:ascii="SimSun" w:hAnsi="SimSun" w:eastAsia="SimSun" w:cs="SimSun"/>
          <w:sz w:val="31"/>
          <w:szCs w:val="31"/>
          <w:spacing w:val="2"/>
        </w:rPr>
        <w:t>12</w:t>
      </w:r>
      <w:r>
        <w:rPr>
          <w:rFonts w:ascii="SimSun" w:hAnsi="SimSun" w:eastAsia="SimSun" w:cs="SimSun"/>
          <w:sz w:val="31"/>
          <w:szCs w:val="31"/>
          <w:spacing w:val="-53"/>
        </w:rPr>
        <w:t xml:space="preserve"> </w:t>
      </w:r>
      <w:r>
        <w:rPr>
          <w:rFonts w:ascii="DengXian" w:hAnsi="DengXian" w:eastAsia="DengXian" w:cs="DengXian"/>
          <w:sz w:val="31"/>
          <w:szCs w:val="31"/>
          <w:spacing w:val="2"/>
        </w:rPr>
        <w:t>月 </w:t>
      </w:r>
      <w:r>
        <w:rPr>
          <w:rFonts w:ascii="SimSun" w:hAnsi="SimSun" w:eastAsia="SimSun" w:cs="SimSun"/>
          <w:sz w:val="31"/>
          <w:szCs w:val="31"/>
          <w:spacing w:val="2"/>
        </w:rPr>
        <w:t>4 </w:t>
      </w:r>
      <w:r>
        <w:rPr>
          <w:rFonts w:ascii="DengXian" w:hAnsi="DengXian" w:eastAsia="DengXian" w:cs="DengXian"/>
          <w:sz w:val="31"/>
          <w:szCs w:val="31"/>
          <w:spacing w:val="2"/>
        </w:rPr>
        <w:t>日，</w:t>
      </w:r>
      <w:r>
        <w:rPr>
          <w:rFonts w:ascii="DengXian" w:hAnsi="DengXian" w:eastAsia="DengXian" w:cs="DengXian"/>
          <w:sz w:val="31"/>
          <w:szCs w:val="31"/>
          <w:spacing w:val="-28"/>
        </w:rPr>
        <w:t xml:space="preserve"> </w:t>
      </w:r>
      <w:r>
        <w:rPr>
          <w:rFonts w:ascii="DengXian" w:hAnsi="DengXian" w:eastAsia="DengXian" w:cs="DengXian"/>
          <w:sz w:val="31"/>
          <w:szCs w:val="31"/>
          <w:spacing w:val="2"/>
        </w:rPr>
        <w:t>昌吉州生态环境局以视频</w:t>
      </w:r>
      <w:r>
        <w:rPr>
          <w:rFonts w:ascii="DengXian" w:hAnsi="DengXian" w:eastAsia="DengXian" w:cs="DengXian"/>
          <w:sz w:val="31"/>
          <w:szCs w:val="31"/>
          <w:spacing w:val="1"/>
        </w:rPr>
        <w:t>会议的形</w:t>
      </w:r>
      <w:r>
        <w:rPr>
          <w:rFonts w:ascii="DengXian" w:hAnsi="DengXian" w:eastAsia="DengXian" w:cs="DengXian"/>
          <w:sz w:val="31"/>
          <w:szCs w:val="31"/>
        </w:rPr>
        <w:t xml:space="preserve"> </w:t>
      </w:r>
      <w:r>
        <w:rPr>
          <w:rFonts w:ascii="DengXian" w:hAnsi="DengXian" w:eastAsia="DengXian" w:cs="DengXian"/>
          <w:sz w:val="31"/>
          <w:szCs w:val="31"/>
          <w:spacing w:val="9"/>
        </w:rPr>
        <w:t>式主持召开了《呼图壁县丰收塑料制品厂农用地膜加工项目</w:t>
      </w:r>
      <w:r>
        <w:rPr>
          <w:rFonts w:ascii="DengXian" w:hAnsi="DengXian" w:eastAsia="DengXian" w:cs="DengXian"/>
          <w:sz w:val="31"/>
          <w:szCs w:val="31"/>
        </w:rPr>
        <w:t xml:space="preserve"> </w:t>
      </w:r>
      <w:r>
        <w:rPr>
          <w:rFonts w:ascii="DengXian" w:hAnsi="DengXian" w:eastAsia="DengXian" w:cs="DengXian"/>
          <w:sz w:val="31"/>
          <w:szCs w:val="31"/>
          <w:spacing w:val="5"/>
        </w:rPr>
        <w:t>环境影响报告表》评审会</w:t>
      </w:r>
      <w:r>
        <w:rPr>
          <w:rFonts w:ascii="DengXian" w:hAnsi="DengXian" w:eastAsia="DengXian" w:cs="DengXian"/>
          <w:sz w:val="31"/>
          <w:szCs w:val="31"/>
          <w:spacing w:val="-28"/>
        </w:rPr>
        <w:t xml:space="preserve"> </w:t>
      </w:r>
      <w:r>
        <w:rPr>
          <w:rFonts w:ascii="DengXian" w:hAnsi="DengXian" w:eastAsia="DengXian" w:cs="DengXian"/>
          <w:sz w:val="31"/>
          <w:szCs w:val="31"/>
          <w:spacing w:val="5"/>
        </w:rPr>
        <w:t>。参加会议的有：</w:t>
      </w:r>
      <w:r>
        <w:rPr>
          <w:rFonts w:ascii="DengXian" w:hAnsi="DengXian" w:eastAsia="DengXian" w:cs="DengXian"/>
          <w:sz w:val="31"/>
          <w:szCs w:val="31"/>
          <w:spacing w:val="-39"/>
        </w:rPr>
        <w:t xml:space="preserve"> </w:t>
      </w:r>
      <w:r>
        <w:rPr>
          <w:rFonts w:ascii="DengXian" w:hAnsi="DengXian" w:eastAsia="DengXian" w:cs="DengXian"/>
          <w:sz w:val="31"/>
          <w:szCs w:val="31"/>
          <w:spacing w:val="5"/>
        </w:rPr>
        <w:t>昌吉州生态环境</w:t>
      </w:r>
      <w:r>
        <w:rPr>
          <w:rFonts w:ascii="DengXian" w:hAnsi="DengXian" w:eastAsia="DengXian" w:cs="DengXian"/>
          <w:sz w:val="31"/>
          <w:szCs w:val="31"/>
        </w:rPr>
        <w:t xml:space="preserve"> </w:t>
      </w:r>
      <w:r>
        <w:rPr>
          <w:rFonts w:ascii="DengXian" w:hAnsi="DengXian" w:eastAsia="DengXian" w:cs="DengXian"/>
          <w:sz w:val="31"/>
          <w:szCs w:val="31"/>
          <w:spacing w:val="5"/>
        </w:rPr>
        <w:t>局</w:t>
      </w:r>
      <w:r>
        <w:rPr>
          <w:rFonts w:ascii="DengXian" w:hAnsi="DengXian" w:eastAsia="DengXian" w:cs="DengXian"/>
          <w:sz w:val="31"/>
          <w:szCs w:val="31"/>
          <w:spacing w:val="-24"/>
        </w:rPr>
        <w:t xml:space="preserve"> </w:t>
      </w:r>
      <w:r>
        <w:rPr>
          <w:rFonts w:ascii="DengXian" w:hAnsi="DengXian" w:eastAsia="DengXian" w:cs="DengXian"/>
          <w:sz w:val="31"/>
          <w:szCs w:val="31"/>
          <w:spacing w:val="5"/>
        </w:rPr>
        <w:t>、</w:t>
      </w:r>
      <w:r>
        <w:rPr>
          <w:rFonts w:ascii="DengXian" w:hAnsi="DengXian" w:eastAsia="DengXian" w:cs="DengXian"/>
          <w:sz w:val="31"/>
          <w:szCs w:val="31"/>
          <w:spacing w:val="-43"/>
        </w:rPr>
        <w:t xml:space="preserve"> </w:t>
      </w:r>
      <w:r>
        <w:rPr>
          <w:rFonts w:ascii="DengXian" w:hAnsi="DengXian" w:eastAsia="DengXian" w:cs="DengXian"/>
          <w:sz w:val="31"/>
          <w:szCs w:val="31"/>
          <w:spacing w:val="5"/>
        </w:rPr>
        <w:t>昌吉州生态环境局呼图壁县分局的相关代表，相关评审</w:t>
      </w:r>
      <w:r>
        <w:rPr>
          <w:rFonts w:ascii="DengXian" w:hAnsi="DengXian" w:eastAsia="DengXian" w:cs="DengXian"/>
          <w:sz w:val="31"/>
          <w:szCs w:val="31"/>
        </w:rPr>
        <w:t xml:space="preserve"> </w:t>
      </w:r>
      <w:r>
        <w:rPr>
          <w:rFonts w:ascii="DengXian" w:hAnsi="DengXian" w:eastAsia="DengXian" w:cs="DengXian"/>
          <w:sz w:val="31"/>
          <w:szCs w:val="31"/>
          <w:spacing w:val="7"/>
        </w:rPr>
        <w:t>专家，建设单位呼图壁县丰收塑料制品厂</w:t>
      </w:r>
      <w:r>
        <w:rPr>
          <w:rFonts w:ascii="DengXian" w:hAnsi="DengXian" w:eastAsia="DengXian" w:cs="DengXian"/>
          <w:sz w:val="31"/>
          <w:szCs w:val="31"/>
          <w:spacing w:val="-34"/>
        </w:rPr>
        <w:t xml:space="preserve"> </w:t>
      </w:r>
      <w:r>
        <w:rPr>
          <w:rFonts w:ascii="DengXian" w:hAnsi="DengXian" w:eastAsia="DengXian" w:cs="DengXian"/>
          <w:sz w:val="31"/>
          <w:szCs w:val="31"/>
          <w:spacing w:val="7"/>
        </w:rPr>
        <w:t>、环评文件编制单</w:t>
      </w:r>
      <w:r>
        <w:rPr>
          <w:rFonts w:ascii="DengXian" w:hAnsi="DengXian" w:eastAsia="DengXian" w:cs="DengXian"/>
          <w:sz w:val="31"/>
          <w:szCs w:val="31"/>
        </w:rPr>
        <w:t xml:space="preserve"> </w:t>
      </w:r>
      <w:r>
        <w:rPr>
          <w:rFonts w:ascii="DengXian" w:hAnsi="DengXian" w:eastAsia="DengXian" w:cs="DengXian"/>
          <w:sz w:val="31"/>
          <w:szCs w:val="31"/>
          <w:spacing w:val="8"/>
        </w:rPr>
        <w:t>位乌鲁木齐汇翔达工程咨询服务有限公司的代表，共计</w:t>
      </w:r>
      <w:r>
        <w:rPr>
          <w:rFonts w:ascii="DengXian" w:hAnsi="DengXian" w:eastAsia="DengXian" w:cs="DengXian"/>
          <w:sz w:val="31"/>
          <w:szCs w:val="31"/>
          <w:spacing w:val="7"/>
        </w:rPr>
        <w:t xml:space="preserve"> </w:t>
      </w:r>
      <w:r>
        <w:rPr>
          <w:rFonts w:ascii="SimSun" w:hAnsi="SimSun" w:eastAsia="SimSun" w:cs="SimSun"/>
          <w:sz w:val="31"/>
          <w:szCs w:val="31"/>
          <w:spacing w:val="7"/>
        </w:rPr>
        <w:t>8</w:t>
      </w:r>
      <w:r>
        <w:rPr>
          <w:rFonts w:ascii="SimSun" w:hAnsi="SimSun" w:eastAsia="SimSun" w:cs="SimSun"/>
          <w:sz w:val="31"/>
          <w:szCs w:val="31"/>
          <w:spacing w:val="-65"/>
        </w:rPr>
        <w:t xml:space="preserve"> </w:t>
      </w:r>
      <w:r>
        <w:rPr>
          <w:rFonts w:ascii="DengXian" w:hAnsi="DengXian" w:eastAsia="DengXian" w:cs="DengXian"/>
          <w:sz w:val="31"/>
          <w:szCs w:val="31"/>
          <w:spacing w:val="7"/>
        </w:rPr>
        <w:t>人</w:t>
      </w:r>
      <w:r>
        <w:rPr>
          <w:rFonts w:ascii="DengXian" w:hAnsi="DengXian" w:eastAsia="DengXian" w:cs="DengXian"/>
          <w:sz w:val="31"/>
          <w:szCs w:val="31"/>
        </w:rPr>
        <w:t xml:space="preserve"> </w:t>
      </w:r>
      <w:r>
        <w:rPr>
          <w:rFonts w:ascii="DengXian" w:hAnsi="DengXian" w:eastAsia="DengXian" w:cs="DengXian"/>
          <w:sz w:val="31"/>
          <w:szCs w:val="31"/>
          <w:spacing w:val="6"/>
        </w:rPr>
        <w:t>参加了视频会议</w:t>
      </w:r>
      <w:r>
        <w:rPr>
          <w:rFonts w:ascii="DengXian" w:hAnsi="DengXian" w:eastAsia="DengXian" w:cs="DengXian"/>
          <w:sz w:val="31"/>
          <w:szCs w:val="31"/>
          <w:spacing w:val="-34"/>
        </w:rPr>
        <w:t xml:space="preserve"> </w:t>
      </w:r>
      <w:r>
        <w:rPr>
          <w:rFonts w:ascii="DengXian" w:hAnsi="DengXian" w:eastAsia="DengXian" w:cs="DengXian"/>
          <w:sz w:val="31"/>
          <w:szCs w:val="31"/>
          <w:spacing w:val="6"/>
        </w:rPr>
        <w:t>。会议成立了由 </w:t>
      </w:r>
      <w:r>
        <w:rPr>
          <w:rFonts w:ascii="SimSun" w:hAnsi="SimSun" w:eastAsia="SimSun" w:cs="SimSun"/>
          <w:sz w:val="31"/>
          <w:szCs w:val="31"/>
          <w:spacing w:val="6"/>
        </w:rPr>
        <w:t>4</w:t>
      </w:r>
      <w:r>
        <w:rPr>
          <w:rFonts w:ascii="SimSun" w:hAnsi="SimSun" w:eastAsia="SimSun" w:cs="SimSun"/>
          <w:sz w:val="31"/>
          <w:szCs w:val="31"/>
          <w:spacing w:val="-65"/>
        </w:rPr>
        <w:t xml:space="preserve"> </w:t>
      </w:r>
      <w:r>
        <w:rPr>
          <w:rFonts w:ascii="DengXian" w:hAnsi="DengXian" w:eastAsia="DengXian" w:cs="DengXian"/>
          <w:sz w:val="31"/>
          <w:szCs w:val="31"/>
          <w:spacing w:val="6"/>
        </w:rPr>
        <w:t>人组成的专家评审组（名</w:t>
      </w:r>
    </w:p>
    <w:p>
      <w:pPr>
        <w:ind w:left="29"/>
        <w:spacing w:line="451" w:lineRule="exact"/>
        <w:rPr>
          <w:rFonts w:ascii="DengXian" w:hAnsi="DengXian" w:eastAsia="DengXian" w:cs="DengXian"/>
          <w:sz w:val="31"/>
          <w:szCs w:val="31"/>
        </w:rPr>
      </w:pPr>
      <w:r>
        <w:rPr>
          <w:rFonts w:ascii="DengXian" w:hAnsi="DengXian" w:eastAsia="DengXian" w:cs="DengXian"/>
          <w:sz w:val="31"/>
          <w:szCs w:val="31"/>
          <w:spacing w:val="2"/>
          <w:position w:val="4"/>
        </w:rPr>
        <w:t>单附后）。</w:t>
      </w:r>
    </w:p>
    <w:p>
      <w:pPr>
        <w:ind w:left="34" w:right="16" w:firstLine="646"/>
        <w:spacing w:before="170" w:line="357" w:lineRule="auto"/>
        <w:jc w:val="both"/>
        <w:rPr>
          <w:rFonts w:ascii="DengXian" w:hAnsi="DengXian" w:eastAsia="DengXian" w:cs="DengXian"/>
          <w:sz w:val="31"/>
          <w:szCs w:val="31"/>
        </w:rPr>
      </w:pPr>
      <w:r>
        <w:rPr>
          <w:rFonts w:ascii="DengXian" w:hAnsi="DengXian" w:eastAsia="DengXian" w:cs="DengXian"/>
          <w:sz w:val="31"/>
          <w:szCs w:val="31"/>
          <w:spacing w:val="6"/>
        </w:rPr>
        <w:t>与会人员在听取了建设单位对项目背景情况介绍</w:t>
      </w:r>
      <w:r>
        <w:rPr>
          <w:rFonts w:ascii="DengXian" w:hAnsi="DengXian" w:eastAsia="DengXian" w:cs="DengXian"/>
          <w:sz w:val="31"/>
          <w:szCs w:val="31"/>
          <w:spacing w:val="-34"/>
        </w:rPr>
        <w:t xml:space="preserve"> </w:t>
      </w:r>
      <w:r>
        <w:rPr>
          <w:rFonts w:ascii="DengXian" w:hAnsi="DengXian" w:eastAsia="DengXian" w:cs="DengXian"/>
          <w:sz w:val="31"/>
          <w:szCs w:val="31"/>
          <w:spacing w:val="6"/>
        </w:rPr>
        <w:t>、环评</w:t>
      </w:r>
      <w:r>
        <w:rPr>
          <w:rFonts w:ascii="DengXian" w:hAnsi="DengXian" w:eastAsia="DengXian" w:cs="DengXian"/>
          <w:sz w:val="31"/>
          <w:szCs w:val="31"/>
        </w:rPr>
        <w:t xml:space="preserve"> </w:t>
      </w:r>
      <w:r>
        <w:rPr>
          <w:rFonts w:ascii="DengXian" w:hAnsi="DengXian" w:eastAsia="DengXian" w:cs="DengXian"/>
          <w:sz w:val="31"/>
          <w:szCs w:val="31"/>
          <w:spacing w:val="8"/>
        </w:rPr>
        <w:t>文件编制单位对环境影响报告表内容的汇报后，进行了认真</w:t>
      </w:r>
    </w:p>
    <w:p>
      <w:pPr>
        <w:ind w:left="27"/>
        <w:spacing w:line="454" w:lineRule="exact"/>
        <w:rPr>
          <w:rFonts w:ascii="DengXian" w:hAnsi="DengXian" w:eastAsia="DengXian" w:cs="DengXian"/>
          <w:sz w:val="31"/>
          <w:szCs w:val="31"/>
        </w:rPr>
      </w:pPr>
      <w:r>
        <w:rPr>
          <w:rFonts w:ascii="DengXian" w:hAnsi="DengXian" w:eastAsia="DengXian" w:cs="DengXian"/>
          <w:sz w:val="31"/>
          <w:szCs w:val="31"/>
          <w:spacing w:val="8"/>
          <w:position w:val="4"/>
        </w:rPr>
        <w:t>讨论和评审，形成会议纪要如下：</w:t>
      </w:r>
    </w:p>
    <w:p>
      <w:pPr>
        <w:ind w:left="673"/>
        <w:spacing w:before="219" w:line="215" w:lineRule="auto"/>
        <w:rPr>
          <w:rFonts w:ascii="DengXian" w:hAnsi="DengXian" w:eastAsia="DengXian" w:cs="DengXian"/>
          <w:sz w:val="31"/>
          <w:szCs w:val="31"/>
        </w:rPr>
      </w:pPr>
      <w:r>
        <w:rPr>
          <w:rFonts w:ascii="DengXian" w:hAnsi="DengXian" w:eastAsia="DengXian" w:cs="DengXian"/>
          <w:sz w:val="31"/>
          <w:szCs w:val="31"/>
          <w:b/>
          <w:bCs/>
          <w:spacing w:val="4"/>
        </w:rPr>
        <w:t>一</w:t>
      </w:r>
      <w:r>
        <w:rPr>
          <w:rFonts w:ascii="DengXian" w:hAnsi="DengXian" w:eastAsia="DengXian" w:cs="DengXian"/>
          <w:sz w:val="31"/>
          <w:szCs w:val="31"/>
          <w:b/>
          <w:bCs/>
          <w:spacing w:val="-50"/>
        </w:rPr>
        <w:t xml:space="preserve"> </w:t>
      </w:r>
      <w:r>
        <w:rPr>
          <w:rFonts w:ascii="DengXian" w:hAnsi="DengXian" w:eastAsia="DengXian" w:cs="DengXian"/>
          <w:sz w:val="31"/>
          <w:szCs w:val="31"/>
          <w:b/>
          <w:bCs/>
          <w:spacing w:val="4"/>
        </w:rPr>
        <w:t>、环评文件编制质量：</w:t>
      </w:r>
    </w:p>
    <w:p>
      <w:pPr>
        <w:ind w:left="79" w:firstLine="584"/>
        <w:spacing w:before="197" w:line="357" w:lineRule="auto"/>
        <w:jc w:val="both"/>
        <w:rPr>
          <w:rFonts w:ascii="DengXian" w:hAnsi="DengXian" w:eastAsia="DengXian" w:cs="DengXian"/>
          <w:sz w:val="31"/>
          <w:szCs w:val="31"/>
        </w:rPr>
      </w:pPr>
      <w:r>
        <w:rPr>
          <w:rFonts w:ascii="DengXian" w:hAnsi="DengXian" w:eastAsia="DengXian" w:cs="DengXian"/>
          <w:sz w:val="31"/>
          <w:szCs w:val="31"/>
          <w:spacing w:val="7"/>
        </w:rPr>
        <w:t>报告表编制较规范，</w:t>
      </w:r>
      <w:r>
        <w:rPr>
          <w:rFonts w:ascii="DengXian" w:hAnsi="DengXian" w:eastAsia="DengXian" w:cs="DengXian"/>
          <w:sz w:val="31"/>
          <w:szCs w:val="31"/>
          <w:spacing w:val="-35"/>
        </w:rPr>
        <w:t xml:space="preserve"> </w:t>
      </w:r>
      <w:r>
        <w:rPr>
          <w:rFonts w:ascii="DengXian" w:hAnsi="DengXian" w:eastAsia="DengXian" w:cs="DengXian"/>
          <w:sz w:val="31"/>
          <w:szCs w:val="31"/>
          <w:spacing w:val="7"/>
        </w:rPr>
        <w:t>内容基本完整，基本符合《</w:t>
      </w:r>
      <w:r>
        <w:rPr>
          <w:rFonts w:ascii="DengXian" w:hAnsi="DengXian" w:eastAsia="DengXian" w:cs="DengXian"/>
          <w:sz w:val="31"/>
          <w:szCs w:val="31"/>
          <w:spacing w:val="6"/>
        </w:rPr>
        <w:t>建设项</w:t>
      </w:r>
      <w:r>
        <w:rPr>
          <w:rFonts w:ascii="DengXian" w:hAnsi="DengXian" w:eastAsia="DengXian" w:cs="DengXian"/>
          <w:sz w:val="31"/>
          <w:szCs w:val="31"/>
        </w:rPr>
        <w:t xml:space="preserve"> </w:t>
      </w:r>
      <w:r>
        <w:rPr>
          <w:rFonts w:ascii="DengXian" w:hAnsi="DengXian" w:eastAsia="DengXian" w:cs="DengXian"/>
          <w:sz w:val="31"/>
          <w:szCs w:val="31"/>
          <w:spacing w:val="7"/>
        </w:rPr>
        <w:t>目环境影响报告表编制技术指南（污染影响类</w:t>
      </w:r>
      <w:r>
        <w:rPr>
          <w:rFonts w:ascii="DengXian" w:hAnsi="DengXian" w:eastAsia="DengXian" w:cs="DengXian"/>
          <w:sz w:val="31"/>
          <w:szCs w:val="31"/>
          <w:spacing w:val="-4"/>
        </w:rPr>
        <w:t>）（</w:t>
      </w:r>
      <w:r>
        <w:rPr>
          <w:rFonts w:ascii="DengXian" w:hAnsi="DengXian" w:eastAsia="DengXian" w:cs="DengXian"/>
          <w:sz w:val="31"/>
          <w:szCs w:val="31"/>
          <w:spacing w:val="7"/>
        </w:rPr>
        <w:t>试</w:t>
      </w:r>
      <w:r>
        <w:rPr>
          <w:rFonts w:ascii="DengXian" w:hAnsi="DengXian" w:eastAsia="DengXian" w:cs="DengXian"/>
          <w:sz w:val="31"/>
          <w:szCs w:val="31"/>
          <w:spacing w:val="6"/>
        </w:rPr>
        <w:t>行）</w:t>
      </w:r>
      <w:r>
        <w:rPr>
          <w:rFonts w:ascii="DengXian" w:hAnsi="DengXian" w:eastAsia="DengXian" w:cs="DengXian"/>
          <w:sz w:val="31"/>
          <w:szCs w:val="31"/>
          <w:spacing w:val="-49"/>
        </w:rPr>
        <w:t xml:space="preserve"> </w:t>
      </w:r>
      <w:r>
        <w:rPr>
          <w:rFonts w:ascii="DengXian" w:hAnsi="DengXian" w:eastAsia="DengXian" w:cs="DengXian"/>
          <w:sz w:val="31"/>
          <w:szCs w:val="31"/>
          <w:spacing w:val="6"/>
        </w:rPr>
        <w:t>》</w:t>
      </w:r>
    </w:p>
    <w:p>
      <w:pPr>
        <w:ind w:left="48"/>
        <w:spacing w:line="454" w:lineRule="exact"/>
        <w:rPr>
          <w:rFonts w:ascii="DengXian" w:hAnsi="DengXian" w:eastAsia="DengXian" w:cs="DengXian"/>
          <w:sz w:val="31"/>
          <w:szCs w:val="31"/>
        </w:rPr>
      </w:pPr>
      <w:r>
        <w:rPr>
          <w:rFonts w:ascii="DengXian" w:hAnsi="DengXian" w:eastAsia="DengXian" w:cs="DengXian"/>
          <w:sz w:val="31"/>
          <w:szCs w:val="31"/>
          <w:spacing w:val="6"/>
          <w:position w:val="4"/>
        </w:rPr>
        <w:t>的要求，评价结论基本可信。</w:t>
      </w:r>
    </w:p>
    <w:p>
      <w:pPr>
        <w:ind w:left="677"/>
        <w:spacing w:before="218" w:line="216" w:lineRule="auto"/>
        <w:rPr>
          <w:rFonts w:ascii="DengXian" w:hAnsi="DengXian" w:eastAsia="DengXian" w:cs="DengXian"/>
          <w:sz w:val="31"/>
          <w:szCs w:val="31"/>
        </w:rPr>
      </w:pPr>
      <w:r>
        <w:rPr>
          <w:rFonts w:ascii="DengXian" w:hAnsi="DengXian" w:eastAsia="DengXian" w:cs="DengXian"/>
          <w:sz w:val="31"/>
          <w:szCs w:val="31"/>
          <w:b/>
          <w:bCs/>
          <w:spacing w:val="5"/>
        </w:rPr>
        <w:t>二</w:t>
      </w:r>
      <w:r>
        <w:rPr>
          <w:rFonts w:ascii="DengXian" w:hAnsi="DengXian" w:eastAsia="DengXian" w:cs="DengXian"/>
          <w:sz w:val="31"/>
          <w:szCs w:val="31"/>
          <w:b/>
          <w:bCs/>
          <w:spacing w:val="-40"/>
        </w:rPr>
        <w:t xml:space="preserve"> </w:t>
      </w:r>
      <w:r>
        <w:rPr>
          <w:rFonts w:ascii="DengXian" w:hAnsi="DengXian" w:eastAsia="DengXian" w:cs="DengXian"/>
          <w:sz w:val="31"/>
          <w:szCs w:val="31"/>
          <w:b/>
          <w:bCs/>
          <w:spacing w:val="5"/>
        </w:rPr>
        <w:t>、环评文件需进一步修改的问题：</w:t>
      </w:r>
    </w:p>
    <w:p>
      <w:pPr>
        <w:ind w:left="33" w:right="16" w:firstLine="657"/>
        <w:spacing w:before="254" w:line="337" w:lineRule="auto"/>
        <w:jc w:val="both"/>
        <w:rPr>
          <w:rFonts w:ascii="DengXian" w:hAnsi="DengXian" w:eastAsia="DengXian" w:cs="DengXian"/>
          <w:sz w:val="31"/>
          <w:szCs w:val="31"/>
        </w:rPr>
      </w:pPr>
      <w:r>
        <w:rPr>
          <w:rFonts w:ascii="SimSun" w:hAnsi="SimSun" w:eastAsia="SimSun" w:cs="SimSun"/>
          <w:sz w:val="31"/>
          <w:szCs w:val="31"/>
          <w:spacing w:val="4"/>
        </w:rPr>
        <w:t>1</w:t>
      </w:r>
      <w:r>
        <w:rPr>
          <w:rFonts w:ascii="DengXian" w:hAnsi="DengXian" w:eastAsia="DengXian" w:cs="DengXian"/>
          <w:sz w:val="31"/>
          <w:szCs w:val="31"/>
          <w:spacing w:val="4"/>
        </w:rPr>
        <w:t>、完善“是否开工建设”所要求的填写内容；核实项目产</w:t>
      </w:r>
      <w:r>
        <w:rPr>
          <w:rFonts w:ascii="DengXian" w:hAnsi="DengXian" w:eastAsia="DengXian" w:cs="DengXian"/>
          <w:sz w:val="31"/>
          <w:szCs w:val="31"/>
          <w:spacing w:val="16"/>
        </w:rPr>
        <w:t xml:space="preserve"> </w:t>
      </w:r>
      <w:r>
        <w:rPr>
          <w:rFonts w:ascii="DengXian" w:hAnsi="DengXian" w:eastAsia="DengXian" w:cs="DengXian"/>
          <w:sz w:val="31"/>
          <w:szCs w:val="31"/>
          <w:spacing w:val="8"/>
        </w:rPr>
        <w:t>业政策符合性分析，核实项目用地类型及补充必要证明，完</w:t>
      </w:r>
    </w:p>
    <w:p>
      <w:pPr>
        <w:ind w:left="31"/>
        <w:spacing w:line="452" w:lineRule="exact"/>
        <w:rPr>
          <w:rFonts w:ascii="DengXian" w:hAnsi="DengXian" w:eastAsia="DengXian" w:cs="DengXian"/>
          <w:sz w:val="31"/>
          <w:szCs w:val="31"/>
        </w:rPr>
      </w:pPr>
      <w:r>
        <w:rPr>
          <w:rFonts w:ascii="DengXian" w:hAnsi="DengXian" w:eastAsia="DengXian" w:cs="DengXian"/>
          <w:sz w:val="31"/>
          <w:szCs w:val="31"/>
          <w:spacing w:val="8"/>
          <w:position w:val="4"/>
        </w:rPr>
        <w:t>善选址合理性分析的内容；补充项目与《关于加快解决当前</w:t>
      </w:r>
    </w:p>
    <w:p>
      <w:pPr>
        <w:spacing w:line="452" w:lineRule="exact"/>
        <w:sectPr>
          <w:pgSz w:w="11906" w:h="16839"/>
          <w:pgMar w:top="400" w:right="1785" w:bottom="0" w:left="1785" w:header="0" w:footer="0" w:gutter="0"/>
        </w:sectPr>
        <w:rPr>
          <w:rFonts w:ascii="DengXian" w:hAnsi="DengXian" w:eastAsia="DengXian" w:cs="DengXian"/>
          <w:sz w:val="31"/>
          <w:szCs w:val="31"/>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28"/>
        <w:spacing w:before="105" w:line="624" w:lineRule="exact"/>
        <w:rPr>
          <w:rFonts w:ascii="DengXian" w:hAnsi="DengXian" w:eastAsia="DengXian" w:cs="DengXian"/>
          <w:sz w:val="31"/>
          <w:szCs w:val="31"/>
        </w:rPr>
      </w:pPr>
      <w:r>
        <w:rPr>
          <w:rFonts w:ascii="DengXian" w:hAnsi="DengXian" w:eastAsia="DengXian" w:cs="DengXian"/>
          <w:sz w:val="31"/>
          <w:szCs w:val="31"/>
          <w:spacing w:val="9"/>
          <w:position w:val="21"/>
        </w:rPr>
        <w:t>挥发性有机物治理突出问题的通知》《昌吉回族自治</w:t>
      </w:r>
      <w:r>
        <w:rPr>
          <w:rFonts w:ascii="DengXian" w:hAnsi="DengXian" w:eastAsia="DengXian" w:cs="DengXian"/>
          <w:sz w:val="31"/>
          <w:szCs w:val="31"/>
          <w:spacing w:val="8"/>
          <w:position w:val="21"/>
        </w:rPr>
        <w:t>州生态</w:t>
      </w:r>
    </w:p>
    <w:p>
      <w:pPr>
        <w:ind w:left="29"/>
        <w:spacing w:line="452" w:lineRule="exact"/>
        <w:rPr>
          <w:rFonts w:ascii="DengXian" w:hAnsi="DengXian" w:eastAsia="DengXian" w:cs="DengXian"/>
          <w:sz w:val="31"/>
          <w:szCs w:val="31"/>
        </w:rPr>
      </w:pPr>
      <w:r>
        <w:rPr>
          <w:rFonts w:ascii="DengXian" w:hAnsi="DengXian" w:eastAsia="DengXian" w:cs="DengXian"/>
          <w:sz w:val="31"/>
          <w:szCs w:val="31"/>
          <w:spacing w:val="8"/>
          <w:position w:val="4"/>
        </w:rPr>
        <w:t>环境保护与建设“十四五”规划》的符合性分析。</w:t>
      </w:r>
    </w:p>
    <w:p>
      <w:pPr>
        <w:ind w:left="23" w:right="14" w:firstLine="647"/>
        <w:spacing w:before="181" w:line="354" w:lineRule="auto"/>
        <w:jc w:val="both"/>
        <w:rPr>
          <w:rFonts w:ascii="DengXian" w:hAnsi="DengXian" w:eastAsia="DengXian" w:cs="DengXian"/>
          <w:sz w:val="31"/>
          <w:szCs w:val="31"/>
        </w:rPr>
      </w:pPr>
      <w:r>
        <w:rPr>
          <w:rFonts w:ascii="SimSun" w:hAnsi="SimSun" w:eastAsia="SimSun" w:cs="SimSun"/>
          <w:sz w:val="31"/>
          <w:szCs w:val="31"/>
          <w:spacing w:val="12"/>
        </w:rPr>
        <w:t>2</w:t>
      </w:r>
      <w:r>
        <w:rPr>
          <w:rFonts w:ascii="DengXian" w:hAnsi="DengXian" w:eastAsia="DengXian" w:cs="DengXian"/>
          <w:sz w:val="31"/>
          <w:szCs w:val="31"/>
          <w:spacing w:val="12"/>
        </w:rPr>
        <w:t>、</w:t>
      </w:r>
      <w:r>
        <w:rPr>
          <w:rFonts w:ascii="DengXian" w:hAnsi="DengXian" w:eastAsia="DengXian" w:cs="DengXian"/>
          <w:sz w:val="31"/>
          <w:szCs w:val="31"/>
          <w:spacing w:val="-43"/>
        </w:rPr>
        <w:t xml:space="preserve"> </w:t>
      </w:r>
      <w:r>
        <w:rPr>
          <w:rFonts w:ascii="DengXian" w:hAnsi="DengXian" w:eastAsia="DengXian" w:cs="DengXian"/>
          <w:sz w:val="31"/>
          <w:szCs w:val="31"/>
          <w:spacing w:val="12"/>
        </w:rPr>
        <w:t>结合生产周期完善说明项目冬季供暖情况，</w:t>
      </w:r>
      <w:r>
        <w:rPr>
          <w:rFonts w:ascii="DengXian" w:hAnsi="DengXian" w:eastAsia="DengXian" w:cs="DengXian"/>
          <w:sz w:val="31"/>
          <w:szCs w:val="31"/>
          <w:spacing w:val="-52"/>
        </w:rPr>
        <w:t xml:space="preserve"> </w:t>
      </w:r>
      <w:r>
        <w:rPr>
          <w:rFonts w:ascii="DengXian" w:hAnsi="DengXian" w:eastAsia="DengXian" w:cs="DengXian"/>
          <w:sz w:val="31"/>
          <w:szCs w:val="31"/>
          <w:spacing w:val="12"/>
        </w:rPr>
        <w:t>补充说</w:t>
      </w:r>
      <w:r>
        <w:rPr>
          <w:rFonts w:ascii="DengXian" w:hAnsi="DengXian" w:eastAsia="DengXian" w:cs="DengXian"/>
          <w:sz w:val="31"/>
          <w:szCs w:val="31"/>
        </w:rPr>
        <w:t xml:space="preserve"> </w:t>
      </w:r>
      <w:r>
        <w:rPr>
          <w:rFonts w:ascii="DengXian" w:hAnsi="DengXian" w:eastAsia="DengXian" w:cs="DengXian"/>
          <w:sz w:val="31"/>
          <w:szCs w:val="31"/>
          <w:spacing w:val="9"/>
        </w:rPr>
        <w:t>明原辅料及产品变化情况；完善厂区平面布置图及论证</w:t>
      </w:r>
      <w:r>
        <w:rPr>
          <w:rFonts w:ascii="DengXian" w:hAnsi="DengXian" w:eastAsia="DengXian" w:cs="DengXian"/>
          <w:sz w:val="31"/>
          <w:szCs w:val="31"/>
          <w:spacing w:val="8"/>
        </w:rPr>
        <w:t>项目</w:t>
      </w:r>
      <w:r>
        <w:rPr>
          <w:rFonts w:ascii="DengXian" w:hAnsi="DengXian" w:eastAsia="DengXian" w:cs="DengXian"/>
          <w:sz w:val="31"/>
          <w:szCs w:val="31"/>
        </w:rPr>
        <w:t xml:space="preserve"> </w:t>
      </w:r>
      <w:r>
        <w:rPr>
          <w:rFonts w:ascii="DengXian" w:hAnsi="DengXian" w:eastAsia="DengXian" w:cs="DengXian"/>
          <w:sz w:val="31"/>
          <w:szCs w:val="31"/>
          <w:spacing w:val="8"/>
        </w:rPr>
        <w:t>平面布置合理性；</w:t>
      </w:r>
      <w:r>
        <w:rPr>
          <w:rFonts w:ascii="DengXian" w:hAnsi="DengXian" w:eastAsia="DengXian" w:cs="DengXian"/>
          <w:sz w:val="31"/>
          <w:szCs w:val="31"/>
          <w:spacing w:val="-61"/>
        </w:rPr>
        <w:t xml:space="preserve"> </w:t>
      </w:r>
      <w:r>
        <w:rPr>
          <w:rFonts w:ascii="DengXian" w:hAnsi="DengXian" w:eastAsia="DengXian" w:cs="DengXian"/>
          <w:sz w:val="31"/>
          <w:szCs w:val="31"/>
          <w:spacing w:val="8"/>
        </w:rPr>
        <w:t>完善环境保护目标调查；核实并完善现有</w:t>
      </w:r>
      <w:r>
        <w:rPr>
          <w:rFonts w:ascii="DengXian" w:hAnsi="DengXian" w:eastAsia="DengXian" w:cs="DengXian"/>
          <w:sz w:val="31"/>
          <w:szCs w:val="31"/>
        </w:rPr>
        <w:t xml:space="preserve"> </w:t>
      </w:r>
      <w:r>
        <w:rPr>
          <w:rFonts w:ascii="DengXian" w:hAnsi="DengXian" w:eastAsia="DengXian" w:cs="DengXian"/>
          <w:sz w:val="31"/>
          <w:szCs w:val="31"/>
          <w:spacing w:val="9"/>
        </w:rPr>
        <w:t>工程废气污染治理设施情况及合规性分析，完善现有工</w:t>
      </w:r>
      <w:r>
        <w:rPr>
          <w:rFonts w:ascii="DengXian" w:hAnsi="DengXian" w:eastAsia="DengXian" w:cs="DengXian"/>
          <w:sz w:val="31"/>
          <w:szCs w:val="31"/>
          <w:spacing w:val="8"/>
        </w:rPr>
        <w:t>程环</w:t>
      </w:r>
      <w:r>
        <w:rPr>
          <w:rFonts w:ascii="DengXian" w:hAnsi="DengXian" w:eastAsia="DengXian" w:cs="DengXian"/>
          <w:sz w:val="31"/>
          <w:szCs w:val="31"/>
        </w:rPr>
        <w:t xml:space="preserve"> </w:t>
      </w:r>
      <w:r>
        <w:rPr>
          <w:rFonts w:ascii="DengXian" w:hAnsi="DengXian" w:eastAsia="DengXian" w:cs="DengXian"/>
          <w:sz w:val="31"/>
          <w:szCs w:val="31"/>
          <w:spacing w:val="8"/>
        </w:rPr>
        <w:t>境问题调查及整改措施；</w:t>
      </w:r>
      <w:r>
        <w:rPr>
          <w:rFonts w:ascii="DengXian" w:hAnsi="DengXian" w:eastAsia="DengXian" w:cs="DengXian"/>
          <w:sz w:val="31"/>
          <w:szCs w:val="31"/>
          <w:spacing w:val="-61"/>
        </w:rPr>
        <w:t xml:space="preserve"> </w:t>
      </w:r>
      <w:r>
        <w:rPr>
          <w:rFonts w:ascii="DengXian" w:hAnsi="DengXian" w:eastAsia="DengXian" w:cs="DengXian"/>
          <w:sz w:val="31"/>
          <w:szCs w:val="31"/>
          <w:spacing w:val="8"/>
        </w:rPr>
        <w:t>完善大气环境质量现状调查，完善</w:t>
      </w:r>
    </w:p>
    <w:p>
      <w:pPr>
        <w:ind w:left="22"/>
        <w:spacing w:line="456" w:lineRule="exact"/>
        <w:rPr>
          <w:rFonts w:ascii="DengXian" w:hAnsi="DengXian" w:eastAsia="DengXian" w:cs="DengXian"/>
          <w:sz w:val="31"/>
          <w:szCs w:val="31"/>
        </w:rPr>
      </w:pPr>
      <w:r>
        <w:rPr>
          <w:rFonts w:ascii="DengXian" w:hAnsi="DengXian" w:eastAsia="DengXian" w:cs="DengXian"/>
          <w:sz w:val="31"/>
          <w:szCs w:val="31"/>
          <w:spacing w:val="8"/>
          <w:position w:val="4"/>
        </w:rPr>
        <w:t>废气污染物排放控制标准。</w:t>
      </w:r>
    </w:p>
    <w:p>
      <w:pPr>
        <w:ind w:left="27" w:right="13" w:firstLine="645"/>
        <w:spacing w:before="172" w:line="360" w:lineRule="auto"/>
        <w:jc w:val="both"/>
        <w:rPr>
          <w:rFonts w:ascii="DengXian" w:hAnsi="DengXian" w:eastAsia="DengXian" w:cs="DengXian"/>
          <w:sz w:val="31"/>
          <w:szCs w:val="31"/>
        </w:rPr>
      </w:pPr>
      <w:r>
        <w:rPr>
          <w:rFonts w:ascii="SimSun" w:hAnsi="SimSun" w:eastAsia="SimSun" w:cs="SimSun"/>
          <w:sz w:val="31"/>
          <w:szCs w:val="31"/>
          <w:spacing w:val="12"/>
        </w:rPr>
        <w:t>3</w:t>
      </w:r>
      <w:r>
        <w:rPr>
          <w:rFonts w:ascii="DengXian" w:hAnsi="DengXian" w:eastAsia="DengXian" w:cs="DengXian"/>
          <w:sz w:val="31"/>
          <w:szCs w:val="31"/>
          <w:spacing w:val="12"/>
        </w:rPr>
        <w:t>、</w:t>
      </w:r>
      <w:r>
        <w:rPr>
          <w:rFonts w:ascii="DengXian" w:hAnsi="DengXian" w:eastAsia="DengXian" w:cs="DengXian"/>
          <w:sz w:val="31"/>
          <w:szCs w:val="31"/>
          <w:spacing w:val="-54"/>
        </w:rPr>
        <w:t xml:space="preserve"> </w:t>
      </w:r>
      <w:r>
        <w:rPr>
          <w:rFonts w:ascii="DengXian" w:hAnsi="DengXian" w:eastAsia="DengXian" w:cs="DengXian"/>
          <w:sz w:val="31"/>
          <w:szCs w:val="31"/>
          <w:spacing w:val="12"/>
        </w:rPr>
        <w:t>完善说明废气收集情况，</w:t>
      </w:r>
      <w:r>
        <w:rPr>
          <w:rFonts w:ascii="DengXian" w:hAnsi="DengXian" w:eastAsia="DengXian" w:cs="DengXian"/>
          <w:sz w:val="31"/>
          <w:szCs w:val="31"/>
          <w:spacing w:val="-46"/>
        </w:rPr>
        <w:t xml:space="preserve"> </w:t>
      </w:r>
      <w:r>
        <w:rPr>
          <w:rFonts w:ascii="DengXian" w:hAnsi="DengXian" w:eastAsia="DengXian" w:cs="DengXian"/>
          <w:sz w:val="31"/>
          <w:szCs w:val="31"/>
          <w:spacing w:val="12"/>
        </w:rPr>
        <w:t>完善废气污染治理设施的</w:t>
      </w:r>
      <w:r>
        <w:rPr>
          <w:rFonts w:ascii="DengXian" w:hAnsi="DengXian" w:eastAsia="DengXian" w:cs="DengXian"/>
          <w:sz w:val="31"/>
          <w:szCs w:val="31"/>
        </w:rPr>
        <w:t xml:space="preserve"> </w:t>
      </w:r>
      <w:r>
        <w:rPr>
          <w:rFonts w:ascii="DengXian" w:hAnsi="DengXian" w:eastAsia="DengXian" w:cs="DengXian"/>
          <w:sz w:val="31"/>
          <w:szCs w:val="31"/>
          <w:spacing w:val="9"/>
        </w:rPr>
        <w:t>可行技术分析，完善分析所采用的两级活性炭</w:t>
      </w:r>
      <w:r>
        <w:rPr>
          <w:rFonts w:ascii="DengXian" w:hAnsi="DengXian" w:eastAsia="DengXian" w:cs="DengXian"/>
          <w:sz w:val="31"/>
          <w:szCs w:val="31"/>
          <w:spacing w:val="8"/>
        </w:rPr>
        <w:t>吸附装置净化</w:t>
      </w:r>
      <w:r>
        <w:rPr>
          <w:rFonts w:ascii="DengXian" w:hAnsi="DengXian" w:eastAsia="DengXian" w:cs="DengXian"/>
          <w:sz w:val="31"/>
          <w:szCs w:val="31"/>
        </w:rPr>
        <w:t xml:space="preserve"> </w:t>
      </w:r>
      <w:r>
        <w:rPr>
          <w:rFonts w:ascii="DengXian" w:hAnsi="DengXian" w:eastAsia="DengXian" w:cs="DengXian"/>
          <w:sz w:val="31"/>
          <w:szCs w:val="31"/>
          <w:spacing w:val="7"/>
        </w:rPr>
        <w:t>处理挥发性有机物措施的合规性和有效性</w:t>
      </w:r>
      <w:r>
        <w:rPr>
          <w:rFonts w:ascii="DengXian" w:hAnsi="DengXian" w:eastAsia="DengXian" w:cs="DengXian"/>
          <w:sz w:val="31"/>
          <w:szCs w:val="31"/>
          <w:spacing w:val="-38"/>
        </w:rPr>
        <w:t xml:space="preserve"> </w:t>
      </w:r>
      <w:r>
        <w:rPr>
          <w:rFonts w:ascii="DengXian" w:hAnsi="DengXian" w:eastAsia="DengXian" w:cs="DengXian"/>
          <w:sz w:val="31"/>
          <w:szCs w:val="31"/>
          <w:spacing w:val="7"/>
        </w:rPr>
        <w:t>、稳定达标的可行</w:t>
      </w:r>
      <w:r>
        <w:rPr>
          <w:rFonts w:ascii="DengXian" w:hAnsi="DengXian" w:eastAsia="DengXian" w:cs="DengXian"/>
          <w:sz w:val="31"/>
          <w:szCs w:val="31"/>
        </w:rPr>
        <w:t xml:space="preserve"> </w:t>
      </w:r>
      <w:r>
        <w:rPr>
          <w:rFonts w:ascii="DengXian" w:hAnsi="DengXian" w:eastAsia="DengXian" w:cs="DengXian"/>
          <w:sz w:val="31"/>
          <w:szCs w:val="31"/>
          <w:spacing w:val="5"/>
        </w:rPr>
        <w:t>性</w:t>
      </w:r>
      <w:r>
        <w:rPr>
          <w:rFonts w:ascii="DengXian" w:hAnsi="DengXian" w:eastAsia="DengXian" w:cs="DengXian"/>
          <w:sz w:val="31"/>
          <w:szCs w:val="31"/>
          <w:spacing w:val="-33"/>
        </w:rPr>
        <w:t xml:space="preserve"> </w:t>
      </w:r>
      <w:r>
        <w:rPr>
          <w:rFonts w:ascii="DengXian" w:hAnsi="DengXian" w:eastAsia="DengXian" w:cs="DengXian"/>
          <w:sz w:val="31"/>
          <w:szCs w:val="31"/>
          <w:spacing w:val="5"/>
        </w:rPr>
        <w:t>，</w:t>
      </w:r>
      <w:r>
        <w:rPr>
          <w:rFonts w:ascii="DengXian" w:hAnsi="DengXian" w:eastAsia="DengXian" w:cs="DengXian"/>
          <w:sz w:val="31"/>
          <w:szCs w:val="31"/>
          <w:spacing w:val="-36"/>
        </w:rPr>
        <w:t xml:space="preserve"> </w:t>
      </w:r>
      <w:r>
        <w:rPr>
          <w:rFonts w:ascii="DengXian" w:hAnsi="DengXian" w:eastAsia="DengXian" w:cs="DengXian"/>
          <w:sz w:val="31"/>
          <w:szCs w:val="31"/>
          <w:spacing w:val="5"/>
        </w:rPr>
        <w:t>明确活性炭的充填和更换要求，完善废气污染物监测计</w:t>
      </w:r>
      <w:r>
        <w:rPr>
          <w:rFonts w:ascii="DengXian" w:hAnsi="DengXian" w:eastAsia="DengXian" w:cs="DengXian"/>
          <w:sz w:val="31"/>
          <w:szCs w:val="31"/>
        </w:rPr>
        <w:t xml:space="preserve"> </w:t>
      </w:r>
      <w:r>
        <w:rPr>
          <w:rFonts w:ascii="DengXian" w:hAnsi="DengXian" w:eastAsia="DengXian" w:cs="DengXian"/>
          <w:sz w:val="31"/>
          <w:szCs w:val="31"/>
          <w:spacing w:val="9"/>
        </w:rPr>
        <w:t>划；核实污染物总量指标表述内容，完善说明</w:t>
      </w:r>
      <w:r>
        <w:rPr>
          <w:rFonts w:ascii="DengXian" w:hAnsi="DengXian" w:eastAsia="DengXian" w:cs="DengXian"/>
          <w:sz w:val="31"/>
          <w:szCs w:val="31"/>
          <w:spacing w:val="8"/>
        </w:rPr>
        <w:t>新增大气污染</w:t>
      </w:r>
    </w:p>
    <w:p>
      <w:pPr>
        <w:ind w:left="28"/>
        <w:spacing w:before="2" w:line="215" w:lineRule="auto"/>
        <w:rPr>
          <w:rFonts w:ascii="DengXian" w:hAnsi="DengXian" w:eastAsia="DengXian" w:cs="DengXian"/>
          <w:sz w:val="31"/>
          <w:szCs w:val="31"/>
        </w:rPr>
      </w:pPr>
      <w:r>
        <w:rPr>
          <w:rFonts w:ascii="DengXian" w:hAnsi="DengXian" w:eastAsia="DengXian" w:cs="DengXian"/>
          <w:sz w:val="31"/>
          <w:szCs w:val="31"/>
          <w:spacing w:val="7"/>
        </w:rPr>
        <w:t>物总量指标倍量替代来源。</w:t>
      </w:r>
    </w:p>
    <w:p>
      <w:pPr>
        <w:ind w:left="25" w:right="13" w:firstLine="640"/>
        <w:spacing w:before="202" w:line="361" w:lineRule="auto"/>
        <w:jc w:val="both"/>
        <w:rPr>
          <w:rFonts w:ascii="DengXian" w:hAnsi="DengXian" w:eastAsia="DengXian" w:cs="DengXian"/>
          <w:sz w:val="31"/>
          <w:szCs w:val="31"/>
        </w:rPr>
      </w:pPr>
      <w:r>
        <w:rPr>
          <w:rFonts w:ascii="SimSun" w:hAnsi="SimSun" w:eastAsia="SimSun" w:cs="SimSun"/>
          <w:sz w:val="31"/>
          <w:szCs w:val="31"/>
          <w:spacing w:val="14"/>
        </w:rPr>
        <w:t>4</w:t>
      </w:r>
      <w:r>
        <w:rPr>
          <w:rFonts w:ascii="DengXian" w:hAnsi="DengXian" w:eastAsia="DengXian" w:cs="DengXian"/>
          <w:sz w:val="31"/>
          <w:szCs w:val="31"/>
          <w:spacing w:val="14"/>
        </w:rPr>
        <w:t>、</w:t>
      </w:r>
      <w:r>
        <w:rPr>
          <w:rFonts w:ascii="DengXian" w:hAnsi="DengXian" w:eastAsia="DengXian" w:cs="DengXian"/>
          <w:sz w:val="31"/>
          <w:szCs w:val="31"/>
          <w:spacing w:val="-54"/>
        </w:rPr>
        <w:t xml:space="preserve"> </w:t>
      </w:r>
      <w:r>
        <w:rPr>
          <w:rFonts w:ascii="DengXian" w:hAnsi="DengXian" w:eastAsia="DengXian" w:cs="DengXian"/>
          <w:sz w:val="31"/>
          <w:szCs w:val="31"/>
          <w:spacing w:val="14"/>
        </w:rPr>
        <w:t>完善说明企业现有生活废水处理方案及排放去</w:t>
      </w:r>
      <w:r>
        <w:rPr>
          <w:rFonts w:ascii="DengXian" w:hAnsi="DengXian" w:eastAsia="DengXian" w:cs="DengXian"/>
          <w:sz w:val="31"/>
          <w:szCs w:val="31"/>
          <w:spacing w:val="13"/>
        </w:rPr>
        <w:t>向及</w:t>
      </w:r>
      <w:r>
        <w:rPr>
          <w:rFonts w:ascii="DengXian" w:hAnsi="DengXian" w:eastAsia="DengXian" w:cs="DengXian"/>
          <w:sz w:val="31"/>
          <w:szCs w:val="31"/>
        </w:rPr>
        <w:t xml:space="preserve"> </w:t>
      </w:r>
      <w:r>
        <w:rPr>
          <w:rFonts w:ascii="DengXian" w:hAnsi="DengXian" w:eastAsia="DengXian" w:cs="DengXian"/>
          <w:sz w:val="31"/>
          <w:szCs w:val="31"/>
          <w:spacing w:val="9"/>
        </w:rPr>
        <w:t>合规性分析；补充核算废空压机油产生量，对废空压</w:t>
      </w:r>
      <w:r>
        <w:rPr>
          <w:rFonts w:ascii="DengXian" w:hAnsi="DengXian" w:eastAsia="DengXian" w:cs="DengXian"/>
          <w:sz w:val="31"/>
          <w:szCs w:val="31"/>
          <w:spacing w:val="8"/>
        </w:rPr>
        <w:t>机油收</w:t>
      </w:r>
      <w:r>
        <w:rPr>
          <w:rFonts w:ascii="DengXian" w:hAnsi="DengXian" w:eastAsia="DengXian" w:cs="DengXian"/>
          <w:sz w:val="31"/>
          <w:szCs w:val="31"/>
        </w:rPr>
        <w:t xml:space="preserve"> </w:t>
      </w:r>
      <w:r>
        <w:rPr>
          <w:rFonts w:ascii="DengXian" w:hAnsi="DengXian" w:eastAsia="DengXian" w:cs="DengXian"/>
          <w:sz w:val="31"/>
          <w:szCs w:val="31"/>
          <w:spacing w:val="4"/>
        </w:rPr>
        <w:t>集</w:t>
      </w:r>
      <w:r>
        <w:rPr>
          <w:rFonts w:ascii="DengXian" w:hAnsi="DengXian" w:eastAsia="DengXian" w:cs="DengXian"/>
          <w:sz w:val="31"/>
          <w:szCs w:val="31"/>
          <w:spacing w:val="-34"/>
        </w:rPr>
        <w:t xml:space="preserve"> </w:t>
      </w:r>
      <w:r>
        <w:rPr>
          <w:rFonts w:ascii="DengXian" w:hAnsi="DengXian" w:eastAsia="DengXian" w:cs="DengXian"/>
          <w:sz w:val="31"/>
          <w:szCs w:val="31"/>
          <w:spacing w:val="4"/>
        </w:rPr>
        <w:t>、</w:t>
      </w:r>
      <w:r>
        <w:rPr>
          <w:rFonts w:ascii="DengXian" w:hAnsi="DengXian" w:eastAsia="DengXian" w:cs="DengXian"/>
          <w:sz w:val="31"/>
          <w:szCs w:val="31"/>
          <w:spacing w:val="-52"/>
        </w:rPr>
        <w:t xml:space="preserve"> </w:t>
      </w:r>
      <w:r>
        <w:rPr>
          <w:rFonts w:ascii="DengXian" w:hAnsi="DengXian" w:eastAsia="DengXian" w:cs="DengXian"/>
          <w:sz w:val="31"/>
          <w:szCs w:val="31"/>
          <w:spacing w:val="4"/>
        </w:rPr>
        <w:t>临时贮存</w:t>
      </w:r>
      <w:r>
        <w:rPr>
          <w:rFonts w:ascii="DengXian" w:hAnsi="DengXian" w:eastAsia="DengXian" w:cs="DengXian"/>
          <w:sz w:val="31"/>
          <w:szCs w:val="31"/>
          <w:spacing w:val="-42"/>
        </w:rPr>
        <w:t xml:space="preserve"> </w:t>
      </w:r>
      <w:r>
        <w:rPr>
          <w:rFonts w:ascii="DengXian" w:hAnsi="DengXian" w:eastAsia="DengXian" w:cs="DengXian"/>
          <w:sz w:val="31"/>
          <w:szCs w:val="31"/>
          <w:spacing w:val="4"/>
        </w:rPr>
        <w:t>、转移处置等环节完善相应的污染防治措施和</w:t>
      </w:r>
      <w:r>
        <w:rPr>
          <w:rFonts w:ascii="DengXian" w:hAnsi="DengXian" w:eastAsia="DengXian" w:cs="DengXian"/>
          <w:sz w:val="31"/>
          <w:szCs w:val="31"/>
        </w:rPr>
        <w:t xml:space="preserve"> </w:t>
      </w:r>
      <w:r>
        <w:rPr>
          <w:rFonts w:ascii="DengXian" w:hAnsi="DengXian" w:eastAsia="DengXian" w:cs="DengXian"/>
          <w:sz w:val="31"/>
          <w:szCs w:val="31"/>
          <w:spacing w:val="9"/>
        </w:rPr>
        <w:t>环境管理要求，完善危废暂存设施依托可行性分析，补充危</w:t>
      </w:r>
    </w:p>
    <w:p>
      <w:pPr>
        <w:ind w:left="37"/>
        <w:spacing w:before="2" w:line="215" w:lineRule="auto"/>
        <w:rPr>
          <w:rFonts w:ascii="DengXian" w:hAnsi="DengXian" w:eastAsia="DengXian" w:cs="DengXian"/>
          <w:sz w:val="31"/>
          <w:szCs w:val="31"/>
        </w:rPr>
      </w:pPr>
      <w:r>
        <w:rPr>
          <w:rFonts w:ascii="DengXian" w:hAnsi="DengXian" w:eastAsia="DengXian" w:cs="DengXian"/>
          <w:sz w:val="31"/>
          <w:szCs w:val="31"/>
          <w:spacing w:val="6"/>
        </w:rPr>
        <w:t>险废物环境管理计划。</w:t>
      </w:r>
    </w:p>
    <w:p>
      <w:pPr>
        <w:ind w:right="14"/>
        <w:spacing w:before="254" w:line="616" w:lineRule="exact"/>
        <w:jc w:val="right"/>
        <w:rPr>
          <w:rFonts w:ascii="DengXian" w:hAnsi="DengXian" w:eastAsia="DengXian" w:cs="DengXian"/>
          <w:sz w:val="31"/>
          <w:szCs w:val="31"/>
        </w:rPr>
      </w:pPr>
      <w:r>
        <w:rPr>
          <w:rFonts w:ascii="SimSun" w:hAnsi="SimSun" w:eastAsia="SimSun" w:cs="SimSun"/>
          <w:sz w:val="31"/>
          <w:szCs w:val="31"/>
          <w:spacing w:val="10"/>
          <w:position w:val="24"/>
        </w:rPr>
        <w:t>5</w:t>
      </w:r>
      <w:r>
        <w:rPr>
          <w:rFonts w:ascii="DengXian" w:hAnsi="DengXian" w:eastAsia="DengXian" w:cs="DengXian"/>
          <w:sz w:val="31"/>
          <w:szCs w:val="31"/>
          <w:spacing w:val="10"/>
          <w:position w:val="24"/>
        </w:rPr>
        <w:t>、</w:t>
      </w:r>
      <w:r>
        <w:rPr>
          <w:rFonts w:ascii="DengXian" w:hAnsi="DengXian" w:eastAsia="DengXian" w:cs="DengXian"/>
          <w:sz w:val="31"/>
          <w:szCs w:val="31"/>
          <w:spacing w:val="-40"/>
          <w:position w:val="24"/>
        </w:rPr>
        <w:t xml:space="preserve"> </w:t>
      </w:r>
      <w:r>
        <w:rPr>
          <w:rFonts w:ascii="DengXian" w:hAnsi="DengXian" w:eastAsia="DengXian" w:cs="DengXian"/>
          <w:sz w:val="31"/>
          <w:szCs w:val="31"/>
          <w:spacing w:val="10"/>
          <w:position w:val="24"/>
        </w:rPr>
        <w:t>完善环保投资</w:t>
      </w:r>
      <w:r>
        <w:rPr>
          <w:rFonts w:ascii="DengXian" w:hAnsi="DengXian" w:eastAsia="DengXian" w:cs="DengXian"/>
          <w:sz w:val="31"/>
          <w:szCs w:val="31"/>
          <w:spacing w:val="-34"/>
          <w:position w:val="24"/>
        </w:rPr>
        <w:t xml:space="preserve"> </w:t>
      </w:r>
      <w:r>
        <w:rPr>
          <w:rFonts w:ascii="DengXian" w:hAnsi="DengXian" w:eastAsia="DengXian" w:cs="DengXian"/>
          <w:sz w:val="31"/>
          <w:szCs w:val="31"/>
          <w:spacing w:val="10"/>
          <w:position w:val="24"/>
        </w:rPr>
        <w:t>、</w:t>
      </w:r>
      <w:r>
        <w:rPr>
          <w:rFonts w:ascii="DengXian" w:hAnsi="DengXian" w:eastAsia="DengXian" w:cs="DengXian"/>
          <w:sz w:val="31"/>
          <w:szCs w:val="31"/>
          <w:spacing w:val="-61"/>
          <w:position w:val="24"/>
        </w:rPr>
        <w:t xml:space="preserve"> </w:t>
      </w:r>
      <w:r>
        <w:rPr>
          <w:rFonts w:ascii="DengXian" w:hAnsi="DengXian" w:eastAsia="DengXian" w:cs="DengXian"/>
          <w:sz w:val="31"/>
          <w:szCs w:val="31"/>
          <w:spacing w:val="10"/>
          <w:position w:val="24"/>
        </w:rPr>
        <w:t>竣工环境保护验收和环境保护措施</w:t>
      </w:r>
    </w:p>
    <w:p>
      <w:pPr>
        <w:ind w:left="29"/>
        <w:spacing w:before="1" w:line="215" w:lineRule="auto"/>
        <w:rPr>
          <w:rFonts w:ascii="DengXian" w:hAnsi="DengXian" w:eastAsia="DengXian" w:cs="DengXian"/>
          <w:sz w:val="31"/>
          <w:szCs w:val="31"/>
        </w:rPr>
      </w:pPr>
      <w:r>
        <w:rPr>
          <w:rFonts w:ascii="DengXian" w:hAnsi="DengXian" w:eastAsia="DengXian" w:cs="DengXian"/>
          <w:sz w:val="31"/>
          <w:szCs w:val="31"/>
          <w:spacing w:val="8"/>
        </w:rPr>
        <w:t>监督检查清单的内容；完善相关附件。</w:t>
      </w:r>
    </w:p>
    <w:p>
      <w:pPr>
        <w:spacing w:line="215" w:lineRule="auto"/>
        <w:sectPr>
          <w:pgSz w:w="11906" w:h="16839"/>
          <w:pgMar w:top="400" w:right="1785" w:bottom="0" w:left="1785" w:header="0" w:footer="0" w:gutter="0"/>
        </w:sectPr>
        <w:rPr>
          <w:rFonts w:ascii="DengXian" w:hAnsi="DengXian" w:eastAsia="DengXian" w:cs="DengXian"/>
          <w:sz w:val="31"/>
          <w:szCs w:val="31"/>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676"/>
        <w:spacing w:before="105" w:line="454" w:lineRule="exact"/>
        <w:rPr>
          <w:rFonts w:ascii="DengXian" w:hAnsi="DengXian" w:eastAsia="DengXian" w:cs="DengXian"/>
          <w:sz w:val="31"/>
          <w:szCs w:val="31"/>
        </w:rPr>
      </w:pPr>
      <w:r>
        <w:rPr>
          <w:rFonts w:ascii="DengXian" w:hAnsi="DengXian" w:eastAsia="DengXian" w:cs="DengXian"/>
          <w:sz w:val="31"/>
          <w:szCs w:val="31"/>
          <w:spacing w:val="4"/>
          <w:position w:val="4"/>
        </w:rPr>
        <w:t>专家评审组：</w:t>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spacing w:before="105" w:line="205" w:lineRule="auto"/>
        <w:jc w:val="right"/>
        <w:rPr>
          <w:rFonts w:ascii="DengXian" w:hAnsi="DengXian" w:eastAsia="DengXian" w:cs="DengXian"/>
          <w:sz w:val="31"/>
          <w:szCs w:val="31"/>
        </w:rPr>
      </w:pPr>
      <w:r>
        <w:rPr>
          <w:rFonts w:ascii="SimSun" w:hAnsi="SimSun" w:eastAsia="SimSun" w:cs="SimSun"/>
          <w:sz w:val="31"/>
          <w:szCs w:val="31"/>
          <w:spacing w:val="-9"/>
        </w:rPr>
        <w:t>2023</w:t>
      </w:r>
      <w:r>
        <w:rPr>
          <w:rFonts w:ascii="SimSun" w:hAnsi="SimSun" w:eastAsia="SimSun" w:cs="SimSun"/>
          <w:sz w:val="31"/>
          <w:szCs w:val="31"/>
          <w:spacing w:val="-58"/>
        </w:rPr>
        <w:t xml:space="preserve"> </w:t>
      </w:r>
      <w:r>
        <w:rPr>
          <w:rFonts w:ascii="DengXian" w:hAnsi="DengXian" w:eastAsia="DengXian" w:cs="DengXian"/>
          <w:sz w:val="31"/>
          <w:szCs w:val="31"/>
          <w:spacing w:val="-9"/>
        </w:rPr>
        <w:t>年</w:t>
      </w:r>
      <w:r>
        <w:rPr>
          <w:rFonts w:ascii="DengXian" w:hAnsi="DengXian" w:eastAsia="DengXian" w:cs="DengXian"/>
          <w:sz w:val="31"/>
          <w:szCs w:val="31"/>
          <w:spacing w:val="33"/>
        </w:rPr>
        <w:t xml:space="preserve"> </w:t>
      </w:r>
      <w:r>
        <w:rPr>
          <w:rFonts w:ascii="SimSun" w:hAnsi="SimSun" w:eastAsia="SimSun" w:cs="SimSun"/>
          <w:sz w:val="31"/>
          <w:szCs w:val="31"/>
          <w:spacing w:val="-9"/>
        </w:rPr>
        <w:t>12</w:t>
      </w:r>
      <w:r>
        <w:rPr>
          <w:rFonts w:ascii="SimSun" w:hAnsi="SimSun" w:eastAsia="SimSun" w:cs="SimSun"/>
          <w:sz w:val="31"/>
          <w:szCs w:val="31"/>
          <w:spacing w:val="-56"/>
        </w:rPr>
        <w:t xml:space="preserve"> </w:t>
      </w:r>
      <w:r>
        <w:rPr>
          <w:rFonts w:ascii="DengXian" w:hAnsi="DengXian" w:eastAsia="DengXian" w:cs="DengXian"/>
          <w:sz w:val="31"/>
          <w:szCs w:val="31"/>
          <w:spacing w:val="-9"/>
        </w:rPr>
        <w:t>月 </w:t>
      </w:r>
      <w:r>
        <w:rPr>
          <w:rFonts w:ascii="SimSun" w:hAnsi="SimSun" w:eastAsia="SimSun" w:cs="SimSun"/>
          <w:sz w:val="31"/>
          <w:szCs w:val="31"/>
          <w:spacing w:val="-9"/>
        </w:rPr>
        <w:t>4 </w:t>
      </w:r>
      <w:r>
        <w:rPr>
          <w:rFonts w:ascii="DengXian" w:hAnsi="DengXian" w:eastAsia="DengXian" w:cs="DengXian"/>
          <w:sz w:val="31"/>
          <w:szCs w:val="31"/>
          <w:spacing w:val="-9"/>
        </w:rPr>
        <w:t>日</w:t>
      </w:r>
    </w:p>
    <w:p>
      <w:pPr>
        <w:spacing w:line="205" w:lineRule="auto"/>
        <w:sectPr>
          <w:pgSz w:w="11906" w:h="16839"/>
          <w:pgMar w:top="400" w:right="1785" w:bottom="0" w:left="1785" w:header="0" w:footer="0" w:gutter="0"/>
        </w:sectPr>
        <w:rPr>
          <w:rFonts w:ascii="DengXian" w:hAnsi="DengXian" w:eastAsia="DengXian" w:cs="DengXian"/>
          <w:sz w:val="31"/>
          <w:szCs w:val="31"/>
        </w:rPr>
      </w:pPr>
    </w:p>
    <w:p>
      <w:pPr>
        <w:pStyle w:val="BodyText"/>
        <w:spacing w:line="268" w:lineRule="auto"/>
        <w:rPr/>
      </w:pPr>
      <w:r/>
    </w:p>
    <w:p>
      <w:pPr>
        <w:pStyle w:val="BodyText"/>
        <w:spacing w:line="269" w:lineRule="auto"/>
        <w:rPr/>
      </w:pPr>
      <w:r/>
    </w:p>
    <w:p>
      <w:pPr>
        <w:pStyle w:val="BodyText"/>
        <w:spacing w:line="269" w:lineRule="auto"/>
        <w:rPr/>
      </w:pPr>
      <w:r/>
    </w:p>
    <w:p>
      <w:pPr>
        <w:pStyle w:val="BodyText"/>
        <w:spacing w:line="269" w:lineRule="auto"/>
        <w:rPr/>
      </w:pPr>
      <w:r/>
    </w:p>
    <w:p>
      <w:pPr>
        <w:ind w:left="869"/>
        <w:spacing w:before="98" w:line="219" w:lineRule="auto"/>
        <w:rPr>
          <w:rFonts w:ascii="SimSun" w:hAnsi="SimSun" w:eastAsia="SimSun" w:cs="SimSun"/>
          <w:sz w:val="30"/>
          <w:szCs w:val="30"/>
        </w:rPr>
      </w:pPr>
      <w:r>
        <w:rPr>
          <w:rFonts w:ascii="SimSun" w:hAnsi="SimSun" w:eastAsia="SimSun" w:cs="SimSun"/>
          <w:sz w:val="30"/>
          <w:szCs w:val="30"/>
          <w14:textOutline w14:w="5448" w14:cap="sq" w14:cmpd="sng">
            <w14:solidFill>
              <w14:srgbClr w14:val="000000"/>
            </w14:solidFill>
            <w14:prstDash w14:val="solid"/>
            <w14:bevel/>
          </w14:textOutline>
        </w:rPr>
        <w:t>《呼图壁县丰收塑料制品厂农用地膜加工项目》技术审查意见表</w:t>
      </w:r>
    </w:p>
    <w:p>
      <w:pPr>
        <w:spacing w:line="106" w:lineRule="exact"/>
        <w:rPr/>
      </w:pPr>
      <w:r/>
    </w:p>
    <w:tbl>
      <w:tblPr>
        <w:tblStyle w:val="TableNormal"/>
        <w:tblW w:w="1013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71"/>
        <w:gridCol w:w="714"/>
        <w:gridCol w:w="570"/>
        <w:gridCol w:w="1327"/>
        <w:gridCol w:w="1251"/>
        <w:gridCol w:w="1604"/>
        <w:gridCol w:w="893"/>
        <w:gridCol w:w="1073"/>
        <w:gridCol w:w="1330"/>
      </w:tblGrid>
      <w:tr>
        <w:trPr>
          <w:trHeight w:val="633" w:hRule="atLeast"/>
        </w:trPr>
        <w:tc>
          <w:tcPr>
            <w:tcW w:w="1371" w:type="dxa"/>
            <w:vAlign w:val="top"/>
          </w:tcPr>
          <w:p>
            <w:pPr>
              <w:pStyle w:val="TableText"/>
              <w:ind w:left="272"/>
              <w:spacing w:before="212" w:line="228" w:lineRule="auto"/>
              <w:rPr>
                <w:sz w:val="20"/>
                <w:szCs w:val="20"/>
              </w:rPr>
            </w:pPr>
            <w:r>
              <w:rPr>
                <w:sz w:val="20"/>
                <w:szCs w:val="20"/>
                <w:spacing w:val="7"/>
              </w:rPr>
              <w:t>专家姓名</w:t>
            </w:r>
          </w:p>
        </w:tc>
        <w:tc>
          <w:tcPr>
            <w:tcW w:w="1284" w:type="dxa"/>
            <w:vAlign w:val="top"/>
            <w:gridSpan w:val="2"/>
          </w:tcPr>
          <w:p>
            <w:pPr>
              <w:ind w:left="421"/>
              <w:spacing w:before="198" w:line="224" w:lineRule="auto"/>
              <w:rPr>
                <w:rFonts w:ascii="FangSong" w:hAnsi="FangSong" w:eastAsia="FangSong" w:cs="FangSong"/>
                <w:sz w:val="24"/>
                <w:szCs w:val="24"/>
              </w:rPr>
            </w:pPr>
            <w:r>
              <w:rPr>
                <w:rFonts w:ascii="FangSong" w:hAnsi="FangSong" w:eastAsia="FangSong" w:cs="FangSong"/>
                <w:sz w:val="24"/>
                <w:szCs w:val="24"/>
                <w:spacing w:val="-12"/>
              </w:rPr>
              <w:t>曹鹏</w:t>
            </w:r>
          </w:p>
        </w:tc>
        <w:tc>
          <w:tcPr>
            <w:tcW w:w="1327" w:type="dxa"/>
            <w:vAlign w:val="top"/>
          </w:tcPr>
          <w:p>
            <w:pPr>
              <w:pStyle w:val="TableText"/>
              <w:ind w:left="221"/>
              <w:spacing w:before="212" w:line="228" w:lineRule="auto"/>
              <w:rPr>
                <w:sz w:val="20"/>
                <w:szCs w:val="20"/>
              </w:rPr>
            </w:pPr>
            <w:r>
              <w:rPr>
                <w:sz w:val="20"/>
                <w:szCs w:val="20"/>
                <w:spacing w:val="6"/>
              </w:rPr>
              <w:t>职务</w:t>
            </w:r>
            <w:r>
              <w:rPr>
                <w:rFonts w:ascii="Times New Roman" w:hAnsi="Times New Roman" w:eastAsia="Times New Roman" w:cs="Times New Roman"/>
                <w:sz w:val="20"/>
                <w:szCs w:val="20"/>
                <w:spacing w:val="6"/>
              </w:rPr>
              <w:t>/</w:t>
            </w:r>
            <w:r>
              <w:rPr>
                <w:sz w:val="20"/>
                <w:szCs w:val="20"/>
                <w:spacing w:val="6"/>
              </w:rPr>
              <w:t>职称</w:t>
            </w:r>
          </w:p>
        </w:tc>
        <w:tc>
          <w:tcPr>
            <w:tcW w:w="1251" w:type="dxa"/>
            <w:vAlign w:val="top"/>
          </w:tcPr>
          <w:p>
            <w:pPr>
              <w:pStyle w:val="TableText"/>
              <w:ind w:left="425"/>
              <w:spacing w:before="212" w:line="228" w:lineRule="auto"/>
              <w:rPr>
                <w:sz w:val="20"/>
                <w:szCs w:val="20"/>
              </w:rPr>
            </w:pPr>
            <w:r>
              <w:rPr>
                <w:sz w:val="20"/>
                <w:szCs w:val="20"/>
                <w:spacing w:val="3"/>
              </w:rPr>
              <w:t>教授</w:t>
            </w:r>
          </w:p>
        </w:tc>
        <w:tc>
          <w:tcPr>
            <w:tcW w:w="1604" w:type="dxa"/>
            <w:vAlign w:val="top"/>
          </w:tcPr>
          <w:p>
            <w:pPr>
              <w:pStyle w:val="TableText"/>
              <w:ind w:left="497" w:right="169" w:hanging="317"/>
              <w:spacing w:before="55" w:line="259" w:lineRule="auto"/>
              <w:rPr>
                <w:sz w:val="20"/>
                <w:szCs w:val="20"/>
              </w:rPr>
            </w:pPr>
            <w:r>
              <w:rPr>
                <w:sz w:val="20"/>
                <w:szCs w:val="20"/>
                <w:spacing w:val="8"/>
              </w:rPr>
              <w:t>专家单位及联</w:t>
            </w:r>
            <w:r>
              <w:rPr>
                <w:sz w:val="20"/>
                <w:szCs w:val="20"/>
              </w:rPr>
              <w:t xml:space="preserve"> </w:t>
            </w:r>
            <w:r>
              <w:rPr>
                <w:sz w:val="20"/>
                <w:szCs w:val="20"/>
                <w:spacing w:val="5"/>
              </w:rPr>
              <w:t>系方式</w:t>
            </w:r>
          </w:p>
        </w:tc>
        <w:tc>
          <w:tcPr>
            <w:tcW w:w="3296" w:type="dxa"/>
            <w:vAlign w:val="top"/>
            <w:gridSpan w:val="3"/>
          </w:tcPr>
          <w:p>
            <w:pPr>
              <w:pStyle w:val="TableText"/>
              <w:ind w:left="1091" w:right="492" w:hanging="593"/>
              <w:spacing w:before="56" w:line="262" w:lineRule="auto"/>
              <w:rPr>
                <w:rFonts w:ascii="Times New Roman" w:hAnsi="Times New Roman" w:eastAsia="Times New Roman" w:cs="Times New Roman"/>
                <w:sz w:val="20"/>
                <w:szCs w:val="20"/>
              </w:rPr>
            </w:pPr>
            <w:r>
              <w:rPr>
                <w:sz w:val="20"/>
                <w:szCs w:val="20"/>
                <w:spacing w:val="9"/>
              </w:rPr>
              <w:t>石河子大学化学化工学院</w:t>
            </w:r>
            <w:r>
              <w:rPr>
                <w:sz w:val="20"/>
                <w:szCs w:val="20"/>
              </w:rPr>
              <w:t xml:space="preserve"> </w:t>
            </w:r>
            <w:r>
              <w:rPr>
                <w:rFonts w:ascii="Times New Roman" w:hAnsi="Times New Roman" w:eastAsia="Times New Roman" w:cs="Times New Roman"/>
                <w:sz w:val="20"/>
                <w:szCs w:val="20"/>
                <w:spacing w:val="2"/>
              </w:rPr>
              <w:t>13201091039</w:t>
            </w:r>
          </w:p>
        </w:tc>
      </w:tr>
      <w:tr>
        <w:trPr>
          <w:trHeight w:val="656" w:hRule="atLeast"/>
        </w:trPr>
        <w:tc>
          <w:tcPr>
            <w:tcW w:w="1371" w:type="dxa"/>
            <w:vAlign w:val="top"/>
          </w:tcPr>
          <w:p>
            <w:pPr>
              <w:pStyle w:val="TableText"/>
              <w:ind w:left="482" w:right="264" w:hanging="208"/>
              <w:spacing w:before="64" w:line="259" w:lineRule="auto"/>
              <w:rPr>
                <w:sz w:val="20"/>
                <w:szCs w:val="20"/>
              </w:rPr>
            </w:pPr>
            <w:r>
              <w:rPr>
                <w:sz w:val="20"/>
                <w:szCs w:val="20"/>
                <w:spacing w:val="6"/>
              </w:rPr>
              <w:t>建设单位</w:t>
            </w:r>
            <w:r>
              <w:rPr>
                <w:sz w:val="20"/>
                <w:szCs w:val="20"/>
                <w:spacing w:val="2"/>
              </w:rPr>
              <w:t xml:space="preserve"> </w:t>
            </w:r>
            <w:r>
              <w:rPr>
                <w:sz w:val="20"/>
                <w:szCs w:val="20"/>
                <w:spacing w:val="3"/>
              </w:rPr>
              <w:t>名称</w:t>
            </w:r>
          </w:p>
        </w:tc>
        <w:tc>
          <w:tcPr>
            <w:tcW w:w="2611" w:type="dxa"/>
            <w:vAlign w:val="top"/>
            <w:gridSpan w:val="3"/>
          </w:tcPr>
          <w:p>
            <w:pPr>
              <w:pStyle w:val="TableText"/>
              <w:ind w:left="165"/>
              <w:spacing w:before="220" w:line="228" w:lineRule="auto"/>
              <w:rPr>
                <w:sz w:val="20"/>
                <w:szCs w:val="20"/>
              </w:rPr>
            </w:pPr>
            <w:r>
              <w:rPr>
                <w:sz w:val="20"/>
                <w:szCs w:val="20"/>
                <w:spacing w:val="8"/>
              </w:rPr>
              <w:t>呼图壁县丰收塑料制品厂</w:t>
            </w:r>
          </w:p>
        </w:tc>
        <w:tc>
          <w:tcPr>
            <w:tcW w:w="1251" w:type="dxa"/>
            <w:vAlign w:val="top"/>
          </w:tcPr>
          <w:p>
            <w:pPr>
              <w:pStyle w:val="TableText"/>
              <w:ind w:left="212" w:right="204" w:hanging="1"/>
              <w:spacing w:before="64" w:line="258" w:lineRule="auto"/>
              <w:rPr>
                <w:sz w:val="20"/>
                <w:szCs w:val="20"/>
              </w:rPr>
            </w:pPr>
            <w:r>
              <w:rPr>
                <w:sz w:val="20"/>
                <w:szCs w:val="20"/>
                <w:spacing w:val="7"/>
              </w:rPr>
              <w:t>环评编制</w:t>
            </w:r>
            <w:r>
              <w:rPr>
                <w:sz w:val="20"/>
                <w:szCs w:val="20"/>
              </w:rPr>
              <w:t xml:space="preserve"> </w:t>
            </w:r>
            <w:r>
              <w:rPr>
                <w:sz w:val="20"/>
                <w:szCs w:val="20"/>
                <w:spacing w:val="6"/>
              </w:rPr>
              <w:t>单位名称</w:t>
            </w:r>
          </w:p>
        </w:tc>
        <w:tc>
          <w:tcPr>
            <w:tcW w:w="4900" w:type="dxa"/>
            <w:vAlign w:val="top"/>
            <w:gridSpan w:val="4"/>
          </w:tcPr>
          <w:p>
            <w:pPr>
              <w:pStyle w:val="TableText"/>
              <w:ind w:left="671"/>
              <w:spacing w:before="220" w:line="228" w:lineRule="auto"/>
              <w:rPr>
                <w:sz w:val="20"/>
                <w:szCs w:val="20"/>
              </w:rPr>
            </w:pPr>
            <w:r>
              <w:rPr>
                <w:sz w:val="20"/>
                <w:szCs w:val="20"/>
                <w:spacing w:val="9"/>
              </w:rPr>
              <w:t>乌鲁木齐汇翔达工程咨询服务有限公司</w:t>
            </w:r>
          </w:p>
        </w:tc>
      </w:tr>
      <w:tr>
        <w:trPr>
          <w:trHeight w:val="8540" w:hRule="atLeast"/>
        </w:trPr>
        <w:tc>
          <w:tcPr>
            <w:tcW w:w="1371"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225" w:right="202" w:hanging="11"/>
              <w:spacing w:before="78" w:line="230" w:lineRule="auto"/>
              <w:rPr/>
            </w:pPr>
            <w:r>
              <w:rPr>
                <w:spacing w:val="-3"/>
              </w:rPr>
              <w:t>专家技术</w:t>
            </w:r>
            <w:r>
              <w:rPr/>
              <w:t xml:space="preserve"> </w:t>
            </w:r>
            <w:r>
              <w:rPr>
                <w:spacing w:val="-6"/>
              </w:rPr>
              <w:t>审查意见</w:t>
            </w:r>
          </w:p>
        </w:tc>
        <w:tc>
          <w:tcPr>
            <w:tcW w:w="8762" w:type="dxa"/>
            <w:vAlign w:val="top"/>
            <w:gridSpan w:val="8"/>
          </w:tcPr>
          <w:p>
            <w:pPr>
              <w:pStyle w:val="TableText"/>
              <w:ind w:left="612"/>
              <w:spacing w:before="194" w:line="219" w:lineRule="auto"/>
              <w:rPr/>
            </w:pPr>
            <w:r>
              <w:rPr>
                <w:rFonts w:ascii="Times New Roman" w:hAnsi="Times New Roman" w:eastAsia="Times New Roman" w:cs="Times New Roman"/>
                <w:spacing w:val="-3"/>
              </w:rPr>
              <w:t>1.</w:t>
            </w:r>
            <w:r>
              <w:rPr>
                <w:spacing w:val="-3"/>
              </w:rPr>
              <w:t>平面布置图不符合要求。</w:t>
            </w:r>
          </w:p>
          <w:p>
            <w:pPr>
              <w:pStyle w:val="TableText"/>
              <w:ind w:left="117" w:right="108" w:firstLine="471"/>
              <w:spacing w:before="217" w:line="384" w:lineRule="auto"/>
              <w:rPr/>
            </w:pPr>
            <w:r>
              <w:rPr>
                <w:rFonts w:ascii="Times New Roman" w:hAnsi="Times New Roman" w:eastAsia="Times New Roman" w:cs="Times New Roman"/>
                <w:spacing w:val="2"/>
              </w:rPr>
              <w:t>2.  </w:t>
            </w:r>
            <w:r>
              <w:rPr>
                <w:spacing w:val="2"/>
              </w:rPr>
              <w:t>主要产生废气设备建设局部密闭式集气罩，在污染</w:t>
            </w:r>
            <w:r>
              <w:rPr>
                <w:spacing w:val="1"/>
              </w:rPr>
              <w:t>物产生点上方</w:t>
            </w:r>
            <w:r>
              <w:rPr>
                <w:spacing w:val="-27"/>
              </w:rPr>
              <w:t xml:space="preserve"> </w:t>
            </w:r>
            <w:r>
              <w:rPr>
                <w:rFonts w:ascii="Times New Roman" w:hAnsi="Times New Roman" w:eastAsia="Times New Roman" w:cs="Times New Roman"/>
                <w:spacing w:val="1"/>
              </w:rPr>
              <w:t>10-</w:t>
            </w:r>
            <w:r>
              <w:rPr>
                <w:rFonts w:ascii="Times New Roman" w:hAnsi="Times New Roman" w:eastAsia="Times New Roman" w:cs="Times New Roman"/>
                <w:spacing w:val="-32"/>
              </w:rPr>
              <w:t xml:space="preserve"> </w:t>
            </w:r>
            <w:r>
              <w:rPr>
                <w:rFonts w:ascii="Times New Roman" w:hAnsi="Times New Roman" w:eastAsia="Times New Roman" w:cs="Times New Roman"/>
                <w:spacing w:val="1"/>
              </w:rPr>
              <w:t>15</w:t>
            </w:r>
            <w:r>
              <w:rPr>
                <w:rFonts w:ascii="Times New Roman" w:hAnsi="Times New Roman" w:eastAsia="Times New Roman" w:cs="Times New Roman"/>
              </w:rPr>
              <w:t>cm </w:t>
            </w:r>
            <w:r>
              <w:rPr>
                <w:spacing w:val="-2"/>
              </w:rPr>
              <w:t>设置负压收集装置，共设置</w:t>
            </w:r>
            <w:r>
              <w:rPr>
                <w:spacing w:val="-49"/>
              </w:rPr>
              <w:t xml:space="preserve"> </w:t>
            </w:r>
            <w:r>
              <w:rPr>
                <w:rFonts w:ascii="Times New Roman" w:hAnsi="Times New Roman" w:eastAsia="Times New Roman" w:cs="Times New Roman"/>
                <w:spacing w:val="-2"/>
              </w:rPr>
              <w:t>5 </w:t>
            </w:r>
            <w:r>
              <w:rPr>
                <w:spacing w:val="-2"/>
              </w:rPr>
              <w:t>个，尺寸分别为</w:t>
            </w:r>
            <w:r>
              <w:rPr>
                <w:spacing w:val="-50"/>
              </w:rPr>
              <w:t xml:space="preserve"> </w:t>
            </w:r>
            <w:r>
              <w:rPr>
                <w:rFonts w:ascii="Times New Roman" w:hAnsi="Times New Roman" w:eastAsia="Times New Roman" w:cs="Times New Roman"/>
                <w:spacing w:val="-2"/>
              </w:rPr>
              <w:t>900cm</w:t>
            </w:r>
            <w:r>
              <w:rPr>
                <w:spacing w:val="-2"/>
              </w:rPr>
              <w:t>×</w:t>
            </w:r>
            <w:r>
              <w:rPr>
                <w:rFonts w:ascii="Times New Roman" w:hAnsi="Times New Roman" w:eastAsia="Times New Roman" w:cs="Times New Roman"/>
                <w:spacing w:val="-2"/>
              </w:rPr>
              <w:t>400cm</w:t>
            </w:r>
            <w:r>
              <w:rPr>
                <w:rFonts w:ascii="Times New Roman" w:hAnsi="Times New Roman" w:eastAsia="Times New Roman" w:cs="Times New Roman"/>
                <w:spacing w:val="-33"/>
              </w:rPr>
              <w:t xml:space="preserve"> </w:t>
            </w:r>
            <w:r>
              <w:rPr>
                <w:spacing w:val="-2"/>
              </w:rPr>
              <w:t>、</w:t>
            </w:r>
            <w:r>
              <w:rPr>
                <w:rFonts w:ascii="Times New Roman" w:hAnsi="Times New Roman" w:eastAsia="Times New Roman" w:cs="Times New Roman"/>
                <w:spacing w:val="-2"/>
              </w:rPr>
              <w:t>1250cm</w:t>
            </w:r>
            <w:r>
              <w:rPr>
                <w:spacing w:val="-3"/>
              </w:rPr>
              <w:t>×</w:t>
            </w:r>
            <w:r>
              <w:rPr>
                <w:rFonts w:ascii="Times New Roman" w:hAnsi="Times New Roman" w:eastAsia="Times New Roman" w:cs="Times New Roman"/>
                <w:spacing w:val="-3"/>
              </w:rPr>
              <w:t>700cm</w:t>
            </w:r>
            <w:r>
              <w:rPr>
                <w:spacing w:val="-3"/>
              </w:rPr>
              <w:t>、</w:t>
            </w:r>
          </w:p>
          <w:p>
            <w:pPr>
              <w:pStyle w:val="TableText"/>
              <w:ind w:left="115"/>
              <w:spacing w:line="218" w:lineRule="auto"/>
              <w:rPr/>
            </w:pPr>
            <w:r>
              <w:rPr>
                <w:rFonts w:ascii="Times New Roman" w:hAnsi="Times New Roman" w:eastAsia="Times New Roman" w:cs="Times New Roman"/>
                <w:spacing w:val="-2"/>
              </w:rPr>
              <w:t>600cm</w:t>
            </w:r>
            <w:r>
              <w:rPr>
                <w:spacing w:val="-2"/>
              </w:rPr>
              <w:t>×</w:t>
            </w:r>
            <w:r>
              <w:rPr>
                <w:rFonts w:ascii="Times New Roman" w:hAnsi="Times New Roman" w:eastAsia="Times New Roman" w:cs="Times New Roman"/>
                <w:spacing w:val="-2"/>
              </w:rPr>
              <w:t>400cm</w:t>
            </w:r>
            <w:r>
              <w:rPr>
                <w:rFonts w:ascii="Times New Roman" w:hAnsi="Times New Roman" w:eastAsia="Times New Roman" w:cs="Times New Roman"/>
                <w:spacing w:val="-33"/>
              </w:rPr>
              <w:t xml:space="preserve"> </w:t>
            </w:r>
            <w:r>
              <w:rPr>
                <w:spacing w:val="-2"/>
              </w:rPr>
              <w:t>、</w:t>
            </w:r>
            <w:r>
              <w:rPr>
                <w:rFonts w:ascii="Times New Roman" w:hAnsi="Times New Roman" w:eastAsia="Times New Roman" w:cs="Times New Roman"/>
                <w:spacing w:val="-2"/>
              </w:rPr>
              <w:t>400cm</w:t>
            </w:r>
            <w:r>
              <w:rPr>
                <w:spacing w:val="-2"/>
              </w:rPr>
              <w:t>×</w:t>
            </w:r>
            <w:r>
              <w:rPr>
                <w:rFonts w:ascii="Times New Roman" w:hAnsi="Times New Roman" w:eastAsia="Times New Roman" w:cs="Times New Roman"/>
                <w:spacing w:val="-2"/>
              </w:rPr>
              <w:t>400cm</w:t>
            </w:r>
            <w:r>
              <w:rPr>
                <w:rFonts w:ascii="Times New Roman" w:hAnsi="Times New Roman" w:eastAsia="Times New Roman" w:cs="Times New Roman"/>
                <w:spacing w:val="-33"/>
              </w:rPr>
              <w:t xml:space="preserve"> </w:t>
            </w:r>
            <w:r>
              <w:rPr>
                <w:spacing w:val="-2"/>
              </w:rPr>
              <w:t>、</w:t>
            </w:r>
            <w:r>
              <w:rPr>
                <w:rFonts w:ascii="Times New Roman" w:hAnsi="Times New Roman" w:eastAsia="Times New Roman" w:cs="Times New Roman"/>
                <w:spacing w:val="-2"/>
              </w:rPr>
              <w:t>300cm</w:t>
            </w:r>
            <w:r>
              <w:rPr>
                <w:spacing w:val="-2"/>
              </w:rPr>
              <w:t>×</w:t>
            </w:r>
            <w:r>
              <w:rPr>
                <w:rFonts w:ascii="Times New Roman" w:hAnsi="Times New Roman" w:eastAsia="Times New Roman" w:cs="Times New Roman"/>
                <w:spacing w:val="-2"/>
              </w:rPr>
              <w:t>300cm</w:t>
            </w:r>
            <w:r>
              <w:rPr>
                <w:rFonts w:ascii="Times New Roman" w:hAnsi="Times New Roman" w:eastAsia="Times New Roman" w:cs="Times New Roman"/>
                <w:spacing w:val="-30"/>
              </w:rPr>
              <w:t xml:space="preserve"> </w:t>
            </w:r>
            <w:r>
              <w:rPr>
                <w:spacing w:val="-2"/>
              </w:rPr>
              <w:t>，四周采用软质垂</w:t>
            </w:r>
            <w:r>
              <w:rPr>
                <w:spacing w:val="-3"/>
              </w:rPr>
              <w:t>帘围挡。</w:t>
            </w:r>
          </w:p>
          <w:p>
            <w:pPr>
              <w:pStyle w:val="TableText"/>
              <w:ind w:left="114" w:right="70" w:firstLine="481"/>
              <w:spacing w:before="217" w:line="384" w:lineRule="auto"/>
              <w:rPr/>
            </w:pPr>
            <w:r>
              <w:rPr>
                <w:spacing w:val="-2"/>
              </w:rPr>
              <w:t>按照描述，分别在塑化挤出、吹胀牵引、风环冷却三个阶段产生非甲烷</w:t>
            </w:r>
            <w:r>
              <w:rPr>
                <w:spacing w:val="-3"/>
              </w:rPr>
              <w:t>总烃，</w:t>
            </w:r>
            <w:r>
              <w:rPr/>
              <w:t xml:space="preserve"> </w:t>
            </w:r>
            <w:r>
              <w:rPr>
                <w:spacing w:val="-3"/>
              </w:rPr>
              <w:t>那么按照</w:t>
            </w:r>
            <w:r>
              <w:rPr>
                <w:spacing w:val="-55"/>
              </w:rPr>
              <w:t xml:space="preserve"> </w:t>
            </w:r>
            <w:r>
              <w:rPr>
                <w:rFonts w:ascii="Times New Roman" w:hAnsi="Times New Roman" w:eastAsia="Times New Roman" w:cs="Times New Roman"/>
                <w:spacing w:val="-3"/>
              </w:rPr>
              <w:t>2 </w:t>
            </w:r>
            <w:r>
              <w:rPr>
                <w:spacing w:val="-3"/>
              </w:rPr>
              <w:t>套生产线计算，应该有</w:t>
            </w:r>
            <w:r>
              <w:rPr>
                <w:spacing w:val="-50"/>
              </w:rPr>
              <w:t xml:space="preserve"> </w:t>
            </w:r>
            <w:r>
              <w:rPr>
                <w:rFonts w:ascii="Times New Roman" w:hAnsi="Times New Roman" w:eastAsia="Times New Roman" w:cs="Times New Roman"/>
                <w:spacing w:val="-3"/>
              </w:rPr>
              <w:t>6 </w:t>
            </w:r>
            <w:r>
              <w:rPr>
                <w:spacing w:val="-3"/>
              </w:rPr>
              <w:t>个集气罩，而且是两两尺寸</w:t>
            </w:r>
            <w:r>
              <w:rPr>
                <w:spacing w:val="-4"/>
              </w:rPr>
              <w:t>一样的，这五个集</w:t>
            </w:r>
          </w:p>
          <w:p>
            <w:pPr>
              <w:pStyle w:val="TableText"/>
              <w:ind w:left="115"/>
              <w:spacing w:line="219" w:lineRule="auto"/>
              <w:rPr/>
            </w:pPr>
            <w:r>
              <w:rPr>
                <w:spacing w:val="-2"/>
              </w:rPr>
              <w:t>气罩是如何分配的？</w:t>
            </w:r>
          </w:p>
          <w:p>
            <w:pPr>
              <w:pStyle w:val="TableText"/>
              <w:ind w:left="599"/>
              <w:spacing w:before="216" w:line="219" w:lineRule="auto"/>
              <w:rPr/>
            </w:pPr>
            <w:r>
              <w:rPr>
                <w:spacing w:val="-2"/>
              </w:rPr>
              <w:t>另外确认这个尺寸单位是</w:t>
            </w:r>
            <w:r>
              <w:rPr>
                <w:spacing w:val="-50"/>
              </w:rPr>
              <w:t xml:space="preserve"> </w:t>
            </w:r>
            <w:r>
              <w:rPr>
                <w:rFonts w:ascii="Times New Roman" w:hAnsi="Times New Roman" w:eastAsia="Times New Roman" w:cs="Times New Roman"/>
                <w:spacing w:val="-2"/>
              </w:rPr>
              <w:t>cm</w:t>
            </w:r>
            <w:r>
              <w:rPr>
                <w:spacing w:val="-2"/>
              </w:rPr>
              <w:t>？</w:t>
            </w:r>
          </w:p>
          <w:p>
            <w:pPr>
              <w:pStyle w:val="TableText"/>
              <w:ind w:left="594"/>
              <w:spacing w:before="216" w:line="219" w:lineRule="auto"/>
              <w:rPr/>
            </w:pPr>
            <w:r>
              <w:rPr>
                <w:rFonts w:ascii="Times New Roman" w:hAnsi="Times New Roman" w:eastAsia="Times New Roman" w:cs="Times New Roman"/>
                <w:spacing w:val="-1"/>
              </w:rPr>
              <w:t>3.  </w:t>
            </w:r>
            <w:r>
              <w:rPr>
                <w:spacing w:val="-1"/>
              </w:rPr>
              <w:t>要明确活性炭的装填量。</w:t>
            </w:r>
          </w:p>
          <w:p>
            <w:pPr>
              <w:pStyle w:val="TableText"/>
              <w:ind w:left="119" w:right="108" w:firstLine="468"/>
              <w:spacing w:before="214" w:line="385" w:lineRule="auto"/>
              <w:rPr/>
            </w:pPr>
            <w:r>
              <w:rPr>
                <w:rFonts w:ascii="Times New Roman" w:hAnsi="Times New Roman" w:eastAsia="Times New Roman" w:cs="Times New Roman"/>
                <w:spacing w:val="-4"/>
              </w:rPr>
              <w:t>4.</w:t>
            </w:r>
            <w:r>
              <w:rPr>
                <w:rFonts w:ascii="Times New Roman" w:hAnsi="Times New Roman" w:eastAsia="Times New Roman" w:cs="Times New Roman"/>
                <w:spacing w:val="-8"/>
              </w:rPr>
              <w:t xml:space="preserve"> </w:t>
            </w:r>
            <w:r>
              <w:rPr>
                <w:spacing w:val="-4"/>
              </w:rPr>
              <w:t>已有项目的两个排口的非甲烷总烃排放浓度均小于</w:t>
            </w:r>
            <w:r>
              <w:rPr>
                <w:spacing w:val="-32"/>
              </w:rPr>
              <w:t xml:space="preserve"> </w:t>
            </w:r>
            <w:r>
              <w:rPr>
                <w:rFonts w:ascii="Times New Roman" w:hAnsi="Times New Roman" w:eastAsia="Times New Roman" w:cs="Times New Roman"/>
                <w:spacing w:val="-4"/>
              </w:rPr>
              <w:t>10 mg/m</w:t>
            </w:r>
            <w:r>
              <w:rPr>
                <w:rFonts w:ascii="Times New Roman" w:hAnsi="Times New Roman" w:eastAsia="Times New Roman" w:cs="Times New Roman"/>
                <w:sz w:val="15"/>
                <w:szCs w:val="15"/>
                <w:spacing w:val="-4"/>
                <w:position w:val="8"/>
              </w:rPr>
              <w:t>3</w:t>
            </w:r>
            <w:r>
              <w:rPr>
                <w:spacing w:val="-4"/>
              </w:rPr>
              <w:t>，也未提供处理</w:t>
            </w:r>
            <w:r>
              <w:rPr/>
              <w:t xml:space="preserve"> </w:t>
            </w:r>
            <w:r>
              <w:rPr>
                <w:spacing w:val="-3"/>
              </w:rPr>
              <w:t>效率；另外环评批复中明确的是使用活性炭吸附装置，而建设的是两级</w:t>
            </w:r>
            <w:r>
              <w:rPr>
                <w:spacing w:val="-48"/>
              </w:rPr>
              <w:t xml:space="preserve"> </w:t>
            </w:r>
            <w:r>
              <w:rPr>
                <w:rFonts w:ascii="Times New Roman" w:hAnsi="Times New Roman" w:eastAsia="Times New Roman" w:cs="Times New Roman"/>
                <w:spacing w:val="-3"/>
              </w:rPr>
              <w:t>UV </w:t>
            </w:r>
            <w:r>
              <w:rPr>
                <w:spacing w:val="-3"/>
              </w:rPr>
              <w:t>光氧精</w:t>
            </w:r>
          </w:p>
          <w:p>
            <w:pPr>
              <w:pStyle w:val="TableText"/>
              <w:ind w:left="115"/>
              <w:spacing w:line="220" w:lineRule="auto"/>
              <w:rPr/>
            </w:pPr>
            <w:r>
              <w:rPr>
                <w:spacing w:val="-3"/>
              </w:rPr>
              <w:t>华装置。</w:t>
            </w:r>
          </w:p>
          <w:p>
            <w:pPr>
              <w:pStyle w:val="TableText"/>
              <w:ind w:left="595"/>
              <w:spacing w:before="213" w:line="212" w:lineRule="auto"/>
              <w:rPr/>
            </w:pPr>
            <w:r>
              <w:rPr>
                <w:spacing w:val="-1"/>
              </w:rPr>
              <w:t>新建设的非甲烷总烃的排放浓度高达</w:t>
            </w:r>
            <w:r>
              <w:rPr>
                <w:spacing w:val="-45"/>
              </w:rPr>
              <w:t xml:space="preserve"> </w:t>
            </w:r>
            <w:r>
              <w:rPr>
                <w:rFonts w:ascii="Times New Roman" w:hAnsi="Times New Roman" w:eastAsia="Times New Roman" w:cs="Times New Roman"/>
                <w:spacing w:val="-1"/>
              </w:rPr>
              <w:t>57.41mg/Nm</w:t>
            </w:r>
            <w:r>
              <w:rPr>
                <w:spacing w:val="-1"/>
              </w:rPr>
              <w:t>³。</w:t>
            </w:r>
          </w:p>
          <w:p>
            <w:pPr>
              <w:pStyle w:val="TableText"/>
              <w:ind w:left="595"/>
              <w:spacing w:before="226" w:line="219" w:lineRule="auto"/>
              <w:rPr/>
            </w:pPr>
            <w:r>
              <w:rPr/>
              <w:t>两者相比较，无法说明新建的污染处理设施</w:t>
            </w:r>
            <w:r>
              <w:rPr>
                <w:spacing w:val="-1"/>
              </w:rPr>
              <w:t>更先进，反而显得更落后。</w:t>
            </w:r>
          </w:p>
        </w:tc>
      </w:tr>
      <w:tr>
        <w:trPr>
          <w:trHeight w:val="619" w:hRule="atLeast"/>
        </w:trPr>
        <w:tc>
          <w:tcPr>
            <w:tcW w:w="1371" w:type="dxa"/>
            <w:vAlign w:val="top"/>
          </w:tcPr>
          <w:p>
            <w:pPr>
              <w:pStyle w:val="TableText"/>
              <w:ind w:left="272" w:right="264" w:hanging="1"/>
              <w:spacing w:before="69" w:line="239" w:lineRule="auto"/>
              <w:rPr>
                <w:sz w:val="20"/>
                <w:szCs w:val="20"/>
              </w:rPr>
            </w:pPr>
            <w:r>
              <w:rPr>
                <w:sz w:val="20"/>
                <w:szCs w:val="20"/>
                <w:spacing w:val="7"/>
              </w:rPr>
              <w:t>环评报告</w:t>
            </w:r>
            <w:r>
              <w:rPr>
                <w:sz w:val="20"/>
                <w:szCs w:val="20"/>
              </w:rPr>
              <w:t xml:space="preserve"> </w:t>
            </w:r>
            <w:r>
              <w:rPr>
                <w:sz w:val="20"/>
                <w:szCs w:val="20"/>
                <w:spacing w:val="6"/>
              </w:rPr>
              <w:t>编制质量</w:t>
            </w:r>
          </w:p>
        </w:tc>
        <w:tc>
          <w:tcPr>
            <w:tcW w:w="6359" w:type="dxa"/>
            <w:vAlign w:val="top"/>
            <w:gridSpan w:val="6"/>
          </w:tcPr>
          <w:p>
            <w:pPr>
              <w:pStyle w:val="TableText"/>
              <w:ind w:left="669"/>
              <w:spacing w:before="133" w:line="231" w:lineRule="auto"/>
              <w:rPr>
                <w:sz w:val="20"/>
                <w:szCs w:val="20"/>
              </w:rPr>
            </w:pPr>
            <w:r>
              <w:rPr>
                <w:sz w:val="20"/>
                <w:szCs w:val="20"/>
              </w:rPr>
              <w:t>良</w:t>
            </w:r>
          </w:p>
        </w:tc>
        <w:tc>
          <w:tcPr>
            <w:tcW w:w="1073" w:type="dxa"/>
            <w:vAlign w:val="top"/>
          </w:tcPr>
          <w:p>
            <w:pPr>
              <w:pStyle w:val="TableText"/>
              <w:ind w:left="118" w:right="102"/>
              <w:spacing w:before="36" w:line="239" w:lineRule="auto"/>
              <w:rPr>
                <w:sz w:val="20"/>
                <w:szCs w:val="20"/>
              </w:rPr>
            </w:pPr>
            <w:r>
              <w:rPr>
                <w:sz w:val="20"/>
                <w:szCs w:val="20"/>
                <w:spacing w:val="11"/>
              </w:rPr>
              <w:t>打分（百</w:t>
            </w:r>
            <w:r>
              <w:rPr>
                <w:sz w:val="20"/>
                <w:szCs w:val="20"/>
              </w:rPr>
              <w:t xml:space="preserve"> </w:t>
            </w:r>
            <w:r>
              <w:rPr>
                <w:sz w:val="20"/>
                <w:szCs w:val="20"/>
                <w:spacing w:val="2"/>
              </w:rPr>
              <w:t>分制）</w:t>
            </w:r>
          </w:p>
        </w:tc>
        <w:tc>
          <w:tcPr>
            <w:tcW w:w="1330" w:type="dxa"/>
            <w:vAlign w:val="top"/>
          </w:tcPr>
          <w:p>
            <w:pPr>
              <w:pStyle w:val="TableText"/>
              <w:ind w:left="642"/>
              <w:spacing w:before="68" w:line="189" w:lineRule="auto"/>
              <w:rPr>
                <w:sz w:val="20"/>
                <w:szCs w:val="20"/>
              </w:rPr>
            </w:pPr>
            <w:r>
              <w:rPr>
                <w:sz w:val="20"/>
                <w:szCs w:val="20"/>
                <w:spacing w:val="-1"/>
              </w:rPr>
              <w:t>80</w:t>
            </w:r>
          </w:p>
        </w:tc>
      </w:tr>
      <w:tr>
        <w:trPr>
          <w:trHeight w:val="1385" w:hRule="atLeast"/>
        </w:trPr>
        <w:tc>
          <w:tcPr>
            <w:tcW w:w="1371" w:type="dxa"/>
            <w:vAlign w:val="top"/>
          </w:tcPr>
          <w:p>
            <w:pPr>
              <w:pStyle w:val="TableText"/>
              <w:ind w:left="165"/>
              <w:spacing w:before="180" w:line="228" w:lineRule="auto"/>
              <w:rPr>
                <w:sz w:val="20"/>
                <w:szCs w:val="20"/>
              </w:rPr>
            </w:pPr>
            <w:r>
              <w:rPr>
                <w:sz w:val="20"/>
                <w:szCs w:val="20"/>
                <w:spacing w:val="8"/>
              </w:rPr>
              <w:t>对该项目环</w:t>
            </w:r>
          </w:p>
          <w:p>
            <w:pPr>
              <w:pStyle w:val="TableText"/>
              <w:ind w:left="167"/>
              <w:spacing w:before="24" w:line="228" w:lineRule="auto"/>
              <w:rPr>
                <w:sz w:val="20"/>
                <w:szCs w:val="20"/>
              </w:rPr>
            </w:pPr>
            <w:r>
              <w:rPr>
                <w:sz w:val="20"/>
                <w:szCs w:val="20"/>
                <w:spacing w:val="7"/>
              </w:rPr>
              <w:t>境保护审批</w:t>
            </w:r>
          </w:p>
          <w:p>
            <w:pPr>
              <w:pStyle w:val="TableText"/>
              <w:ind w:left="167"/>
              <w:spacing w:before="25" w:line="228" w:lineRule="auto"/>
              <w:rPr>
                <w:sz w:val="20"/>
                <w:szCs w:val="20"/>
              </w:rPr>
            </w:pPr>
            <w:r>
              <w:rPr>
                <w:sz w:val="20"/>
                <w:szCs w:val="20"/>
                <w:spacing w:val="7"/>
              </w:rPr>
              <w:t>有关技术问</w:t>
            </w:r>
          </w:p>
          <w:p>
            <w:pPr>
              <w:pStyle w:val="TableText"/>
              <w:ind w:left="271"/>
              <w:spacing w:before="27" w:line="228" w:lineRule="auto"/>
              <w:rPr>
                <w:sz w:val="20"/>
                <w:szCs w:val="20"/>
              </w:rPr>
            </w:pPr>
            <w:r>
              <w:rPr>
                <w:sz w:val="20"/>
                <w:szCs w:val="20"/>
                <w:spacing w:val="7"/>
              </w:rPr>
              <w:t>题的建议</w:t>
            </w:r>
          </w:p>
        </w:tc>
        <w:tc>
          <w:tcPr>
            <w:tcW w:w="8762" w:type="dxa"/>
            <w:vAlign w:val="top"/>
            <w:gridSpan w:val="8"/>
          </w:tcPr>
          <w:p>
            <w:pPr>
              <w:rPr>
                <w:rFonts w:ascii="Arial"/>
                <w:sz w:val="21"/>
              </w:rPr>
            </w:pPr>
            <w:r/>
          </w:p>
        </w:tc>
      </w:tr>
      <w:tr>
        <w:trPr>
          <w:trHeight w:val="633" w:hRule="atLeast"/>
        </w:trPr>
        <w:tc>
          <w:tcPr>
            <w:tcW w:w="1371" w:type="dxa"/>
            <w:vAlign w:val="top"/>
          </w:tcPr>
          <w:p>
            <w:pPr>
              <w:pStyle w:val="TableText"/>
              <w:ind w:left="272"/>
              <w:spacing w:before="212" w:line="228" w:lineRule="auto"/>
              <w:rPr>
                <w:sz w:val="20"/>
                <w:szCs w:val="20"/>
              </w:rPr>
            </w:pPr>
            <w:r>
              <w:rPr>
                <w:sz w:val="20"/>
                <w:szCs w:val="20"/>
                <w:spacing w:val="7"/>
              </w:rPr>
              <w:t>专家签字</w:t>
            </w:r>
          </w:p>
        </w:tc>
        <w:tc>
          <w:tcPr>
            <w:tcW w:w="714" w:type="dxa"/>
            <w:vAlign w:val="top"/>
            <w:tcBorders>
              <w:right w:val="nil"/>
            </w:tcBorders>
          </w:tcPr>
          <w:p>
            <w:pPr>
              <w:spacing w:line="309" w:lineRule="auto"/>
              <w:rPr>
                <w:rFonts w:ascii="Arial"/>
                <w:sz w:val="21"/>
              </w:rPr>
            </w:pPr>
            <w:r/>
          </w:p>
          <w:p>
            <w:pPr>
              <w:pStyle w:val="TableText"/>
              <w:spacing w:before="65" w:line="228" w:lineRule="auto"/>
              <w:jc w:val="right"/>
              <w:rPr>
                <w:sz w:val="20"/>
                <w:szCs w:val="20"/>
              </w:rPr>
            </w:pPr>
            <w:r>
              <w:rPr>
                <w:sz w:val="20"/>
                <w:szCs w:val="20"/>
                <w:spacing w:val="-11"/>
              </w:rPr>
              <w:t>姓名：</w:t>
            </w:r>
          </w:p>
        </w:tc>
        <w:tc>
          <w:tcPr>
            <w:tcW w:w="1897" w:type="dxa"/>
            <w:vAlign w:val="top"/>
            <w:gridSpan w:val="2"/>
            <w:tcBorders>
              <w:left w:val="nil"/>
              <w:right w:val="nil"/>
            </w:tcBorders>
          </w:tcPr>
          <w:p>
            <w:pPr>
              <w:ind w:firstLine="127"/>
              <w:spacing w:before="17" w:line="538" w:lineRule="exact"/>
              <w:rPr/>
            </w:pPr>
            <w:r>
              <w:rPr>
                <w:position w:val="-10"/>
              </w:rPr>
              <w:drawing>
                <wp:inline distT="0" distB="0" distL="0" distR="0">
                  <wp:extent cx="946404" cy="341376"/>
                  <wp:effectExtent l="0" t="0" r="0" b="0"/>
                  <wp:docPr id="16" name="IM 16"/>
                  <wp:cNvGraphicFramePr/>
                  <a:graphic>
                    <a:graphicData uri="http://schemas.openxmlformats.org/drawingml/2006/picture">
                      <pic:pic>
                        <pic:nvPicPr>
                          <pic:cNvPr id="16" name="IM 16"/>
                          <pic:cNvPicPr/>
                        </pic:nvPicPr>
                        <pic:blipFill>
                          <a:blip r:embed="rId10"/>
                          <a:stretch>
                            <a:fillRect/>
                          </a:stretch>
                        </pic:blipFill>
                        <pic:spPr>
                          <a:xfrm rot="0">
                            <a:off x="0" y="0"/>
                            <a:ext cx="946404" cy="341376"/>
                          </a:xfrm>
                          <a:prstGeom prst="rect">
                            <a:avLst/>
                          </a:prstGeom>
                        </pic:spPr>
                      </pic:pic>
                    </a:graphicData>
                  </a:graphic>
                </wp:inline>
              </w:drawing>
            </w:r>
          </w:p>
        </w:tc>
        <w:tc>
          <w:tcPr>
            <w:tcW w:w="6151" w:type="dxa"/>
            <w:vAlign w:val="top"/>
            <w:gridSpan w:val="5"/>
            <w:tcBorders>
              <w:left w:val="nil"/>
            </w:tcBorders>
          </w:tcPr>
          <w:p>
            <w:pPr>
              <w:spacing w:line="309" w:lineRule="auto"/>
              <w:rPr>
                <w:rFonts w:ascii="Arial"/>
                <w:sz w:val="21"/>
              </w:rPr>
            </w:pPr>
            <w:r/>
          </w:p>
          <w:p>
            <w:pPr>
              <w:pStyle w:val="TableText"/>
              <w:ind w:left="2245"/>
              <w:spacing w:before="65" w:line="228" w:lineRule="auto"/>
              <w:rPr>
                <w:sz w:val="20"/>
                <w:szCs w:val="20"/>
              </w:rPr>
            </w:pPr>
            <w:r>
              <w:rPr>
                <w:rFonts w:ascii="Times New Roman" w:hAnsi="Times New Roman" w:eastAsia="Times New Roman" w:cs="Times New Roman"/>
                <w:sz w:val="20"/>
                <w:szCs w:val="20"/>
              </w:rPr>
              <w:t>2023 </w:t>
            </w:r>
            <w:r>
              <w:rPr>
                <w:sz w:val="20"/>
                <w:szCs w:val="20"/>
              </w:rPr>
              <w:t>年</w:t>
            </w:r>
            <w:r>
              <w:rPr>
                <w:sz w:val="20"/>
                <w:szCs w:val="20"/>
                <w:spacing w:val="34"/>
              </w:rPr>
              <w:t xml:space="preserve"> </w:t>
            </w:r>
            <w:r>
              <w:rPr>
                <w:rFonts w:ascii="Times New Roman" w:hAnsi="Times New Roman" w:eastAsia="Times New Roman" w:cs="Times New Roman"/>
                <w:sz w:val="20"/>
                <w:szCs w:val="20"/>
              </w:rPr>
              <w:t>12</w:t>
            </w:r>
            <w:r>
              <w:rPr>
                <w:rFonts w:ascii="Times New Roman" w:hAnsi="Times New Roman" w:eastAsia="Times New Roman" w:cs="Times New Roman"/>
                <w:sz w:val="20"/>
                <w:szCs w:val="20"/>
                <w:spacing w:val="8"/>
              </w:rPr>
              <w:t xml:space="preserve">  </w:t>
            </w:r>
            <w:r>
              <w:rPr>
                <w:sz w:val="20"/>
                <w:szCs w:val="20"/>
              </w:rPr>
              <w:t>月</w:t>
            </w:r>
            <w:r>
              <w:rPr>
                <w:sz w:val="20"/>
                <w:szCs w:val="20"/>
                <w:spacing w:val="15"/>
              </w:rPr>
              <w:t xml:space="preserve"> </w:t>
            </w:r>
            <w:r>
              <w:rPr>
                <w:rFonts w:ascii="Times New Roman" w:hAnsi="Times New Roman" w:eastAsia="Times New Roman" w:cs="Times New Roman"/>
                <w:sz w:val="20"/>
                <w:szCs w:val="20"/>
              </w:rPr>
              <w:t>3   </w:t>
            </w:r>
            <w:r>
              <w:rPr>
                <w:sz w:val="20"/>
                <w:szCs w:val="20"/>
              </w:rPr>
              <w:t>日</w:t>
            </w:r>
          </w:p>
        </w:tc>
      </w:tr>
    </w:tbl>
    <w:p>
      <w:pPr>
        <w:pStyle w:val="BodyText"/>
        <w:rPr/>
      </w:pPr>
      <w:r/>
    </w:p>
    <w:p>
      <w:pPr>
        <w:sectPr>
          <w:pgSz w:w="11906" w:h="16839"/>
          <w:pgMar w:top="400" w:right="884" w:bottom="0" w:left="883" w:header="0" w:footer="0" w:gutter="0"/>
        </w:sectPr>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ind w:left="934"/>
        <w:spacing w:before="97" w:line="218" w:lineRule="auto"/>
        <w:rPr>
          <w:rFonts w:ascii="SimSun" w:hAnsi="SimSun" w:eastAsia="SimSun" w:cs="SimSun"/>
          <w:sz w:val="30"/>
          <w:szCs w:val="30"/>
        </w:rPr>
      </w:pPr>
      <w:r>
        <w:rPr>
          <w:rFonts w:ascii="SimSun" w:hAnsi="SimSun" w:eastAsia="SimSun" w:cs="SimSun"/>
          <w:sz w:val="30"/>
          <w:szCs w:val="30"/>
          <w14:textOutline w14:w="5448" w14:cap="sq" w14:cmpd="sng">
            <w14:solidFill>
              <w14:srgbClr w14:val="000000"/>
            </w14:solidFill>
            <w14:prstDash w14:val="solid"/>
            <w14:bevel/>
          </w14:textOutline>
        </w:rPr>
        <w:t>《呼图壁县丰收塑料制品厂农用地膜加工项目环境影响报告表》</w:t>
      </w:r>
    </w:p>
    <w:p>
      <w:pPr>
        <w:ind w:left="4028"/>
        <w:spacing w:before="85" w:line="212" w:lineRule="auto"/>
        <w:rPr>
          <w:rFonts w:ascii="SimSun" w:hAnsi="SimSun" w:eastAsia="SimSun" w:cs="SimSun"/>
          <w:sz w:val="30"/>
          <w:szCs w:val="30"/>
        </w:rPr>
      </w:pPr>
      <w:r>
        <w:rPr>
          <w:rFonts w:ascii="SimSun" w:hAnsi="SimSun" w:eastAsia="SimSun" w:cs="SimSun"/>
          <w:sz w:val="30"/>
          <w:szCs w:val="30"/>
          <w14:textOutline w14:w="5448" w14:cap="sq" w14:cmpd="sng">
            <w14:solidFill>
              <w14:srgbClr w14:val="000000"/>
            </w14:solidFill>
            <w14:prstDash w14:val="solid"/>
            <w14:bevel/>
          </w14:textOutline>
          <w:spacing w:val="-2"/>
        </w:rPr>
        <w:t>技术审查意见表</w:t>
      </w:r>
    </w:p>
    <w:tbl>
      <w:tblPr>
        <w:tblStyle w:val="TableNormal"/>
        <w:tblW w:w="1013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71"/>
        <w:gridCol w:w="1284"/>
        <w:gridCol w:w="1327"/>
        <w:gridCol w:w="1252"/>
        <w:gridCol w:w="1604"/>
        <w:gridCol w:w="3295"/>
      </w:tblGrid>
      <w:tr>
        <w:trPr>
          <w:trHeight w:val="1014" w:hRule="atLeast"/>
        </w:trPr>
        <w:tc>
          <w:tcPr>
            <w:tcW w:w="1371" w:type="dxa"/>
            <w:vAlign w:val="top"/>
          </w:tcPr>
          <w:p>
            <w:pPr>
              <w:spacing w:line="308" w:lineRule="auto"/>
              <w:rPr>
                <w:rFonts w:ascii="Arial"/>
                <w:sz w:val="21"/>
              </w:rPr>
            </w:pPr>
            <w:r/>
          </w:p>
          <w:p>
            <w:pPr>
              <w:pStyle w:val="TableText"/>
              <w:ind w:left="214"/>
              <w:spacing w:before="78" w:line="219" w:lineRule="auto"/>
              <w:rPr/>
            </w:pPr>
            <w:r>
              <w:rPr>
                <w:spacing w:val="-3"/>
              </w:rPr>
              <w:t>专家姓名</w:t>
            </w:r>
          </w:p>
        </w:tc>
        <w:tc>
          <w:tcPr>
            <w:tcW w:w="1284" w:type="dxa"/>
            <w:vAlign w:val="top"/>
          </w:tcPr>
          <w:p>
            <w:pPr>
              <w:spacing w:line="308" w:lineRule="auto"/>
              <w:rPr>
                <w:rFonts w:ascii="Arial"/>
                <w:sz w:val="21"/>
              </w:rPr>
            </w:pPr>
            <w:r/>
          </w:p>
          <w:p>
            <w:pPr>
              <w:pStyle w:val="TableText"/>
              <w:ind w:left="291"/>
              <w:spacing w:before="78" w:line="220" w:lineRule="auto"/>
              <w:rPr/>
            </w:pPr>
            <w:r>
              <w:rPr>
                <w:spacing w:val="-5"/>
              </w:rPr>
              <w:t>雷玉国</w:t>
            </w:r>
          </w:p>
        </w:tc>
        <w:tc>
          <w:tcPr>
            <w:tcW w:w="1327" w:type="dxa"/>
            <w:vAlign w:val="top"/>
          </w:tcPr>
          <w:p>
            <w:pPr>
              <w:spacing w:line="308" w:lineRule="auto"/>
              <w:rPr>
                <w:rFonts w:ascii="Arial"/>
                <w:sz w:val="21"/>
              </w:rPr>
            </w:pPr>
            <w:r/>
          </w:p>
          <w:p>
            <w:pPr>
              <w:pStyle w:val="TableText"/>
              <w:ind w:left="155"/>
              <w:spacing w:before="78" w:line="219" w:lineRule="auto"/>
              <w:rPr/>
            </w:pPr>
            <w:r>
              <w:rPr>
                <w:spacing w:val="-2"/>
              </w:rPr>
              <w:t>职务</w:t>
            </w:r>
            <w:r>
              <w:rPr>
                <w:rFonts w:ascii="Times New Roman" w:hAnsi="Times New Roman" w:eastAsia="Times New Roman" w:cs="Times New Roman"/>
                <w:spacing w:val="-2"/>
              </w:rPr>
              <w:t>/</w:t>
            </w:r>
            <w:r>
              <w:rPr>
                <w:spacing w:val="-2"/>
              </w:rPr>
              <w:t>职称</w:t>
            </w:r>
          </w:p>
        </w:tc>
        <w:tc>
          <w:tcPr>
            <w:tcW w:w="1252" w:type="dxa"/>
            <w:vAlign w:val="top"/>
          </w:tcPr>
          <w:p>
            <w:pPr>
              <w:spacing w:line="308" w:lineRule="auto"/>
              <w:rPr>
                <w:rFonts w:ascii="Arial"/>
                <w:sz w:val="21"/>
              </w:rPr>
            </w:pPr>
            <w:r/>
          </w:p>
          <w:p>
            <w:pPr>
              <w:pStyle w:val="TableText"/>
              <w:ind w:left="339"/>
              <w:spacing w:before="78" w:line="219" w:lineRule="auto"/>
              <w:rPr/>
            </w:pPr>
            <w:r>
              <w:rPr>
                <w:spacing w:val="-8"/>
              </w:rPr>
              <w:t>高</w:t>
            </w:r>
            <w:r>
              <w:rPr>
                <w:spacing w:val="12"/>
              </w:rPr>
              <w:t xml:space="preserve"> </w:t>
            </w:r>
            <w:r>
              <w:rPr>
                <w:spacing w:val="-8"/>
              </w:rPr>
              <w:t>工</w:t>
            </w:r>
          </w:p>
        </w:tc>
        <w:tc>
          <w:tcPr>
            <w:tcW w:w="1604" w:type="dxa"/>
            <w:vAlign w:val="top"/>
          </w:tcPr>
          <w:p>
            <w:pPr>
              <w:pStyle w:val="TableText"/>
              <w:ind w:left="329" w:right="199" w:hanging="120"/>
              <w:spacing w:before="233" w:line="230" w:lineRule="auto"/>
              <w:rPr/>
            </w:pPr>
            <w:r>
              <w:rPr>
                <w:spacing w:val="-3"/>
              </w:rPr>
              <w:t>专家单位及</w:t>
            </w:r>
            <w:r>
              <w:rPr>
                <w:spacing w:val="3"/>
              </w:rPr>
              <w:t xml:space="preserve"> </w:t>
            </w:r>
            <w:r>
              <w:rPr>
                <w:spacing w:val="-3"/>
              </w:rPr>
              <w:t>联系方式</w:t>
            </w:r>
          </w:p>
        </w:tc>
        <w:tc>
          <w:tcPr>
            <w:tcW w:w="3295" w:type="dxa"/>
            <w:vAlign w:val="top"/>
          </w:tcPr>
          <w:p>
            <w:pPr>
              <w:pStyle w:val="TableText"/>
              <w:ind w:left="523" w:right="204" w:hanging="306"/>
              <w:spacing w:before="105" w:line="217" w:lineRule="auto"/>
              <w:rPr/>
            </w:pPr>
            <w:r>
              <w:rPr>
                <w:spacing w:val="-1"/>
              </w:rPr>
              <w:t>乌鲁木齐市危险废物管理中</w:t>
            </w:r>
            <w:r>
              <w:rPr/>
              <w:t xml:space="preserve"> </w:t>
            </w:r>
            <w:r>
              <w:rPr>
                <w:spacing w:val="2"/>
              </w:rPr>
              <w:t>心（环科所</w:t>
            </w:r>
            <w:r>
              <w:rPr>
                <w:spacing w:val="-65"/>
                <w:w w:val="94"/>
              </w:rPr>
              <w:t>）（</w:t>
            </w:r>
            <w:r>
              <w:rPr>
                <w:spacing w:val="2"/>
              </w:rPr>
              <w:t>退休）</w:t>
            </w:r>
          </w:p>
          <w:p>
            <w:pPr>
              <w:ind w:left="1013"/>
              <w:spacing w:before="35"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18999912109</w:t>
            </w:r>
          </w:p>
        </w:tc>
      </w:tr>
      <w:tr>
        <w:trPr>
          <w:trHeight w:val="794" w:hRule="atLeast"/>
        </w:trPr>
        <w:tc>
          <w:tcPr>
            <w:tcW w:w="1371" w:type="dxa"/>
            <w:vAlign w:val="top"/>
          </w:tcPr>
          <w:p>
            <w:pPr>
              <w:pStyle w:val="TableText"/>
              <w:ind w:left="456" w:right="202" w:hanging="240"/>
              <w:spacing w:before="119" w:line="231" w:lineRule="auto"/>
              <w:rPr/>
            </w:pPr>
            <w:r>
              <w:rPr>
                <w:spacing w:val="-4"/>
              </w:rPr>
              <w:t>建设单位</w:t>
            </w:r>
            <w:r>
              <w:rPr>
                <w:spacing w:val="2"/>
              </w:rPr>
              <w:t xml:space="preserve"> </w:t>
            </w:r>
            <w:r>
              <w:rPr>
                <w:spacing w:val="-7"/>
              </w:rPr>
              <w:t>名称</w:t>
            </w:r>
          </w:p>
        </w:tc>
        <w:tc>
          <w:tcPr>
            <w:tcW w:w="2611" w:type="dxa"/>
            <w:vAlign w:val="top"/>
            <w:gridSpan w:val="2"/>
          </w:tcPr>
          <w:p>
            <w:pPr>
              <w:pStyle w:val="TableText"/>
              <w:ind w:left="951" w:right="343" w:hanging="587"/>
              <w:spacing w:before="120" w:line="230" w:lineRule="auto"/>
              <w:rPr/>
            </w:pPr>
            <w:r>
              <w:rPr>
                <w:spacing w:val="-3"/>
              </w:rPr>
              <w:t>呼图壁县丰收塑料</w:t>
            </w:r>
            <w:r>
              <w:rPr/>
              <w:t xml:space="preserve"> </w:t>
            </w:r>
            <w:r>
              <w:rPr>
                <w:spacing w:val="-4"/>
              </w:rPr>
              <w:t>制品厂</w:t>
            </w:r>
          </w:p>
        </w:tc>
        <w:tc>
          <w:tcPr>
            <w:tcW w:w="1252" w:type="dxa"/>
            <w:vAlign w:val="top"/>
          </w:tcPr>
          <w:p>
            <w:pPr>
              <w:pStyle w:val="TableText"/>
              <w:ind w:left="153" w:right="143" w:hanging="1"/>
              <w:spacing w:before="120" w:line="230" w:lineRule="auto"/>
              <w:rPr/>
            </w:pPr>
            <w:r>
              <w:rPr>
                <w:spacing w:val="-3"/>
              </w:rPr>
              <w:t>环评编制</w:t>
            </w:r>
            <w:r>
              <w:rPr>
                <w:spacing w:val="1"/>
              </w:rPr>
              <w:t xml:space="preserve"> </w:t>
            </w:r>
            <w:r>
              <w:rPr>
                <w:spacing w:val="-3"/>
              </w:rPr>
              <w:t>单位名称</w:t>
            </w:r>
          </w:p>
        </w:tc>
        <w:tc>
          <w:tcPr>
            <w:tcW w:w="4899" w:type="dxa"/>
            <w:vAlign w:val="top"/>
            <w:gridSpan w:val="2"/>
          </w:tcPr>
          <w:p>
            <w:pPr>
              <w:pStyle w:val="TableText"/>
              <w:ind w:left="417"/>
              <w:spacing w:before="276" w:line="219" w:lineRule="auto"/>
              <w:rPr/>
            </w:pPr>
            <w:r>
              <w:rPr>
                <w:spacing w:val="-1"/>
              </w:rPr>
              <w:t>乌鲁木齐汇翔达工程咨询服务有限公司</w:t>
            </w:r>
          </w:p>
        </w:tc>
      </w:tr>
      <w:tr>
        <w:trPr>
          <w:trHeight w:val="11043" w:hRule="atLeast"/>
        </w:trPr>
        <w:tc>
          <w:tcPr>
            <w:tcW w:w="1371"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225" w:right="202" w:hanging="11"/>
              <w:spacing w:before="78" w:line="230" w:lineRule="auto"/>
              <w:rPr/>
            </w:pPr>
            <w:r>
              <w:rPr>
                <w:spacing w:val="-3"/>
              </w:rPr>
              <w:t>专家技术</w:t>
            </w:r>
            <w:r>
              <w:rPr/>
              <w:t xml:space="preserve"> </w:t>
            </w:r>
            <w:r>
              <w:rPr>
                <w:spacing w:val="-6"/>
              </w:rPr>
              <w:t>审查意见</w:t>
            </w:r>
          </w:p>
        </w:tc>
        <w:tc>
          <w:tcPr>
            <w:tcW w:w="8762" w:type="dxa"/>
            <w:vAlign w:val="top"/>
            <w:gridSpan w:val="5"/>
          </w:tcPr>
          <w:p>
            <w:pPr>
              <w:pStyle w:val="TableText"/>
              <w:ind w:left="679"/>
              <w:spacing w:before="128" w:line="461" w:lineRule="exact"/>
              <w:rPr>
                <w:sz w:val="28"/>
                <w:szCs w:val="28"/>
              </w:rPr>
            </w:pPr>
            <w:r>
              <w:rPr>
                <w:sz w:val="28"/>
                <w:szCs w:val="28"/>
                <w:spacing w:val="-5"/>
                <w:position w:val="13"/>
              </w:rPr>
              <w:t>该报告表编制较规范，工程分析较清晰，评价结论基本</w:t>
            </w:r>
            <w:r>
              <w:rPr>
                <w:sz w:val="28"/>
                <w:szCs w:val="28"/>
                <w:spacing w:val="-6"/>
                <w:position w:val="13"/>
              </w:rPr>
              <w:t>可信。报告</w:t>
            </w:r>
          </w:p>
          <w:p>
            <w:pPr>
              <w:pStyle w:val="TableText"/>
              <w:ind w:left="114"/>
              <w:spacing w:before="1" w:line="219" w:lineRule="auto"/>
              <w:rPr>
                <w:sz w:val="28"/>
                <w:szCs w:val="28"/>
              </w:rPr>
            </w:pPr>
            <w:r>
              <w:rPr>
                <w:sz w:val="28"/>
                <w:szCs w:val="28"/>
                <w:spacing w:val="-1"/>
              </w:rPr>
              <w:t>表需补充完善以下内容：</w:t>
            </w:r>
          </w:p>
          <w:p>
            <w:pPr>
              <w:pStyle w:val="TableText"/>
              <w:ind w:left="696"/>
              <w:spacing w:before="124" w:line="461" w:lineRule="exact"/>
              <w:rPr>
                <w:sz w:val="28"/>
                <w:szCs w:val="28"/>
              </w:rPr>
            </w:pPr>
            <w:r>
              <w:rPr>
                <w:rFonts w:ascii="Times New Roman" w:hAnsi="Times New Roman" w:eastAsia="Times New Roman" w:cs="Times New Roman"/>
                <w:sz w:val="28"/>
                <w:szCs w:val="28"/>
                <w:spacing w:val="-6"/>
                <w:position w:val="13"/>
              </w:rPr>
              <w:t>1</w:t>
            </w:r>
            <w:r>
              <w:rPr>
                <w:rFonts w:ascii="Times New Roman" w:hAnsi="Times New Roman" w:eastAsia="Times New Roman" w:cs="Times New Roman"/>
                <w:sz w:val="28"/>
                <w:szCs w:val="28"/>
                <w:spacing w:val="-41"/>
                <w:position w:val="13"/>
              </w:rPr>
              <w:t xml:space="preserve"> </w:t>
            </w:r>
            <w:r>
              <w:rPr>
                <w:sz w:val="28"/>
                <w:szCs w:val="28"/>
                <w:spacing w:val="-6"/>
                <w:position w:val="13"/>
              </w:rPr>
              <w:t>、完善其他符合性分析，补充本项目与</w:t>
            </w:r>
            <w:r>
              <w:rPr>
                <w:rFonts w:ascii="Times New Roman" w:hAnsi="Times New Roman" w:eastAsia="Times New Roman" w:cs="Times New Roman"/>
                <w:sz w:val="28"/>
                <w:szCs w:val="28"/>
                <w:spacing w:val="-6"/>
                <w:position w:val="13"/>
              </w:rPr>
              <w:t>“</w:t>
            </w:r>
            <w:r>
              <w:rPr>
                <w:sz w:val="28"/>
                <w:szCs w:val="28"/>
                <w:spacing w:val="-6"/>
                <w:position w:val="13"/>
              </w:rPr>
              <w:t>关于加快解决当前挥发性</w:t>
            </w:r>
          </w:p>
          <w:p>
            <w:pPr>
              <w:pStyle w:val="TableText"/>
              <w:ind w:left="116"/>
              <w:spacing w:line="219" w:lineRule="auto"/>
              <w:rPr>
                <w:sz w:val="28"/>
                <w:szCs w:val="28"/>
              </w:rPr>
            </w:pPr>
            <w:r>
              <w:rPr>
                <w:sz w:val="28"/>
                <w:szCs w:val="28"/>
                <w:spacing w:val="-3"/>
              </w:rPr>
              <w:t>有机物治理突出问题的通知</w:t>
            </w:r>
            <w:r>
              <w:rPr>
                <w:rFonts w:ascii="Times New Roman" w:hAnsi="Times New Roman" w:eastAsia="Times New Roman" w:cs="Times New Roman"/>
                <w:sz w:val="28"/>
                <w:szCs w:val="28"/>
                <w:spacing w:val="-3"/>
              </w:rPr>
              <w:t>”</w:t>
            </w:r>
            <w:r>
              <w:rPr>
                <w:rFonts w:ascii="Times New Roman" w:hAnsi="Times New Roman" w:eastAsia="Times New Roman" w:cs="Times New Roman"/>
                <w:sz w:val="28"/>
                <w:szCs w:val="28"/>
                <w:spacing w:val="-25"/>
              </w:rPr>
              <w:t xml:space="preserve"> </w:t>
            </w:r>
            <w:r>
              <w:rPr>
                <w:sz w:val="28"/>
                <w:szCs w:val="28"/>
                <w:spacing w:val="-3"/>
              </w:rPr>
              <w:t>的符合性分析。</w:t>
            </w:r>
          </w:p>
          <w:p>
            <w:pPr>
              <w:pStyle w:val="TableText"/>
              <w:ind w:left="120" w:right="12" w:firstLine="549"/>
              <w:spacing w:before="129" w:line="303" w:lineRule="auto"/>
              <w:rPr>
                <w:sz w:val="28"/>
                <w:szCs w:val="28"/>
              </w:rPr>
            </w:pPr>
            <w:r>
              <w:rPr>
                <w:rFonts w:ascii="Times New Roman" w:hAnsi="Times New Roman" w:eastAsia="Times New Roman" w:cs="Times New Roman"/>
                <w:sz w:val="28"/>
                <w:szCs w:val="28"/>
              </w:rPr>
              <w:t>2</w:t>
            </w:r>
            <w:r>
              <w:rPr>
                <w:rFonts w:ascii="Times New Roman" w:hAnsi="Times New Roman" w:eastAsia="Times New Roman" w:cs="Times New Roman"/>
                <w:sz w:val="28"/>
                <w:szCs w:val="28"/>
                <w:spacing w:val="-37"/>
              </w:rPr>
              <w:t xml:space="preserve"> </w:t>
            </w:r>
            <w:r>
              <w:rPr>
                <w:sz w:val="28"/>
                <w:szCs w:val="28"/>
              </w:rPr>
              <w:t>、本项目为扩建工程，从卫星图看，本项目选址位于农田区旁， </w:t>
            </w:r>
            <w:r>
              <w:rPr>
                <w:sz w:val="28"/>
                <w:szCs w:val="28"/>
                <w:spacing w:val="-6"/>
              </w:rPr>
              <w:t>四周均为农田，核实项目用地性质，调查说明该企业用地是否取得当地 </w:t>
            </w:r>
            <w:r>
              <w:rPr>
                <w:sz w:val="28"/>
                <w:szCs w:val="28"/>
                <w:spacing w:val="-2"/>
              </w:rPr>
              <w:t>行政管理部门颁发的建设用地规划许可证，完善项目选址合理性分析。</w:t>
            </w:r>
          </w:p>
          <w:p>
            <w:pPr>
              <w:pStyle w:val="TableText"/>
              <w:ind w:left="120"/>
              <w:spacing w:before="1" w:line="218" w:lineRule="auto"/>
              <w:rPr>
                <w:sz w:val="28"/>
                <w:szCs w:val="28"/>
              </w:rPr>
            </w:pPr>
            <w:r>
              <w:rPr>
                <w:sz w:val="28"/>
                <w:szCs w:val="28"/>
                <w:spacing w:val="-1"/>
              </w:rPr>
              <w:t>项目建设用地规划许可证副本应作为报告表附件。</w:t>
            </w:r>
          </w:p>
          <w:p>
            <w:pPr>
              <w:pStyle w:val="TableText"/>
              <w:ind w:left="115" w:right="105" w:firstLine="559"/>
              <w:spacing w:before="129" w:line="303" w:lineRule="auto"/>
              <w:rPr>
                <w:sz w:val="28"/>
                <w:szCs w:val="28"/>
              </w:rPr>
            </w:pPr>
            <w:r>
              <w:rPr>
                <w:rFonts w:ascii="Times New Roman" w:hAnsi="Times New Roman" w:eastAsia="Times New Roman" w:cs="Times New Roman"/>
                <w:sz w:val="28"/>
                <w:szCs w:val="28"/>
                <w:spacing w:val="-1"/>
              </w:rPr>
              <w:t>3</w:t>
            </w:r>
            <w:r>
              <w:rPr>
                <w:rFonts w:ascii="Times New Roman" w:hAnsi="Times New Roman" w:eastAsia="Times New Roman" w:cs="Times New Roman"/>
                <w:sz w:val="28"/>
                <w:szCs w:val="28"/>
                <w:spacing w:val="-41"/>
              </w:rPr>
              <w:t xml:space="preserve"> </w:t>
            </w:r>
            <w:r>
              <w:rPr>
                <w:sz w:val="28"/>
                <w:szCs w:val="28"/>
                <w:spacing w:val="-1"/>
              </w:rPr>
              <w:t>、核实项目产业政策符合性分析。国家产业结构调</w:t>
            </w:r>
            <w:r>
              <w:rPr>
                <w:sz w:val="28"/>
                <w:szCs w:val="28"/>
                <w:spacing w:val="-2"/>
              </w:rPr>
              <w:t>整指导目录中</w:t>
            </w:r>
            <w:r>
              <w:rPr>
                <w:sz w:val="28"/>
                <w:szCs w:val="28"/>
              </w:rPr>
              <w:t xml:space="preserve"> </w:t>
            </w:r>
            <w:r>
              <w:rPr>
                <w:sz w:val="28"/>
                <w:szCs w:val="28"/>
                <w:spacing w:val="1"/>
              </w:rPr>
              <w:t>明确规定：厚度低于</w:t>
            </w:r>
            <w:r>
              <w:rPr>
                <w:sz w:val="28"/>
                <w:szCs w:val="28"/>
                <w:spacing w:val="-41"/>
              </w:rPr>
              <w:t xml:space="preserve"> </w:t>
            </w:r>
            <w:r>
              <w:rPr>
                <w:rFonts w:ascii="Times New Roman" w:hAnsi="Times New Roman" w:eastAsia="Times New Roman" w:cs="Times New Roman"/>
                <w:sz w:val="28"/>
                <w:szCs w:val="28"/>
                <w:spacing w:val="1"/>
              </w:rPr>
              <w:t>0.01 </w:t>
            </w:r>
            <w:r>
              <w:rPr>
                <w:sz w:val="28"/>
                <w:szCs w:val="28"/>
                <w:spacing w:val="1"/>
              </w:rPr>
              <w:t>毫米的聚乙烯农用地膜属于淘汰类。而环评</w:t>
            </w:r>
            <w:r>
              <w:rPr>
                <w:sz w:val="28"/>
                <w:szCs w:val="28"/>
              </w:rPr>
              <w:t xml:space="preserve"> </w:t>
            </w:r>
            <w:r>
              <w:rPr>
                <w:sz w:val="28"/>
                <w:szCs w:val="28"/>
              </w:rPr>
              <w:t>提出</w:t>
            </w:r>
            <w:r>
              <w:rPr>
                <w:rFonts w:ascii="Times New Roman" w:hAnsi="Times New Roman" w:eastAsia="Times New Roman" w:cs="Times New Roman"/>
                <w:sz w:val="28"/>
                <w:szCs w:val="28"/>
              </w:rPr>
              <w:t>“</w:t>
            </w:r>
            <w:r>
              <w:rPr>
                <w:sz w:val="28"/>
                <w:szCs w:val="28"/>
              </w:rPr>
              <w:t>本项目农用地膜产品厚度为</w:t>
            </w:r>
            <w:r>
              <w:rPr>
                <w:sz w:val="28"/>
                <w:szCs w:val="28"/>
                <w:spacing w:val="-58"/>
              </w:rPr>
              <w:t xml:space="preserve"> </w:t>
            </w:r>
            <w:r>
              <w:rPr>
                <w:rFonts w:ascii="Times New Roman" w:hAnsi="Times New Roman" w:eastAsia="Times New Roman" w:cs="Times New Roman"/>
                <w:sz w:val="28"/>
                <w:szCs w:val="28"/>
              </w:rPr>
              <w:t>0.004-0.08mm”</w:t>
            </w:r>
            <w:r>
              <w:rPr>
                <w:rFonts w:ascii="Times New Roman" w:hAnsi="Times New Roman" w:eastAsia="Times New Roman" w:cs="Times New Roman"/>
                <w:sz w:val="28"/>
                <w:szCs w:val="28"/>
                <w:spacing w:val="-35"/>
              </w:rPr>
              <w:t xml:space="preserve"> </w:t>
            </w:r>
            <w:r>
              <w:rPr>
                <w:sz w:val="28"/>
                <w:szCs w:val="28"/>
              </w:rPr>
              <w:t>，有厚度低于</w:t>
            </w:r>
            <w:r>
              <w:rPr>
                <w:sz w:val="28"/>
                <w:szCs w:val="28"/>
                <w:spacing w:val="-58"/>
              </w:rPr>
              <w:t xml:space="preserve"> </w:t>
            </w:r>
            <w:r>
              <w:rPr>
                <w:rFonts w:ascii="Times New Roman" w:hAnsi="Times New Roman" w:eastAsia="Times New Roman" w:cs="Times New Roman"/>
                <w:sz w:val="28"/>
                <w:szCs w:val="28"/>
              </w:rPr>
              <w:t>0.01</w:t>
            </w:r>
            <w:r>
              <w:rPr>
                <w:rFonts w:ascii="Times New Roman" w:hAnsi="Times New Roman" w:eastAsia="Times New Roman" w:cs="Times New Roman"/>
                <w:sz w:val="28"/>
                <w:szCs w:val="28"/>
                <w:spacing w:val="-1"/>
              </w:rPr>
              <w:t xml:space="preserve"> </w:t>
            </w:r>
            <w:r>
              <w:rPr>
                <w:sz w:val="28"/>
                <w:szCs w:val="28"/>
                <w:spacing w:val="-1"/>
              </w:rPr>
              <w:t>毫</w:t>
            </w:r>
            <w:r>
              <w:rPr>
                <w:sz w:val="28"/>
                <w:szCs w:val="28"/>
              </w:rPr>
              <w:t xml:space="preserve"> </w:t>
            </w:r>
            <w:r>
              <w:rPr>
                <w:sz w:val="28"/>
                <w:szCs w:val="28"/>
                <w:spacing w:val="-5"/>
              </w:rPr>
              <w:t>米的聚乙烯农用地膜，因此本项目部分产品属于淘汰类产品，不符合国</w:t>
            </w:r>
          </w:p>
          <w:p>
            <w:pPr>
              <w:pStyle w:val="TableText"/>
              <w:ind w:left="118"/>
              <w:spacing w:before="2" w:line="219" w:lineRule="auto"/>
              <w:rPr>
                <w:sz w:val="28"/>
                <w:szCs w:val="28"/>
              </w:rPr>
            </w:pPr>
            <w:r>
              <w:rPr>
                <w:sz w:val="28"/>
                <w:szCs w:val="28"/>
                <w:spacing w:val="-2"/>
              </w:rPr>
              <w:t>家产业政策要求。</w:t>
            </w:r>
          </w:p>
          <w:p>
            <w:pPr>
              <w:pStyle w:val="TableText"/>
              <w:ind w:left="118" w:right="105" w:firstLine="550"/>
              <w:spacing w:before="128" w:line="303" w:lineRule="auto"/>
              <w:rPr>
                <w:sz w:val="28"/>
                <w:szCs w:val="28"/>
              </w:rPr>
            </w:pPr>
            <w:r>
              <w:rPr>
                <w:rFonts w:ascii="Times New Roman" w:hAnsi="Times New Roman" w:eastAsia="Times New Roman" w:cs="Times New Roman"/>
                <w:sz w:val="28"/>
                <w:szCs w:val="28"/>
                <w:spacing w:val="-1"/>
              </w:rPr>
              <w:t>4</w:t>
            </w:r>
            <w:r>
              <w:rPr>
                <w:rFonts w:ascii="Times New Roman" w:hAnsi="Times New Roman" w:eastAsia="Times New Roman" w:cs="Times New Roman"/>
                <w:sz w:val="28"/>
                <w:szCs w:val="28"/>
                <w:spacing w:val="-41"/>
              </w:rPr>
              <w:t xml:space="preserve"> </w:t>
            </w:r>
            <w:r>
              <w:rPr>
                <w:sz w:val="28"/>
                <w:szCs w:val="28"/>
                <w:spacing w:val="-1"/>
              </w:rPr>
              <w:t>、本项目利用已建原料库房内布设</w:t>
            </w:r>
            <w:r>
              <w:rPr>
                <w:sz w:val="28"/>
                <w:szCs w:val="28"/>
                <w:spacing w:val="-65"/>
              </w:rPr>
              <w:t xml:space="preserve"> </w:t>
            </w:r>
            <w:r>
              <w:rPr>
                <w:rFonts w:ascii="Times New Roman" w:hAnsi="Times New Roman" w:eastAsia="Times New Roman" w:cs="Times New Roman"/>
                <w:sz w:val="28"/>
                <w:szCs w:val="28"/>
                <w:spacing w:val="-1"/>
              </w:rPr>
              <w:t>2 </w:t>
            </w:r>
            <w:r>
              <w:rPr>
                <w:sz w:val="28"/>
                <w:szCs w:val="28"/>
                <w:spacing w:val="-1"/>
              </w:rPr>
              <w:t>条地膜生产线，原料</w:t>
            </w:r>
            <w:r>
              <w:rPr>
                <w:sz w:val="28"/>
                <w:szCs w:val="28"/>
                <w:spacing w:val="-2"/>
              </w:rPr>
              <w:t>堆放在</w:t>
            </w:r>
            <w:r>
              <w:rPr>
                <w:sz w:val="28"/>
                <w:szCs w:val="28"/>
              </w:rPr>
              <w:t xml:space="preserve"> </w:t>
            </w:r>
            <w:r>
              <w:rPr>
                <w:sz w:val="28"/>
                <w:szCs w:val="28"/>
                <w:spacing w:val="-5"/>
              </w:rPr>
              <w:t>车间南侧，产品堆放在车间北侧，原料、产品和地膜生产线位于同一座</w:t>
            </w:r>
            <w:r>
              <w:rPr>
                <w:sz w:val="28"/>
                <w:szCs w:val="28"/>
                <w:spacing w:val="7"/>
              </w:rPr>
              <w:t xml:space="preserve"> </w:t>
            </w:r>
            <w:r>
              <w:rPr>
                <w:sz w:val="28"/>
                <w:szCs w:val="28"/>
                <w:spacing w:val="4"/>
              </w:rPr>
              <w:t>车间内，建议结合消防和安全生产要求进一步论证项目平面布置合理</w:t>
            </w:r>
          </w:p>
          <w:p>
            <w:pPr>
              <w:pStyle w:val="TableText"/>
              <w:ind w:left="119"/>
              <w:spacing w:before="1" w:line="221" w:lineRule="auto"/>
              <w:rPr>
                <w:sz w:val="28"/>
                <w:szCs w:val="28"/>
              </w:rPr>
            </w:pPr>
            <w:r>
              <w:rPr>
                <w:sz w:val="28"/>
                <w:szCs w:val="28"/>
                <w:spacing w:val="-7"/>
              </w:rPr>
              <w:t>性。</w:t>
            </w:r>
          </w:p>
          <w:p>
            <w:pPr>
              <w:pStyle w:val="TableText"/>
              <w:ind w:left="677"/>
              <w:spacing w:before="123" w:line="460" w:lineRule="exact"/>
              <w:rPr>
                <w:sz w:val="28"/>
                <w:szCs w:val="28"/>
              </w:rPr>
            </w:pPr>
            <w:r>
              <w:rPr>
                <w:rFonts w:ascii="Times New Roman" w:hAnsi="Times New Roman" w:eastAsia="Times New Roman" w:cs="Times New Roman"/>
                <w:sz w:val="28"/>
                <w:szCs w:val="28"/>
                <w:spacing w:val="-1"/>
                <w:position w:val="13"/>
              </w:rPr>
              <w:t>5</w:t>
            </w:r>
            <w:r>
              <w:rPr>
                <w:rFonts w:ascii="Times New Roman" w:hAnsi="Times New Roman" w:eastAsia="Times New Roman" w:cs="Times New Roman"/>
                <w:sz w:val="28"/>
                <w:szCs w:val="28"/>
                <w:spacing w:val="-41"/>
                <w:position w:val="13"/>
              </w:rPr>
              <w:t xml:space="preserve"> </w:t>
            </w:r>
            <w:r>
              <w:rPr>
                <w:sz w:val="28"/>
                <w:szCs w:val="28"/>
                <w:spacing w:val="-1"/>
                <w:position w:val="13"/>
              </w:rPr>
              <w:t>、完善环境质量现状调查，本项目为扩建项目</w:t>
            </w:r>
            <w:r>
              <w:rPr>
                <w:sz w:val="28"/>
                <w:szCs w:val="28"/>
                <w:spacing w:val="-2"/>
                <w:position w:val="13"/>
              </w:rPr>
              <w:t>，建议对环境空气</w:t>
            </w:r>
          </w:p>
          <w:p>
            <w:pPr>
              <w:pStyle w:val="TableText"/>
              <w:spacing w:before="1" w:line="218" w:lineRule="auto"/>
              <w:jc w:val="right"/>
              <w:rPr>
                <w:sz w:val="28"/>
                <w:szCs w:val="28"/>
              </w:rPr>
            </w:pPr>
            <w:r>
              <w:rPr>
                <w:sz w:val="28"/>
                <w:szCs w:val="28"/>
                <w:spacing w:val="-3"/>
              </w:rPr>
              <w:t>中非甲烷总烃进行监测，摸清评价区环境空气中非甲烷总烃污染现状。</w:t>
            </w:r>
          </w:p>
          <w:p>
            <w:pPr>
              <w:pStyle w:val="TableText"/>
              <w:ind w:left="676"/>
              <w:spacing w:before="130" w:line="458" w:lineRule="exact"/>
              <w:rPr>
                <w:sz w:val="28"/>
                <w:szCs w:val="28"/>
              </w:rPr>
            </w:pPr>
            <w:r>
              <w:rPr>
                <w:rFonts w:ascii="Times New Roman" w:hAnsi="Times New Roman" w:eastAsia="Times New Roman" w:cs="Times New Roman"/>
                <w:sz w:val="28"/>
                <w:szCs w:val="28"/>
                <w:spacing w:val="-1"/>
                <w:position w:val="13"/>
              </w:rPr>
              <w:t>6</w:t>
            </w:r>
            <w:r>
              <w:rPr>
                <w:rFonts w:ascii="Times New Roman" w:hAnsi="Times New Roman" w:eastAsia="Times New Roman" w:cs="Times New Roman"/>
                <w:sz w:val="28"/>
                <w:szCs w:val="28"/>
                <w:spacing w:val="-40"/>
                <w:position w:val="13"/>
              </w:rPr>
              <w:t xml:space="preserve"> </w:t>
            </w:r>
            <w:r>
              <w:rPr>
                <w:sz w:val="28"/>
                <w:szCs w:val="28"/>
                <w:spacing w:val="-1"/>
                <w:position w:val="13"/>
              </w:rPr>
              <w:t>、完善环境保护目标调查，明确本项目周围农田</w:t>
            </w:r>
            <w:r>
              <w:rPr>
                <w:sz w:val="28"/>
                <w:szCs w:val="28"/>
                <w:spacing w:val="-2"/>
                <w:position w:val="13"/>
              </w:rPr>
              <w:t>性质，应作为本</w:t>
            </w:r>
          </w:p>
          <w:p>
            <w:pPr>
              <w:pStyle w:val="TableText"/>
              <w:ind w:left="123"/>
              <w:spacing w:before="1" w:line="218" w:lineRule="auto"/>
              <w:rPr>
                <w:sz w:val="28"/>
                <w:szCs w:val="28"/>
              </w:rPr>
            </w:pPr>
            <w:r>
              <w:rPr>
                <w:sz w:val="28"/>
                <w:szCs w:val="28"/>
                <w:spacing w:val="-2"/>
              </w:rPr>
              <w:t>次评价的生态环境保护目标。</w:t>
            </w:r>
          </w:p>
          <w:p>
            <w:pPr>
              <w:pStyle w:val="TableText"/>
              <w:ind w:left="120" w:right="105" w:firstLine="554"/>
              <w:spacing w:before="129" w:line="303" w:lineRule="auto"/>
              <w:rPr>
                <w:sz w:val="28"/>
                <w:szCs w:val="28"/>
              </w:rPr>
            </w:pPr>
            <w:r>
              <w:rPr>
                <w:rFonts w:ascii="Times New Roman" w:hAnsi="Times New Roman" w:eastAsia="Times New Roman" w:cs="Times New Roman"/>
                <w:sz w:val="28"/>
                <w:szCs w:val="28"/>
                <w:spacing w:val="-1"/>
              </w:rPr>
              <w:t>7</w:t>
            </w:r>
            <w:r>
              <w:rPr>
                <w:rFonts w:ascii="Times New Roman" w:hAnsi="Times New Roman" w:eastAsia="Times New Roman" w:cs="Times New Roman"/>
                <w:sz w:val="28"/>
                <w:szCs w:val="28"/>
                <w:spacing w:val="-41"/>
              </w:rPr>
              <w:t xml:space="preserve"> </w:t>
            </w:r>
            <w:r>
              <w:rPr>
                <w:sz w:val="28"/>
                <w:szCs w:val="28"/>
                <w:spacing w:val="-1"/>
              </w:rPr>
              <w:t>、完善大气环境影响分析。环评提出本项目生产</w:t>
            </w:r>
            <w:r>
              <w:rPr>
                <w:sz w:val="28"/>
                <w:szCs w:val="28"/>
                <w:spacing w:val="-2"/>
              </w:rPr>
              <w:t>工艺中产生的挥</w:t>
            </w:r>
            <w:r>
              <w:rPr>
                <w:sz w:val="28"/>
                <w:szCs w:val="28"/>
              </w:rPr>
              <w:t xml:space="preserve"> </w:t>
            </w:r>
            <w:r>
              <w:rPr>
                <w:sz w:val="28"/>
                <w:szCs w:val="28"/>
                <w:spacing w:val="-5"/>
              </w:rPr>
              <w:t>发性有机废气经负压收集后通过两级活性炭吸附处理，分析论证采用两</w:t>
            </w:r>
          </w:p>
          <w:p>
            <w:pPr>
              <w:pStyle w:val="TableText"/>
              <w:ind w:left="120"/>
              <w:spacing w:before="1" w:line="214" w:lineRule="auto"/>
              <w:rPr>
                <w:sz w:val="28"/>
                <w:szCs w:val="28"/>
              </w:rPr>
            </w:pPr>
            <w:r>
              <w:rPr>
                <w:sz w:val="28"/>
                <w:szCs w:val="28"/>
                <w:spacing w:val="4"/>
              </w:rPr>
              <w:t>级活性炭吸附装置净化处理挥发性有机废气是否符合自治区和昌吉州</w:t>
            </w:r>
          </w:p>
        </w:tc>
      </w:tr>
    </w:tbl>
    <w:p>
      <w:pPr>
        <w:pStyle w:val="BodyText"/>
        <w:rPr/>
      </w:pPr>
      <w:r/>
    </w:p>
    <w:p>
      <w:pPr>
        <w:sectPr>
          <w:pgSz w:w="11906" w:h="16839"/>
          <w:pgMar w:top="400" w:right="884" w:bottom="0" w:left="883" w:header="0" w:footer="0" w:gutter="0"/>
        </w:sectPr>
        <w:rPr/>
      </w:pPr>
    </w:p>
    <w:p>
      <w:pPr>
        <w:spacing w:before="19"/>
        <w:rPr/>
      </w:pPr>
      <w:r/>
    </w:p>
    <w:p>
      <w:pPr>
        <w:spacing w:before="19"/>
        <w:rPr/>
      </w:pPr>
      <w:r/>
    </w:p>
    <w:p>
      <w:pPr>
        <w:spacing w:before="18"/>
        <w:rPr/>
      </w:pPr>
      <w:r/>
    </w:p>
    <w:p>
      <w:pPr>
        <w:spacing w:before="18"/>
        <w:rPr/>
      </w:pPr>
      <w:r/>
    </w:p>
    <w:tbl>
      <w:tblPr>
        <w:tblStyle w:val="TableNormal"/>
        <w:tblW w:w="1013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71"/>
        <w:gridCol w:w="1474"/>
        <w:gridCol w:w="2936"/>
        <w:gridCol w:w="1625"/>
        <w:gridCol w:w="1397"/>
        <w:gridCol w:w="1330"/>
      </w:tblGrid>
      <w:tr>
        <w:trPr>
          <w:trHeight w:val="9369" w:hRule="atLeast"/>
        </w:trPr>
        <w:tc>
          <w:tcPr>
            <w:tcW w:w="1371" w:type="dxa"/>
            <w:vAlign w:val="top"/>
          </w:tcPr>
          <w:p>
            <w:pPr>
              <w:rPr>
                <w:rFonts w:ascii="Arial"/>
                <w:sz w:val="21"/>
              </w:rPr>
            </w:pPr>
            <w:r/>
          </w:p>
        </w:tc>
        <w:tc>
          <w:tcPr>
            <w:tcW w:w="8762" w:type="dxa"/>
            <w:vAlign w:val="top"/>
            <w:gridSpan w:val="5"/>
          </w:tcPr>
          <w:p>
            <w:pPr>
              <w:pStyle w:val="TableText"/>
              <w:ind w:left="116" w:right="105" w:firstLine="2"/>
              <w:spacing w:before="127" w:line="304" w:lineRule="auto"/>
              <w:jc w:val="both"/>
              <w:rPr>
                <w:sz w:val="28"/>
                <w:szCs w:val="28"/>
              </w:rPr>
            </w:pPr>
            <w:r>
              <w:rPr>
                <w:sz w:val="28"/>
                <w:szCs w:val="28"/>
                <w:spacing w:val="-5"/>
              </w:rPr>
              <w:t>最新大气污染控制要求。环评用《排放源统计调查产排污核算方法和系</w:t>
            </w:r>
            <w:r>
              <w:rPr>
                <w:sz w:val="28"/>
                <w:szCs w:val="28"/>
                <w:spacing w:val="6"/>
              </w:rPr>
              <w:t xml:space="preserve"> </w:t>
            </w:r>
            <w:r>
              <w:rPr>
                <w:sz w:val="28"/>
                <w:szCs w:val="28"/>
                <w:spacing w:val="-5"/>
              </w:rPr>
              <w:t>数手册》推荐的方法分析有机废气治理设施可行性，不符合现行环境管</w:t>
            </w:r>
            <w:r>
              <w:rPr>
                <w:sz w:val="28"/>
                <w:szCs w:val="28"/>
                <w:spacing w:val="8"/>
              </w:rPr>
              <w:t xml:space="preserve"> </w:t>
            </w:r>
            <w:r>
              <w:rPr>
                <w:sz w:val="28"/>
                <w:szCs w:val="28"/>
                <w:spacing w:val="-5"/>
              </w:rPr>
              <w:t>理要求。建议选用国家推荐的污染防治可行技术、污染物净化效率不低</w:t>
            </w:r>
            <w:r>
              <w:rPr>
                <w:sz w:val="28"/>
                <w:szCs w:val="28"/>
                <w:spacing w:val="6"/>
              </w:rPr>
              <w:t xml:space="preserve"> </w:t>
            </w:r>
            <w:r>
              <w:rPr>
                <w:sz w:val="28"/>
                <w:szCs w:val="28"/>
                <w:spacing w:val="3"/>
              </w:rPr>
              <w:t>于</w:t>
            </w:r>
            <w:r>
              <w:rPr>
                <w:sz w:val="28"/>
                <w:szCs w:val="28"/>
                <w:spacing w:val="-53"/>
              </w:rPr>
              <w:t xml:space="preserve"> </w:t>
            </w:r>
            <w:r>
              <w:rPr>
                <w:rFonts w:ascii="Times New Roman" w:hAnsi="Times New Roman" w:eastAsia="Times New Roman" w:cs="Times New Roman"/>
                <w:sz w:val="28"/>
                <w:szCs w:val="28"/>
                <w:spacing w:val="3"/>
              </w:rPr>
              <w:t>90%</w:t>
            </w:r>
            <w:r>
              <w:rPr>
                <w:sz w:val="28"/>
                <w:szCs w:val="28"/>
                <w:spacing w:val="3"/>
              </w:rPr>
              <w:t>的有机废气净化设施，降低挥发性有机废气排放量。大气环境</w:t>
            </w:r>
            <w:r>
              <w:rPr>
                <w:sz w:val="28"/>
                <w:szCs w:val="28"/>
              </w:rPr>
              <w:t xml:space="preserve"> </w:t>
            </w:r>
            <w:r>
              <w:rPr>
                <w:sz w:val="28"/>
                <w:szCs w:val="28"/>
                <w:spacing w:val="-5"/>
              </w:rPr>
              <w:t>监测计划应补充厂区内有机废气监测方案，按照《挥发性有机物无组织</w:t>
            </w:r>
          </w:p>
          <w:p>
            <w:pPr>
              <w:pStyle w:val="TableText"/>
              <w:ind w:left="115"/>
              <w:spacing w:before="1" w:line="219" w:lineRule="auto"/>
              <w:rPr>
                <w:sz w:val="28"/>
                <w:szCs w:val="28"/>
              </w:rPr>
            </w:pPr>
            <w:r>
              <w:rPr>
                <w:sz w:val="28"/>
                <w:szCs w:val="28"/>
                <w:spacing w:val="-5"/>
              </w:rPr>
              <w:t>排放控制标准》（</w:t>
            </w:r>
            <w:r>
              <w:rPr>
                <w:rFonts w:ascii="Times New Roman" w:hAnsi="Times New Roman" w:eastAsia="Times New Roman" w:cs="Times New Roman"/>
                <w:sz w:val="28"/>
                <w:szCs w:val="28"/>
                <w:spacing w:val="-5"/>
              </w:rPr>
              <w:t>GB37822-2019</w:t>
            </w:r>
            <w:r>
              <w:rPr>
                <w:sz w:val="28"/>
                <w:szCs w:val="28"/>
                <w:spacing w:val="-5"/>
              </w:rPr>
              <w:t>）</w:t>
            </w:r>
            <w:r>
              <w:rPr>
                <w:sz w:val="28"/>
                <w:szCs w:val="28"/>
                <w:spacing w:val="-6"/>
              </w:rPr>
              <w:t>中相关规定执行。</w:t>
            </w:r>
          </w:p>
          <w:p>
            <w:pPr>
              <w:pStyle w:val="TableText"/>
              <w:ind w:left="107" w:right="105" w:firstLine="573"/>
              <w:spacing w:before="124" w:line="304" w:lineRule="auto"/>
              <w:rPr>
                <w:sz w:val="28"/>
                <w:szCs w:val="28"/>
              </w:rPr>
            </w:pPr>
            <w:r>
              <w:rPr>
                <w:rFonts w:ascii="Times New Roman" w:hAnsi="Times New Roman" w:eastAsia="Times New Roman" w:cs="Times New Roman"/>
                <w:sz w:val="28"/>
                <w:szCs w:val="28"/>
                <w:spacing w:val="8"/>
              </w:rPr>
              <w:t>8</w:t>
            </w:r>
            <w:r>
              <w:rPr>
                <w:rFonts w:ascii="Times New Roman" w:hAnsi="Times New Roman" w:eastAsia="Times New Roman" w:cs="Times New Roman"/>
                <w:sz w:val="28"/>
                <w:szCs w:val="28"/>
                <w:spacing w:val="-25"/>
              </w:rPr>
              <w:t xml:space="preserve"> </w:t>
            </w:r>
            <w:r>
              <w:rPr>
                <w:sz w:val="28"/>
                <w:szCs w:val="28"/>
                <w:spacing w:val="8"/>
              </w:rPr>
              <w:t>、根据环评核算，本项目需要申请大气污染物总量控制指标为</w:t>
            </w:r>
            <w:r>
              <w:rPr>
                <w:sz w:val="28"/>
                <w:szCs w:val="28"/>
              </w:rPr>
              <w:t xml:space="preserve"> </w:t>
            </w:r>
            <w:r>
              <w:rPr>
                <w:rFonts w:ascii="Times New Roman" w:hAnsi="Times New Roman" w:eastAsia="Times New Roman" w:cs="Times New Roman"/>
                <w:sz w:val="28"/>
                <w:szCs w:val="28"/>
                <w:spacing w:val="-1"/>
              </w:rPr>
              <w:t>VOCs0.62t/a</w:t>
            </w:r>
            <w:r>
              <w:rPr>
                <w:rFonts w:ascii="Times New Roman" w:hAnsi="Times New Roman" w:eastAsia="Times New Roman" w:cs="Times New Roman"/>
                <w:sz w:val="28"/>
                <w:szCs w:val="28"/>
                <w:spacing w:val="-31"/>
              </w:rPr>
              <w:t xml:space="preserve"> </w:t>
            </w:r>
            <w:r>
              <w:rPr>
                <w:sz w:val="28"/>
                <w:szCs w:val="28"/>
                <w:spacing w:val="-1"/>
              </w:rPr>
              <w:t>。需执行新增污染物倍量替代，替代总量为</w:t>
            </w:r>
            <w:r>
              <w:rPr>
                <w:sz w:val="28"/>
                <w:szCs w:val="28"/>
                <w:spacing w:val="-35"/>
              </w:rPr>
              <w:t xml:space="preserve"> </w:t>
            </w:r>
            <w:r>
              <w:rPr>
                <w:rFonts w:ascii="Times New Roman" w:hAnsi="Times New Roman" w:eastAsia="Times New Roman" w:cs="Times New Roman"/>
                <w:sz w:val="28"/>
                <w:szCs w:val="28"/>
                <w:spacing w:val="-1"/>
              </w:rPr>
              <w:t>1.24t</w:t>
            </w:r>
            <w:r>
              <w:rPr>
                <w:rFonts w:ascii="Times New Roman" w:hAnsi="Times New Roman" w:eastAsia="Times New Roman" w:cs="Times New Roman"/>
                <w:sz w:val="28"/>
                <w:szCs w:val="28"/>
                <w:spacing w:val="-2"/>
              </w:rPr>
              <w:t>/a</w:t>
            </w:r>
            <w:r>
              <w:rPr>
                <w:rFonts w:ascii="Times New Roman" w:hAnsi="Times New Roman" w:eastAsia="Times New Roman" w:cs="Times New Roman"/>
                <w:sz w:val="28"/>
                <w:szCs w:val="28"/>
                <w:spacing w:val="-29"/>
              </w:rPr>
              <w:t xml:space="preserve"> </w:t>
            </w:r>
            <w:r>
              <w:rPr>
                <w:sz w:val="28"/>
                <w:szCs w:val="28"/>
                <w:spacing w:val="-2"/>
              </w:rPr>
              <w:t>。明确</w:t>
            </w:r>
          </w:p>
          <w:p>
            <w:pPr>
              <w:pStyle w:val="TableText"/>
              <w:ind w:left="116"/>
              <w:spacing w:before="1" w:line="219" w:lineRule="auto"/>
              <w:rPr>
                <w:sz w:val="28"/>
                <w:szCs w:val="28"/>
              </w:rPr>
            </w:pPr>
            <w:r>
              <w:rPr>
                <w:sz w:val="28"/>
                <w:szCs w:val="28"/>
                <w:spacing w:val="-1"/>
              </w:rPr>
              <w:t>新增大气污染物总量指标倍量替代来源。</w:t>
            </w:r>
          </w:p>
          <w:p>
            <w:pPr>
              <w:pStyle w:val="TableText"/>
              <w:ind w:left="115" w:right="105" w:firstLine="559"/>
              <w:spacing w:before="124" w:line="304" w:lineRule="auto"/>
              <w:rPr>
                <w:sz w:val="28"/>
                <w:szCs w:val="28"/>
              </w:rPr>
            </w:pPr>
            <w:r>
              <w:rPr>
                <w:rFonts w:ascii="Times New Roman" w:hAnsi="Times New Roman" w:eastAsia="Times New Roman" w:cs="Times New Roman"/>
                <w:sz w:val="28"/>
                <w:szCs w:val="28"/>
                <w:spacing w:val="-1"/>
              </w:rPr>
              <w:t>9</w:t>
            </w:r>
            <w:r>
              <w:rPr>
                <w:rFonts w:ascii="Times New Roman" w:hAnsi="Times New Roman" w:eastAsia="Times New Roman" w:cs="Times New Roman"/>
                <w:sz w:val="28"/>
                <w:szCs w:val="28"/>
                <w:spacing w:val="-40"/>
              </w:rPr>
              <w:t xml:space="preserve"> </w:t>
            </w:r>
            <w:r>
              <w:rPr>
                <w:sz w:val="28"/>
                <w:szCs w:val="28"/>
                <w:spacing w:val="-1"/>
              </w:rPr>
              <w:t>、完善水环境影响分析，说明该企业现有生活废水</w:t>
            </w:r>
            <w:r>
              <w:rPr>
                <w:sz w:val="28"/>
                <w:szCs w:val="28"/>
                <w:spacing w:val="-2"/>
              </w:rPr>
              <w:t>处理方案及排</w:t>
            </w:r>
            <w:r>
              <w:rPr>
                <w:sz w:val="28"/>
                <w:szCs w:val="28"/>
              </w:rPr>
              <w:t xml:space="preserve"> </w:t>
            </w:r>
            <w:r>
              <w:rPr>
                <w:sz w:val="28"/>
                <w:szCs w:val="28"/>
                <w:spacing w:val="-5"/>
              </w:rPr>
              <w:t>放去向，分析论证本项目工作人员生活废水排放方案是否满足现行环境</w:t>
            </w:r>
          </w:p>
          <w:p>
            <w:pPr>
              <w:pStyle w:val="TableText"/>
              <w:ind w:left="122"/>
              <w:spacing w:before="1" w:line="219" w:lineRule="auto"/>
              <w:rPr>
                <w:sz w:val="28"/>
                <w:szCs w:val="28"/>
              </w:rPr>
            </w:pPr>
            <w:r>
              <w:rPr>
                <w:sz w:val="28"/>
                <w:szCs w:val="28"/>
                <w:spacing w:val="-4"/>
              </w:rPr>
              <w:t>管理要求。</w:t>
            </w:r>
          </w:p>
          <w:p>
            <w:pPr>
              <w:pStyle w:val="TableText"/>
              <w:ind w:left="114" w:right="105" w:firstLine="582"/>
              <w:spacing w:before="124" w:line="304" w:lineRule="auto"/>
              <w:rPr>
                <w:sz w:val="28"/>
                <w:szCs w:val="28"/>
              </w:rPr>
            </w:pPr>
            <w:r>
              <w:rPr>
                <w:rFonts w:ascii="Times New Roman" w:hAnsi="Times New Roman" w:eastAsia="Times New Roman" w:cs="Times New Roman"/>
                <w:sz w:val="28"/>
                <w:szCs w:val="28"/>
                <w:spacing w:val="-7"/>
              </w:rPr>
              <w:t>10</w:t>
            </w:r>
            <w:r>
              <w:rPr>
                <w:rFonts w:ascii="Times New Roman" w:hAnsi="Times New Roman" w:eastAsia="Times New Roman" w:cs="Times New Roman"/>
                <w:sz w:val="28"/>
                <w:szCs w:val="28"/>
                <w:spacing w:val="-27"/>
              </w:rPr>
              <w:t xml:space="preserve"> </w:t>
            </w:r>
            <w:r>
              <w:rPr>
                <w:sz w:val="28"/>
                <w:szCs w:val="28"/>
                <w:spacing w:val="-7"/>
              </w:rPr>
              <w:t>、完善固体废物影响分析，空压机将产生废空压机油，属于危险</w:t>
            </w:r>
            <w:r>
              <w:rPr>
                <w:sz w:val="28"/>
                <w:szCs w:val="28"/>
              </w:rPr>
              <w:t xml:space="preserve"> </w:t>
            </w:r>
            <w:r>
              <w:rPr>
                <w:sz w:val="28"/>
                <w:szCs w:val="28"/>
                <w:spacing w:val="-5"/>
              </w:rPr>
              <w:t>废物，核算废空压机油产生量，对废空压机油收集、临时贮存、转移处</w:t>
            </w:r>
          </w:p>
          <w:p>
            <w:pPr>
              <w:pStyle w:val="TableText"/>
              <w:ind w:left="113"/>
              <w:spacing w:before="2" w:line="218" w:lineRule="auto"/>
              <w:rPr>
                <w:sz w:val="28"/>
                <w:szCs w:val="28"/>
              </w:rPr>
            </w:pPr>
            <w:r>
              <w:rPr>
                <w:sz w:val="28"/>
                <w:szCs w:val="28"/>
                <w:spacing w:val="-1"/>
              </w:rPr>
              <w:t>置等环节提出相应的污染防治措施和环境管理要求。</w:t>
            </w:r>
          </w:p>
          <w:p>
            <w:pPr>
              <w:pStyle w:val="TableText"/>
              <w:ind w:left="696"/>
              <w:spacing w:before="126" w:line="461" w:lineRule="exact"/>
              <w:rPr>
                <w:sz w:val="28"/>
                <w:szCs w:val="28"/>
              </w:rPr>
            </w:pPr>
            <w:r>
              <w:rPr>
                <w:rFonts w:ascii="Times New Roman" w:hAnsi="Times New Roman" w:eastAsia="Times New Roman" w:cs="Times New Roman"/>
                <w:sz w:val="28"/>
                <w:szCs w:val="28"/>
                <w:spacing w:val="-6"/>
                <w:position w:val="13"/>
              </w:rPr>
              <w:t>11</w:t>
            </w:r>
            <w:r>
              <w:rPr>
                <w:sz w:val="28"/>
                <w:szCs w:val="28"/>
                <w:spacing w:val="-6"/>
                <w:position w:val="13"/>
              </w:rPr>
              <w:t>、按照《</w:t>
            </w:r>
            <w:hyperlink w:history="true" r:id="rId11">
              <w:r>
                <w:rPr>
                  <w:sz w:val="28"/>
                  <w:szCs w:val="28"/>
                  <w:spacing w:val="-6"/>
                  <w:position w:val="13"/>
                </w:rPr>
                <w:t>危险废物管理计划和管理台账制定技术导则</w:t>
              </w:r>
            </w:hyperlink>
            <w:r>
              <w:rPr>
                <w:sz w:val="28"/>
                <w:szCs w:val="28"/>
                <w:spacing w:val="-6"/>
                <w:position w:val="13"/>
              </w:rPr>
              <w:t>》中相关规</w:t>
            </w:r>
          </w:p>
          <w:p>
            <w:pPr>
              <w:pStyle w:val="TableText"/>
              <w:ind w:left="122"/>
              <w:spacing w:line="219" w:lineRule="auto"/>
              <w:rPr>
                <w:sz w:val="28"/>
                <w:szCs w:val="28"/>
              </w:rPr>
            </w:pPr>
            <w:r>
              <w:rPr>
                <w:sz w:val="28"/>
                <w:szCs w:val="28"/>
                <w:spacing w:val="-1"/>
              </w:rPr>
              <w:t>定，补充本项目危险废物环境管理计划。</w:t>
            </w:r>
          </w:p>
          <w:p>
            <w:pPr>
              <w:pStyle w:val="TableText"/>
              <w:ind w:left="696"/>
              <w:spacing w:before="129" w:line="458" w:lineRule="exact"/>
              <w:rPr>
                <w:sz w:val="28"/>
                <w:szCs w:val="28"/>
              </w:rPr>
            </w:pPr>
            <w:r>
              <w:rPr>
                <w:rFonts w:ascii="Times New Roman" w:hAnsi="Times New Roman" w:eastAsia="Times New Roman" w:cs="Times New Roman"/>
                <w:sz w:val="28"/>
                <w:szCs w:val="28"/>
                <w:spacing w:val="-7"/>
                <w:position w:val="13"/>
              </w:rPr>
              <w:t>12</w:t>
            </w:r>
            <w:r>
              <w:rPr>
                <w:rFonts w:ascii="Times New Roman" w:hAnsi="Times New Roman" w:eastAsia="Times New Roman" w:cs="Times New Roman"/>
                <w:sz w:val="28"/>
                <w:szCs w:val="28"/>
                <w:spacing w:val="-28"/>
                <w:position w:val="13"/>
              </w:rPr>
              <w:t xml:space="preserve"> </w:t>
            </w:r>
            <w:r>
              <w:rPr>
                <w:sz w:val="28"/>
                <w:szCs w:val="28"/>
                <w:spacing w:val="-7"/>
                <w:position w:val="13"/>
              </w:rPr>
              <w:t>、根据修改完善后的内容细化项目环境保护投资、环境保护措施</w:t>
            </w:r>
          </w:p>
          <w:p>
            <w:pPr>
              <w:pStyle w:val="TableText"/>
              <w:ind w:left="116"/>
              <w:spacing w:before="1" w:line="218" w:lineRule="auto"/>
              <w:rPr>
                <w:sz w:val="28"/>
                <w:szCs w:val="28"/>
              </w:rPr>
            </w:pPr>
            <w:r>
              <w:rPr>
                <w:sz w:val="28"/>
                <w:szCs w:val="28"/>
                <w:spacing w:val="-1"/>
              </w:rPr>
              <w:t>监督检查清单和三同时竣工环保验收内容；校核报告中相关错误。</w:t>
            </w:r>
          </w:p>
        </w:tc>
      </w:tr>
      <w:tr>
        <w:trPr>
          <w:trHeight w:val="1001" w:hRule="atLeast"/>
        </w:trPr>
        <w:tc>
          <w:tcPr>
            <w:tcW w:w="1371" w:type="dxa"/>
            <w:vAlign w:val="top"/>
          </w:tcPr>
          <w:p>
            <w:pPr>
              <w:pStyle w:val="TableText"/>
              <w:ind w:left="214" w:right="202" w:hanging="1"/>
              <w:spacing w:before="223" w:line="230" w:lineRule="auto"/>
              <w:rPr/>
            </w:pPr>
            <w:r>
              <w:rPr>
                <w:spacing w:val="-3"/>
              </w:rPr>
              <w:t>环评报告</w:t>
            </w:r>
            <w:r>
              <w:rPr>
                <w:spacing w:val="1"/>
              </w:rPr>
              <w:t xml:space="preserve"> </w:t>
            </w:r>
            <w:r>
              <w:rPr>
                <w:spacing w:val="-3"/>
              </w:rPr>
              <w:t>编制质量</w:t>
            </w:r>
          </w:p>
        </w:tc>
        <w:tc>
          <w:tcPr>
            <w:tcW w:w="6035" w:type="dxa"/>
            <w:vAlign w:val="top"/>
            <w:gridSpan w:val="3"/>
          </w:tcPr>
          <w:p>
            <w:pPr>
              <w:spacing w:line="303" w:lineRule="auto"/>
              <w:rPr>
                <w:rFonts w:ascii="Arial"/>
                <w:sz w:val="21"/>
              </w:rPr>
            </w:pPr>
            <w:r/>
          </w:p>
          <w:p>
            <w:pPr>
              <w:pStyle w:val="TableText"/>
              <w:ind w:left="752"/>
              <w:spacing w:before="78" w:line="222" w:lineRule="auto"/>
              <w:rPr/>
            </w:pPr>
            <w:r>
              <w:rPr/>
              <w:t>良</w:t>
            </w:r>
          </w:p>
        </w:tc>
        <w:tc>
          <w:tcPr>
            <w:tcW w:w="1397" w:type="dxa"/>
            <w:vAlign w:val="top"/>
          </w:tcPr>
          <w:p>
            <w:pPr>
              <w:pStyle w:val="TableText"/>
              <w:ind w:left="471"/>
              <w:spacing w:before="224" w:line="220" w:lineRule="auto"/>
              <w:rPr/>
            </w:pPr>
            <w:r>
              <w:rPr>
                <w:spacing w:val="-7"/>
              </w:rPr>
              <w:t>打分</w:t>
            </w:r>
          </w:p>
          <w:p>
            <w:pPr>
              <w:pStyle w:val="TableText"/>
              <w:ind w:left="126"/>
              <w:spacing w:before="25" w:line="220" w:lineRule="auto"/>
              <w:rPr/>
            </w:pPr>
            <w:r>
              <w:rPr>
                <w:spacing w:val="-5"/>
              </w:rPr>
              <w:t>（百分制）</w:t>
            </w:r>
          </w:p>
        </w:tc>
        <w:tc>
          <w:tcPr>
            <w:tcW w:w="1330" w:type="dxa"/>
            <w:vAlign w:val="top"/>
          </w:tcPr>
          <w:p>
            <w:pPr>
              <w:spacing w:line="351" w:lineRule="auto"/>
              <w:rPr>
                <w:rFonts w:ascii="Arial"/>
                <w:sz w:val="21"/>
              </w:rPr>
            </w:pPr>
            <w:r/>
          </w:p>
          <w:p>
            <w:pPr>
              <w:ind w:left="551"/>
              <w:spacing w:before="69"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71</w:t>
            </w:r>
          </w:p>
        </w:tc>
      </w:tr>
      <w:tr>
        <w:trPr>
          <w:trHeight w:val="1799" w:hRule="atLeast"/>
        </w:trPr>
        <w:tc>
          <w:tcPr>
            <w:tcW w:w="1371" w:type="dxa"/>
            <w:vAlign w:val="top"/>
          </w:tcPr>
          <w:p>
            <w:pPr>
              <w:pStyle w:val="TableText"/>
              <w:ind w:left="212"/>
              <w:spacing w:before="159" w:line="220" w:lineRule="auto"/>
              <w:rPr/>
            </w:pPr>
            <w:r>
              <w:rPr>
                <w:spacing w:val="-3"/>
              </w:rPr>
              <w:t>对该项目</w:t>
            </w:r>
          </w:p>
          <w:p>
            <w:pPr>
              <w:pStyle w:val="TableText"/>
              <w:ind w:left="213"/>
              <w:spacing w:before="23" w:line="220" w:lineRule="auto"/>
              <w:rPr/>
            </w:pPr>
            <w:r>
              <w:rPr>
                <w:spacing w:val="-3"/>
              </w:rPr>
              <w:t>环境保护</w:t>
            </w:r>
          </w:p>
          <w:p>
            <w:pPr>
              <w:pStyle w:val="TableText"/>
              <w:ind w:left="225"/>
              <w:spacing w:before="25" w:line="220" w:lineRule="auto"/>
              <w:rPr/>
            </w:pPr>
            <w:r>
              <w:rPr>
                <w:spacing w:val="-6"/>
              </w:rPr>
              <w:t>审批有关</w:t>
            </w:r>
          </w:p>
          <w:p>
            <w:pPr>
              <w:pStyle w:val="TableText"/>
              <w:ind w:left="214"/>
              <w:spacing w:before="24" w:line="219" w:lineRule="auto"/>
              <w:rPr/>
            </w:pPr>
            <w:r>
              <w:rPr>
                <w:spacing w:val="-3"/>
              </w:rPr>
              <w:t>技术问题</w:t>
            </w:r>
          </w:p>
          <w:p>
            <w:pPr>
              <w:pStyle w:val="TableText"/>
              <w:ind w:left="352"/>
              <w:spacing w:before="27" w:line="220" w:lineRule="auto"/>
              <w:rPr/>
            </w:pPr>
            <w:r>
              <w:rPr>
                <w:spacing w:val="-10"/>
              </w:rPr>
              <w:t>的建议</w:t>
            </w:r>
          </w:p>
        </w:tc>
        <w:tc>
          <w:tcPr>
            <w:tcW w:w="8762" w:type="dxa"/>
            <w:vAlign w:val="top"/>
            <w:gridSpan w:val="5"/>
          </w:tcPr>
          <w:p>
            <w:pPr>
              <w:spacing w:line="338" w:lineRule="auto"/>
              <w:rPr>
                <w:rFonts w:ascii="Arial"/>
                <w:sz w:val="21"/>
              </w:rPr>
            </w:pPr>
            <w:r/>
          </w:p>
          <w:p>
            <w:pPr>
              <w:spacing w:line="339" w:lineRule="auto"/>
              <w:rPr>
                <w:rFonts w:ascii="Arial"/>
                <w:sz w:val="21"/>
              </w:rPr>
            </w:pPr>
            <w:r/>
          </w:p>
          <w:p>
            <w:pPr>
              <w:pStyle w:val="TableText"/>
              <w:ind w:left="596"/>
              <w:spacing w:before="78" w:line="220" w:lineRule="auto"/>
              <w:rPr/>
            </w:pPr>
            <w:r>
              <w:rPr/>
              <w:t>无</w:t>
            </w:r>
          </w:p>
        </w:tc>
      </w:tr>
      <w:tr>
        <w:trPr>
          <w:trHeight w:val="1199" w:hRule="atLeast"/>
        </w:trPr>
        <w:tc>
          <w:tcPr>
            <w:tcW w:w="1371" w:type="dxa"/>
            <w:vAlign w:val="top"/>
          </w:tcPr>
          <w:p>
            <w:pPr>
              <w:spacing w:line="401" w:lineRule="auto"/>
              <w:rPr>
                <w:rFonts w:ascii="Arial"/>
                <w:sz w:val="21"/>
              </w:rPr>
            </w:pPr>
            <w:r/>
          </w:p>
          <w:p>
            <w:pPr>
              <w:pStyle w:val="TableText"/>
              <w:ind w:left="214"/>
              <w:spacing w:before="78" w:line="219" w:lineRule="auto"/>
              <w:rPr/>
            </w:pPr>
            <w:r>
              <w:rPr>
                <w:spacing w:val="-3"/>
              </w:rPr>
              <w:t>专家签字</w:t>
            </w:r>
          </w:p>
        </w:tc>
        <w:tc>
          <w:tcPr>
            <w:tcW w:w="1474" w:type="dxa"/>
            <w:vAlign w:val="top"/>
            <w:tcBorders>
              <w:right w:val="nil"/>
            </w:tcBorders>
          </w:tcPr>
          <w:p>
            <w:pPr>
              <w:spacing w:line="275" w:lineRule="auto"/>
              <w:rPr>
                <w:rFonts w:ascii="Arial"/>
                <w:sz w:val="21"/>
              </w:rPr>
            </w:pPr>
            <w:r/>
          </w:p>
          <w:p>
            <w:pPr>
              <w:pStyle w:val="TableText"/>
              <w:spacing w:before="78" w:line="219" w:lineRule="auto"/>
              <w:jc w:val="right"/>
              <w:rPr/>
            </w:pPr>
            <w:r>
              <w:rPr>
                <w:spacing w:val="-28"/>
              </w:rPr>
              <w:t>姓名：</w:t>
            </w:r>
          </w:p>
        </w:tc>
        <w:tc>
          <w:tcPr>
            <w:tcW w:w="2936" w:type="dxa"/>
            <w:vAlign w:val="top"/>
            <w:tcBorders>
              <w:left w:val="nil"/>
              <w:right w:val="nil"/>
            </w:tcBorders>
          </w:tcPr>
          <w:p>
            <w:pPr>
              <w:ind w:firstLine="99"/>
              <w:spacing w:before="130" w:line="820" w:lineRule="exact"/>
              <w:rPr/>
            </w:pPr>
            <w:r>
              <w:rPr>
                <w:position w:val="-16"/>
              </w:rPr>
              <w:drawing>
                <wp:inline distT="0" distB="0" distL="0" distR="0">
                  <wp:extent cx="797051" cy="521208"/>
                  <wp:effectExtent l="0" t="0" r="0" b="0"/>
                  <wp:docPr id="18" name="IM 18"/>
                  <wp:cNvGraphicFramePr/>
                  <a:graphic>
                    <a:graphicData uri="http://schemas.openxmlformats.org/drawingml/2006/picture">
                      <pic:pic>
                        <pic:nvPicPr>
                          <pic:cNvPr id="18" name="IM 18"/>
                          <pic:cNvPicPr/>
                        </pic:nvPicPr>
                        <pic:blipFill>
                          <a:blip r:embed="rId12"/>
                          <a:stretch>
                            <a:fillRect/>
                          </a:stretch>
                        </pic:blipFill>
                        <pic:spPr>
                          <a:xfrm rot="0">
                            <a:off x="0" y="0"/>
                            <a:ext cx="797051" cy="521208"/>
                          </a:xfrm>
                          <a:prstGeom prst="rect">
                            <a:avLst/>
                          </a:prstGeom>
                        </pic:spPr>
                      </pic:pic>
                    </a:graphicData>
                  </a:graphic>
                </wp:inline>
              </w:drawing>
            </w:r>
          </w:p>
        </w:tc>
        <w:tc>
          <w:tcPr>
            <w:tcW w:w="4352" w:type="dxa"/>
            <w:vAlign w:val="top"/>
            <w:gridSpan w:val="3"/>
            <w:tcBorders>
              <w:left w:val="nil"/>
            </w:tcBorders>
          </w:tcPr>
          <w:p>
            <w:pPr>
              <w:spacing w:line="275" w:lineRule="auto"/>
              <w:rPr>
                <w:rFonts w:ascii="Arial"/>
                <w:sz w:val="21"/>
              </w:rPr>
            </w:pPr>
            <w:r/>
          </w:p>
          <w:p>
            <w:pPr>
              <w:pStyle w:val="TableText"/>
              <w:ind w:left="1582"/>
              <w:spacing w:before="78" w:line="219" w:lineRule="auto"/>
              <w:rPr/>
            </w:pPr>
            <w:r>
              <w:rPr>
                <w:rFonts w:ascii="Times New Roman" w:hAnsi="Times New Roman" w:eastAsia="Times New Roman" w:cs="Times New Roman"/>
                <w:spacing w:val="-5"/>
              </w:rPr>
              <w:t>2023 </w:t>
            </w:r>
            <w:r>
              <w:rPr>
                <w:spacing w:val="-5"/>
              </w:rPr>
              <w:t>年</w:t>
            </w:r>
            <w:r>
              <w:rPr>
                <w:spacing w:val="-30"/>
              </w:rPr>
              <w:t xml:space="preserve"> </w:t>
            </w:r>
            <w:r>
              <w:rPr>
                <w:rFonts w:ascii="Times New Roman" w:hAnsi="Times New Roman" w:eastAsia="Times New Roman" w:cs="Times New Roman"/>
                <w:spacing w:val="-5"/>
              </w:rPr>
              <w:t>12</w:t>
            </w:r>
            <w:r>
              <w:rPr>
                <w:rFonts w:ascii="Times New Roman" w:hAnsi="Times New Roman" w:eastAsia="Times New Roman" w:cs="Times New Roman"/>
                <w:spacing w:val="15"/>
                <w:w w:val="101"/>
              </w:rPr>
              <w:t xml:space="preserve"> </w:t>
            </w:r>
            <w:r>
              <w:rPr>
                <w:spacing w:val="-5"/>
              </w:rPr>
              <w:t>月</w:t>
            </w:r>
            <w:r>
              <w:rPr>
                <w:spacing w:val="-57"/>
              </w:rPr>
              <w:t xml:space="preserve"> </w:t>
            </w:r>
            <w:r>
              <w:rPr>
                <w:rFonts w:ascii="Times New Roman" w:hAnsi="Times New Roman" w:eastAsia="Times New Roman" w:cs="Times New Roman"/>
                <w:spacing w:val="-5"/>
              </w:rPr>
              <w:t>4  </w:t>
            </w:r>
            <w:r>
              <w:rPr>
                <w:spacing w:val="-5"/>
              </w:rPr>
              <w:t>日</w:t>
            </w:r>
          </w:p>
        </w:tc>
      </w:tr>
    </w:tbl>
    <w:p>
      <w:pPr>
        <w:pStyle w:val="BodyText"/>
        <w:rPr/>
      </w:pPr>
      <w:r/>
    </w:p>
    <w:p>
      <w:pPr>
        <w:sectPr>
          <w:pgSz w:w="11906" w:h="16839"/>
          <w:pgMar w:top="400" w:right="884" w:bottom="0" w:left="883" w:header="0" w:footer="0" w:gutter="0"/>
        </w:sectPr>
        <w:rPr/>
      </w:pPr>
    </w:p>
    <w:p>
      <w:pPr>
        <w:pStyle w:val="BodyText"/>
        <w:spacing w:line="268" w:lineRule="auto"/>
        <w:rPr/>
      </w:pPr>
      <w:r/>
    </w:p>
    <w:p>
      <w:pPr>
        <w:pStyle w:val="BodyText"/>
        <w:spacing w:line="269" w:lineRule="auto"/>
        <w:rPr/>
      </w:pPr>
      <w:r/>
    </w:p>
    <w:p>
      <w:pPr>
        <w:pStyle w:val="BodyText"/>
        <w:spacing w:line="269" w:lineRule="auto"/>
        <w:rPr/>
      </w:pPr>
      <w:r/>
    </w:p>
    <w:p>
      <w:pPr>
        <w:pStyle w:val="BodyText"/>
        <w:spacing w:line="269" w:lineRule="auto"/>
        <w:rPr/>
      </w:pPr>
      <w:r/>
    </w:p>
    <w:p>
      <w:pPr>
        <w:ind w:left="869"/>
        <w:spacing w:before="98" w:line="219" w:lineRule="auto"/>
        <w:rPr>
          <w:rFonts w:ascii="SimSun" w:hAnsi="SimSun" w:eastAsia="SimSun" w:cs="SimSun"/>
          <w:sz w:val="30"/>
          <w:szCs w:val="30"/>
        </w:rPr>
      </w:pPr>
      <w:r>
        <w:rPr>
          <w:rFonts w:ascii="SimSun" w:hAnsi="SimSun" w:eastAsia="SimSun" w:cs="SimSun"/>
          <w:sz w:val="30"/>
          <w:szCs w:val="30"/>
          <w14:textOutline w14:w="5448" w14:cap="sq" w14:cmpd="sng">
            <w14:solidFill>
              <w14:srgbClr w14:val="000000"/>
            </w14:solidFill>
            <w14:prstDash w14:val="solid"/>
            <w14:bevel/>
          </w14:textOutline>
        </w:rPr>
        <w:t>《呼图壁县丰收塑料制品厂农用地膜加工项目》技术审查意见表</w:t>
      </w:r>
    </w:p>
    <w:p>
      <w:pPr>
        <w:spacing w:line="106" w:lineRule="exact"/>
        <w:rPr/>
      </w:pPr>
      <w:r/>
    </w:p>
    <w:tbl>
      <w:tblPr>
        <w:tblStyle w:val="TableNormal"/>
        <w:tblW w:w="1013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71"/>
        <w:gridCol w:w="661"/>
        <w:gridCol w:w="623"/>
        <w:gridCol w:w="1327"/>
        <w:gridCol w:w="1251"/>
        <w:gridCol w:w="1604"/>
        <w:gridCol w:w="893"/>
        <w:gridCol w:w="1073"/>
        <w:gridCol w:w="1330"/>
      </w:tblGrid>
      <w:tr>
        <w:trPr>
          <w:trHeight w:val="633" w:hRule="atLeast"/>
        </w:trPr>
        <w:tc>
          <w:tcPr>
            <w:tcW w:w="1371" w:type="dxa"/>
            <w:vAlign w:val="top"/>
          </w:tcPr>
          <w:p>
            <w:pPr>
              <w:pStyle w:val="TableText"/>
              <w:ind w:left="272"/>
              <w:spacing w:before="212" w:line="228" w:lineRule="auto"/>
              <w:rPr>
                <w:sz w:val="20"/>
                <w:szCs w:val="20"/>
              </w:rPr>
            </w:pPr>
            <w:r>
              <w:rPr>
                <w:sz w:val="20"/>
                <w:szCs w:val="20"/>
                <w:spacing w:val="7"/>
              </w:rPr>
              <w:t>专家姓名</w:t>
            </w:r>
          </w:p>
        </w:tc>
        <w:tc>
          <w:tcPr>
            <w:tcW w:w="1284" w:type="dxa"/>
            <w:vAlign w:val="top"/>
            <w:gridSpan w:val="2"/>
          </w:tcPr>
          <w:p>
            <w:pPr>
              <w:ind w:left="359"/>
              <w:spacing w:before="198" w:line="222" w:lineRule="auto"/>
              <w:rPr>
                <w:rFonts w:ascii="FangSong" w:hAnsi="FangSong" w:eastAsia="FangSong" w:cs="FangSong"/>
                <w:sz w:val="24"/>
                <w:szCs w:val="24"/>
              </w:rPr>
            </w:pPr>
            <w:r>
              <w:rPr>
                <w:rFonts w:ascii="FangSong" w:hAnsi="FangSong" w:eastAsia="FangSong" w:cs="FangSong"/>
                <w:sz w:val="24"/>
                <w:szCs w:val="24"/>
                <w:spacing w:val="-8"/>
              </w:rPr>
              <w:t>袁新杰</w:t>
            </w:r>
          </w:p>
        </w:tc>
        <w:tc>
          <w:tcPr>
            <w:tcW w:w="1327" w:type="dxa"/>
            <w:vAlign w:val="top"/>
          </w:tcPr>
          <w:p>
            <w:pPr>
              <w:pStyle w:val="TableText"/>
              <w:ind w:left="221"/>
              <w:spacing w:before="212" w:line="228" w:lineRule="auto"/>
              <w:rPr>
                <w:sz w:val="20"/>
                <w:szCs w:val="20"/>
              </w:rPr>
            </w:pPr>
            <w:r>
              <w:rPr>
                <w:sz w:val="20"/>
                <w:szCs w:val="20"/>
                <w:spacing w:val="6"/>
              </w:rPr>
              <w:t>职务</w:t>
            </w:r>
            <w:r>
              <w:rPr>
                <w:rFonts w:ascii="Times New Roman" w:hAnsi="Times New Roman" w:eastAsia="Times New Roman" w:cs="Times New Roman"/>
                <w:sz w:val="20"/>
                <w:szCs w:val="20"/>
                <w:spacing w:val="6"/>
              </w:rPr>
              <w:t>/</w:t>
            </w:r>
            <w:r>
              <w:rPr>
                <w:sz w:val="20"/>
                <w:szCs w:val="20"/>
                <w:spacing w:val="6"/>
              </w:rPr>
              <w:t>职称</w:t>
            </w:r>
          </w:p>
        </w:tc>
        <w:tc>
          <w:tcPr>
            <w:tcW w:w="1251" w:type="dxa"/>
            <w:vAlign w:val="top"/>
          </w:tcPr>
          <w:p>
            <w:pPr>
              <w:pStyle w:val="TableText"/>
              <w:ind w:left="426"/>
              <w:spacing w:before="212" w:line="228" w:lineRule="auto"/>
              <w:rPr>
                <w:sz w:val="20"/>
                <w:szCs w:val="20"/>
              </w:rPr>
            </w:pPr>
            <w:r>
              <w:rPr>
                <w:sz w:val="20"/>
                <w:szCs w:val="20"/>
                <w:spacing w:val="2"/>
              </w:rPr>
              <w:t>正高</w:t>
            </w:r>
          </w:p>
        </w:tc>
        <w:tc>
          <w:tcPr>
            <w:tcW w:w="1604" w:type="dxa"/>
            <w:vAlign w:val="top"/>
          </w:tcPr>
          <w:p>
            <w:pPr>
              <w:pStyle w:val="TableText"/>
              <w:ind w:left="497" w:right="169" w:hanging="317"/>
              <w:spacing w:before="55" w:line="259" w:lineRule="auto"/>
              <w:rPr>
                <w:sz w:val="20"/>
                <w:szCs w:val="20"/>
              </w:rPr>
            </w:pPr>
            <w:r>
              <w:rPr>
                <w:sz w:val="20"/>
                <w:szCs w:val="20"/>
                <w:spacing w:val="8"/>
              </w:rPr>
              <w:t>专家单位及联</w:t>
            </w:r>
            <w:r>
              <w:rPr>
                <w:sz w:val="20"/>
                <w:szCs w:val="20"/>
              </w:rPr>
              <w:t xml:space="preserve"> </w:t>
            </w:r>
            <w:r>
              <w:rPr>
                <w:sz w:val="20"/>
                <w:szCs w:val="20"/>
                <w:spacing w:val="4"/>
              </w:rPr>
              <w:t>系方式</w:t>
            </w:r>
          </w:p>
        </w:tc>
        <w:tc>
          <w:tcPr>
            <w:tcW w:w="3296" w:type="dxa"/>
            <w:vAlign w:val="top"/>
            <w:gridSpan w:val="3"/>
          </w:tcPr>
          <w:p>
            <w:pPr>
              <w:ind w:left="341"/>
              <w:spacing w:before="198" w:line="222" w:lineRule="auto"/>
              <w:rPr>
                <w:rFonts w:ascii="FangSong" w:hAnsi="FangSong" w:eastAsia="FangSong" w:cs="FangSong"/>
                <w:sz w:val="24"/>
                <w:szCs w:val="24"/>
              </w:rPr>
            </w:pPr>
            <w:r>
              <w:rPr>
                <w:rFonts w:ascii="FangSong" w:hAnsi="FangSong" w:eastAsia="FangSong" w:cs="FangSong"/>
                <w:sz w:val="24"/>
                <w:szCs w:val="24"/>
                <w:spacing w:val="-1"/>
              </w:rPr>
              <w:t>新疆环科院/13999136805</w:t>
            </w:r>
          </w:p>
        </w:tc>
      </w:tr>
      <w:tr>
        <w:trPr>
          <w:trHeight w:val="656" w:hRule="atLeast"/>
        </w:trPr>
        <w:tc>
          <w:tcPr>
            <w:tcW w:w="1371" w:type="dxa"/>
            <w:vAlign w:val="top"/>
          </w:tcPr>
          <w:p>
            <w:pPr>
              <w:pStyle w:val="TableText"/>
              <w:ind w:left="482" w:right="264" w:hanging="208"/>
              <w:spacing w:before="64" w:line="259" w:lineRule="auto"/>
              <w:rPr>
                <w:sz w:val="20"/>
                <w:szCs w:val="20"/>
              </w:rPr>
            </w:pPr>
            <w:r>
              <w:rPr>
                <w:sz w:val="20"/>
                <w:szCs w:val="20"/>
                <w:spacing w:val="6"/>
              </w:rPr>
              <w:t>建设单位</w:t>
            </w:r>
            <w:r>
              <w:rPr>
                <w:sz w:val="20"/>
                <w:szCs w:val="20"/>
                <w:spacing w:val="2"/>
              </w:rPr>
              <w:t xml:space="preserve"> </w:t>
            </w:r>
            <w:r>
              <w:rPr>
                <w:sz w:val="20"/>
                <w:szCs w:val="20"/>
                <w:spacing w:val="3"/>
              </w:rPr>
              <w:t>名称</w:t>
            </w:r>
          </w:p>
        </w:tc>
        <w:tc>
          <w:tcPr>
            <w:tcW w:w="2611" w:type="dxa"/>
            <w:vAlign w:val="top"/>
            <w:gridSpan w:val="3"/>
          </w:tcPr>
          <w:p>
            <w:pPr>
              <w:pStyle w:val="TableText"/>
              <w:ind w:left="165"/>
              <w:spacing w:before="220" w:line="228" w:lineRule="auto"/>
              <w:rPr>
                <w:sz w:val="20"/>
                <w:szCs w:val="20"/>
              </w:rPr>
            </w:pPr>
            <w:r>
              <w:rPr>
                <w:sz w:val="20"/>
                <w:szCs w:val="20"/>
                <w:spacing w:val="8"/>
              </w:rPr>
              <w:t>呼图壁县丰收塑料制品厂</w:t>
            </w:r>
          </w:p>
        </w:tc>
        <w:tc>
          <w:tcPr>
            <w:tcW w:w="1251" w:type="dxa"/>
            <w:vAlign w:val="top"/>
          </w:tcPr>
          <w:p>
            <w:pPr>
              <w:pStyle w:val="TableText"/>
              <w:ind w:left="212" w:right="204" w:hanging="1"/>
              <w:spacing w:before="64" w:line="258" w:lineRule="auto"/>
              <w:rPr>
                <w:sz w:val="20"/>
                <w:szCs w:val="20"/>
              </w:rPr>
            </w:pPr>
            <w:r>
              <w:rPr>
                <w:sz w:val="20"/>
                <w:szCs w:val="20"/>
                <w:spacing w:val="7"/>
              </w:rPr>
              <w:t>环评编制</w:t>
            </w:r>
            <w:r>
              <w:rPr>
                <w:sz w:val="20"/>
                <w:szCs w:val="20"/>
              </w:rPr>
              <w:t xml:space="preserve"> </w:t>
            </w:r>
            <w:r>
              <w:rPr>
                <w:sz w:val="20"/>
                <w:szCs w:val="20"/>
                <w:spacing w:val="6"/>
              </w:rPr>
              <w:t>单位名称</w:t>
            </w:r>
          </w:p>
        </w:tc>
        <w:tc>
          <w:tcPr>
            <w:tcW w:w="4900" w:type="dxa"/>
            <w:vAlign w:val="top"/>
            <w:gridSpan w:val="4"/>
          </w:tcPr>
          <w:p>
            <w:pPr>
              <w:pStyle w:val="TableText"/>
              <w:ind w:left="637"/>
              <w:spacing w:before="185" w:line="222" w:lineRule="auto"/>
              <w:rPr>
                <w:sz w:val="28"/>
                <w:szCs w:val="28"/>
              </w:rPr>
            </w:pPr>
            <w:r>
              <w:rPr>
                <w:sz w:val="20"/>
                <w:szCs w:val="20"/>
                <w:spacing w:val="8"/>
              </w:rPr>
              <w:t>乌鲁木齐汇翔达工程咨询服务有限公</w:t>
            </w:r>
            <w:r>
              <w:rPr>
                <w:sz w:val="28"/>
                <w:szCs w:val="28"/>
                <w:spacing w:val="8"/>
              </w:rPr>
              <w:t>司</w:t>
            </w:r>
          </w:p>
        </w:tc>
      </w:tr>
      <w:tr>
        <w:trPr>
          <w:trHeight w:val="8540" w:hRule="atLeast"/>
        </w:trPr>
        <w:tc>
          <w:tcPr>
            <w:tcW w:w="1371" w:type="dxa"/>
            <w:vAlign w:val="top"/>
          </w:tcPr>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281" w:right="264" w:hanging="9"/>
              <w:spacing w:before="65" w:line="258" w:lineRule="auto"/>
              <w:rPr>
                <w:sz w:val="20"/>
                <w:szCs w:val="20"/>
              </w:rPr>
            </w:pPr>
            <w:r>
              <w:rPr>
                <w:sz w:val="20"/>
                <w:szCs w:val="20"/>
                <w:spacing w:val="7"/>
              </w:rPr>
              <w:t>专家技术</w:t>
            </w:r>
            <w:r>
              <w:rPr>
                <w:sz w:val="20"/>
                <w:szCs w:val="20"/>
              </w:rPr>
              <w:t xml:space="preserve"> </w:t>
            </w:r>
            <w:r>
              <w:rPr>
                <w:sz w:val="20"/>
                <w:szCs w:val="20"/>
                <w:spacing w:val="4"/>
              </w:rPr>
              <w:t>审查意见</w:t>
            </w:r>
          </w:p>
        </w:tc>
        <w:tc>
          <w:tcPr>
            <w:tcW w:w="8762" w:type="dxa"/>
            <w:vAlign w:val="top"/>
            <w:gridSpan w:val="8"/>
          </w:tcPr>
          <w:p>
            <w:pPr>
              <w:pStyle w:val="TableText"/>
              <w:ind w:right="12"/>
              <w:spacing w:before="116" w:line="468" w:lineRule="exact"/>
              <w:jc w:val="right"/>
              <w:rPr/>
            </w:pPr>
            <w:r>
              <w:rPr>
                <w:rFonts w:ascii="FangSong" w:hAnsi="FangSong" w:eastAsia="FangSong" w:cs="FangSong"/>
                <w14:textOutline w14:w="4358" w14:cap="sq" w14:cmpd="sng">
                  <w14:solidFill>
                    <w14:srgbClr w14:val="000000"/>
                  </w14:solidFill>
                  <w14:prstDash w14:val="solid"/>
                  <w14:bevel/>
                </w14:textOutline>
                <w:spacing w:val="-3"/>
                <w:position w:val="17"/>
              </w:rPr>
              <w:t>一</w:t>
            </w:r>
            <w:r>
              <w:rPr>
                <w:spacing w:val="-3"/>
                <w:position w:val="17"/>
              </w:rPr>
              <w:t>、补充本项目与 与《</w:t>
            </w:r>
            <w:r>
              <w:rPr>
                <w:spacing w:val="76"/>
                <w:position w:val="17"/>
              </w:rPr>
              <w:t xml:space="preserve"> </w:t>
            </w:r>
            <w:r>
              <w:rPr>
                <w:spacing w:val="-3"/>
                <w:position w:val="17"/>
              </w:rPr>
              <w:t>昌吉回族自治州生态环境保护与建设“ 十四五</w:t>
            </w:r>
            <w:r>
              <w:rPr>
                <w:spacing w:val="-88"/>
                <w:position w:val="17"/>
              </w:rPr>
              <w:t xml:space="preserve"> </w:t>
            </w:r>
            <w:r>
              <w:rPr>
                <w:spacing w:val="-3"/>
                <w:position w:val="17"/>
              </w:rPr>
              <w:t>”</w:t>
            </w:r>
            <w:r>
              <w:rPr>
                <w:spacing w:val="-21"/>
                <w:position w:val="17"/>
              </w:rPr>
              <w:t xml:space="preserve"> </w:t>
            </w:r>
            <w:r>
              <w:rPr>
                <w:spacing w:val="-3"/>
                <w:position w:val="17"/>
              </w:rPr>
              <w:t>规划》</w:t>
            </w:r>
          </w:p>
          <w:p>
            <w:pPr>
              <w:pStyle w:val="TableText"/>
              <w:ind w:left="133"/>
              <w:spacing w:line="219" w:lineRule="auto"/>
              <w:rPr/>
            </w:pPr>
            <w:r>
              <w:rPr>
                <w:spacing w:val="-4"/>
              </w:rPr>
              <w:t>的符合性分析内容。</w:t>
            </w:r>
          </w:p>
          <w:p>
            <w:pPr>
              <w:pStyle w:val="TableText"/>
              <w:ind w:left="117"/>
              <w:spacing w:before="261" w:line="219" w:lineRule="auto"/>
              <w:rPr/>
            </w:pPr>
            <w:r>
              <w:rPr>
                <w:spacing w:val="-4"/>
              </w:rPr>
              <w:t>二、项目</w:t>
            </w:r>
            <w:r>
              <w:rPr>
                <w:spacing w:val="-17"/>
              </w:rPr>
              <w:t xml:space="preserve"> </w:t>
            </w:r>
            <w:r>
              <w:rPr>
                <w:spacing w:val="-4"/>
              </w:rPr>
              <w:t>1</w:t>
            </w:r>
            <w:r>
              <w:rPr>
                <w:spacing w:val="-45"/>
              </w:rPr>
              <w:t xml:space="preserve"> </w:t>
            </w:r>
            <w:r>
              <w:rPr>
                <w:spacing w:val="-4"/>
              </w:rPr>
              <w:t>月-3</w:t>
            </w:r>
            <w:r>
              <w:rPr>
                <w:spacing w:val="-45"/>
              </w:rPr>
              <w:t xml:space="preserve"> </w:t>
            </w:r>
            <w:r>
              <w:rPr>
                <w:spacing w:val="-4"/>
              </w:rPr>
              <w:t>月生产，供暖如何解决应说明。</w:t>
            </w:r>
          </w:p>
          <w:p>
            <w:pPr>
              <w:pStyle w:val="TableText"/>
              <w:ind w:left="114"/>
              <w:spacing w:before="135" w:line="219" w:lineRule="auto"/>
              <w:rPr/>
            </w:pPr>
            <w:r>
              <w:rPr/>
              <w:t>三、大气环境质量现状监测数据应采用呼图壁县</w:t>
            </w:r>
            <w:r>
              <w:rPr>
                <w:spacing w:val="-1"/>
              </w:rPr>
              <w:t>相关监测数据。请核实。</w:t>
            </w:r>
          </w:p>
          <w:p>
            <w:pPr>
              <w:pStyle w:val="TableText"/>
              <w:ind w:left="136"/>
              <w:spacing w:before="116" w:line="401" w:lineRule="exact"/>
              <w:rPr/>
            </w:pPr>
            <w:r>
              <w:rPr>
                <w:spacing w:val="-4"/>
                <w:position w:val="11"/>
              </w:rPr>
              <w:t>四、在总量控制标准中，表述为本项目无《新疆维吾尔自治区生态环境保护“十四</w:t>
            </w:r>
          </w:p>
          <w:p>
            <w:pPr>
              <w:pStyle w:val="TableText"/>
              <w:ind w:left="117"/>
              <w:spacing w:line="219" w:lineRule="auto"/>
              <w:rPr/>
            </w:pPr>
            <w:r>
              <w:rPr>
                <w:spacing w:val="-3"/>
              </w:rPr>
              <w:t>五</w:t>
            </w:r>
            <w:r>
              <w:rPr>
                <w:spacing w:val="-75"/>
              </w:rPr>
              <w:t xml:space="preserve"> </w:t>
            </w:r>
            <w:r>
              <w:rPr>
                <w:spacing w:val="-3"/>
              </w:rPr>
              <w:t>”规划》总量控制指标内容有误。请核实。</w:t>
            </w:r>
          </w:p>
          <w:p>
            <w:pPr>
              <w:pStyle w:val="TableText"/>
              <w:ind w:left="117"/>
              <w:spacing w:before="113" w:line="401" w:lineRule="exact"/>
              <w:rPr/>
            </w:pPr>
            <w:r>
              <w:rPr>
                <w:spacing w:val="-3"/>
                <w:position w:val="11"/>
              </w:rPr>
              <w:t>五、采用活性炭吸附去除非甲烷总烃，要分析说明活性炭随吸附时间延长其</w:t>
            </w:r>
            <w:r>
              <w:rPr>
                <w:spacing w:val="-4"/>
                <w:position w:val="11"/>
              </w:rPr>
              <w:t>吸附效</w:t>
            </w:r>
          </w:p>
          <w:p>
            <w:pPr>
              <w:pStyle w:val="TableText"/>
              <w:ind w:left="116"/>
              <w:spacing w:before="1" w:line="218" w:lineRule="auto"/>
              <w:rPr/>
            </w:pPr>
            <w:r>
              <w:rPr>
                <w:spacing w:val="-1"/>
              </w:rPr>
              <w:t>率是否会降低，能否保证非甲烷总烃持续稳定达标排放。请核实。</w:t>
            </w:r>
          </w:p>
          <w:p>
            <w:pPr>
              <w:pStyle w:val="TableText"/>
              <w:ind w:left="116"/>
              <w:spacing w:before="116" w:line="219" w:lineRule="auto"/>
              <w:rPr/>
            </w:pPr>
            <w:r>
              <w:rPr>
                <w:spacing w:val="1"/>
              </w:rPr>
              <w:t>六、废气治理设施是否为可行性技术应依据《</w:t>
            </w:r>
            <w:r>
              <w:rPr/>
              <w:t>排污许可证申请与核发技术规范 橡</w:t>
            </w:r>
          </w:p>
          <w:p>
            <w:pPr>
              <w:pStyle w:val="TableText"/>
              <w:ind w:left="113"/>
              <w:spacing w:before="114" w:line="218" w:lineRule="auto"/>
              <w:rPr/>
            </w:pPr>
            <w:r>
              <w:rPr/>
              <w:t>胶和塑料制品工业》（HJ1122—2020）相</w:t>
            </w:r>
            <w:r>
              <w:rPr>
                <w:spacing w:val="-1"/>
              </w:rPr>
              <w:t>关要求进行分析说明。</w:t>
            </w:r>
          </w:p>
          <w:p>
            <w:pPr>
              <w:pStyle w:val="TableText"/>
              <w:ind w:left="113" w:right="108"/>
              <w:spacing w:before="37" w:line="230" w:lineRule="auto"/>
              <w:rPr/>
            </w:pPr>
            <w:r>
              <w:rPr>
                <w:spacing w:val="-3"/>
              </w:rPr>
              <w:t>七、危险废物暂存间依托可行性分析中，应分析说明废活性炭产生量及最大占地面</w:t>
            </w:r>
            <w:r>
              <w:rPr>
                <w:spacing w:val="2"/>
              </w:rPr>
              <w:t xml:space="preserve"> </w:t>
            </w:r>
            <w:r>
              <w:rPr>
                <w:spacing w:val="-2"/>
              </w:rPr>
              <w:t>积（空间</w:t>
            </w:r>
            <w:r>
              <w:rPr>
                <w:spacing w:val="13"/>
              </w:rPr>
              <w:t>），</w:t>
            </w:r>
            <w:r>
              <w:rPr>
                <w:spacing w:val="-2"/>
              </w:rPr>
              <w:t>能否保证全部暂存于危废暂存间。</w:t>
            </w:r>
          </w:p>
          <w:p>
            <w:pPr>
              <w:pStyle w:val="TableText"/>
              <w:ind w:left="117"/>
              <w:spacing w:before="106" w:line="401" w:lineRule="exact"/>
              <w:rPr/>
            </w:pPr>
            <w:r>
              <w:rPr>
                <w:spacing w:val="-3"/>
                <w:position w:val="11"/>
              </w:rPr>
              <w:t>八、监测计划应增加厂区内非甲烷监测项目，执行《挥发性有机物无组织排</w:t>
            </w:r>
            <w:r>
              <w:rPr>
                <w:spacing w:val="-4"/>
                <w:position w:val="11"/>
              </w:rPr>
              <w:t>放控制</w:t>
            </w:r>
          </w:p>
          <w:p>
            <w:pPr>
              <w:pStyle w:val="TableText"/>
              <w:ind w:left="115"/>
              <w:spacing w:line="220" w:lineRule="auto"/>
              <w:rPr/>
            </w:pPr>
            <w:r>
              <w:rPr>
                <w:spacing w:val="-1"/>
              </w:rPr>
              <w:t>标准》（GB37822-2019）相关要求。</w:t>
            </w:r>
          </w:p>
        </w:tc>
      </w:tr>
      <w:tr>
        <w:trPr>
          <w:trHeight w:val="619" w:hRule="atLeast"/>
        </w:trPr>
        <w:tc>
          <w:tcPr>
            <w:tcW w:w="1371" w:type="dxa"/>
            <w:vAlign w:val="top"/>
          </w:tcPr>
          <w:p>
            <w:pPr>
              <w:pStyle w:val="TableText"/>
              <w:ind w:left="272" w:right="264" w:hanging="1"/>
              <w:spacing w:before="69" w:line="239" w:lineRule="auto"/>
              <w:rPr>
                <w:sz w:val="20"/>
                <w:szCs w:val="20"/>
              </w:rPr>
            </w:pPr>
            <w:r>
              <w:rPr>
                <w:sz w:val="20"/>
                <w:szCs w:val="20"/>
                <w:spacing w:val="7"/>
              </w:rPr>
              <w:t>环评报告</w:t>
            </w:r>
            <w:r>
              <w:rPr>
                <w:sz w:val="20"/>
                <w:szCs w:val="20"/>
              </w:rPr>
              <w:t xml:space="preserve"> </w:t>
            </w:r>
            <w:r>
              <w:rPr>
                <w:sz w:val="20"/>
                <w:szCs w:val="20"/>
                <w:spacing w:val="6"/>
              </w:rPr>
              <w:t>编制质量</w:t>
            </w:r>
          </w:p>
        </w:tc>
        <w:tc>
          <w:tcPr>
            <w:tcW w:w="6359" w:type="dxa"/>
            <w:vAlign w:val="top"/>
            <w:gridSpan w:val="6"/>
          </w:tcPr>
          <w:p>
            <w:pPr>
              <w:rPr>
                <w:rFonts w:ascii="Arial"/>
                <w:sz w:val="21"/>
              </w:rPr>
            </w:pPr>
            <w:r/>
          </w:p>
        </w:tc>
        <w:tc>
          <w:tcPr>
            <w:tcW w:w="1073" w:type="dxa"/>
            <w:vAlign w:val="top"/>
          </w:tcPr>
          <w:p>
            <w:pPr>
              <w:pStyle w:val="TableText"/>
              <w:ind w:left="118" w:right="102"/>
              <w:spacing w:before="36" w:line="239" w:lineRule="auto"/>
              <w:rPr>
                <w:sz w:val="20"/>
                <w:szCs w:val="20"/>
              </w:rPr>
            </w:pPr>
            <w:r>
              <w:rPr>
                <w:sz w:val="20"/>
                <w:szCs w:val="20"/>
                <w:spacing w:val="11"/>
              </w:rPr>
              <w:t>打分（百</w:t>
            </w:r>
            <w:r>
              <w:rPr>
                <w:sz w:val="20"/>
                <w:szCs w:val="20"/>
              </w:rPr>
              <w:t xml:space="preserve"> </w:t>
            </w:r>
            <w:r>
              <w:rPr>
                <w:sz w:val="20"/>
                <w:szCs w:val="20"/>
                <w:spacing w:val="2"/>
              </w:rPr>
              <w:t>分制）</w:t>
            </w:r>
          </w:p>
        </w:tc>
        <w:tc>
          <w:tcPr>
            <w:tcW w:w="1330" w:type="dxa"/>
            <w:vAlign w:val="top"/>
          </w:tcPr>
          <w:p>
            <w:pPr>
              <w:rPr>
                <w:rFonts w:ascii="Arial"/>
                <w:sz w:val="21"/>
              </w:rPr>
            </w:pPr>
            <w:r/>
          </w:p>
        </w:tc>
      </w:tr>
      <w:tr>
        <w:trPr>
          <w:trHeight w:val="1385" w:hRule="atLeast"/>
        </w:trPr>
        <w:tc>
          <w:tcPr>
            <w:tcW w:w="1371" w:type="dxa"/>
            <w:vAlign w:val="top"/>
          </w:tcPr>
          <w:p>
            <w:pPr>
              <w:pStyle w:val="TableText"/>
              <w:ind w:left="165"/>
              <w:spacing w:before="180" w:line="228" w:lineRule="auto"/>
              <w:rPr>
                <w:sz w:val="20"/>
                <w:szCs w:val="20"/>
              </w:rPr>
            </w:pPr>
            <w:r>
              <w:rPr>
                <w:sz w:val="20"/>
                <w:szCs w:val="20"/>
                <w:spacing w:val="8"/>
              </w:rPr>
              <w:t>对该项目环</w:t>
            </w:r>
          </w:p>
          <w:p>
            <w:pPr>
              <w:pStyle w:val="TableText"/>
              <w:ind w:left="167"/>
              <w:spacing w:before="24" w:line="228" w:lineRule="auto"/>
              <w:rPr>
                <w:sz w:val="20"/>
                <w:szCs w:val="20"/>
              </w:rPr>
            </w:pPr>
            <w:r>
              <w:rPr>
                <w:sz w:val="20"/>
                <w:szCs w:val="20"/>
                <w:spacing w:val="7"/>
              </w:rPr>
              <w:t>境保护审批</w:t>
            </w:r>
          </w:p>
          <w:p>
            <w:pPr>
              <w:pStyle w:val="TableText"/>
              <w:ind w:left="167"/>
              <w:spacing w:before="25" w:line="228" w:lineRule="auto"/>
              <w:rPr>
                <w:sz w:val="20"/>
                <w:szCs w:val="20"/>
              </w:rPr>
            </w:pPr>
            <w:r>
              <w:rPr>
                <w:sz w:val="20"/>
                <w:szCs w:val="20"/>
                <w:spacing w:val="7"/>
              </w:rPr>
              <w:t>有关技术问</w:t>
            </w:r>
          </w:p>
          <w:p>
            <w:pPr>
              <w:pStyle w:val="TableText"/>
              <w:ind w:left="271"/>
              <w:spacing w:before="27" w:line="228" w:lineRule="auto"/>
              <w:rPr>
                <w:sz w:val="20"/>
                <w:szCs w:val="20"/>
              </w:rPr>
            </w:pPr>
            <w:r>
              <w:rPr>
                <w:sz w:val="20"/>
                <w:szCs w:val="20"/>
                <w:spacing w:val="7"/>
              </w:rPr>
              <w:t>题的建议</w:t>
            </w:r>
          </w:p>
        </w:tc>
        <w:tc>
          <w:tcPr>
            <w:tcW w:w="8762" w:type="dxa"/>
            <w:vAlign w:val="top"/>
            <w:gridSpan w:val="8"/>
          </w:tcPr>
          <w:p>
            <w:pPr>
              <w:rPr>
                <w:rFonts w:ascii="Arial"/>
                <w:sz w:val="21"/>
              </w:rPr>
            </w:pPr>
            <w:r/>
          </w:p>
        </w:tc>
      </w:tr>
      <w:tr>
        <w:trPr>
          <w:trHeight w:val="945" w:hRule="atLeast"/>
        </w:trPr>
        <w:tc>
          <w:tcPr>
            <w:tcW w:w="1371" w:type="dxa"/>
            <w:vAlign w:val="top"/>
          </w:tcPr>
          <w:p>
            <w:pPr>
              <w:spacing w:line="302" w:lineRule="auto"/>
              <w:rPr>
                <w:rFonts w:ascii="Arial"/>
                <w:sz w:val="21"/>
              </w:rPr>
            </w:pPr>
            <w:r/>
          </w:p>
          <w:p>
            <w:pPr>
              <w:pStyle w:val="TableText"/>
              <w:ind w:left="272"/>
              <w:spacing w:before="65" w:line="228" w:lineRule="auto"/>
              <w:rPr>
                <w:sz w:val="20"/>
                <w:szCs w:val="20"/>
              </w:rPr>
            </w:pPr>
            <w:r>
              <w:rPr>
                <w:sz w:val="20"/>
                <w:szCs w:val="20"/>
                <w:spacing w:val="7"/>
              </w:rPr>
              <w:t>专家签字</w:t>
            </w:r>
          </w:p>
        </w:tc>
        <w:tc>
          <w:tcPr>
            <w:tcW w:w="661" w:type="dxa"/>
            <w:vAlign w:val="top"/>
            <w:tcBorders>
              <w:right w:val="nil"/>
            </w:tcBorders>
          </w:tcPr>
          <w:p>
            <w:pPr>
              <w:spacing w:line="261" w:lineRule="auto"/>
              <w:rPr>
                <w:rFonts w:ascii="Arial"/>
                <w:sz w:val="21"/>
              </w:rPr>
            </w:pPr>
            <w:r/>
          </w:p>
          <w:p>
            <w:pPr>
              <w:spacing w:line="262" w:lineRule="auto"/>
              <w:rPr>
                <w:rFonts w:ascii="Arial"/>
                <w:sz w:val="21"/>
              </w:rPr>
            </w:pPr>
            <w:r/>
          </w:p>
          <w:p>
            <w:pPr>
              <w:pStyle w:val="TableText"/>
              <w:spacing w:before="65" w:line="228" w:lineRule="auto"/>
              <w:jc w:val="right"/>
              <w:rPr>
                <w:sz w:val="20"/>
                <w:szCs w:val="20"/>
              </w:rPr>
            </w:pPr>
            <w:r>
              <w:rPr>
                <w:sz w:val="20"/>
                <w:szCs w:val="20"/>
                <w:spacing w:val="-19"/>
              </w:rPr>
              <w:t>姓名：</w:t>
            </w:r>
          </w:p>
        </w:tc>
        <w:tc>
          <w:tcPr>
            <w:tcW w:w="1950" w:type="dxa"/>
            <w:vAlign w:val="top"/>
            <w:gridSpan w:val="2"/>
            <w:tcBorders>
              <w:left w:val="nil"/>
              <w:right w:val="nil"/>
            </w:tcBorders>
          </w:tcPr>
          <w:p>
            <w:pPr>
              <w:ind w:firstLine="75"/>
              <w:spacing w:before="111" w:line="660" w:lineRule="exact"/>
              <w:rPr/>
            </w:pPr>
            <w:r>
              <w:rPr>
                <w:position w:val="-13"/>
              </w:rPr>
              <w:drawing>
                <wp:inline distT="0" distB="0" distL="0" distR="0">
                  <wp:extent cx="926592" cy="419100"/>
                  <wp:effectExtent l="0" t="0" r="0" b="0"/>
                  <wp:docPr id="20" name="IM 20"/>
                  <wp:cNvGraphicFramePr/>
                  <a:graphic>
                    <a:graphicData uri="http://schemas.openxmlformats.org/drawingml/2006/picture">
                      <pic:pic>
                        <pic:nvPicPr>
                          <pic:cNvPr id="20" name="IM 20"/>
                          <pic:cNvPicPr/>
                        </pic:nvPicPr>
                        <pic:blipFill>
                          <a:blip r:embed="rId13"/>
                          <a:stretch>
                            <a:fillRect/>
                          </a:stretch>
                        </pic:blipFill>
                        <pic:spPr>
                          <a:xfrm rot="0">
                            <a:off x="0" y="0"/>
                            <a:ext cx="926592" cy="419100"/>
                          </a:xfrm>
                          <a:prstGeom prst="rect">
                            <a:avLst/>
                          </a:prstGeom>
                        </pic:spPr>
                      </pic:pic>
                    </a:graphicData>
                  </a:graphic>
                </wp:inline>
              </w:drawing>
            </w:r>
          </w:p>
        </w:tc>
        <w:tc>
          <w:tcPr>
            <w:tcW w:w="6151" w:type="dxa"/>
            <w:vAlign w:val="top"/>
            <w:gridSpan w:val="5"/>
            <w:tcBorders>
              <w:left w:val="nil"/>
            </w:tcBorders>
          </w:tcPr>
          <w:p>
            <w:pPr>
              <w:spacing w:line="261" w:lineRule="auto"/>
              <w:rPr>
                <w:rFonts w:ascii="Arial"/>
                <w:sz w:val="21"/>
              </w:rPr>
            </w:pPr>
            <w:r/>
          </w:p>
          <w:p>
            <w:pPr>
              <w:spacing w:line="262" w:lineRule="auto"/>
              <w:rPr>
                <w:rFonts w:ascii="Arial"/>
                <w:sz w:val="21"/>
              </w:rPr>
            </w:pPr>
            <w:r/>
          </w:p>
          <w:p>
            <w:pPr>
              <w:pStyle w:val="TableText"/>
              <w:ind w:left="3579"/>
              <w:spacing w:before="65" w:line="228" w:lineRule="auto"/>
              <w:rPr>
                <w:sz w:val="20"/>
                <w:szCs w:val="20"/>
              </w:rPr>
            </w:pPr>
            <w:r>
              <w:rPr>
                <w:rFonts w:ascii="Times New Roman" w:hAnsi="Times New Roman" w:eastAsia="Times New Roman" w:cs="Times New Roman"/>
                <w:sz w:val="20"/>
                <w:szCs w:val="20"/>
                <w:spacing w:val="-1"/>
              </w:rPr>
              <w:t>2023</w:t>
            </w:r>
            <w:r>
              <w:rPr>
                <w:rFonts w:ascii="Times New Roman" w:hAnsi="Times New Roman" w:eastAsia="Times New Roman" w:cs="Times New Roman"/>
                <w:sz w:val="20"/>
                <w:szCs w:val="20"/>
                <w:spacing w:val="8"/>
              </w:rPr>
              <w:t xml:space="preserve">  </w:t>
            </w:r>
            <w:r>
              <w:rPr>
                <w:sz w:val="20"/>
                <w:szCs w:val="20"/>
                <w:spacing w:val="-1"/>
              </w:rPr>
              <w:t>年</w:t>
            </w:r>
            <w:r>
              <w:rPr>
                <w:sz w:val="20"/>
                <w:szCs w:val="20"/>
                <w:spacing w:val="-23"/>
              </w:rPr>
              <w:t xml:space="preserve"> </w:t>
            </w:r>
            <w:r>
              <w:rPr>
                <w:rFonts w:ascii="Times New Roman" w:hAnsi="Times New Roman" w:eastAsia="Times New Roman" w:cs="Times New Roman"/>
                <w:sz w:val="20"/>
                <w:szCs w:val="20"/>
                <w:spacing w:val="-1"/>
              </w:rPr>
              <w:t>12</w:t>
            </w:r>
            <w:r>
              <w:rPr>
                <w:rFonts w:ascii="Times New Roman" w:hAnsi="Times New Roman" w:eastAsia="Times New Roman" w:cs="Times New Roman"/>
                <w:sz w:val="20"/>
                <w:szCs w:val="20"/>
                <w:spacing w:val="15"/>
              </w:rPr>
              <w:t xml:space="preserve"> </w:t>
            </w:r>
            <w:r>
              <w:rPr>
                <w:sz w:val="20"/>
                <w:szCs w:val="20"/>
                <w:spacing w:val="-1"/>
              </w:rPr>
              <w:t>月</w:t>
            </w:r>
            <w:r>
              <w:rPr>
                <w:sz w:val="20"/>
                <w:szCs w:val="20"/>
                <w:spacing w:val="-37"/>
              </w:rPr>
              <w:t xml:space="preserve"> </w:t>
            </w: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spacing w:val="46"/>
                <w:w w:val="101"/>
              </w:rPr>
              <w:t xml:space="preserve"> </w:t>
            </w:r>
            <w:r>
              <w:rPr>
                <w:sz w:val="20"/>
                <w:szCs w:val="20"/>
                <w:spacing w:val="-1"/>
              </w:rPr>
              <w:t>日</w:t>
            </w:r>
          </w:p>
        </w:tc>
      </w:tr>
    </w:tbl>
    <w:p>
      <w:pPr>
        <w:pStyle w:val="BodyText"/>
        <w:rPr/>
      </w:pPr>
      <w:r/>
    </w:p>
    <w:p>
      <w:pPr>
        <w:sectPr>
          <w:pgSz w:w="11906" w:h="16839"/>
          <w:pgMar w:top="400" w:right="884" w:bottom="0" w:left="883" w:header="0" w:footer="0" w:gutter="0"/>
        </w:sectPr>
        <w:rPr/>
      </w:pPr>
    </w:p>
    <w:p>
      <w:pPr>
        <w:pStyle w:val="BodyText"/>
        <w:spacing w:line="268" w:lineRule="auto"/>
        <w:rPr/>
      </w:pPr>
      <w:r/>
    </w:p>
    <w:p>
      <w:pPr>
        <w:pStyle w:val="BodyText"/>
        <w:spacing w:line="269" w:lineRule="auto"/>
        <w:rPr/>
      </w:pPr>
      <w:r/>
    </w:p>
    <w:p>
      <w:pPr>
        <w:pStyle w:val="BodyText"/>
        <w:spacing w:line="269" w:lineRule="auto"/>
        <w:rPr/>
      </w:pPr>
      <w:r/>
    </w:p>
    <w:p>
      <w:pPr>
        <w:pStyle w:val="BodyText"/>
        <w:spacing w:line="269" w:lineRule="auto"/>
        <w:rPr/>
      </w:pPr>
      <w:r/>
    </w:p>
    <w:p>
      <w:pPr>
        <w:ind w:left="869"/>
        <w:spacing w:before="97" w:line="624" w:lineRule="exact"/>
        <w:rPr>
          <w:rFonts w:ascii="SimSun" w:hAnsi="SimSun" w:eastAsia="SimSun" w:cs="SimSun"/>
          <w:sz w:val="30"/>
          <w:szCs w:val="30"/>
        </w:rPr>
      </w:pPr>
      <w:r>
        <w:rPr>
          <w:rFonts w:ascii="SimSun" w:hAnsi="SimSun" w:eastAsia="SimSun" w:cs="SimSun"/>
          <w:sz w:val="30"/>
          <w:szCs w:val="30"/>
          <w14:textOutline w14:w="5448" w14:cap="sq" w14:cmpd="sng">
            <w14:solidFill>
              <w14:srgbClr w14:val="000000"/>
            </w14:solidFill>
            <w14:prstDash w14:val="solid"/>
            <w14:bevel/>
          </w14:textOutline>
          <w:position w:val="24"/>
        </w:rPr>
        <w:t>《呼图壁县丰收塑料制品厂农用地膜加工项目环境影响报告表》</w:t>
      </w:r>
    </w:p>
    <w:p>
      <w:pPr>
        <w:ind w:left="4028"/>
        <w:spacing w:line="219" w:lineRule="auto"/>
        <w:rPr>
          <w:rFonts w:ascii="SimSun" w:hAnsi="SimSun" w:eastAsia="SimSun" w:cs="SimSun"/>
          <w:sz w:val="30"/>
          <w:szCs w:val="30"/>
        </w:rPr>
      </w:pPr>
      <w:r>
        <w:rPr>
          <w:rFonts w:ascii="SimSun" w:hAnsi="SimSun" w:eastAsia="SimSun" w:cs="SimSun"/>
          <w:sz w:val="30"/>
          <w:szCs w:val="30"/>
          <w14:textOutline w14:w="5448" w14:cap="sq" w14:cmpd="sng">
            <w14:solidFill>
              <w14:srgbClr w14:val="000000"/>
            </w14:solidFill>
            <w14:prstDash w14:val="solid"/>
            <w14:bevel/>
          </w14:textOutline>
          <w:spacing w:val="-1"/>
        </w:rPr>
        <w:t>技术审查意见表</w:t>
      </w:r>
    </w:p>
    <w:p>
      <w:pPr>
        <w:spacing w:line="106" w:lineRule="exact"/>
        <w:rPr/>
      </w:pPr>
      <w:r/>
    </w:p>
    <w:tbl>
      <w:tblPr>
        <w:tblStyle w:val="TableNormal"/>
        <w:tblW w:w="1013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71"/>
        <w:gridCol w:w="864"/>
        <w:gridCol w:w="420"/>
        <w:gridCol w:w="1327"/>
        <w:gridCol w:w="1251"/>
        <w:gridCol w:w="1604"/>
        <w:gridCol w:w="893"/>
        <w:gridCol w:w="1073"/>
        <w:gridCol w:w="1336"/>
      </w:tblGrid>
      <w:tr>
        <w:trPr>
          <w:trHeight w:val="633" w:hRule="atLeast"/>
        </w:trPr>
        <w:tc>
          <w:tcPr>
            <w:tcW w:w="1371" w:type="dxa"/>
            <w:vAlign w:val="top"/>
          </w:tcPr>
          <w:p>
            <w:pPr>
              <w:pStyle w:val="TableText"/>
              <w:ind w:left="272"/>
              <w:spacing w:before="212" w:line="228" w:lineRule="auto"/>
              <w:rPr>
                <w:sz w:val="20"/>
                <w:szCs w:val="20"/>
              </w:rPr>
            </w:pPr>
            <w:r>
              <w:rPr>
                <w:sz w:val="20"/>
                <w:szCs w:val="20"/>
                <w:spacing w:val="7"/>
              </w:rPr>
              <w:t>专家姓名</w:t>
            </w:r>
          </w:p>
        </w:tc>
        <w:tc>
          <w:tcPr>
            <w:tcW w:w="1284" w:type="dxa"/>
            <w:vAlign w:val="top"/>
            <w:gridSpan w:val="2"/>
          </w:tcPr>
          <w:p>
            <w:pPr>
              <w:pStyle w:val="TableText"/>
              <w:ind w:left="441"/>
              <w:spacing w:before="212" w:line="228" w:lineRule="auto"/>
              <w:rPr>
                <w:sz w:val="20"/>
                <w:szCs w:val="20"/>
              </w:rPr>
            </w:pPr>
            <w:r>
              <w:rPr>
                <w:sz w:val="20"/>
                <w:szCs w:val="20"/>
                <w:spacing w:val="2"/>
              </w:rPr>
              <w:t>张涛</w:t>
            </w:r>
          </w:p>
        </w:tc>
        <w:tc>
          <w:tcPr>
            <w:tcW w:w="1327" w:type="dxa"/>
            <w:vAlign w:val="top"/>
          </w:tcPr>
          <w:p>
            <w:pPr>
              <w:pStyle w:val="TableText"/>
              <w:ind w:left="221"/>
              <w:spacing w:before="212" w:line="228" w:lineRule="auto"/>
              <w:rPr>
                <w:sz w:val="20"/>
                <w:szCs w:val="20"/>
              </w:rPr>
            </w:pPr>
            <w:r>
              <w:rPr>
                <w:sz w:val="20"/>
                <w:szCs w:val="20"/>
                <w:spacing w:val="6"/>
              </w:rPr>
              <w:t>职务</w:t>
            </w:r>
            <w:r>
              <w:rPr>
                <w:rFonts w:ascii="Times New Roman" w:hAnsi="Times New Roman" w:eastAsia="Times New Roman" w:cs="Times New Roman"/>
                <w:sz w:val="20"/>
                <w:szCs w:val="20"/>
                <w:spacing w:val="6"/>
              </w:rPr>
              <w:t>/</w:t>
            </w:r>
            <w:r>
              <w:rPr>
                <w:sz w:val="20"/>
                <w:szCs w:val="20"/>
                <w:spacing w:val="6"/>
              </w:rPr>
              <w:t>职称</w:t>
            </w:r>
          </w:p>
        </w:tc>
        <w:tc>
          <w:tcPr>
            <w:tcW w:w="1251" w:type="dxa"/>
            <w:vAlign w:val="top"/>
          </w:tcPr>
          <w:p>
            <w:pPr>
              <w:pStyle w:val="TableText"/>
              <w:ind w:left="427" w:right="172" w:hanging="244"/>
              <w:spacing w:before="56" w:line="258" w:lineRule="auto"/>
              <w:rPr>
                <w:sz w:val="20"/>
                <w:szCs w:val="20"/>
              </w:rPr>
            </w:pPr>
            <w:r>
              <w:rPr>
                <w:sz w:val="20"/>
                <w:szCs w:val="20"/>
                <w:spacing w:val="6"/>
              </w:rPr>
              <w:t>技术总监</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spacing w:val="2"/>
              </w:rPr>
              <w:t xml:space="preserve"> </w:t>
            </w:r>
            <w:r>
              <w:rPr>
                <w:sz w:val="20"/>
                <w:szCs w:val="20"/>
                <w:spacing w:val="2"/>
              </w:rPr>
              <w:t>高工</w:t>
            </w:r>
          </w:p>
        </w:tc>
        <w:tc>
          <w:tcPr>
            <w:tcW w:w="1604" w:type="dxa"/>
            <w:vAlign w:val="top"/>
          </w:tcPr>
          <w:p>
            <w:pPr>
              <w:pStyle w:val="TableText"/>
              <w:ind w:left="497" w:right="169" w:hanging="317"/>
              <w:spacing w:before="55" w:line="259" w:lineRule="auto"/>
              <w:rPr>
                <w:sz w:val="20"/>
                <w:szCs w:val="20"/>
              </w:rPr>
            </w:pPr>
            <w:r>
              <w:rPr>
                <w:sz w:val="20"/>
                <w:szCs w:val="20"/>
                <w:spacing w:val="8"/>
              </w:rPr>
              <w:t>专家单位及联</w:t>
            </w:r>
            <w:r>
              <w:rPr>
                <w:sz w:val="20"/>
                <w:szCs w:val="20"/>
              </w:rPr>
              <w:t xml:space="preserve"> </w:t>
            </w:r>
            <w:r>
              <w:rPr>
                <w:sz w:val="20"/>
                <w:szCs w:val="20"/>
                <w:spacing w:val="5"/>
              </w:rPr>
              <w:t>系方式</w:t>
            </w:r>
          </w:p>
        </w:tc>
        <w:tc>
          <w:tcPr>
            <w:tcW w:w="3302" w:type="dxa"/>
            <w:vAlign w:val="top"/>
            <w:gridSpan w:val="3"/>
          </w:tcPr>
          <w:p>
            <w:pPr>
              <w:pStyle w:val="TableText"/>
              <w:ind w:left="1092" w:right="392" w:hanging="697"/>
              <w:spacing w:before="56" w:line="262" w:lineRule="auto"/>
              <w:rPr>
                <w:rFonts w:ascii="Times New Roman" w:hAnsi="Times New Roman" w:eastAsia="Times New Roman" w:cs="Times New Roman"/>
                <w:sz w:val="20"/>
                <w:szCs w:val="20"/>
              </w:rPr>
            </w:pPr>
            <w:r>
              <w:rPr>
                <w:sz w:val="20"/>
                <w:szCs w:val="20"/>
                <w:spacing w:val="9"/>
              </w:rPr>
              <w:t>新疆鼎耀工程咨询有限公司</w:t>
            </w:r>
            <w:r>
              <w:rPr>
                <w:sz w:val="20"/>
                <w:szCs w:val="20"/>
              </w:rPr>
              <w:t xml:space="preserve"> </w:t>
            </w:r>
            <w:r>
              <w:rPr>
                <w:rFonts w:ascii="Times New Roman" w:hAnsi="Times New Roman" w:eastAsia="Times New Roman" w:cs="Times New Roman"/>
                <w:sz w:val="20"/>
                <w:szCs w:val="20"/>
                <w:spacing w:val="2"/>
              </w:rPr>
              <w:t>13699372668</w:t>
            </w:r>
          </w:p>
        </w:tc>
      </w:tr>
      <w:tr>
        <w:trPr>
          <w:trHeight w:val="656" w:hRule="atLeast"/>
        </w:trPr>
        <w:tc>
          <w:tcPr>
            <w:tcW w:w="1371" w:type="dxa"/>
            <w:vAlign w:val="top"/>
          </w:tcPr>
          <w:p>
            <w:pPr>
              <w:pStyle w:val="TableText"/>
              <w:ind w:left="482" w:right="264" w:hanging="208"/>
              <w:spacing w:before="64" w:line="259" w:lineRule="auto"/>
              <w:rPr>
                <w:sz w:val="20"/>
                <w:szCs w:val="20"/>
              </w:rPr>
            </w:pPr>
            <w:r>
              <w:rPr>
                <w:sz w:val="20"/>
                <w:szCs w:val="20"/>
                <w:spacing w:val="6"/>
              </w:rPr>
              <w:t>建设单位</w:t>
            </w:r>
            <w:r>
              <w:rPr>
                <w:sz w:val="20"/>
                <w:szCs w:val="20"/>
                <w:spacing w:val="2"/>
              </w:rPr>
              <w:t xml:space="preserve"> </w:t>
            </w:r>
            <w:r>
              <w:rPr>
                <w:sz w:val="20"/>
                <w:szCs w:val="20"/>
                <w:spacing w:val="3"/>
              </w:rPr>
              <w:t>名称</w:t>
            </w:r>
          </w:p>
        </w:tc>
        <w:tc>
          <w:tcPr>
            <w:tcW w:w="2611" w:type="dxa"/>
            <w:vAlign w:val="top"/>
            <w:gridSpan w:val="3"/>
          </w:tcPr>
          <w:p>
            <w:pPr>
              <w:pStyle w:val="TableText"/>
              <w:ind w:left="165"/>
              <w:spacing w:before="220" w:line="228" w:lineRule="auto"/>
              <w:rPr>
                <w:sz w:val="20"/>
                <w:szCs w:val="20"/>
              </w:rPr>
            </w:pPr>
            <w:r>
              <w:rPr>
                <w:sz w:val="20"/>
                <w:szCs w:val="20"/>
                <w:spacing w:val="8"/>
              </w:rPr>
              <w:t>呼图壁县丰收塑料制品厂</w:t>
            </w:r>
          </w:p>
        </w:tc>
        <w:tc>
          <w:tcPr>
            <w:tcW w:w="1251" w:type="dxa"/>
            <w:vAlign w:val="top"/>
          </w:tcPr>
          <w:p>
            <w:pPr>
              <w:pStyle w:val="TableText"/>
              <w:ind w:left="212" w:right="204" w:hanging="1"/>
              <w:spacing w:before="64" w:line="258" w:lineRule="auto"/>
              <w:rPr>
                <w:sz w:val="20"/>
                <w:szCs w:val="20"/>
              </w:rPr>
            </w:pPr>
            <w:r>
              <w:rPr>
                <w:sz w:val="20"/>
                <w:szCs w:val="20"/>
                <w:spacing w:val="7"/>
              </w:rPr>
              <w:t>环评编制</w:t>
            </w:r>
            <w:r>
              <w:rPr>
                <w:sz w:val="20"/>
                <w:szCs w:val="20"/>
              </w:rPr>
              <w:t xml:space="preserve"> </w:t>
            </w:r>
            <w:r>
              <w:rPr>
                <w:sz w:val="20"/>
                <w:szCs w:val="20"/>
                <w:spacing w:val="6"/>
              </w:rPr>
              <w:t>单位名称</w:t>
            </w:r>
          </w:p>
        </w:tc>
        <w:tc>
          <w:tcPr>
            <w:tcW w:w="4906" w:type="dxa"/>
            <w:vAlign w:val="top"/>
            <w:gridSpan w:val="4"/>
          </w:tcPr>
          <w:p>
            <w:pPr>
              <w:pStyle w:val="TableText"/>
              <w:ind w:left="671"/>
              <w:spacing w:before="220" w:line="228" w:lineRule="auto"/>
              <w:rPr>
                <w:sz w:val="20"/>
                <w:szCs w:val="20"/>
              </w:rPr>
            </w:pPr>
            <w:r>
              <w:rPr>
                <w:sz w:val="20"/>
                <w:szCs w:val="20"/>
                <w:spacing w:val="9"/>
              </w:rPr>
              <w:t>乌鲁木齐汇翔达工程咨询服务有限公司</w:t>
            </w:r>
          </w:p>
        </w:tc>
      </w:tr>
      <w:tr>
        <w:trPr>
          <w:trHeight w:val="8741" w:hRule="atLeast"/>
        </w:trPr>
        <w:tc>
          <w:tcPr>
            <w:tcW w:w="1371"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281" w:right="264" w:hanging="9"/>
              <w:spacing w:before="65" w:line="258" w:lineRule="auto"/>
              <w:rPr>
                <w:sz w:val="20"/>
                <w:szCs w:val="20"/>
              </w:rPr>
            </w:pPr>
            <w:r>
              <w:rPr>
                <w:sz w:val="20"/>
                <w:szCs w:val="20"/>
                <w:spacing w:val="7"/>
              </w:rPr>
              <w:t>专家技术</w:t>
            </w:r>
            <w:r>
              <w:rPr>
                <w:sz w:val="20"/>
                <w:szCs w:val="20"/>
              </w:rPr>
              <w:t xml:space="preserve"> </w:t>
            </w:r>
            <w:r>
              <w:rPr>
                <w:sz w:val="20"/>
                <w:szCs w:val="20"/>
                <w:spacing w:val="4"/>
              </w:rPr>
              <w:t>审查意见</w:t>
            </w:r>
          </w:p>
        </w:tc>
        <w:tc>
          <w:tcPr>
            <w:tcW w:w="8768" w:type="dxa"/>
            <w:vAlign w:val="top"/>
            <w:gridSpan w:val="8"/>
          </w:tcPr>
          <w:p>
            <w:pPr>
              <w:pStyle w:val="TableText"/>
              <w:ind w:left="592"/>
              <w:spacing w:before="163" w:line="218" w:lineRule="auto"/>
              <w:rPr/>
            </w:pPr>
            <w:r>
              <w:rPr>
                <w:spacing w:val="-1"/>
              </w:rPr>
              <w:t>报告表需补充、修改完善的编制问题：</w:t>
            </w:r>
          </w:p>
          <w:p>
            <w:pPr>
              <w:pStyle w:val="TableText"/>
              <w:ind w:left="159" w:right="111" w:firstLine="452"/>
              <w:spacing w:before="176" w:line="354" w:lineRule="auto"/>
              <w:rPr/>
            </w:pPr>
            <w:r>
              <w:rPr>
                <w:rFonts w:ascii="Times New Roman" w:hAnsi="Times New Roman" w:eastAsia="Times New Roman" w:cs="Times New Roman"/>
                <w:spacing w:val="-3"/>
              </w:rPr>
              <w:t>1</w:t>
            </w:r>
            <w:r>
              <w:rPr>
                <w:spacing w:val="-3"/>
              </w:rPr>
              <w:t>、核实并完善报告中项目关于产业政策符合性分析的内容。报</w:t>
            </w:r>
            <w:r>
              <w:rPr>
                <w:spacing w:val="-4"/>
              </w:rPr>
              <w:t>告中提出</w:t>
            </w:r>
            <w:r>
              <w:rPr>
                <w:rFonts w:ascii="Times New Roman" w:hAnsi="Times New Roman" w:eastAsia="Times New Roman" w:cs="Times New Roman"/>
                <w:spacing w:val="-4"/>
              </w:rPr>
              <w:t>“</w:t>
            </w:r>
            <w:r>
              <w:rPr>
                <w:spacing w:val="-4"/>
              </w:rPr>
              <w:t>本项</w:t>
            </w:r>
            <w:r>
              <w:rPr/>
              <w:t xml:space="preserve"> </w:t>
            </w:r>
            <w:r>
              <w:rPr>
                <w:spacing w:val="-2"/>
              </w:rPr>
              <w:t>目农用地膜产品厚度为</w:t>
            </w:r>
            <w:r>
              <w:rPr>
                <w:spacing w:val="-54"/>
              </w:rPr>
              <w:t xml:space="preserve"> </w:t>
            </w:r>
            <w:r>
              <w:rPr>
                <w:rFonts w:ascii="Times New Roman" w:hAnsi="Times New Roman" w:eastAsia="Times New Roman" w:cs="Times New Roman"/>
                <w:spacing w:val="-2"/>
              </w:rPr>
              <w:t>0.004-0.08mm”</w:t>
            </w:r>
            <w:r>
              <w:rPr>
                <w:rFonts w:ascii="Times New Roman" w:hAnsi="Times New Roman" w:eastAsia="Times New Roman" w:cs="Times New Roman"/>
                <w:spacing w:val="-29"/>
              </w:rPr>
              <w:t xml:space="preserve"> </w:t>
            </w:r>
            <w:r>
              <w:rPr>
                <w:spacing w:val="-2"/>
              </w:rPr>
              <w:t>，结合产业政策的相应要求完善产业</w:t>
            </w:r>
            <w:r>
              <w:rPr>
                <w:spacing w:val="-3"/>
              </w:rPr>
              <w:t>政策的</w:t>
            </w:r>
          </w:p>
          <w:p>
            <w:pPr>
              <w:pStyle w:val="TableText"/>
              <w:ind w:left="116"/>
              <w:spacing w:line="219" w:lineRule="auto"/>
              <w:rPr/>
            </w:pPr>
            <w:r>
              <w:rPr>
                <w:spacing w:val="-3"/>
              </w:rPr>
              <w:t>符合性。</w:t>
            </w:r>
          </w:p>
          <w:p>
            <w:pPr>
              <w:pStyle w:val="TableText"/>
              <w:ind w:left="114" w:right="114" w:firstLine="475"/>
              <w:spacing w:before="174" w:line="354" w:lineRule="auto"/>
              <w:rPr/>
            </w:pPr>
            <w:r>
              <w:rPr>
                <w:rFonts w:ascii="Times New Roman" w:hAnsi="Times New Roman" w:eastAsia="Times New Roman" w:cs="Times New Roman"/>
              </w:rPr>
              <w:t>2</w:t>
            </w:r>
            <w:r>
              <w:rPr>
                <w:rFonts w:ascii="Times New Roman" w:hAnsi="Times New Roman" w:eastAsia="Times New Roman" w:cs="Times New Roman"/>
                <w:spacing w:val="-34"/>
              </w:rPr>
              <w:t xml:space="preserve"> </w:t>
            </w:r>
            <w:r>
              <w:rPr/>
              <w:t>、完善项目关于选址合理性分析的内容。报告中提出项</w:t>
            </w:r>
            <w:r>
              <w:rPr>
                <w:spacing w:val="-1"/>
              </w:rPr>
              <w:t>目用地为工业用地，</w:t>
            </w:r>
            <w:r>
              <w:rPr/>
              <w:t xml:space="preserve"> </w:t>
            </w:r>
            <w:r>
              <w:rPr>
                <w:spacing w:val="-3"/>
              </w:rPr>
              <w:t>应结合企业的土地、规划用地手续等的办理结果完善关于工业用地的论据支撑，并</w:t>
            </w:r>
          </w:p>
          <w:p>
            <w:pPr>
              <w:pStyle w:val="TableText"/>
              <w:ind w:left="114"/>
              <w:spacing w:line="218" w:lineRule="auto"/>
              <w:rPr/>
            </w:pPr>
            <w:r>
              <w:rPr>
                <w:spacing w:val="-1"/>
              </w:rPr>
              <w:t>补充必要的证明材料。</w:t>
            </w:r>
          </w:p>
          <w:p>
            <w:pPr>
              <w:pStyle w:val="TableText"/>
              <w:ind w:left="117" w:firstLine="470"/>
              <w:spacing w:before="176" w:line="354" w:lineRule="auto"/>
              <w:rPr/>
            </w:pPr>
            <w:r>
              <w:rPr>
                <w:rFonts w:ascii="Times New Roman" w:hAnsi="Times New Roman" w:eastAsia="Times New Roman" w:cs="Times New Roman"/>
                <w:spacing w:val="-5"/>
              </w:rPr>
              <w:t>3</w:t>
            </w:r>
            <w:r>
              <w:rPr>
                <w:rFonts w:ascii="Times New Roman" w:hAnsi="Times New Roman" w:eastAsia="Times New Roman" w:cs="Times New Roman"/>
                <w:spacing w:val="-20"/>
              </w:rPr>
              <w:t xml:space="preserve"> </w:t>
            </w:r>
            <w:r>
              <w:rPr>
                <w:spacing w:val="-5"/>
              </w:rPr>
              <w:t>、完善“是否开工建设</w:t>
            </w:r>
            <w:r>
              <w:rPr>
                <w:spacing w:val="-88"/>
              </w:rPr>
              <w:t xml:space="preserve"> </w:t>
            </w:r>
            <w:r>
              <w:rPr>
                <w:spacing w:val="-5"/>
              </w:rPr>
              <w:t>”的填写内容，按照技术指南“是否开工建设：填写</w:t>
            </w:r>
            <w:r>
              <w:rPr/>
              <w:t xml:space="preserve">   </w:t>
            </w:r>
            <w:r>
              <w:rPr>
                <w:spacing w:val="-8"/>
              </w:rPr>
              <w:t>是否开工建设。存在“未批先建</w:t>
            </w:r>
            <w:r>
              <w:rPr>
                <w:spacing w:val="-89"/>
              </w:rPr>
              <w:t xml:space="preserve"> </w:t>
            </w:r>
            <w:r>
              <w:rPr>
                <w:spacing w:val="-8"/>
              </w:rPr>
              <w:t>”违法行为的，填写已建设内容、处罚及执行</w:t>
            </w:r>
            <w:r>
              <w:rPr>
                <w:spacing w:val="-9"/>
              </w:rPr>
              <w:t>情况</w:t>
            </w:r>
            <w:r>
              <w:rPr>
                <w:spacing w:val="-89"/>
              </w:rPr>
              <w:t xml:space="preserve"> </w:t>
            </w:r>
            <w:r>
              <w:rPr>
                <w:spacing w:val="-9"/>
              </w:rPr>
              <w:t>”</w:t>
            </w:r>
          </w:p>
          <w:p>
            <w:pPr>
              <w:pStyle w:val="TableText"/>
              <w:ind w:left="133"/>
              <w:spacing w:line="219" w:lineRule="auto"/>
              <w:rPr/>
            </w:pPr>
            <w:r>
              <w:rPr>
                <w:spacing w:val="-6"/>
              </w:rPr>
              <w:t>的要求，完善填写相应内容。</w:t>
            </w:r>
          </w:p>
          <w:p>
            <w:pPr>
              <w:pStyle w:val="TableText"/>
              <w:ind w:left="588"/>
              <w:spacing w:before="176" w:line="458" w:lineRule="exact"/>
              <w:rPr/>
            </w:pPr>
            <w:r>
              <w:rPr>
                <w:rFonts w:ascii="Times New Roman" w:hAnsi="Times New Roman" w:eastAsia="Times New Roman" w:cs="Times New Roman"/>
                <w:position w:val="16"/>
              </w:rPr>
              <w:t>4</w:t>
            </w:r>
            <w:r>
              <w:rPr>
                <w:rFonts w:ascii="Times New Roman" w:hAnsi="Times New Roman" w:eastAsia="Times New Roman" w:cs="Times New Roman"/>
                <w:spacing w:val="-33"/>
                <w:position w:val="16"/>
              </w:rPr>
              <w:t xml:space="preserve"> </w:t>
            </w:r>
            <w:r>
              <w:rPr>
                <w:position w:val="16"/>
              </w:rPr>
              <w:t>、在完善项目建设性质的基础上，按照技术指南“改建、</w:t>
            </w:r>
            <w:r>
              <w:rPr>
                <w:spacing w:val="-1"/>
                <w:position w:val="16"/>
              </w:rPr>
              <w:t>扩建及技改项目应</w:t>
            </w:r>
          </w:p>
          <w:p>
            <w:pPr>
              <w:pStyle w:val="TableText"/>
              <w:ind w:left="117"/>
              <w:spacing w:before="1" w:line="219" w:lineRule="auto"/>
              <w:rPr/>
            </w:pPr>
            <w:r>
              <w:rPr>
                <w:spacing w:val="-2"/>
              </w:rPr>
              <w:t>说明原辅料及产品变化情况</w:t>
            </w:r>
            <w:r>
              <w:rPr>
                <w:spacing w:val="-70"/>
              </w:rPr>
              <w:t xml:space="preserve"> </w:t>
            </w:r>
            <w:r>
              <w:rPr>
                <w:spacing w:val="-2"/>
              </w:rPr>
              <w:t>”的填写，补充说明原辅料及产品变化情况。</w:t>
            </w:r>
          </w:p>
          <w:p>
            <w:pPr>
              <w:pStyle w:val="TableText"/>
              <w:ind w:left="596"/>
              <w:spacing w:before="175" w:line="461" w:lineRule="exact"/>
              <w:rPr/>
            </w:pPr>
            <w:r>
              <w:rPr>
                <w:rFonts w:ascii="Times New Roman" w:hAnsi="Times New Roman" w:eastAsia="Times New Roman" w:cs="Times New Roman"/>
                <w:position w:val="16"/>
              </w:rPr>
              <w:t>5</w:t>
            </w:r>
            <w:r>
              <w:rPr>
                <w:rFonts w:ascii="Times New Roman" w:hAnsi="Times New Roman" w:eastAsia="Times New Roman" w:cs="Times New Roman"/>
                <w:spacing w:val="-34"/>
                <w:position w:val="16"/>
              </w:rPr>
              <w:t xml:space="preserve"> </w:t>
            </w:r>
            <w:r>
              <w:rPr>
                <w:position w:val="16"/>
              </w:rPr>
              <w:t>、结合现有工程挥发性有机物污染治理设施情</w:t>
            </w:r>
            <w:r>
              <w:rPr>
                <w:spacing w:val="-1"/>
                <w:position w:val="16"/>
              </w:rPr>
              <w:t>况，完善现有工程环境问题的</w:t>
            </w:r>
          </w:p>
          <w:p>
            <w:pPr>
              <w:pStyle w:val="TableText"/>
              <w:spacing w:before="1" w:line="218" w:lineRule="auto"/>
              <w:jc w:val="right"/>
              <w:rPr/>
            </w:pPr>
            <w:r>
              <w:rPr>
                <w:spacing w:val="-7"/>
              </w:rPr>
              <w:t>调查及整改措施。结合项目厂区周边分布情况，完善生态环境</w:t>
            </w:r>
            <w:r>
              <w:rPr>
                <w:spacing w:val="-8"/>
              </w:rPr>
              <w:t>保护目标的调查内容。</w:t>
            </w:r>
          </w:p>
          <w:p>
            <w:pPr>
              <w:pStyle w:val="TableText"/>
              <w:ind w:left="595"/>
              <w:spacing w:before="174" w:line="461" w:lineRule="exact"/>
              <w:rPr/>
            </w:pPr>
            <w:r>
              <w:rPr>
                <w:rFonts w:ascii="Times New Roman" w:hAnsi="Times New Roman" w:eastAsia="Times New Roman" w:cs="Times New Roman"/>
                <w:spacing w:val="1"/>
                <w:position w:val="16"/>
              </w:rPr>
              <w:t>6</w:t>
            </w:r>
            <w:r>
              <w:rPr>
                <w:rFonts w:ascii="Times New Roman" w:hAnsi="Times New Roman" w:eastAsia="Times New Roman" w:cs="Times New Roman"/>
                <w:spacing w:val="-34"/>
                <w:position w:val="16"/>
              </w:rPr>
              <w:t xml:space="preserve"> </w:t>
            </w:r>
            <w:r>
              <w:rPr>
                <w:spacing w:val="1"/>
                <w:position w:val="16"/>
              </w:rPr>
              <w:t>、完善废气污染物排放控制标准。结合《合</w:t>
            </w:r>
            <w:r>
              <w:rPr>
                <w:position w:val="16"/>
              </w:rPr>
              <w:t>成树脂工业污染物排放标准》中</w:t>
            </w:r>
          </w:p>
          <w:p>
            <w:pPr>
              <w:pStyle w:val="TableText"/>
              <w:ind w:left="133"/>
              <w:spacing w:line="210" w:lineRule="auto"/>
              <w:rPr/>
            </w:pPr>
            <w:r>
              <w:rPr>
                <w:spacing w:val="-2"/>
              </w:rPr>
              <w:t>的“单位产品非甲烷总烃排放量 （</w:t>
            </w:r>
            <w:r>
              <w:rPr>
                <w:rFonts w:ascii="Times New Roman" w:hAnsi="Times New Roman" w:eastAsia="Times New Roman" w:cs="Times New Roman"/>
                <w:spacing w:val="-2"/>
              </w:rPr>
              <w:t>kg/</w:t>
            </w:r>
            <w:r>
              <w:rPr>
                <w:rFonts w:ascii="Times New Roman" w:hAnsi="Times New Roman" w:eastAsia="Times New Roman" w:cs="Times New Roman"/>
                <w:spacing w:val="-3"/>
              </w:rPr>
              <w:t>t</w:t>
            </w:r>
            <w:r>
              <w:rPr>
                <w:spacing w:val="-3"/>
              </w:rPr>
              <w:t>产品）”的限值要求完善相应的内容。</w:t>
            </w:r>
          </w:p>
          <w:p>
            <w:pPr>
              <w:pStyle w:val="TableText"/>
              <w:ind w:left="116" w:right="114" w:firstLine="477"/>
              <w:spacing w:before="187" w:line="354" w:lineRule="auto"/>
              <w:rPr/>
            </w:pPr>
            <w:r>
              <w:rPr>
                <w:rFonts w:ascii="Times New Roman" w:hAnsi="Times New Roman" w:eastAsia="Times New Roman" w:cs="Times New Roman"/>
              </w:rPr>
              <w:t>7</w:t>
            </w:r>
            <w:r>
              <w:rPr>
                <w:rFonts w:ascii="Times New Roman" w:hAnsi="Times New Roman" w:eastAsia="Times New Roman" w:cs="Times New Roman"/>
                <w:spacing w:val="-33"/>
              </w:rPr>
              <w:t xml:space="preserve"> </w:t>
            </w:r>
            <w:r>
              <w:rPr/>
              <w:t>、完善说明废气收集情况，完善废气污染治理</w:t>
            </w:r>
            <w:r>
              <w:rPr>
                <w:spacing w:val="-1"/>
              </w:rPr>
              <w:t>设施的可行技术分析，完善分</w:t>
            </w:r>
            <w:r>
              <w:rPr/>
              <w:t xml:space="preserve"> </w:t>
            </w:r>
            <w:r>
              <w:rPr>
                <w:spacing w:val="-3"/>
              </w:rPr>
              <w:t>析所采用的两级活性炭吸附装置净化处理挥发性有机物措施的合规性和有效性、稳</w:t>
            </w:r>
          </w:p>
          <w:p>
            <w:pPr>
              <w:pStyle w:val="TableText"/>
              <w:ind w:left="119"/>
              <w:spacing w:line="219" w:lineRule="auto"/>
              <w:rPr/>
            </w:pPr>
            <w:r>
              <w:rPr>
                <w:spacing w:val="-1"/>
              </w:rPr>
              <w:t>定达标的可行性，明确活性炭的充填和更换要求，完善废气污染物监测计划。</w:t>
            </w:r>
          </w:p>
        </w:tc>
      </w:tr>
      <w:tr>
        <w:trPr>
          <w:trHeight w:val="619" w:hRule="atLeast"/>
        </w:trPr>
        <w:tc>
          <w:tcPr>
            <w:tcW w:w="1371" w:type="dxa"/>
            <w:vAlign w:val="top"/>
          </w:tcPr>
          <w:p>
            <w:pPr>
              <w:pStyle w:val="TableText"/>
              <w:ind w:left="272" w:right="264" w:hanging="1"/>
              <w:spacing w:before="70" w:line="239" w:lineRule="auto"/>
              <w:rPr>
                <w:sz w:val="20"/>
                <w:szCs w:val="20"/>
              </w:rPr>
            </w:pPr>
            <w:r>
              <w:rPr>
                <w:sz w:val="20"/>
                <w:szCs w:val="20"/>
                <w:spacing w:val="7"/>
              </w:rPr>
              <w:t>环评报告</w:t>
            </w:r>
            <w:r>
              <w:rPr>
                <w:sz w:val="20"/>
                <w:szCs w:val="20"/>
              </w:rPr>
              <w:t xml:space="preserve"> </w:t>
            </w:r>
            <w:r>
              <w:rPr>
                <w:sz w:val="20"/>
                <w:szCs w:val="20"/>
                <w:spacing w:val="6"/>
              </w:rPr>
              <w:t>编制质量</w:t>
            </w:r>
          </w:p>
        </w:tc>
        <w:tc>
          <w:tcPr>
            <w:tcW w:w="6359" w:type="dxa"/>
            <w:vAlign w:val="top"/>
            <w:gridSpan w:val="6"/>
          </w:tcPr>
          <w:p>
            <w:pPr>
              <w:pStyle w:val="TableText"/>
              <w:spacing w:before="168" w:line="218" w:lineRule="auto"/>
              <w:jc w:val="right"/>
              <w:rPr/>
            </w:pPr>
            <w:r>
              <w:rPr>
                <w:spacing w:val="-11"/>
              </w:rPr>
              <w:t>报告表编制较规范，内容基本完整，评价结论基本可信。</w:t>
            </w:r>
          </w:p>
        </w:tc>
        <w:tc>
          <w:tcPr>
            <w:tcW w:w="1073" w:type="dxa"/>
            <w:vAlign w:val="top"/>
          </w:tcPr>
          <w:p>
            <w:pPr>
              <w:pStyle w:val="TableText"/>
              <w:ind w:left="118" w:right="102"/>
              <w:spacing w:before="37" w:line="239" w:lineRule="auto"/>
              <w:rPr>
                <w:sz w:val="20"/>
                <w:szCs w:val="20"/>
              </w:rPr>
            </w:pPr>
            <w:r>
              <w:rPr>
                <w:sz w:val="20"/>
                <w:szCs w:val="20"/>
                <w:spacing w:val="11"/>
              </w:rPr>
              <w:t>打分（百</w:t>
            </w:r>
            <w:r>
              <w:rPr>
                <w:sz w:val="20"/>
                <w:szCs w:val="20"/>
              </w:rPr>
              <w:t xml:space="preserve"> </w:t>
            </w:r>
            <w:r>
              <w:rPr>
                <w:sz w:val="20"/>
                <w:szCs w:val="20"/>
                <w:spacing w:val="2"/>
              </w:rPr>
              <w:t>分制）</w:t>
            </w:r>
          </w:p>
        </w:tc>
        <w:tc>
          <w:tcPr>
            <w:tcW w:w="1336" w:type="dxa"/>
            <w:vAlign w:val="top"/>
          </w:tcPr>
          <w:p>
            <w:pPr>
              <w:pStyle w:val="TableText"/>
              <w:ind w:left="646"/>
              <w:spacing w:before="71" w:line="187" w:lineRule="auto"/>
              <w:rPr>
                <w:sz w:val="20"/>
                <w:szCs w:val="20"/>
              </w:rPr>
            </w:pPr>
            <w:r>
              <w:rPr>
                <w:sz w:val="20"/>
                <w:szCs w:val="20"/>
                <w:spacing w:val="-2"/>
              </w:rPr>
              <w:t>75</w:t>
            </w:r>
          </w:p>
        </w:tc>
      </w:tr>
      <w:tr>
        <w:trPr>
          <w:trHeight w:val="1385" w:hRule="atLeast"/>
        </w:trPr>
        <w:tc>
          <w:tcPr>
            <w:tcW w:w="1371" w:type="dxa"/>
            <w:vAlign w:val="top"/>
          </w:tcPr>
          <w:p>
            <w:pPr>
              <w:pStyle w:val="TableText"/>
              <w:ind w:left="165"/>
              <w:spacing w:before="181" w:line="228" w:lineRule="auto"/>
              <w:rPr>
                <w:sz w:val="20"/>
                <w:szCs w:val="20"/>
              </w:rPr>
            </w:pPr>
            <w:r>
              <w:rPr>
                <w:sz w:val="20"/>
                <w:szCs w:val="20"/>
                <w:spacing w:val="8"/>
              </w:rPr>
              <w:t>对该项目环</w:t>
            </w:r>
          </w:p>
          <w:p>
            <w:pPr>
              <w:pStyle w:val="TableText"/>
              <w:ind w:left="167"/>
              <w:spacing w:before="26" w:line="228" w:lineRule="auto"/>
              <w:rPr>
                <w:sz w:val="20"/>
                <w:szCs w:val="20"/>
              </w:rPr>
            </w:pPr>
            <w:r>
              <w:rPr>
                <w:sz w:val="20"/>
                <w:szCs w:val="20"/>
                <w:spacing w:val="7"/>
              </w:rPr>
              <w:t>境保护审批</w:t>
            </w:r>
          </w:p>
          <w:p>
            <w:pPr>
              <w:pStyle w:val="TableText"/>
              <w:ind w:left="167"/>
              <w:spacing w:before="23" w:line="228" w:lineRule="auto"/>
              <w:rPr>
                <w:sz w:val="20"/>
                <w:szCs w:val="20"/>
              </w:rPr>
            </w:pPr>
            <w:r>
              <w:rPr>
                <w:sz w:val="20"/>
                <w:szCs w:val="20"/>
                <w:spacing w:val="7"/>
              </w:rPr>
              <w:t>有关技术问</w:t>
            </w:r>
          </w:p>
          <w:p>
            <w:pPr>
              <w:pStyle w:val="TableText"/>
              <w:ind w:left="271"/>
              <w:spacing w:before="27" w:line="228" w:lineRule="auto"/>
              <w:rPr>
                <w:sz w:val="20"/>
                <w:szCs w:val="20"/>
              </w:rPr>
            </w:pPr>
            <w:r>
              <w:rPr>
                <w:sz w:val="20"/>
                <w:szCs w:val="20"/>
                <w:spacing w:val="7"/>
              </w:rPr>
              <w:t>题的建议</w:t>
            </w:r>
          </w:p>
        </w:tc>
        <w:tc>
          <w:tcPr>
            <w:tcW w:w="8768" w:type="dxa"/>
            <w:vAlign w:val="top"/>
            <w:gridSpan w:val="8"/>
          </w:tcPr>
          <w:p>
            <w:pPr>
              <w:rPr>
                <w:rFonts w:ascii="Arial"/>
                <w:sz w:val="21"/>
              </w:rPr>
            </w:pPr>
            <w:r/>
          </w:p>
        </w:tc>
      </w:tr>
      <w:tr>
        <w:trPr>
          <w:trHeight w:val="590" w:hRule="atLeast"/>
        </w:trPr>
        <w:tc>
          <w:tcPr>
            <w:tcW w:w="1371" w:type="dxa"/>
            <w:vAlign w:val="top"/>
          </w:tcPr>
          <w:p>
            <w:pPr>
              <w:pStyle w:val="TableText"/>
              <w:ind w:left="272"/>
              <w:spacing w:before="191" w:line="228" w:lineRule="auto"/>
              <w:rPr>
                <w:sz w:val="20"/>
                <w:szCs w:val="20"/>
              </w:rPr>
            </w:pPr>
            <w:r>
              <w:rPr>
                <w:sz w:val="20"/>
                <w:szCs w:val="20"/>
                <w:spacing w:val="7"/>
              </w:rPr>
              <w:t>专家签字</w:t>
            </w:r>
          </w:p>
        </w:tc>
        <w:tc>
          <w:tcPr>
            <w:tcW w:w="864" w:type="dxa"/>
            <w:vAlign w:val="top"/>
            <w:tcBorders>
              <w:right w:val="nil"/>
            </w:tcBorders>
          </w:tcPr>
          <w:p>
            <w:pPr>
              <w:pStyle w:val="TableText"/>
              <w:ind w:left="112"/>
              <w:spacing w:before="57" w:line="228" w:lineRule="auto"/>
              <w:rPr>
                <w:sz w:val="20"/>
                <w:szCs w:val="20"/>
              </w:rPr>
            </w:pPr>
            <w:r>
              <w:rPr>
                <w:sz w:val="20"/>
                <w:szCs w:val="20"/>
                <w:spacing w:val="3"/>
              </w:rPr>
              <w:t>姓名：</w:t>
            </w:r>
          </w:p>
        </w:tc>
        <w:tc>
          <w:tcPr>
            <w:tcW w:w="1747" w:type="dxa"/>
            <w:vAlign w:val="top"/>
            <w:gridSpan w:val="2"/>
            <w:tcBorders>
              <w:left w:val="nil"/>
              <w:right w:val="nil"/>
            </w:tcBorders>
          </w:tcPr>
          <w:p>
            <w:pPr>
              <w:ind w:firstLine="277"/>
              <w:spacing w:line="580" w:lineRule="exact"/>
              <w:rPr/>
            </w:pPr>
            <w:r>
              <w:rPr>
                <w:position w:val="-11"/>
              </w:rPr>
              <w:drawing>
                <wp:inline distT="0" distB="0" distL="0" distR="0">
                  <wp:extent cx="571500" cy="368300"/>
                  <wp:effectExtent l="0" t="0" r="0" b="0"/>
                  <wp:docPr id="22" name="IM 22"/>
                  <wp:cNvGraphicFramePr/>
                  <a:graphic>
                    <a:graphicData uri="http://schemas.openxmlformats.org/drawingml/2006/picture">
                      <pic:pic>
                        <pic:nvPicPr>
                          <pic:cNvPr id="22" name="IM 22"/>
                          <pic:cNvPicPr/>
                        </pic:nvPicPr>
                        <pic:blipFill>
                          <a:blip r:embed="rId14"/>
                          <a:stretch>
                            <a:fillRect/>
                          </a:stretch>
                        </pic:blipFill>
                        <pic:spPr>
                          <a:xfrm rot="0">
                            <a:off x="0" y="0"/>
                            <a:ext cx="571500" cy="368300"/>
                          </a:xfrm>
                          <a:prstGeom prst="rect">
                            <a:avLst/>
                          </a:prstGeom>
                        </pic:spPr>
                      </pic:pic>
                    </a:graphicData>
                  </a:graphic>
                </wp:inline>
              </w:drawing>
            </w:r>
          </w:p>
        </w:tc>
        <w:tc>
          <w:tcPr>
            <w:tcW w:w="6157" w:type="dxa"/>
            <w:vAlign w:val="top"/>
            <w:gridSpan w:val="5"/>
            <w:tcBorders>
              <w:left w:val="nil"/>
            </w:tcBorders>
          </w:tcPr>
          <w:p>
            <w:pPr>
              <w:pStyle w:val="TableText"/>
              <w:ind w:left="3380"/>
              <w:spacing w:before="57" w:line="228" w:lineRule="auto"/>
              <w:rPr>
                <w:sz w:val="20"/>
                <w:szCs w:val="20"/>
              </w:rPr>
            </w:pPr>
            <w:r>
              <w:rPr>
                <w:rFonts w:ascii="Times New Roman" w:hAnsi="Times New Roman" w:eastAsia="Times New Roman" w:cs="Times New Roman"/>
                <w:sz w:val="20"/>
                <w:szCs w:val="20"/>
              </w:rPr>
              <w:t>2023 </w:t>
            </w:r>
            <w:r>
              <w:rPr>
                <w:sz w:val="20"/>
                <w:szCs w:val="20"/>
              </w:rPr>
              <w:t>年</w:t>
            </w:r>
            <w:r>
              <w:rPr>
                <w:sz w:val="20"/>
                <w:szCs w:val="20"/>
                <w:spacing w:val="-19"/>
              </w:rPr>
              <w:t xml:space="preserve"> </w:t>
            </w:r>
            <w:r>
              <w:rPr>
                <w:rFonts w:ascii="Times New Roman" w:hAnsi="Times New Roman" w:eastAsia="Times New Roman" w:cs="Times New Roman"/>
                <w:sz w:val="20"/>
                <w:szCs w:val="20"/>
              </w:rPr>
              <w:t>12</w:t>
            </w:r>
            <w:r>
              <w:rPr>
                <w:rFonts w:ascii="Times New Roman" w:hAnsi="Times New Roman" w:eastAsia="Times New Roman" w:cs="Times New Roman"/>
                <w:sz w:val="20"/>
                <w:szCs w:val="20"/>
                <w:spacing w:val="15"/>
              </w:rPr>
              <w:t xml:space="preserve"> </w:t>
            </w:r>
            <w:r>
              <w:rPr>
                <w:sz w:val="20"/>
                <w:szCs w:val="20"/>
              </w:rPr>
              <w:t>月</w:t>
            </w:r>
            <w:r>
              <w:rPr>
                <w:sz w:val="20"/>
                <w:szCs w:val="20"/>
                <w:spacing w:val="-42"/>
              </w:rPr>
              <w:t xml:space="preserve"> </w:t>
            </w:r>
            <w:r>
              <w:rPr>
                <w:rFonts w:ascii="Times New Roman" w:hAnsi="Times New Roman" w:eastAsia="Times New Roman" w:cs="Times New Roman"/>
                <w:sz w:val="20"/>
                <w:szCs w:val="20"/>
              </w:rPr>
              <w:t>4  </w:t>
            </w:r>
            <w:r>
              <w:rPr>
                <w:sz w:val="20"/>
                <w:szCs w:val="20"/>
              </w:rPr>
              <w:t>日</w:t>
            </w:r>
          </w:p>
        </w:tc>
      </w:tr>
    </w:tbl>
    <w:p>
      <w:pPr>
        <w:pStyle w:val="BodyText"/>
        <w:rPr/>
      </w:pPr>
      <w:r/>
    </w:p>
    <w:p>
      <w:pPr>
        <w:sectPr>
          <w:pgSz w:w="11906" w:h="16839"/>
          <w:pgMar w:top="400" w:right="877" w:bottom="0" w:left="883" w:header="0" w:footer="0" w:gutter="0"/>
        </w:sectPr>
        <w:rPr/>
      </w:pP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ind w:left="880"/>
        <w:spacing w:before="154" w:line="193" w:lineRule="auto"/>
        <w:rPr>
          <w:rFonts w:ascii="Microsoft YaHei" w:hAnsi="Microsoft YaHei" w:eastAsia="Microsoft YaHei" w:cs="Microsoft YaHei"/>
          <w:sz w:val="36"/>
          <w:szCs w:val="36"/>
        </w:rPr>
      </w:pPr>
      <w:r>
        <w:rPr>
          <w:rFonts w:ascii="Microsoft YaHei" w:hAnsi="Microsoft YaHei" w:eastAsia="Microsoft YaHei" w:cs="Microsoft YaHei"/>
          <w:sz w:val="36"/>
          <w:szCs w:val="36"/>
          <w:spacing w:val="-1"/>
        </w:rPr>
        <w:t>建设项目环境影响报告专家技术复核意见表</w:t>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ind w:left="3"/>
        <w:spacing w:before="101" w:line="224" w:lineRule="auto"/>
        <w:rPr>
          <w:rFonts w:ascii="SimSun" w:hAnsi="SimSun" w:eastAsia="SimSun" w:cs="SimSun"/>
          <w:sz w:val="31"/>
          <w:szCs w:val="31"/>
        </w:rPr>
      </w:pPr>
      <w:r>
        <w:rPr>
          <w:rFonts w:ascii="SimSun" w:hAnsi="SimSun" w:eastAsia="SimSun" w:cs="SimSun"/>
          <w:sz w:val="31"/>
          <w:szCs w:val="31"/>
          <w14:textOutline w14:w="5791" w14:cap="flat" w14:cmpd="sng">
            <w14:solidFill>
              <w14:srgbClr w14:val="000000"/>
            </w14:solidFill>
            <w14:prstDash w14:val="solid"/>
            <w14:miter w14:lim="10"/>
          </w14:textOutline>
          <w:spacing w:val="6"/>
        </w:rPr>
        <w:t>建设项目环境影响报告编制单位：</w:t>
      </w:r>
    </w:p>
    <w:p>
      <w:pPr>
        <w:pStyle w:val="BodyText"/>
        <w:spacing w:line="246" w:lineRule="auto"/>
        <w:rPr/>
      </w:pPr>
      <w:r/>
    </w:p>
    <w:p>
      <w:pPr>
        <w:spacing w:before="91" w:line="220" w:lineRule="auto"/>
        <w:rPr>
          <w:rFonts w:ascii="SimSun" w:hAnsi="SimSun" w:eastAsia="SimSun" w:cs="SimSun"/>
          <w:sz w:val="28"/>
          <w:szCs w:val="28"/>
        </w:rPr>
      </w:pPr>
      <w:r>
        <w:rPr>
          <w:rFonts w:ascii="SimSun" w:hAnsi="SimSun" w:eastAsia="SimSun" w:cs="SimSun"/>
          <w:sz w:val="28"/>
          <w:szCs w:val="28"/>
          <w:u w:val="single" w:color="auto"/>
          <w:spacing w:val="-20"/>
        </w:rPr>
        <w:t>乌鲁木齐汇翔达工程咨询服务有限公司</w:t>
      </w:r>
      <w:r>
        <w:rPr>
          <w:rFonts w:ascii="SimSun" w:hAnsi="SimSun" w:eastAsia="SimSun" w:cs="SimSun"/>
          <w:sz w:val="28"/>
          <w:szCs w:val="28"/>
          <w:u w:val="single" w:color="auto"/>
        </w:rPr>
        <w:t xml:space="preserve">                              </w:t>
      </w:r>
    </w:p>
    <w:p>
      <w:pPr>
        <w:ind w:left="3"/>
        <w:spacing w:before="312" w:line="224" w:lineRule="auto"/>
        <w:rPr>
          <w:rFonts w:ascii="SimSun" w:hAnsi="SimSun" w:eastAsia="SimSun" w:cs="SimSun"/>
          <w:sz w:val="31"/>
          <w:szCs w:val="31"/>
        </w:rPr>
      </w:pPr>
      <w:r>
        <w:rPr>
          <w:rFonts w:ascii="SimSun" w:hAnsi="SimSun" w:eastAsia="SimSun" w:cs="SimSun"/>
          <w:sz w:val="31"/>
          <w:szCs w:val="31"/>
          <w14:textOutline w14:w="5791" w14:cap="flat" w14:cmpd="sng">
            <w14:solidFill>
              <w14:srgbClr w14:val="000000"/>
            </w14:solidFill>
            <w14:prstDash w14:val="solid"/>
            <w14:miter w14:lim="10"/>
          </w14:textOutline>
          <w:spacing w:val="8"/>
        </w:rPr>
        <w:t>建设项目环境影响报告名称：</w:t>
      </w:r>
    </w:p>
    <w:p>
      <w:pPr>
        <w:ind w:left="13"/>
        <w:spacing w:before="75" w:line="220" w:lineRule="auto"/>
        <w:rPr>
          <w:rFonts w:ascii="SimSun" w:hAnsi="SimSun" w:eastAsia="SimSun" w:cs="SimSun"/>
          <w:sz w:val="28"/>
          <w:szCs w:val="28"/>
        </w:rPr>
      </w:pPr>
      <w:r>
        <w:rPr>
          <w:rFonts w:ascii="SimSun" w:hAnsi="SimSun" w:eastAsia="SimSun" w:cs="SimSun"/>
          <w:sz w:val="28"/>
          <w:szCs w:val="28"/>
          <w:u w:val="single" w:color="auto"/>
          <w:spacing w:val="-16"/>
        </w:rPr>
        <w:t>呼图壁县丰收塑料制品厂农用地膜加工项目                  </w:t>
      </w:r>
    </w:p>
    <w:p>
      <w:pPr>
        <w:ind w:firstLine="1"/>
        <w:spacing w:before="332" w:line="405" w:lineRule="auto"/>
        <w:rPr>
          <w:rFonts w:ascii="SimSun" w:hAnsi="SimSun" w:eastAsia="SimSun" w:cs="SimSun"/>
          <w:sz w:val="31"/>
          <w:szCs w:val="31"/>
        </w:rPr>
      </w:pPr>
      <w:r>
        <w:rPr>
          <w:rFonts w:ascii="SimSun" w:hAnsi="SimSun" w:eastAsia="SimSun" w:cs="SimSun"/>
          <w:sz w:val="31"/>
          <w:szCs w:val="31"/>
          <w:spacing w:val="4"/>
        </w:rPr>
        <w:t>技术复核人姓名： </w:t>
      </w:r>
      <w:r>
        <w:rPr>
          <w:rFonts w:ascii="SimSun" w:hAnsi="SimSun" w:eastAsia="SimSun" w:cs="SimSun"/>
          <w:sz w:val="31"/>
          <w:szCs w:val="31"/>
          <w:u w:val="single" w:color="auto"/>
          <w:spacing w:val="11"/>
        </w:rPr>
        <w:t xml:space="preserve">   </w:t>
      </w:r>
      <w:r>
        <w:rPr>
          <w:rFonts w:ascii="SimSun" w:hAnsi="SimSun" w:eastAsia="SimSun" w:cs="SimSun"/>
          <w:sz w:val="31"/>
          <w:szCs w:val="31"/>
          <w:u w:val="single" w:color="auto"/>
          <w:spacing w:val="4"/>
        </w:rPr>
        <w:t>曹鹏               </w:t>
      </w:r>
      <w:r>
        <w:rPr>
          <w:rFonts w:ascii="SimSun" w:hAnsi="SimSun" w:eastAsia="SimSun" w:cs="SimSun"/>
          <w:sz w:val="31"/>
          <w:szCs w:val="31"/>
          <w:u w:val="single" w:color="auto"/>
          <w:spacing w:val="3"/>
        </w:rPr>
        <w:t xml:space="preserve">              </w:t>
      </w:r>
      <w:r>
        <w:rPr>
          <w:rFonts w:ascii="SimSun" w:hAnsi="SimSun" w:eastAsia="SimSun" w:cs="SimSun"/>
          <w:sz w:val="31"/>
          <w:szCs w:val="31"/>
          <w:spacing w:val="1"/>
        </w:rPr>
        <w:t xml:space="preserve">  </w:t>
      </w:r>
      <w:r>
        <w:rPr>
          <w:rFonts w:ascii="SimSun" w:hAnsi="SimSun" w:eastAsia="SimSun" w:cs="SimSun"/>
          <w:sz w:val="31"/>
          <w:szCs w:val="31"/>
          <w:spacing w:val="-8"/>
        </w:rPr>
        <w:t>职</w:t>
      </w:r>
      <w:r>
        <w:rPr>
          <w:rFonts w:ascii="SimSun" w:hAnsi="SimSun" w:eastAsia="SimSun" w:cs="SimSun"/>
          <w:sz w:val="31"/>
          <w:szCs w:val="31"/>
          <w:spacing w:val="19"/>
        </w:rPr>
        <w:t xml:space="preserve">  </w:t>
      </w:r>
      <w:r>
        <w:rPr>
          <w:rFonts w:ascii="SimSun" w:hAnsi="SimSun" w:eastAsia="SimSun" w:cs="SimSun"/>
          <w:sz w:val="31"/>
          <w:szCs w:val="31"/>
          <w:spacing w:val="-8"/>
        </w:rPr>
        <w:t>务、职</w:t>
      </w:r>
      <w:r>
        <w:rPr>
          <w:rFonts w:ascii="SimSun" w:hAnsi="SimSun" w:eastAsia="SimSun" w:cs="SimSun"/>
          <w:sz w:val="31"/>
          <w:szCs w:val="31"/>
          <w:spacing w:val="11"/>
        </w:rPr>
        <w:t xml:space="preserve">  </w:t>
      </w:r>
      <w:r>
        <w:rPr>
          <w:rFonts w:ascii="SimSun" w:hAnsi="SimSun" w:eastAsia="SimSun" w:cs="SimSun"/>
          <w:sz w:val="31"/>
          <w:szCs w:val="31"/>
          <w:spacing w:val="-8"/>
        </w:rPr>
        <w:t>称：</w:t>
      </w:r>
      <w:r>
        <w:rPr>
          <w:rFonts w:ascii="SimSun" w:hAnsi="SimSun" w:eastAsia="SimSun" w:cs="SimSun"/>
          <w:sz w:val="31"/>
          <w:szCs w:val="31"/>
          <w:spacing w:val="127"/>
        </w:rPr>
        <w:t xml:space="preserve"> </w:t>
      </w:r>
      <w:r>
        <w:rPr>
          <w:rFonts w:ascii="SimSun" w:hAnsi="SimSun" w:eastAsia="SimSun" w:cs="SimSun"/>
          <w:sz w:val="31"/>
          <w:szCs w:val="31"/>
          <w:u w:val="single" w:color="auto"/>
          <w:spacing w:val="8"/>
        </w:rPr>
        <w:t xml:space="preserve">     </w:t>
      </w:r>
      <w:r>
        <w:rPr>
          <w:rFonts w:ascii="SimSun" w:hAnsi="SimSun" w:eastAsia="SimSun" w:cs="SimSun"/>
          <w:sz w:val="31"/>
          <w:szCs w:val="31"/>
          <w:u w:val="single" w:color="auto"/>
          <w:spacing w:val="-8"/>
        </w:rPr>
        <w:t>教授                              </w:t>
      </w:r>
      <w:r>
        <w:rPr>
          <w:rFonts w:ascii="SimSun" w:hAnsi="SimSun" w:eastAsia="SimSun" w:cs="SimSun"/>
          <w:sz w:val="31"/>
          <w:szCs w:val="31"/>
          <w:spacing w:val="3"/>
        </w:rPr>
        <w:t xml:space="preserve"> </w:t>
      </w:r>
      <w:r>
        <w:rPr>
          <w:rFonts w:ascii="SimSun" w:hAnsi="SimSun" w:eastAsia="SimSun" w:cs="SimSun"/>
          <w:sz w:val="31"/>
          <w:szCs w:val="31"/>
          <w:spacing w:val="-10"/>
        </w:rPr>
        <w:t>所</w:t>
      </w:r>
      <w:r>
        <w:rPr>
          <w:rFonts w:ascii="SimSun" w:hAnsi="SimSun" w:eastAsia="SimSun" w:cs="SimSun"/>
          <w:sz w:val="31"/>
          <w:szCs w:val="31"/>
          <w:spacing w:val="14"/>
        </w:rPr>
        <w:t xml:space="preserve">  </w:t>
      </w:r>
      <w:r>
        <w:rPr>
          <w:rFonts w:ascii="SimSun" w:hAnsi="SimSun" w:eastAsia="SimSun" w:cs="SimSun"/>
          <w:sz w:val="31"/>
          <w:szCs w:val="31"/>
          <w:spacing w:val="-10"/>
        </w:rPr>
        <w:t>在</w:t>
      </w:r>
      <w:r>
        <w:rPr>
          <w:rFonts w:ascii="SimSun" w:hAnsi="SimSun" w:eastAsia="SimSun" w:cs="SimSun"/>
          <w:sz w:val="31"/>
          <w:szCs w:val="31"/>
          <w:spacing w:val="13"/>
        </w:rPr>
        <w:t xml:space="preserve">  </w:t>
      </w:r>
      <w:r>
        <w:rPr>
          <w:rFonts w:ascii="SimSun" w:hAnsi="SimSun" w:eastAsia="SimSun" w:cs="SimSun"/>
          <w:sz w:val="31"/>
          <w:szCs w:val="31"/>
          <w:spacing w:val="-10"/>
        </w:rPr>
        <w:t>单</w:t>
      </w:r>
      <w:r>
        <w:rPr>
          <w:rFonts w:ascii="SimSun" w:hAnsi="SimSun" w:eastAsia="SimSun" w:cs="SimSun"/>
          <w:sz w:val="31"/>
          <w:szCs w:val="31"/>
          <w:spacing w:val="12"/>
        </w:rPr>
        <w:t xml:space="preserve">  </w:t>
      </w:r>
      <w:r>
        <w:rPr>
          <w:rFonts w:ascii="SimSun" w:hAnsi="SimSun" w:eastAsia="SimSun" w:cs="SimSun"/>
          <w:sz w:val="31"/>
          <w:szCs w:val="31"/>
          <w:spacing w:val="-10"/>
        </w:rPr>
        <w:t>位：</w:t>
      </w:r>
      <w:r>
        <w:rPr>
          <w:rFonts w:ascii="SimSun" w:hAnsi="SimSun" w:eastAsia="SimSun" w:cs="SimSun"/>
          <w:sz w:val="31"/>
          <w:szCs w:val="31"/>
          <w:spacing w:val="125"/>
        </w:rPr>
        <w:t xml:space="preserve"> </w:t>
      </w:r>
      <w:r>
        <w:rPr>
          <w:rFonts w:ascii="SimSun" w:hAnsi="SimSun" w:eastAsia="SimSun" w:cs="SimSun"/>
          <w:sz w:val="31"/>
          <w:szCs w:val="31"/>
          <w:u w:val="single" w:color="auto"/>
          <w:spacing w:val="8"/>
        </w:rPr>
        <w:t xml:space="preserve">     </w:t>
      </w:r>
      <w:r>
        <w:rPr>
          <w:rFonts w:ascii="SimSun" w:hAnsi="SimSun" w:eastAsia="SimSun" w:cs="SimSun"/>
          <w:sz w:val="31"/>
          <w:szCs w:val="31"/>
          <w:u w:val="single" w:color="auto"/>
          <w:spacing w:val="-10"/>
        </w:rPr>
        <w:t>石河子大学</w:t>
      </w:r>
      <w:r>
        <w:rPr>
          <w:rFonts w:ascii="SimSun" w:hAnsi="SimSun" w:eastAsia="SimSun" w:cs="SimSun"/>
          <w:sz w:val="31"/>
          <w:szCs w:val="31"/>
          <w:u w:val="single" w:color="auto"/>
        </w:rPr>
        <w:t xml:space="preserve">                       </w:t>
      </w:r>
    </w:p>
    <w:p>
      <w:pPr>
        <w:ind w:left="1"/>
        <w:spacing w:line="227" w:lineRule="auto"/>
        <w:rPr>
          <w:rFonts w:ascii="Times New Roman" w:hAnsi="Times New Roman" w:eastAsia="Times New Roman" w:cs="Times New Roman"/>
          <w:sz w:val="31"/>
          <w:szCs w:val="31"/>
        </w:rPr>
      </w:pPr>
      <w:r>
        <w:rPr>
          <w:rFonts w:ascii="SimSun" w:hAnsi="SimSun" w:eastAsia="SimSun" w:cs="SimSun"/>
          <w:sz w:val="31"/>
          <w:szCs w:val="31"/>
          <w:spacing w:val="-5"/>
        </w:rPr>
        <w:t>联</w:t>
      </w:r>
      <w:r>
        <w:rPr>
          <w:rFonts w:ascii="SimSun" w:hAnsi="SimSun" w:eastAsia="SimSun" w:cs="SimSun"/>
          <w:sz w:val="31"/>
          <w:szCs w:val="31"/>
          <w:spacing w:val="15"/>
        </w:rPr>
        <w:t xml:space="preserve">  </w:t>
      </w:r>
      <w:r>
        <w:rPr>
          <w:rFonts w:ascii="SimSun" w:hAnsi="SimSun" w:eastAsia="SimSun" w:cs="SimSun"/>
          <w:sz w:val="31"/>
          <w:szCs w:val="31"/>
          <w:spacing w:val="-5"/>
        </w:rPr>
        <w:t>系</w:t>
      </w:r>
      <w:r>
        <w:rPr>
          <w:rFonts w:ascii="SimSun" w:hAnsi="SimSun" w:eastAsia="SimSun" w:cs="SimSun"/>
          <w:sz w:val="31"/>
          <w:szCs w:val="31"/>
          <w:spacing w:val="30"/>
        </w:rPr>
        <w:t xml:space="preserve">  </w:t>
      </w:r>
      <w:r>
        <w:rPr>
          <w:rFonts w:ascii="SimSun" w:hAnsi="SimSun" w:eastAsia="SimSun" w:cs="SimSun"/>
          <w:sz w:val="31"/>
          <w:szCs w:val="31"/>
          <w:spacing w:val="-5"/>
        </w:rPr>
        <w:t>电</w:t>
      </w:r>
      <w:r>
        <w:rPr>
          <w:rFonts w:ascii="SimSun" w:hAnsi="SimSun" w:eastAsia="SimSun" w:cs="SimSun"/>
          <w:sz w:val="31"/>
          <w:szCs w:val="31"/>
          <w:spacing w:val="13"/>
        </w:rPr>
        <w:t xml:space="preserve">  </w:t>
      </w:r>
      <w:r>
        <w:rPr>
          <w:rFonts w:ascii="SimSun" w:hAnsi="SimSun" w:eastAsia="SimSun" w:cs="SimSun"/>
          <w:sz w:val="31"/>
          <w:szCs w:val="31"/>
          <w:spacing w:val="-5"/>
        </w:rPr>
        <w:t>话：</w:t>
      </w:r>
      <w:r>
        <w:rPr>
          <w:rFonts w:ascii="SimSun" w:hAnsi="SimSun" w:eastAsia="SimSun" w:cs="SimSun"/>
          <w:sz w:val="31"/>
          <w:szCs w:val="31"/>
          <w:spacing w:val="124"/>
        </w:rPr>
        <w:t xml:space="preserve"> </w:t>
      </w:r>
      <w:r>
        <w:rPr>
          <w:rFonts w:ascii="Times New Roman" w:hAnsi="Times New Roman" w:eastAsia="Times New Roman" w:cs="Times New Roman"/>
          <w:sz w:val="31"/>
          <w:szCs w:val="31"/>
          <w:u w:val="single" w:color="auto"/>
          <w:spacing w:val="-5"/>
        </w:rPr>
        <w:t xml:space="preserve">             13201091039                </w:t>
      </w:r>
      <w:r>
        <w:rPr>
          <w:rFonts w:ascii="Times New Roman" w:hAnsi="Times New Roman" w:eastAsia="Times New Roman" w:cs="Times New Roman"/>
          <w:sz w:val="31"/>
          <w:szCs w:val="31"/>
          <w:u w:val="single" w:color="auto"/>
          <w:spacing w:val="-6"/>
        </w:rPr>
        <w:t xml:space="preserve">                            </w:t>
      </w: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2030"/>
        <w:spacing w:before="101" w:line="225" w:lineRule="auto"/>
        <w:rPr>
          <w:rFonts w:ascii="SimSun" w:hAnsi="SimSun" w:eastAsia="SimSun" w:cs="SimSun"/>
          <w:sz w:val="31"/>
          <w:szCs w:val="31"/>
        </w:rPr>
      </w:pPr>
      <w:r>
        <w:rPr>
          <w:rFonts w:ascii="SimSun" w:hAnsi="SimSun" w:eastAsia="SimSun" w:cs="SimSun"/>
          <w:sz w:val="31"/>
          <w:szCs w:val="31"/>
          <w:spacing w:val="-3"/>
        </w:rPr>
        <w:t>填表日期</w:t>
      </w:r>
      <w:r>
        <w:rPr>
          <w:rFonts w:ascii="SimSun" w:hAnsi="SimSun" w:eastAsia="SimSun" w:cs="SimSun"/>
          <w:sz w:val="31"/>
          <w:szCs w:val="31"/>
          <w:spacing w:val="62"/>
        </w:rPr>
        <w:t xml:space="preserve"> </w:t>
      </w:r>
      <w:r>
        <w:rPr>
          <w:rFonts w:ascii="SimSun" w:hAnsi="SimSun" w:eastAsia="SimSun" w:cs="SimSun"/>
          <w:sz w:val="31"/>
          <w:szCs w:val="31"/>
          <w:spacing w:val="-3"/>
        </w:rPr>
        <w:t>：</w:t>
      </w:r>
      <w:r>
        <w:rPr>
          <w:rFonts w:ascii="Times New Roman" w:hAnsi="Times New Roman" w:eastAsia="Times New Roman" w:cs="Times New Roman"/>
          <w:sz w:val="31"/>
          <w:szCs w:val="31"/>
          <w:spacing w:val="-3"/>
        </w:rPr>
        <w:t>2023 </w:t>
      </w:r>
      <w:r>
        <w:rPr>
          <w:rFonts w:ascii="SimSun" w:hAnsi="SimSun" w:eastAsia="SimSun" w:cs="SimSun"/>
          <w:sz w:val="31"/>
          <w:szCs w:val="31"/>
          <w:spacing w:val="-3"/>
        </w:rPr>
        <w:t>年</w:t>
      </w:r>
      <w:r>
        <w:rPr>
          <w:rFonts w:ascii="SimSun" w:hAnsi="SimSun" w:eastAsia="SimSun" w:cs="SimSun"/>
          <w:sz w:val="31"/>
          <w:szCs w:val="31"/>
          <w:spacing w:val="-38"/>
        </w:rPr>
        <w:t xml:space="preserve"> </w:t>
      </w:r>
      <w:r>
        <w:rPr>
          <w:rFonts w:ascii="Times New Roman" w:hAnsi="Times New Roman" w:eastAsia="Times New Roman" w:cs="Times New Roman"/>
          <w:sz w:val="31"/>
          <w:szCs w:val="31"/>
          <w:spacing w:val="-3"/>
        </w:rPr>
        <w:t>12</w:t>
      </w:r>
      <w:r>
        <w:rPr>
          <w:rFonts w:ascii="Times New Roman" w:hAnsi="Times New Roman" w:eastAsia="Times New Roman" w:cs="Times New Roman"/>
          <w:sz w:val="31"/>
          <w:szCs w:val="31"/>
          <w:spacing w:val="23"/>
        </w:rPr>
        <w:t xml:space="preserve"> </w:t>
      </w:r>
      <w:r>
        <w:rPr>
          <w:rFonts w:ascii="SimSun" w:hAnsi="SimSun" w:eastAsia="SimSun" w:cs="SimSun"/>
          <w:sz w:val="31"/>
          <w:szCs w:val="31"/>
          <w:spacing w:val="-3"/>
        </w:rPr>
        <w:t>月</w:t>
      </w:r>
      <w:r>
        <w:rPr>
          <w:rFonts w:ascii="SimSun" w:hAnsi="SimSun" w:eastAsia="SimSun" w:cs="SimSun"/>
          <w:sz w:val="31"/>
          <w:szCs w:val="31"/>
          <w:spacing w:val="41"/>
        </w:rPr>
        <w:t xml:space="preserve"> </w:t>
      </w:r>
      <w:r>
        <w:rPr>
          <w:rFonts w:ascii="Times New Roman" w:hAnsi="Times New Roman" w:eastAsia="Times New Roman" w:cs="Times New Roman"/>
          <w:sz w:val="31"/>
          <w:szCs w:val="31"/>
          <w:spacing w:val="-3"/>
        </w:rPr>
        <w:t>10   </w:t>
      </w:r>
      <w:r>
        <w:rPr>
          <w:rFonts w:ascii="SimSun" w:hAnsi="SimSun" w:eastAsia="SimSun" w:cs="SimSun"/>
          <w:sz w:val="31"/>
          <w:szCs w:val="31"/>
          <w:spacing w:val="-3"/>
        </w:rPr>
        <w:t>日</w:t>
      </w:r>
    </w:p>
    <w:p>
      <w:pPr>
        <w:spacing w:line="225" w:lineRule="auto"/>
        <w:sectPr>
          <w:pgSz w:w="11907" w:h="16841"/>
          <w:pgMar w:top="400" w:right="1642" w:bottom="0" w:left="1656" w:header="0" w:footer="0" w:gutter="0"/>
        </w:sectPr>
        <w:rPr>
          <w:rFonts w:ascii="SimSun" w:hAnsi="SimSun" w:eastAsia="SimSun" w:cs="SimSun"/>
          <w:sz w:val="31"/>
          <w:szCs w:val="31"/>
        </w:rPr>
      </w:pPr>
    </w:p>
    <w:p>
      <w:pPr>
        <w:spacing w:before="32"/>
        <w:rPr/>
      </w:pPr>
      <w:r/>
    </w:p>
    <w:p>
      <w:pPr>
        <w:spacing w:before="32"/>
        <w:rPr/>
      </w:pPr>
      <w:r/>
    </w:p>
    <w:p>
      <w:pPr>
        <w:spacing w:before="32"/>
        <w:rPr/>
      </w:pPr>
      <w:r/>
    </w:p>
    <w:p>
      <w:pPr>
        <w:spacing w:before="32"/>
        <w:rPr/>
      </w:pPr>
      <w:r/>
    </w:p>
    <w:p>
      <w:pPr>
        <w:spacing w:before="32"/>
        <w:rPr/>
      </w:pPr>
      <w:r/>
    </w:p>
    <w:p>
      <w:pPr>
        <w:spacing w:before="31"/>
        <w:rPr/>
      </w:pPr>
      <w:r/>
    </w:p>
    <w:tbl>
      <w:tblPr>
        <w:tblStyle w:val="TableNormal"/>
        <w:tblW w:w="8878"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98"/>
        <w:gridCol w:w="4016"/>
        <w:gridCol w:w="4064"/>
      </w:tblGrid>
      <w:tr>
        <w:trPr>
          <w:trHeight w:val="4454" w:hRule="atLeast"/>
        </w:trPr>
        <w:tc>
          <w:tcPr>
            <w:tcW w:w="798" w:type="dxa"/>
            <w:vAlign w:val="top"/>
            <w:textDirection w:val="tbRlV"/>
            <w:tcBorders>
              <w:left w:val="single" w:color="000000" w:sz="6" w:space="0"/>
              <w:top w:val="single" w:color="000000" w:sz="6" w:space="0"/>
            </w:tcBorders>
          </w:tcPr>
          <w:p>
            <w:pPr>
              <w:ind w:left="742"/>
              <w:spacing w:before="289" w:line="359" w:lineRule="exact"/>
              <w:rPr>
                <w:rFonts w:ascii="SimHei" w:hAnsi="SimHei" w:eastAsia="SimHei" w:cs="SimHei"/>
                <w:sz w:val="26"/>
                <w:szCs w:val="26"/>
              </w:rPr>
            </w:pPr>
            <w:r>
              <w:rPr>
                <w:rFonts w:ascii="SimHei" w:hAnsi="SimHei" w:eastAsia="SimHei" w:cs="SimHei"/>
                <w:sz w:val="26"/>
                <w:szCs w:val="26"/>
                <w:spacing w:val="9"/>
                <w:position w:val="1"/>
              </w:rPr>
              <w:t>报告表修改情况总体意见</w:t>
            </w:r>
          </w:p>
        </w:tc>
        <w:tc>
          <w:tcPr>
            <w:tcW w:w="8080" w:type="dxa"/>
            <w:vAlign w:val="top"/>
            <w:gridSpan w:val="2"/>
            <w:tcBorders>
              <w:right w:val="single" w:color="000000" w:sz="6" w:space="0"/>
              <w:top w:val="single" w:color="000000" w:sz="6" w:space="0"/>
            </w:tcBorders>
          </w:tcPr>
          <w:p>
            <w:pPr>
              <w:spacing w:line="392" w:lineRule="auto"/>
              <w:rPr>
                <w:rFonts w:ascii="Arial"/>
                <w:sz w:val="21"/>
              </w:rPr>
            </w:pPr>
            <w:r/>
          </w:p>
          <w:p>
            <w:pPr>
              <w:pStyle w:val="TableText"/>
              <w:ind w:left="114" w:right="96" w:hanging="4"/>
              <w:spacing w:before="91" w:line="242" w:lineRule="auto"/>
              <w:rPr>
                <w:sz w:val="28"/>
                <w:szCs w:val="28"/>
              </w:rPr>
            </w:pPr>
            <w:r>
              <w:rPr>
                <w:sz w:val="28"/>
                <w:szCs w:val="28"/>
                <w:spacing w:val="-28"/>
                <w:w w:val="95"/>
              </w:rPr>
              <w:t>编制单位已按照专家意见对报告表文本进行了核实、补充、修改和完善，同</w:t>
            </w:r>
            <w:r>
              <w:rPr>
                <w:sz w:val="28"/>
                <w:szCs w:val="28"/>
                <w:spacing w:val="7"/>
              </w:rPr>
              <w:t xml:space="preserve"> </w:t>
            </w:r>
            <w:r>
              <w:rPr>
                <w:sz w:val="28"/>
                <w:szCs w:val="28"/>
                <w:spacing w:val="-38"/>
              </w:rPr>
              <w:t>意上报。</w:t>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4805"/>
              <w:spacing w:before="241" w:line="160" w:lineRule="auto"/>
              <w:rPr>
                <w:rFonts w:ascii="Microsoft YaHei" w:hAnsi="Microsoft YaHei" w:eastAsia="Microsoft YaHei" w:cs="Microsoft YaHei"/>
                <w:sz w:val="56"/>
                <w:szCs w:val="56"/>
              </w:rPr>
            </w:pPr>
            <w:r>
              <w:rPr>
                <w:sz w:val="28"/>
                <w:szCs w:val="28"/>
                <w:spacing w:val="-38"/>
                <w:position w:val="-14"/>
              </w:rPr>
              <w:t>签名：</w:t>
            </w:r>
            <w:r>
              <w:rPr>
                <w:sz w:val="28"/>
                <w:szCs w:val="28"/>
                <w:spacing w:val="-43"/>
                <w:position w:val="-14"/>
              </w:rPr>
              <w:t xml:space="preserve"> </w:t>
            </w:r>
            <w:r>
              <w:rPr>
                <w:rFonts w:ascii="Microsoft YaHei" w:hAnsi="Microsoft YaHei" w:eastAsia="Microsoft YaHei" w:cs="Microsoft YaHei"/>
                <w:sz w:val="56"/>
                <w:szCs w:val="56"/>
                <w:color w:val="C6C6C7"/>
                <w:spacing w:val="477"/>
                <w:w w:val="175"/>
                <w:position w:val="2"/>
              </w:rPr>
              <w:t>营</w:t>
            </w:r>
          </w:p>
          <w:p>
            <w:pPr>
              <w:pStyle w:val="TableText"/>
              <w:ind w:left="5561"/>
              <w:spacing w:before="148" w:line="220" w:lineRule="auto"/>
              <w:rPr>
                <w:sz w:val="28"/>
                <w:szCs w:val="28"/>
              </w:rPr>
            </w:pPr>
            <w:r>
              <w:rPr>
                <w:rFonts w:ascii="Times New Roman" w:hAnsi="Times New Roman" w:eastAsia="Times New Roman" w:cs="Times New Roman"/>
                <w:sz w:val="28"/>
                <w:szCs w:val="28"/>
                <w:spacing w:val="-7"/>
              </w:rPr>
              <w:t>2023 </w:t>
            </w:r>
            <w:r>
              <w:rPr>
                <w:sz w:val="28"/>
                <w:szCs w:val="28"/>
                <w:spacing w:val="-7"/>
              </w:rPr>
              <w:t>年</w:t>
            </w:r>
            <w:r>
              <w:rPr>
                <w:sz w:val="28"/>
                <w:szCs w:val="28"/>
                <w:spacing w:val="-35"/>
              </w:rPr>
              <w:t xml:space="preserve"> </w:t>
            </w:r>
            <w:r>
              <w:rPr>
                <w:rFonts w:ascii="Times New Roman" w:hAnsi="Times New Roman" w:eastAsia="Times New Roman" w:cs="Times New Roman"/>
                <w:sz w:val="28"/>
                <w:szCs w:val="28"/>
                <w:spacing w:val="-7"/>
              </w:rPr>
              <w:t>12</w:t>
            </w:r>
            <w:r>
              <w:rPr>
                <w:rFonts w:ascii="Times New Roman" w:hAnsi="Times New Roman" w:eastAsia="Times New Roman" w:cs="Times New Roman"/>
                <w:sz w:val="28"/>
                <w:szCs w:val="28"/>
                <w:spacing w:val="18"/>
              </w:rPr>
              <w:t xml:space="preserve"> </w:t>
            </w:r>
            <w:r>
              <w:rPr>
                <w:sz w:val="28"/>
                <w:szCs w:val="28"/>
                <w:spacing w:val="-7"/>
              </w:rPr>
              <w:t>月</w:t>
            </w:r>
            <w:r>
              <w:rPr>
                <w:sz w:val="28"/>
                <w:szCs w:val="28"/>
                <w:spacing w:val="-40"/>
              </w:rPr>
              <w:t xml:space="preserve"> </w:t>
            </w:r>
            <w:r>
              <w:rPr>
                <w:rFonts w:ascii="Times New Roman" w:hAnsi="Times New Roman" w:eastAsia="Times New Roman" w:cs="Times New Roman"/>
                <w:sz w:val="28"/>
                <w:szCs w:val="28"/>
                <w:spacing w:val="-7"/>
              </w:rPr>
              <w:t>10  </w:t>
            </w:r>
            <w:r>
              <w:rPr>
                <w:sz w:val="28"/>
                <w:szCs w:val="28"/>
                <w:spacing w:val="-7"/>
              </w:rPr>
              <w:t>日</w:t>
            </w:r>
          </w:p>
        </w:tc>
      </w:tr>
      <w:tr>
        <w:trPr>
          <w:trHeight w:val="6161" w:hRule="atLeast"/>
        </w:trPr>
        <w:tc>
          <w:tcPr>
            <w:tcW w:w="798" w:type="dxa"/>
            <w:vAlign w:val="top"/>
            <w:textDirection w:val="tbRlV"/>
            <w:tcBorders>
              <w:left w:val="single" w:color="000000" w:sz="6" w:space="0"/>
            </w:tcBorders>
          </w:tcPr>
          <w:p>
            <w:pPr>
              <w:ind w:left="1329"/>
              <w:spacing w:before="289" w:line="359" w:lineRule="exact"/>
              <w:rPr>
                <w:rFonts w:ascii="SimHei" w:hAnsi="SimHei" w:eastAsia="SimHei" w:cs="SimHei"/>
                <w:sz w:val="26"/>
                <w:szCs w:val="26"/>
              </w:rPr>
            </w:pPr>
            <w:r>
              <w:rPr>
                <w:rFonts w:ascii="SimHei" w:hAnsi="SimHei" w:eastAsia="SimHei" w:cs="SimHei"/>
                <w:sz w:val="26"/>
                <w:szCs w:val="26"/>
                <w:spacing w:val="9"/>
                <w:position w:val="1"/>
              </w:rPr>
              <w:t>报告书编制仍存在的主要问题</w:t>
            </w:r>
          </w:p>
        </w:tc>
        <w:tc>
          <w:tcPr>
            <w:tcW w:w="8080" w:type="dxa"/>
            <w:vAlign w:val="top"/>
            <w:gridSpan w:val="2"/>
            <w:tcBorders>
              <w:right w:val="single" w:color="000000" w:sz="6" w:space="0"/>
            </w:tcBorders>
          </w:tcPr>
          <w:p>
            <w:pPr>
              <w:rPr>
                <w:rFonts w:ascii="Arial"/>
                <w:sz w:val="21"/>
              </w:rPr>
            </w:pPr>
            <w:r/>
          </w:p>
        </w:tc>
      </w:tr>
      <w:tr>
        <w:trPr>
          <w:trHeight w:val="2563" w:hRule="atLeast"/>
        </w:trPr>
        <w:tc>
          <w:tcPr>
            <w:tcW w:w="798" w:type="dxa"/>
            <w:vAlign w:val="top"/>
            <w:textDirection w:val="tbRlV"/>
            <w:tcBorders>
              <w:left w:val="single" w:color="000000" w:sz="6" w:space="0"/>
              <w:bottom w:val="single" w:color="000000" w:sz="6" w:space="0"/>
            </w:tcBorders>
          </w:tcPr>
          <w:p>
            <w:pPr>
              <w:ind w:left="472"/>
              <w:spacing w:before="289" w:line="360" w:lineRule="exact"/>
              <w:rPr>
                <w:rFonts w:ascii="SimHei" w:hAnsi="SimHei" w:eastAsia="SimHei" w:cs="SimHei"/>
                <w:sz w:val="26"/>
                <w:szCs w:val="26"/>
              </w:rPr>
            </w:pPr>
            <w:r>
              <w:rPr>
                <w:rFonts w:ascii="SimHei" w:hAnsi="SimHei" w:eastAsia="SimHei" w:cs="SimHei"/>
                <w:sz w:val="26"/>
                <w:szCs w:val="26"/>
                <w:spacing w:val="10"/>
                <w:position w:val="1"/>
              </w:rPr>
              <w:t>技术复核结论</w:t>
            </w:r>
          </w:p>
        </w:tc>
        <w:tc>
          <w:tcPr>
            <w:tcW w:w="4016" w:type="dxa"/>
            <w:vAlign w:val="top"/>
            <w:tcBorders>
              <w:bottom w:val="single" w:color="000000" w:sz="6" w:space="0"/>
            </w:tcBorders>
          </w:tcPr>
          <w:p>
            <w:pPr>
              <w:spacing w:line="307" w:lineRule="auto"/>
              <w:rPr>
                <w:rFonts w:ascii="Arial"/>
                <w:sz w:val="21"/>
              </w:rPr>
            </w:pPr>
            <w:r/>
          </w:p>
          <w:p>
            <w:pPr>
              <w:spacing w:line="307" w:lineRule="auto"/>
              <w:rPr>
                <w:rFonts w:ascii="Arial"/>
                <w:sz w:val="21"/>
              </w:rPr>
            </w:pPr>
            <w:r/>
          </w:p>
          <w:p>
            <w:pPr>
              <w:spacing w:line="308" w:lineRule="auto"/>
              <w:rPr>
                <w:rFonts w:ascii="Arial"/>
                <w:sz w:val="21"/>
              </w:rPr>
            </w:pPr>
            <w:r/>
          </w:p>
          <w:p>
            <w:pPr>
              <w:ind w:left="1475"/>
              <w:spacing w:before="140" w:line="231" w:lineRule="auto"/>
              <w:rPr>
                <w:rFonts w:ascii="FangSong" w:hAnsi="FangSong" w:eastAsia="FangSong" w:cs="FangSong"/>
                <w:sz w:val="43"/>
                <w:szCs w:val="43"/>
              </w:rPr>
            </w:pPr>
            <w:r>
              <w:rPr>
                <w:rFonts w:ascii="FangSong" w:hAnsi="FangSong" w:eastAsia="FangSong" w:cs="FangSong"/>
                <w:sz w:val="43"/>
                <w:szCs w:val="43"/>
                <w:spacing w:val="-50"/>
              </w:rPr>
              <w:t>通过</w:t>
            </w:r>
            <w:r>
              <w:rPr>
                <w:rFonts w:ascii="FangSong" w:hAnsi="FangSong" w:eastAsia="FangSong" w:cs="FangSong"/>
                <w:sz w:val="43"/>
                <w:szCs w:val="43"/>
                <w:spacing w:val="-108"/>
              </w:rPr>
              <w:t xml:space="preserve"> </w:t>
            </w:r>
            <w:r>
              <w:rPr>
                <w:rFonts w:ascii="FangSong" w:hAnsi="FangSong" w:eastAsia="FangSong" w:cs="FangSong"/>
                <w:sz w:val="43"/>
                <w:szCs w:val="43"/>
                <w:spacing w:val="-50"/>
              </w:rPr>
              <w:t>√</w:t>
            </w:r>
          </w:p>
        </w:tc>
        <w:tc>
          <w:tcPr>
            <w:tcW w:w="4064" w:type="dxa"/>
            <w:vAlign w:val="top"/>
            <w:tcBorders>
              <w:bottom w:val="single" w:color="000000" w:sz="6" w:space="0"/>
              <w:right w:val="single" w:color="000000" w:sz="6" w:space="0"/>
            </w:tcBorders>
          </w:tcPr>
          <w:p>
            <w:pPr>
              <w:spacing w:line="307" w:lineRule="auto"/>
              <w:rPr>
                <w:rFonts w:ascii="Arial"/>
                <w:sz w:val="21"/>
              </w:rPr>
            </w:pPr>
            <w:r/>
          </w:p>
          <w:p>
            <w:pPr>
              <w:spacing w:line="308" w:lineRule="auto"/>
              <w:rPr>
                <w:rFonts w:ascii="Arial"/>
                <w:sz w:val="21"/>
              </w:rPr>
            </w:pPr>
            <w:r/>
          </w:p>
          <w:p>
            <w:pPr>
              <w:spacing w:line="308" w:lineRule="auto"/>
              <w:rPr>
                <w:rFonts w:ascii="Arial"/>
                <w:sz w:val="21"/>
              </w:rPr>
            </w:pPr>
            <w:r/>
          </w:p>
          <w:p>
            <w:pPr>
              <w:pStyle w:val="TableText"/>
              <w:ind w:left="1325"/>
              <w:spacing w:before="139" w:line="225" w:lineRule="auto"/>
              <w:rPr>
                <w:sz w:val="36"/>
                <w:szCs w:val="36"/>
              </w:rPr>
            </w:pPr>
            <w:r>
              <w:rPr>
                <w:rFonts w:ascii="FangSong" w:hAnsi="FangSong" w:eastAsia="FangSong" w:cs="FangSong"/>
                <w:sz w:val="43"/>
                <w:szCs w:val="43"/>
                <w:spacing w:val="-52"/>
              </w:rPr>
              <w:t>不通过</w:t>
            </w:r>
            <w:r>
              <w:rPr>
                <w:sz w:val="36"/>
                <w:szCs w:val="36"/>
                <w14:textOutline w14:w="6531" w14:cap="flat" w14:cmpd="sng">
                  <w14:solidFill>
                    <w14:srgbClr w14:val="000000"/>
                  </w14:solidFill>
                  <w14:prstDash w14:val="solid"/>
                  <w14:miter w14:lim="10"/>
                </w14:textOutline>
                <w:spacing w:val="-52"/>
              </w:rPr>
              <w:t>□</w:t>
            </w:r>
          </w:p>
        </w:tc>
      </w:tr>
    </w:tbl>
    <w:p>
      <w:pPr>
        <w:pStyle w:val="BodyText"/>
        <w:rPr/>
      </w:pPr>
      <w:r/>
    </w:p>
    <w:p>
      <w:pPr>
        <w:sectPr>
          <w:footerReference w:type="default" r:id="rId15"/>
          <w:pgSz w:w="11907" w:h="16841"/>
          <w:pgMar w:top="400" w:right="1505" w:bottom="1148" w:left="1507" w:header="0" w:footer="988" w:gutter="0"/>
        </w:sectPr>
        <w:rPr/>
      </w:pP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ind w:left="2445" w:right="1381" w:hanging="1099"/>
        <w:spacing w:before="139" w:line="232" w:lineRule="auto"/>
        <w:rPr>
          <w:rFonts w:ascii="SimHei" w:hAnsi="SimHei" w:eastAsia="SimHei" w:cs="SimHei"/>
          <w:sz w:val="43"/>
          <w:szCs w:val="43"/>
        </w:rPr>
      </w:pPr>
      <w:r>
        <w:rPr>
          <w:rFonts w:ascii="SimHei" w:hAnsi="SimHei" w:eastAsia="SimHei" w:cs="SimHei"/>
          <w:sz w:val="43"/>
          <w:szCs w:val="43"/>
          <w:spacing w:val="5"/>
        </w:rPr>
        <w:t>建设项目环境影响报告书（表）</w:t>
      </w:r>
      <w:r>
        <w:rPr>
          <w:rFonts w:ascii="SimHei" w:hAnsi="SimHei" w:eastAsia="SimHei" w:cs="SimHei"/>
          <w:sz w:val="43"/>
          <w:szCs w:val="43"/>
        </w:rPr>
        <w:t xml:space="preserve"> </w:t>
      </w:r>
      <w:r>
        <w:rPr>
          <w:rFonts w:ascii="SimHei" w:hAnsi="SimHei" w:eastAsia="SimHei" w:cs="SimHei"/>
          <w:sz w:val="43"/>
          <w:szCs w:val="43"/>
          <w:spacing w:val="8"/>
        </w:rPr>
        <w:t>技术复核专家意见表</w:t>
      </w:r>
    </w:p>
    <w:p>
      <w:pPr>
        <w:pStyle w:val="BodyText"/>
        <w:spacing w:line="257"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ind w:left="12"/>
        <w:spacing w:before="101" w:line="223" w:lineRule="auto"/>
        <w:rPr>
          <w:rFonts w:ascii="SimSun" w:hAnsi="SimSun" w:eastAsia="SimSun" w:cs="SimSun"/>
          <w:sz w:val="31"/>
          <w:szCs w:val="31"/>
        </w:rPr>
      </w:pPr>
      <w:r>
        <w:rPr>
          <w:rFonts w:ascii="SimSun" w:hAnsi="SimSun" w:eastAsia="SimSun" w:cs="SimSun"/>
          <w:sz w:val="31"/>
          <w:szCs w:val="31"/>
          <w14:textOutline w14:w="5793" w14:cap="sq" w14:cmpd="sng">
            <w14:solidFill>
              <w14:srgbClr w14:val="000000"/>
            </w14:solidFill>
            <w14:prstDash w14:val="solid"/>
            <w14:bevel/>
          </w14:textOutline>
          <w:spacing w:val="9"/>
        </w:rPr>
        <w:t>环境影响报告表编制单位：</w:t>
      </w:r>
    </w:p>
    <w:p>
      <w:pPr>
        <w:ind w:left="15"/>
        <w:spacing w:before="186" w:line="225" w:lineRule="auto"/>
        <w:rPr>
          <w:rFonts w:ascii="SimSun" w:hAnsi="SimSun" w:eastAsia="SimSun" w:cs="SimSun"/>
          <w:sz w:val="31"/>
          <w:szCs w:val="31"/>
        </w:rPr>
      </w:pPr>
      <w:r>
        <w:pict>
          <v:shape id="_x0000_s2" style="position:absolute;margin-left:0pt;margin-top:24.8026pt;mso-position-vertical-relative:text;mso-position-horizontal-relative:text;width:441pt;height:0.85pt;z-index:251671552;" filled="false" strokecolor="#000000" strokeweight="0.84pt" coordsize="8820,17" coordorigin="0,0" path="m0,8l8820,8e">
            <v:stroke joinstyle="bevel" miterlimit="2"/>
          </v:shape>
        </w:pict>
      </w:r>
      <w:r>
        <w:rPr>
          <w:rFonts w:ascii="SimSun" w:hAnsi="SimSun" w:eastAsia="SimSun" w:cs="SimSun"/>
          <w:sz w:val="31"/>
          <w:szCs w:val="31"/>
          <w:spacing w:val="9"/>
        </w:rPr>
        <w:t>乌鲁木齐汇翔达工程咨询服务有限公司</w:t>
      </w:r>
    </w:p>
    <w:p>
      <w:pPr>
        <w:pStyle w:val="BodyText"/>
        <w:spacing w:line="262" w:lineRule="auto"/>
        <w:rPr/>
      </w:pPr>
      <w:r/>
    </w:p>
    <w:p>
      <w:pPr>
        <w:ind w:left="12"/>
        <w:spacing w:before="101" w:line="223" w:lineRule="auto"/>
        <w:rPr>
          <w:rFonts w:ascii="SimSun" w:hAnsi="SimSun" w:eastAsia="SimSun" w:cs="SimSun"/>
          <w:sz w:val="31"/>
          <w:szCs w:val="31"/>
        </w:rPr>
      </w:pPr>
      <w:r>
        <w:rPr>
          <w:rFonts w:ascii="SimSun" w:hAnsi="SimSun" w:eastAsia="SimSun" w:cs="SimSun"/>
          <w:sz w:val="31"/>
          <w:szCs w:val="31"/>
          <w14:textOutline w14:w="5793" w14:cap="sq" w14:cmpd="sng">
            <w14:solidFill>
              <w14:srgbClr w14:val="000000"/>
            </w14:solidFill>
            <w14:prstDash w14:val="solid"/>
            <w14:bevel/>
          </w14:textOutline>
          <w:spacing w:val="8"/>
        </w:rPr>
        <w:t>环境影响报告表名称：</w:t>
      </w:r>
    </w:p>
    <w:p>
      <w:pPr>
        <w:ind w:left="30"/>
        <w:spacing w:before="189" w:line="223" w:lineRule="auto"/>
        <w:rPr>
          <w:rFonts w:ascii="SimSun" w:hAnsi="SimSun" w:eastAsia="SimSun" w:cs="SimSun"/>
          <w:sz w:val="31"/>
          <w:szCs w:val="31"/>
        </w:rPr>
      </w:pPr>
      <w:r>
        <w:rPr>
          <w:rFonts w:ascii="SimSun" w:hAnsi="SimSun" w:eastAsia="SimSun" w:cs="SimSun"/>
          <w:sz w:val="31"/>
          <w:szCs w:val="31"/>
          <w:u w:val="single" w:color="auto"/>
          <w:spacing w:val="9"/>
        </w:rPr>
        <w:t>呼图壁县丰收塑料制品厂农用地膜加工项目环境</w:t>
      </w:r>
      <w:r>
        <w:rPr>
          <w:rFonts w:ascii="SimSun" w:hAnsi="SimSun" w:eastAsia="SimSun" w:cs="SimSun"/>
          <w:sz w:val="31"/>
          <w:szCs w:val="31"/>
          <w:u w:val="single" w:color="auto"/>
          <w:spacing w:val="8"/>
        </w:rPr>
        <w:t>影响报告表</w:t>
      </w:r>
      <w:r>
        <w:rPr>
          <w:rFonts w:ascii="SimSun" w:hAnsi="SimSun" w:eastAsia="SimSun" w:cs="SimSun"/>
          <w:sz w:val="31"/>
          <w:szCs w:val="31"/>
          <w:u w:val="single" w:color="auto"/>
        </w:rPr>
        <w:t xml:space="preserve">    </w:t>
      </w:r>
    </w:p>
    <w:p>
      <w:pPr>
        <w:ind w:left="13"/>
        <w:spacing w:before="111"/>
        <w:rPr>
          <w:rFonts w:ascii="SimSun" w:hAnsi="SimSun" w:eastAsia="SimSun" w:cs="SimSun"/>
          <w:sz w:val="31"/>
          <w:szCs w:val="31"/>
        </w:rPr>
      </w:pPr>
      <w:r>
        <w:rPr>
          <w:rFonts w:ascii="SimSun" w:hAnsi="SimSun" w:eastAsia="SimSun" w:cs="SimSun"/>
          <w:sz w:val="31"/>
          <w:szCs w:val="31"/>
          <w14:textOutline w14:w="5793" w14:cap="sq" w14:cmpd="sng">
            <w14:solidFill>
              <w14:srgbClr w14:val="000000"/>
            </w14:solidFill>
            <w14:prstDash w14:val="solid"/>
            <w14:bevel/>
          </w14:textOutline>
        </w:rPr>
        <w:t>专</w:t>
      </w:r>
      <w:r>
        <w:rPr>
          <w:rFonts w:ascii="SimSun" w:hAnsi="SimSun" w:eastAsia="SimSun" w:cs="SimSun"/>
          <w:sz w:val="31"/>
          <w:szCs w:val="31"/>
          <w:spacing w:val="17"/>
        </w:rPr>
        <w:t xml:space="preserve">  </w:t>
      </w:r>
      <w:r>
        <w:rPr>
          <w:rFonts w:ascii="SimSun" w:hAnsi="SimSun" w:eastAsia="SimSun" w:cs="SimSun"/>
          <w:sz w:val="31"/>
          <w:szCs w:val="31"/>
          <w14:textOutline w14:w="5793" w14:cap="sq" w14:cmpd="sng">
            <w14:solidFill>
              <w14:srgbClr w14:val="000000"/>
            </w14:solidFill>
            <w14:prstDash w14:val="solid"/>
            <w14:bevel/>
          </w14:textOutline>
        </w:rPr>
        <w:t>家</w:t>
      </w:r>
      <w:r>
        <w:rPr>
          <w:rFonts w:ascii="SimSun" w:hAnsi="SimSun" w:eastAsia="SimSun" w:cs="SimSun"/>
          <w:sz w:val="31"/>
          <w:szCs w:val="31"/>
          <w:spacing w:val="12"/>
        </w:rPr>
        <w:t xml:space="preserve">  </w:t>
      </w:r>
      <w:r>
        <w:rPr>
          <w:rFonts w:ascii="SimSun" w:hAnsi="SimSun" w:eastAsia="SimSun" w:cs="SimSun"/>
          <w:sz w:val="31"/>
          <w:szCs w:val="31"/>
          <w14:textOutline w14:w="5793" w14:cap="sq" w14:cmpd="sng">
            <w14:solidFill>
              <w14:srgbClr w14:val="000000"/>
            </w14:solidFill>
            <w14:prstDash w14:val="solid"/>
            <w14:bevel/>
          </w14:textOutline>
        </w:rPr>
        <w:t>姓</w:t>
      </w:r>
      <w:r>
        <w:rPr>
          <w:rFonts w:ascii="SimSun" w:hAnsi="SimSun" w:eastAsia="SimSun" w:cs="SimSun"/>
          <w:sz w:val="31"/>
          <w:szCs w:val="31"/>
          <w:spacing w:val="14"/>
        </w:rPr>
        <w:t xml:space="preserve">  </w:t>
      </w:r>
      <w:r>
        <w:rPr>
          <w:rFonts w:ascii="SimSun" w:hAnsi="SimSun" w:eastAsia="SimSun" w:cs="SimSun"/>
          <w:sz w:val="31"/>
          <w:szCs w:val="31"/>
          <w14:textOutline w14:w="5793" w14:cap="sq" w14:cmpd="sng">
            <w14:solidFill>
              <w14:srgbClr w14:val="000000"/>
            </w14:solidFill>
            <w14:prstDash w14:val="solid"/>
            <w14:bevel/>
          </w14:textOutline>
        </w:rPr>
        <w:t>名：</w:t>
      </w:r>
      <w:r>
        <w:rPr>
          <w:rFonts w:ascii="SimSun" w:hAnsi="SimSun" w:eastAsia="SimSun" w:cs="SimSun"/>
          <w:sz w:val="31"/>
          <w:szCs w:val="31"/>
        </w:rPr>
        <w:t xml:space="preserve"> </w:t>
      </w:r>
      <w:r>
        <w:rPr>
          <w:rFonts w:ascii="SimSun" w:hAnsi="SimSun" w:eastAsia="SimSun" w:cs="SimSun"/>
          <w:sz w:val="31"/>
          <w:szCs w:val="31"/>
          <w:u w:val="single" w:color="auto"/>
          <w:spacing w:val="23"/>
        </w:rPr>
        <w:t xml:space="preserve"> </w:t>
      </w:r>
      <w:r>
        <w:rPr>
          <w:rFonts w:ascii="SimSun" w:hAnsi="SimSun" w:eastAsia="SimSun" w:cs="SimSun"/>
          <w:sz w:val="31"/>
          <w:szCs w:val="31"/>
          <w:u w:val="single" w:color="auto"/>
        </w:rPr>
        <w:t>雷玉国</w:t>
      </w:r>
      <w:r>
        <w:rPr>
          <w:rFonts w:ascii="SimSun" w:hAnsi="SimSun" w:eastAsia="SimSun" w:cs="SimSun"/>
          <w:sz w:val="31"/>
          <w:szCs w:val="31"/>
          <w:u w:val="single" w:color="auto"/>
          <w:spacing w:val="51"/>
        </w:rPr>
        <w:t xml:space="preserve">  </w:t>
      </w:r>
      <w:r>
        <w:rPr>
          <w:sz w:val="31"/>
          <w:szCs w:val="31"/>
          <w:position w:val="-18"/>
        </w:rPr>
        <w:drawing>
          <wp:inline distT="0" distB="0" distL="0" distR="0">
            <wp:extent cx="688847" cy="452628"/>
            <wp:effectExtent l="0" t="0" r="0" b="0"/>
            <wp:docPr id="24" name="IM 24"/>
            <wp:cNvGraphicFramePr/>
            <a:graphic>
              <a:graphicData uri="http://schemas.openxmlformats.org/drawingml/2006/picture">
                <pic:pic>
                  <pic:nvPicPr>
                    <pic:cNvPr id="24" name="IM 24"/>
                    <pic:cNvPicPr/>
                  </pic:nvPicPr>
                  <pic:blipFill>
                    <a:blip r:embed="rId17"/>
                    <a:stretch>
                      <a:fillRect/>
                    </a:stretch>
                  </pic:blipFill>
                  <pic:spPr>
                    <a:xfrm rot="0">
                      <a:off x="0" y="0"/>
                      <a:ext cx="688847" cy="452628"/>
                    </a:xfrm>
                    <a:prstGeom prst="rect">
                      <a:avLst/>
                    </a:prstGeom>
                  </pic:spPr>
                </pic:pic>
              </a:graphicData>
            </a:graphic>
          </wp:inline>
        </w:drawing>
      </w:r>
      <w:r>
        <w:rPr>
          <w:rFonts w:ascii="SimSun" w:hAnsi="SimSun" w:eastAsia="SimSun" w:cs="SimSun"/>
          <w:sz w:val="31"/>
          <w:szCs w:val="31"/>
          <w:u w:val="single" w:color="auto"/>
        </w:rPr>
        <w:t xml:space="preserve">                       </w:t>
      </w:r>
    </w:p>
    <w:p>
      <w:pPr>
        <w:ind w:left="13"/>
        <w:spacing w:before="221" w:line="225" w:lineRule="auto"/>
        <w:rPr>
          <w:rFonts w:ascii="SimSun" w:hAnsi="SimSun" w:eastAsia="SimSun" w:cs="SimSun"/>
          <w:sz w:val="31"/>
          <w:szCs w:val="31"/>
        </w:rPr>
      </w:pPr>
      <w:r>
        <w:rPr>
          <w:rFonts w:ascii="SimSun" w:hAnsi="SimSun" w:eastAsia="SimSun" w:cs="SimSun"/>
          <w:sz w:val="31"/>
          <w:szCs w:val="31"/>
          <w14:textOutline w14:w="5793" w14:cap="sq" w14:cmpd="sng">
            <w14:solidFill>
              <w14:srgbClr w14:val="000000"/>
            </w14:solidFill>
            <w14:prstDash w14:val="solid"/>
            <w14:bevel/>
          </w14:textOutline>
          <w:spacing w:val="-6"/>
        </w:rPr>
        <w:t>职</w:t>
      </w:r>
      <w:r>
        <w:rPr>
          <w:rFonts w:ascii="SimSun" w:hAnsi="SimSun" w:eastAsia="SimSun" w:cs="SimSun"/>
          <w:sz w:val="31"/>
          <w:szCs w:val="31"/>
          <w:spacing w:val="14"/>
        </w:rPr>
        <w:t xml:space="preserve">  </w:t>
      </w:r>
      <w:r>
        <w:rPr>
          <w:rFonts w:ascii="SimSun" w:hAnsi="SimSun" w:eastAsia="SimSun" w:cs="SimSun"/>
          <w:sz w:val="31"/>
          <w:szCs w:val="31"/>
          <w14:textOutline w14:w="5793" w14:cap="sq" w14:cmpd="sng">
            <w14:solidFill>
              <w14:srgbClr w14:val="000000"/>
            </w14:solidFill>
            <w14:prstDash w14:val="solid"/>
            <w14:bevel/>
          </w14:textOutline>
          <w:spacing w:val="-6"/>
        </w:rPr>
        <w:t>务</w:t>
      </w:r>
      <w:r>
        <w:rPr>
          <w:rFonts w:ascii="SimSun" w:hAnsi="SimSun" w:eastAsia="SimSun" w:cs="SimSun"/>
          <w:sz w:val="31"/>
          <w:szCs w:val="31"/>
          <w:spacing w:val="-118"/>
        </w:rPr>
        <w:t xml:space="preserve"> </w:t>
      </w:r>
      <w:r>
        <w:rPr>
          <w:rFonts w:ascii="SimSun" w:hAnsi="SimSun" w:eastAsia="SimSun" w:cs="SimSun"/>
          <w:sz w:val="31"/>
          <w:szCs w:val="31"/>
          <w14:textOutline w14:w="5793" w14:cap="sq" w14:cmpd="sng">
            <w14:solidFill>
              <w14:srgbClr w14:val="000000"/>
            </w14:solidFill>
            <w14:prstDash w14:val="solid"/>
            <w14:bevel/>
          </w14:textOutline>
          <w:spacing w:val="-6"/>
        </w:rPr>
        <w:t>、</w:t>
      </w:r>
      <w:r>
        <w:rPr>
          <w:rFonts w:ascii="SimSun" w:hAnsi="SimSun" w:eastAsia="SimSun" w:cs="SimSun"/>
          <w:sz w:val="31"/>
          <w:szCs w:val="31"/>
          <w:spacing w:val="-133"/>
        </w:rPr>
        <w:t xml:space="preserve"> </w:t>
      </w:r>
      <w:r>
        <w:rPr>
          <w:rFonts w:ascii="SimSun" w:hAnsi="SimSun" w:eastAsia="SimSun" w:cs="SimSun"/>
          <w:sz w:val="31"/>
          <w:szCs w:val="31"/>
          <w14:textOutline w14:w="5793" w14:cap="sq" w14:cmpd="sng">
            <w14:solidFill>
              <w14:srgbClr w14:val="000000"/>
            </w14:solidFill>
            <w14:prstDash w14:val="solid"/>
            <w14:bevel/>
          </w14:textOutline>
          <w:spacing w:val="-6"/>
        </w:rPr>
        <w:t>职</w:t>
      </w:r>
      <w:r>
        <w:rPr>
          <w:rFonts w:ascii="SimSun" w:hAnsi="SimSun" w:eastAsia="SimSun" w:cs="SimSun"/>
          <w:sz w:val="31"/>
          <w:szCs w:val="31"/>
          <w:spacing w:val="11"/>
        </w:rPr>
        <w:t xml:space="preserve">  </w:t>
      </w:r>
      <w:r>
        <w:rPr>
          <w:rFonts w:ascii="SimSun" w:hAnsi="SimSun" w:eastAsia="SimSun" w:cs="SimSun"/>
          <w:sz w:val="31"/>
          <w:szCs w:val="31"/>
          <w14:textOutline w14:w="5793" w14:cap="sq" w14:cmpd="sng">
            <w14:solidFill>
              <w14:srgbClr w14:val="000000"/>
            </w14:solidFill>
            <w14:prstDash w14:val="solid"/>
            <w14:bevel/>
          </w14:textOutline>
          <w:spacing w:val="-6"/>
        </w:rPr>
        <w:t>称：</w:t>
      </w:r>
      <w:r>
        <w:rPr>
          <w:rFonts w:ascii="SimSun" w:hAnsi="SimSun" w:eastAsia="SimSun" w:cs="SimSun"/>
          <w:sz w:val="31"/>
          <w:szCs w:val="31"/>
          <w:spacing w:val="-6"/>
        </w:rPr>
        <w:t xml:space="preserve"> </w:t>
      </w:r>
      <w:r>
        <w:rPr>
          <w:rFonts w:ascii="SimSun" w:hAnsi="SimSun" w:eastAsia="SimSun" w:cs="SimSun"/>
          <w:sz w:val="31"/>
          <w:szCs w:val="31"/>
          <w:u w:val="single" w:color="auto"/>
          <w:spacing w:val="29"/>
        </w:rPr>
        <w:t xml:space="preserve"> </w:t>
      </w:r>
      <w:r>
        <w:rPr>
          <w:rFonts w:ascii="SimSun" w:hAnsi="SimSun" w:eastAsia="SimSun" w:cs="SimSun"/>
          <w:sz w:val="31"/>
          <w:szCs w:val="31"/>
          <w:u w:val="single" w:color="auto"/>
          <w:spacing w:val="-6"/>
        </w:rPr>
        <w:t>高</w:t>
      </w:r>
      <w:r>
        <w:rPr>
          <w:rFonts w:ascii="SimSun" w:hAnsi="SimSun" w:eastAsia="SimSun" w:cs="SimSun"/>
          <w:sz w:val="31"/>
          <w:szCs w:val="31"/>
          <w:u w:val="single" w:color="auto"/>
          <w:spacing w:val="22"/>
        </w:rPr>
        <w:t xml:space="preserve"> </w:t>
      </w:r>
      <w:r>
        <w:rPr>
          <w:rFonts w:ascii="SimSun" w:hAnsi="SimSun" w:eastAsia="SimSun" w:cs="SimSun"/>
          <w:sz w:val="31"/>
          <w:szCs w:val="31"/>
          <w:u w:val="single" w:color="auto"/>
          <w:spacing w:val="-6"/>
        </w:rPr>
        <w:t>工</w:t>
      </w:r>
      <w:r>
        <w:rPr>
          <w:rFonts w:ascii="SimSun" w:hAnsi="SimSun" w:eastAsia="SimSun" w:cs="SimSun"/>
          <w:sz w:val="31"/>
          <w:szCs w:val="31"/>
          <w:u w:val="single" w:color="auto"/>
        </w:rPr>
        <w:t xml:space="preserve">                                  </w:t>
      </w:r>
    </w:p>
    <w:p>
      <w:pPr>
        <w:spacing w:before="302" w:line="225" w:lineRule="auto"/>
        <w:jc w:val="right"/>
        <w:rPr>
          <w:rFonts w:ascii="SimSun" w:hAnsi="SimSun" w:eastAsia="SimSun" w:cs="SimSun"/>
          <w:sz w:val="31"/>
          <w:szCs w:val="31"/>
        </w:rPr>
      </w:pPr>
      <w:r>
        <w:rPr>
          <w:rFonts w:ascii="SimSun" w:hAnsi="SimSun" w:eastAsia="SimSun" w:cs="SimSun"/>
          <w:sz w:val="31"/>
          <w:szCs w:val="31"/>
          <w14:textOutline w14:w="5793" w14:cap="sq" w14:cmpd="sng">
            <w14:solidFill>
              <w14:srgbClr w14:val="000000"/>
            </w14:solidFill>
            <w14:prstDash w14:val="solid"/>
            <w14:bevel/>
          </w14:textOutline>
          <w:spacing w:val="5"/>
        </w:rPr>
        <w:t>所</w:t>
      </w:r>
      <w:r>
        <w:rPr>
          <w:rFonts w:ascii="SimSun" w:hAnsi="SimSun" w:eastAsia="SimSun" w:cs="SimSun"/>
          <w:sz w:val="31"/>
          <w:szCs w:val="31"/>
          <w:spacing w:val="5"/>
        </w:rPr>
        <w:t xml:space="preserve">  </w:t>
      </w:r>
      <w:r>
        <w:rPr>
          <w:rFonts w:ascii="SimSun" w:hAnsi="SimSun" w:eastAsia="SimSun" w:cs="SimSun"/>
          <w:sz w:val="31"/>
          <w:szCs w:val="31"/>
          <w14:textOutline w14:w="5793" w14:cap="sq" w14:cmpd="sng">
            <w14:solidFill>
              <w14:srgbClr w14:val="000000"/>
            </w14:solidFill>
            <w14:prstDash w14:val="solid"/>
            <w14:bevel/>
          </w14:textOutline>
          <w:spacing w:val="5"/>
        </w:rPr>
        <w:t>在</w:t>
      </w:r>
      <w:r>
        <w:rPr>
          <w:rFonts w:ascii="SimSun" w:hAnsi="SimSun" w:eastAsia="SimSun" w:cs="SimSun"/>
          <w:sz w:val="31"/>
          <w:szCs w:val="31"/>
          <w:spacing w:val="5"/>
        </w:rPr>
        <w:t xml:space="preserve">  </w:t>
      </w:r>
      <w:r>
        <w:rPr>
          <w:rFonts w:ascii="SimSun" w:hAnsi="SimSun" w:eastAsia="SimSun" w:cs="SimSun"/>
          <w:sz w:val="31"/>
          <w:szCs w:val="31"/>
          <w14:textOutline w14:w="5793" w14:cap="sq" w14:cmpd="sng">
            <w14:solidFill>
              <w14:srgbClr w14:val="000000"/>
            </w14:solidFill>
            <w14:prstDash w14:val="solid"/>
            <w14:bevel/>
          </w14:textOutline>
          <w:spacing w:val="5"/>
        </w:rPr>
        <w:t>单</w:t>
      </w:r>
      <w:r>
        <w:rPr>
          <w:rFonts w:ascii="SimSun" w:hAnsi="SimSun" w:eastAsia="SimSun" w:cs="SimSun"/>
          <w:sz w:val="31"/>
          <w:szCs w:val="31"/>
          <w:spacing w:val="5"/>
        </w:rPr>
        <w:t xml:space="preserve">  </w:t>
      </w:r>
      <w:r>
        <w:rPr>
          <w:rFonts w:ascii="SimSun" w:hAnsi="SimSun" w:eastAsia="SimSun" w:cs="SimSun"/>
          <w:sz w:val="31"/>
          <w:szCs w:val="31"/>
          <w14:textOutline w14:w="5793" w14:cap="sq" w14:cmpd="sng">
            <w14:solidFill>
              <w14:srgbClr w14:val="000000"/>
            </w14:solidFill>
            <w14:prstDash w14:val="solid"/>
            <w14:bevel/>
          </w14:textOutline>
          <w:spacing w:val="5"/>
        </w:rPr>
        <w:t>位：</w:t>
      </w:r>
      <w:r>
        <w:rPr>
          <w:rFonts w:ascii="SimSun" w:hAnsi="SimSun" w:eastAsia="SimSun" w:cs="SimSun"/>
          <w:sz w:val="31"/>
          <w:szCs w:val="31"/>
          <w:spacing w:val="-45"/>
        </w:rPr>
        <w:t xml:space="preserve"> </w:t>
      </w:r>
      <w:r>
        <w:rPr>
          <w:rFonts w:ascii="SimSun" w:hAnsi="SimSun" w:eastAsia="SimSun" w:cs="SimSun"/>
          <w:sz w:val="31"/>
          <w:szCs w:val="31"/>
          <w:u w:val="single" w:color="auto"/>
          <w:spacing w:val="21"/>
        </w:rPr>
        <w:t xml:space="preserve"> </w:t>
      </w:r>
      <w:r>
        <w:rPr>
          <w:rFonts w:ascii="SimSun" w:hAnsi="SimSun" w:eastAsia="SimSun" w:cs="SimSun"/>
          <w:sz w:val="31"/>
          <w:szCs w:val="31"/>
          <w:u w:val="single" w:color="auto"/>
          <w:spacing w:val="5"/>
        </w:rPr>
        <w:t>乌鲁木齐市危险废物管理中心（市环境保护</w:t>
      </w:r>
    </w:p>
    <w:p>
      <w:pPr>
        <w:ind w:left="2892"/>
        <w:spacing w:before="304" w:line="224" w:lineRule="auto"/>
        <w:rPr>
          <w:rFonts w:ascii="SimSun" w:hAnsi="SimSun" w:eastAsia="SimSun" w:cs="SimSun"/>
          <w:sz w:val="31"/>
          <w:szCs w:val="31"/>
        </w:rPr>
      </w:pPr>
      <w:r>
        <w:pict>
          <v:shape id="_x0000_s4" style="position:absolute;margin-left:144pt;margin-top:30.5948pt;mso-position-vertical-relative:text;mso-position-horizontal-relative:text;width:297pt;height:0.85pt;z-index:251670528;" filled="false" strokecolor="#000000" strokeweight="0.84pt" coordsize="5940,17" coordorigin="0,0" path="m0,8l5940,8e">
            <v:stroke joinstyle="bevel" miterlimit="2"/>
          </v:shape>
        </w:pict>
      </w:r>
      <w:r>
        <w:rPr>
          <w:rFonts w:ascii="SimSun" w:hAnsi="SimSun" w:eastAsia="SimSun" w:cs="SimSun"/>
          <w:sz w:val="31"/>
          <w:szCs w:val="31"/>
          <w:spacing w:val="12"/>
        </w:rPr>
        <w:t>科学研究所</w:t>
      </w:r>
      <w:r>
        <w:rPr>
          <w:rFonts w:ascii="SimSun" w:hAnsi="SimSun" w:eastAsia="SimSun" w:cs="SimSun"/>
          <w:sz w:val="31"/>
          <w:szCs w:val="31"/>
          <w:spacing w:val="-10"/>
        </w:rPr>
        <w:t>）（</w:t>
      </w:r>
      <w:r>
        <w:rPr>
          <w:rFonts w:ascii="SimSun" w:hAnsi="SimSun" w:eastAsia="SimSun" w:cs="SimSun"/>
          <w:sz w:val="31"/>
          <w:szCs w:val="31"/>
          <w:spacing w:val="12"/>
        </w:rPr>
        <w:t>退休）</w:t>
      </w:r>
    </w:p>
    <w:p>
      <w:pPr>
        <w:ind w:left="13"/>
        <w:spacing w:before="303" w:line="227" w:lineRule="auto"/>
        <w:rPr>
          <w:rFonts w:ascii="Times New Roman" w:hAnsi="Times New Roman" w:eastAsia="Times New Roman" w:cs="Times New Roman"/>
          <w:sz w:val="31"/>
          <w:szCs w:val="31"/>
        </w:rPr>
      </w:pPr>
      <w:r>
        <w:rPr>
          <w:rFonts w:ascii="SimSun" w:hAnsi="SimSun" w:eastAsia="SimSun" w:cs="SimSun"/>
          <w:sz w:val="31"/>
          <w:szCs w:val="31"/>
          <w14:textOutline w14:w="5793" w14:cap="sq" w14:cmpd="sng">
            <w14:solidFill>
              <w14:srgbClr w14:val="000000"/>
            </w14:solidFill>
            <w14:prstDash w14:val="solid"/>
            <w14:bevel/>
          </w14:textOutline>
          <w:spacing w:val="-2"/>
        </w:rPr>
        <w:t>联</w:t>
      </w:r>
      <w:r>
        <w:rPr>
          <w:rFonts w:ascii="SimSun" w:hAnsi="SimSun" w:eastAsia="SimSun" w:cs="SimSun"/>
          <w:sz w:val="31"/>
          <w:szCs w:val="31"/>
          <w:spacing w:val="20"/>
        </w:rPr>
        <w:t xml:space="preserve">  </w:t>
      </w:r>
      <w:r>
        <w:rPr>
          <w:rFonts w:ascii="SimSun" w:hAnsi="SimSun" w:eastAsia="SimSun" w:cs="SimSun"/>
          <w:sz w:val="31"/>
          <w:szCs w:val="31"/>
          <w14:textOutline w14:w="5793" w14:cap="sq" w14:cmpd="sng">
            <w14:solidFill>
              <w14:srgbClr w14:val="000000"/>
            </w14:solidFill>
            <w14:prstDash w14:val="solid"/>
            <w14:bevel/>
          </w14:textOutline>
          <w:spacing w:val="-2"/>
        </w:rPr>
        <w:t>系</w:t>
      </w:r>
      <w:r>
        <w:rPr>
          <w:rFonts w:ascii="SimSun" w:hAnsi="SimSun" w:eastAsia="SimSun" w:cs="SimSun"/>
          <w:sz w:val="31"/>
          <w:szCs w:val="31"/>
          <w:spacing w:val="31"/>
        </w:rPr>
        <w:t xml:space="preserve">  </w:t>
      </w:r>
      <w:r>
        <w:rPr>
          <w:rFonts w:ascii="SimSun" w:hAnsi="SimSun" w:eastAsia="SimSun" w:cs="SimSun"/>
          <w:sz w:val="31"/>
          <w:szCs w:val="31"/>
          <w14:textOutline w14:w="5793" w14:cap="sq" w14:cmpd="sng">
            <w14:solidFill>
              <w14:srgbClr w14:val="000000"/>
            </w14:solidFill>
            <w14:prstDash w14:val="solid"/>
            <w14:bevel/>
          </w14:textOutline>
          <w:spacing w:val="-2"/>
        </w:rPr>
        <w:t>电</w:t>
      </w:r>
      <w:r>
        <w:rPr>
          <w:rFonts w:ascii="SimSun" w:hAnsi="SimSun" w:eastAsia="SimSun" w:cs="SimSun"/>
          <w:sz w:val="31"/>
          <w:szCs w:val="31"/>
          <w:spacing w:val="-2"/>
        </w:rPr>
        <w:t xml:space="preserve">  </w:t>
      </w:r>
      <w:r>
        <w:rPr>
          <w:rFonts w:ascii="SimSun" w:hAnsi="SimSun" w:eastAsia="SimSun" w:cs="SimSun"/>
          <w:sz w:val="31"/>
          <w:szCs w:val="31"/>
          <w14:textOutline w14:w="5793" w14:cap="sq" w14:cmpd="sng">
            <w14:solidFill>
              <w14:srgbClr w14:val="000000"/>
            </w14:solidFill>
            <w14:prstDash w14:val="solid"/>
            <w14:bevel/>
          </w14:textOutline>
          <w:spacing w:val="-2"/>
        </w:rPr>
        <w:t>话：</w:t>
      </w:r>
      <w:r>
        <w:rPr>
          <w:rFonts w:ascii="SimSun" w:hAnsi="SimSun" w:eastAsia="SimSun" w:cs="SimSun"/>
          <w:sz w:val="31"/>
          <w:szCs w:val="31"/>
          <w:spacing w:val="20"/>
        </w:rPr>
        <w:t xml:space="preserve"> </w:t>
      </w:r>
      <w:r>
        <w:rPr>
          <w:rFonts w:ascii="Times New Roman" w:hAnsi="Times New Roman" w:eastAsia="Times New Roman" w:cs="Times New Roman"/>
          <w:sz w:val="31"/>
          <w:szCs w:val="31"/>
          <w:u w:val="single" w:color="auto"/>
          <w:spacing w:val="-2"/>
        </w:rPr>
        <w:t xml:space="preserve">     18999912109                                                     </w:t>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ind w:left="2231"/>
        <w:spacing w:before="101" w:line="225" w:lineRule="auto"/>
        <w:rPr>
          <w:rFonts w:ascii="SimSun" w:hAnsi="SimSun" w:eastAsia="SimSun" w:cs="SimSun"/>
          <w:sz w:val="31"/>
          <w:szCs w:val="31"/>
        </w:rPr>
      </w:pPr>
      <w:r>
        <w:rPr>
          <w:rFonts w:ascii="SimSun" w:hAnsi="SimSun" w:eastAsia="SimSun" w:cs="SimSun"/>
          <w:sz w:val="31"/>
          <w:szCs w:val="31"/>
          <w:spacing w:val="-4"/>
        </w:rPr>
        <w:t>复核日期</w:t>
      </w:r>
      <w:r>
        <w:rPr>
          <w:rFonts w:ascii="SimSun" w:hAnsi="SimSun" w:eastAsia="SimSun" w:cs="SimSun"/>
          <w:sz w:val="31"/>
          <w:szCs w:val="31"/>
          <w:spacing w:val="64"/>
        </w:rPr>
        <w:t xml:space="preserve"> </w:t>
      </w:r>
      <w:r>
        <w:rPr>
          <w:rFonts w:ascii="SimSun" w:hAnsi="SimSun" w:eastAsia="SimSun" w:cs="SimSun"/>
          <w:sz w:val="31"/>
          <w:szCs w:val="31"/>
          <w:spacing w:val="-4"/>
        </w:rPr>
        <w:t>： </w:t>
      </w:r>
      <w:r>
        <w:rPr>
          <w:rFonts w:ascii="Times New Roman" w:hAnsi="Times New Roman" w:eastAsia="Times New Roman" w:cs="Times New Roman"/>
          <w:sz w:val="31"/>
          <w:szCs w:val="31"/>
          <w:spacing w:val="-4"/>
        </w:rPr>
        <w:t>2023</w:t>
      </w:r>
      <w:r>
        <w:rPr>
          <w:rFonts w:ascii="Times New Roman" w:hAnsi="Times New Roman" w:eastAsia="Times New Roman" w:cs="Times New Roman"/>
          <w:sz w:val="31"/>
          <w:szCs w:val="31"/>
          <w:spacing w:val="17"/>
        </w:rPr>
        <w:t xml:space="preserve"> </w:t>
      </w:r>
      <w:r>
        <w:rPr>
          <w:rFonts w:ascii="SimSun" w:hAnsi="SimSun" w:eastAsia="SimSun" w:cs="SimSun"/>
          <w:sz w:val="31"/>
          <w:szCs w:val="31"/>
          <w:spacing w:val="-4"/>
        </w:rPr>
        <w:t>年</w:t>
      </w:r>
      <w:r>
        <w:rPr>
          <w:rFonts w:ascii="SimSun" w:hAnsi="SimSun" w:eastAsia="SimSun" w:cs="SimSun"/>
          <w:sz w:val="31"/>
          <w:szCs w:val="31"/>
          <w:spacing w:val="-39"/>
        </w:rPr>
        <w:t xml:space="preserve"> </w:t>
      </w:r>
      <w:r>
        <w:rPr>
          <w:rFonts w:ascii="Times New Roman" w:hAnsi="Times New Roman" w:eastAsia="Times New Roman" w:cs="Times New Roman"/>
          <w:sz w:val="31"/>
          <w:szCs w:val="31"/>
          <w:spacing w:val="-4"/>
        </w:rPr>
        <w:t>12</w:t>
      </w:r>
      <w:r>
        <w:rPr>
          <w:rFonts w:ascii="Times New Roman" w:hAnsi="Times New Roman" w:eastAsia="Times New Roman" w:cs="Times New Roman"/>
          <w:sz w:val="31"/>
          <w:szCs w:val="31"/>
          <w:spacing w:val="23"/>
          <w:w w:val="101"/>
        </w:rPr>
        <w:t xml:space="preserve"> </w:t>
      </w:r>
      <w:r>
        <w:rPr>
          <w:rFonts w:ascii="SimSun" w:hAnsi="SimSun" w:eastAsia="SimSun" w:cs="SimSun"/>
          <w:sz w:val="31"/>
          <w:szCs w:val="31"/>
          <w:spacing w:val="-4"/>
        </w:rPr>
        <w:t>月</w:t>
      </w:r>
      <w:r>
        <w:rPr>
          <w:rFonts w:ascii="SimSun" w:hAnsi="SimSun" w:eastAsia="SimSun" w:cs="SimSun"/>
          <w:sz w:val="31"/>
          <w:szCs w:val="31"/>
          <w:spacing w:val="-54"/>
        </w:rPr>
        <w:t xml:space="preserve"> </w:t>
      </w:r>
      <w:r>
        <w:rPr>
          <w:rFonts w:ascii="Times New Roman" w:hAnsi="Times New Roman" w:eastAsia="Times New Roman" w:cs="Times New Roman"/>
          <w:sz w:val="31"/>
          <w:szCs w:val="31"/>
          <w:spacing w:val="-4"/>
        </w:rPr>
        <w:t>8  </w:t>
      </w:r>
      <w:r>
        <w:rPr>
          <w:rFonts w:ascii="SimSun" w:hAnsi="SimSun" w:eastAsia="SimSun" w:cs="SimSun"/>
          <w:sz w:val="31"/>
          <w:szCs w:val="31"/>
          <w:spacing w:val="-4"/>
        </w:rPr>
        <w:t>日</w:t>
      </w:r>
    </w:p>
    <w:p>
      <w:pPr>
        <w:spacing w:line="225" w:lineRule="auto"/>
        <w:sectPr>
          <w:footerReference w:type="default" r:id="rId16"/>
          <w:pgSz w:w="11907" w:h="16840"/>
          <w:pgMar w:top="400" w:right="1555" w:bottom="400" w:left="1531" w:header="0" w:footer="0" w:gutter="0"/>
        </w:sectPr>
        <w:rPr>
          <w:rFonts w:ascii="SimSun" w:hAnsi="SimSun" w:eastAsia="SimSun" w:cs="SimSun"/>
          <w:sz w:val="31"/>
          <w:szCs w:val="31"/>
        </w:rPr>
      </w:pPr>
    </w:p>
    <w:p>
      <w:pPr>
        <w:spacing w:before="42"/>
        <w:rPr/>
      </w:pPr>
      <w:r/>
    </w:p>
    <w:p>
      <w:pPr>
        <w:spacing w:before="41"/>
        <w:rPr/>
      </w:pPr>
      <w:r/>
    </w:p>
    <w:p>
      <w:pPr>
        <w:spacing w:before="41"/>
        <w:rPr/>
      </w:pPr>
      <w:r/>
    </w:p>
    <w:p>
      <w:pPr>
        <w:spacing w:before="41"/>
        <w:rPr/>
      </w:pPr>
      <w:r/>
    </w:p>
    <w:tbl>
      <w:tblPr>
        <w:tblStyle w:val="TableNormal"/>
        <w:tblW w:w="8877"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98"/>
        <w:gridCol w:w="4034"/>
        <w:gridCol w:w="4045"/>
      </w:tblGrid>
      <w:tr>
        <w:trPr>
          <w:trHeight w:val="5981" w:hRule="atLeast"/>
        </w:trPr>
        <w:tc>
          <w:tcPr>
            <w:tcW w:w="798" w:type="dxa"/>
            <w:vAlign w:val="top"/>
            <w:tcBorders>
              <w:left w:val="single" w:color="000000" w:sz="6" w:space="0"/>
              <w:top w:val="single" w:color="000000" w:sz="6" w:space="0"/>
            </w:tcBorders>
          </w:tcPr>
          <w:p>
            <w:pPr>
              <w:spacing w:line="291" w:lineRule="auto"/>
              <w:rPr>
                <w:rFonts w:ascii="Arial"/>
                <w:sz w:val="21"/>
              </w:rPr>
            </w:pPr>
            <w:r/>
          </w:p>
          <w:p>
            <w:pPr>
              <w:spacing w:line="291" w:lineRule="auto"/>
              <w:rPr>
                <w:rFonts w:ascii="Arial"/>
                <w:sz w:val="21"/>
              </w:rPr>
            </w:pPr>
            <w:r/>
          </w:p>
          <w:p>
            <w:pPr>
              <w:spacing w:line="291" w:lineRule="auto"/>
              <w:rPr>
                <w:rFonts w:ascii="Arial"/>
                <w:sz w:val="21"/>
              </w:rPr>
            </w:pPr>
            <w:r/>
          </w:p>
          <w:p>
            <w:pPr>
              <w:spacing w:line="292" w:lineRule="auto"/>
              <w:rPr>
                <w:rFonts w:ascii="Arial"/>
                <w:sz w:val="21"/>
              </w:rPr>
            </w:pPr>
            <w:r/>
          </w:p>
          <w:p>
            <w:pPr>
              <w:ind w:left="130" w:right="129" w:hanging="1"/>
              <w:spacing w:before="101" w:line="372" w:lineRule="auto"/>
              <w:jc w:val="both"/>
              <w:rPr>
                <w:rFonts w:ascii="SimHei" w:hAnsi="SimHei" w:eastAsia="SimHei" w:cs="SimHei"/>
                <w:sz w:val="31"/>
                <w:szCs w:val="31"/>
              </w:rPr>
            </w:pPr>
            <w:r>
              <w:rPr>
                <w:rFonts w:ascii="SimHei" w:hAnsi="SimHei" w:eastAsia="SimHei" w:cs="SimHei"/>
                <w:sz w:val="31"/>
                <w:szCs w:val="31"/>
                <w:spacing w:val="-24"/>
                <w:w w:val="92"/>
              </w:rPr>
              <w:t>报告</w:t>
            </w:r>
            <w:r>
              <w:rPr>
                <w:rFonts w:ascii="SimHei" w:hAnsi="SimHei" w:eastAsia="SimHei" w:cs="SimHei"/>
                <w:sz w:val="31"/>
                <w:szCs w:val="31"/>
                <w:spacing w:val="5"/>
              </w:rPr>
              <w:t xml:space="preserve"> </w:t>
            </w:r>
            <w:r>
              <w:rPr>
                <w:rFonts w:ascii="SimHei" w:hAnsi="SimHei" w:eastAsia="SimHei" w:cs="SimHei"/>
                <w:sz w:val="31"/>
                <w:szCs w:val="31"/>
                <w:spacing w:val="-19"/>
                <w:w w:val="91"/>
              </w:rPr>
              <w:t>表修</w:t>
            </w:r>
            <w:r>
              <w:rPr>
                <w:rFonts w:ascii="SimHei" w:hAnsi="SimHei" w:eastAsia="SimHei" w:cs="SimHei"/>
                <w:sz w:val="31"/>
                <w:szCs w:val="31"/>
              </w:rPr>
              <w:t xml:space="preserve"> </w:t>
            </w:r>
            <w:r>
              <w:rPr>
                <w:rFonts w:ascii="SimHei" w:hAnsi="SimHei" w:eastAsia="SimHei" w:cs="SimHei"/>
                <w:sz w:val="31"/>
                <w:szCs w:val="31"/>
                <w:spacing w:val="-21"/>
                <w:w w:val="91"/>
              </w:rPr>
              <w:t>改情</w:t>
            </w:r>
            <w:r>
              <w:rPr>
                <w:rFonts w:ascii="SimHei" w:hAnsi="SimHei" w:eastAsia="SimHei" w:cs="SimHei"/>
                <w:sz w:val="31"/>
                <w:szCs w:val="31"/>
                <w:spacing w:val="4"/>
              </w:rPr>
              <w:t xml:space="preserve"> </w:t>
            </w:r>
            <w:r>
              <w:rPr>
                <w:rFonts w:ascii="SimHei" w:hAnsi="SimHei" w:eastAsia="SimHei" w:cs="SimHei"/>
                <w:sz w:val="31"/>
                <w:szCs w:val="31"/>
                <w:spacing w:val="-28"/>
                <w:w w:val="94"/>
              </w:rPr>
              <w:t>况总</w:t>
            </w:r>
            <w:r>
              <w:rPr>
                <w:rFonts w:ascii="SimHei" w:hAnsi="SimHei" w:eastAsia="SimHei" w:cs="SimHei"/>
                <w:sz w:val="31"/>
                <w:szCs w:val="31"/>
              </w:rPr>
              <w:t xml:space="preserve"> </w:t>
            </w:r>
            <w:r>
              <w:rPr>
                <w:rFonts w:ascii="SimHei" w:hAnsi="SimHei" w:eastAsia="SimHei" w:cs="SimHei"/>
                <w:sz w:val="31"/>
                <w:szCs w:val="31"/>
                <w:spacing w:val="-21"/>
                <w:w w:val="91"/>
              </w:rPr>
              <w:t>体意</w:t>
            </w:r>
          </w:p>
          <w:p>
            <w:pPr>
              <w:ind w:left="267"/>
              <w:spacing w:line="226" w:lineRule="auto"/>
              <w:rPr>
                <w:rFonts w:ascii="SimHei" w:hAnsi="SimHei" w:eastAsia="SimHei" w:cs="SimHei"/>
                <w:sz w:val="31"/>
                <w:szCs w:val="31"/>
              </w:rPr>
            </w:pPr>
            <w:r>
              <w:rPr>
                <w:rFonts w:ascii="SimHei" w:hAnsi="SimHei" w:eastAsia="SimHei" w:cs="SimHei"/>
                <w:sz w:val="31"/>
                <w:szCs w:val="31"/>
              </w:rPr>
              <w:t>见</w:t>
            </w:r>
          </w:p>
        </w:tc>
        <w:tc>
          <w:tcPr>
            <w:tcW w:w="8079" w:type="dxa"/>
            <w:vAlign w:val="top"/>
            <w:gridSpan w:val="2"/>
            <w:tcBorders>
              <w:right w:val="single" w:color="000000" w:sz="6" w:space="0"/>
              <w:top w:val="single" w:color="000000" w:sz="6" w:space="0"/>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29" w:right="4" w:firstLine="538"/>
              <w:spacing w:before="91" w:line="411" w:lineRule="auto"/>
              <w:jc w:val="both"/>
              <w:rPr>
                <w:rFonts w:ascii="NSimSun" w:hAnsi="NSimSun" w:eastAsia="NSimSun" w:cs="NSimSun"/>
                <w:sz w:val="28"/>
                <w:szCs w:val="28"/>
              </w:rPr>
            </w:pPr>
            <w:r>
              <w:rPr>
                <w:rFonts w:ascii="NSimSun" w:hAnsi="NSimSun" w:eastAsia="NSimSun" w:cs="NSimSun"/>
                <w:sz w:val="28"/>
                <w:szCs w:val="28"/>
                <w:spacing w:val="-3"/>
              </w:rPr>
              <w:t>环评报告编制单位按照专家审查意见对《呼图壁县丰收塑料制</w:t>
            </w:r>
            <w:r>
              <w:rPr>
                <w:rFonts w:ascii="NSimSun" w:hAnsi="NSimSun" w:eastAsia="NSimSun" w:cs="NSimSun"/>
                <w:sz w:val="28"/>
                <w:szCs w:val="28"/>
                <w:spacing w:val="16"/>
              </w:rPr>
              <w:t xml:space="preserve"> </w:t>
            </w:r>
            <w:r>
              <w:rPr>
                <w:rFonts w:ascii="NSimSun" w:hAnsi="NSimSun" w:eastAsia="NSimSun" w:cs="NSimSun"/>
                <w:sz w:val="28"/>
                <w:szCs w:val="28"/>
                <w:spacing w:val="-3"/>
              </w:rPr>
              <w:t>品厂农用地膜加工项目环境影响报告表》进行了修改，经复核，修</w:t>
            </w:r>
          </w:p>
          <w:p>
            <w:pPr>
              <w:ind w:left="16"/>
              <w:spacing w:line="218" w:lineRule="auto"/>
              <w:rPr>
                <w:rFonts w:ascii="NSimSun" w:hAnsi="NSimSun" w:eastAsia="NSimSun" w:cs="NSimSun"/>
                <w:sz w:val="28"/>
                <w:szCs w:val="28"/>
              </w:rPr>
            </w:pPr>
            <w:r>
              <w:rPr>
                <w:rFonts w:ascii="NSimSun" w:hAnsi="NSimSun" w:eastAsia="NSimSun" w:cs="NSimSun"/>
                <w:sz w:val="28"/>
                <w:szCs w:val="28"/>
                <w:spacing w:val="-1"/>
              </w:rPr>
              <w:t>改后的报告表评价内容符合专家审查意见要求。</w:t>
            </w:r>
          </w:p>
          <w:p>
            <w:pPr>
              <w:ind w:left="5609"/>
              <w:spacing w:before="204"/>
              <w:rPr>
                <w:sz w:val="28"/>
                <w:szCs w:val="28"/>
              </w:rPr>
            </w:pPr>
            <w:r>
              <w:rPr>
                <w:rFonts w:ascii="NSimSun" w:hAnsi="NSimSun" w:eastAsia="NSimSun" w:cs="NSimSun"/>
                <w:sz w:val="28"/>
                <w:szCs w:val="28"/>
                <w:spacing w:val="-33"/>
              </w:rPr>
              <w:t>专家：</w:t>
            </w:r>
            <w:r>
              <w:rPr>
                <w:sz w:val="28"/>
                <w:szCs w:val="28"/>
                <w:position w:val="-32"/>
              </w:rPr>
              <w:drawing>
                <wp:inline distT="0" distB="0" distL="0" distR="0">
                  <wp:extent cx="784859" cy="512064"/>
                  <wp:effectExtent l="0" t="0" r="0" b="0"/>
                  <wp:docPr id="26" name="IM 26"/>
                  <wp:cNvGraphicFramePr/>
                  <a:graphic>
                    <a:graphicData uri="http://schemas.openxmlformats.org/drawingml/2006/picture">
                      <pic:pic>
                        <pic:nvPicPr>
                          <pic:cNvPr id="26" name="IM 26"/>
                          <pic:cNvPicPr/>
                        </pic:nvPicPr>
                        <pic:blipFill>
                          <a:blip r:embed="rId18"/>
                          <a:stretch>
                            <a:fillRect/>
                          </a:stretch>
                        </pic:blipFill>
                        <pic:spPr>
                          <a:xfrm rot="0">
                            <a:off x="0" y="0"/>
                            <a:ext cx="784859" cy="512064"/>
                          </a:xfrm>
                          <a:prstGeom prst="rect">
                            <a:avLst/>
                          </a:prstGeom>
                        </pic:spPr>
                      </pic:pic>
                    </a:graphicData>
                  </a:graphic>
                </wp:inline>
              </w:drawing>
            </w:r>
          </w:p>
        </w:tc>
      </w:tr>
      <w:tr>
        <w:trPr>
          <w:trHeight w:val="5250" w:hRule="atLeast"/>
        </w:trPr>
        <w:tc>
          <w:tcPr>
            <w:tcW w:w="798" w:type="dxa"/>
            <w:vAlign w:val="top"/>
            <w:tcBorders>
              <w:left w:val="single" w:color="000000" w:sz="6" w:space="0"/>
            </w:tcBorders>
          </w:tcPr>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ind w:left="129" w:right="129"/>
              <w:spacing w:before="100" w:line="372" w:lineRule="auto"/>
              <w:jc w:val="both"/>
              <w:rPr>
                <w:rFonts w:ascii="SimHei" w:hAnsi="SimHei" w:eastAsia="SimHei" w:cs="SimHei"/>
                <w:sz w:val="31"/>
                <w:szCs w:val="31"/>
              </w:rPr>
            </w:pPr>
            <w:r>
              <w:rPr>
                <w:rFonts w:ascii="SimHei" w:hAnsi="SimHei" w:eastAsia="SimHei" w:cs="SimHei"/>
                <w:sz w:val="31"/>
                <w:szCs w:val="31"/>
                <w:spacing w:val="-24"/>
                <w:w w:val="92"/>
              </w:rPr>
              <w:t>报告</w:t>
            </w:r>
            <w:r>
              <w:rPr>
                <w:rFonts w:ascii="SimHei" w:hAnsi="SimHei" w:eastAsia="SimHei" w:cs="SimHei"/>
                <w:sz w:val="31"/>
                <w:szCs w:val="31"/>
                <w:spacing w:val="5"/>
              </w:rPr>
              <w:t xml:space="preserve"> </w:t>
            </w:r>
            <w:r>
              <w:rPr>
                <w:rFonts w:ascii="SimHei" w:hAnsi="SimHei" w:eastAsia="SimHei" w:cs="SimHei"/>
                <w:sz w:val="31"/>
                <w:szCs w:val="31"/>
                <w:spacing w:val="-23"/>
                <w:w w:val="92"/>
              </w:rPr>
              <w:t>表仍</w:t>
            </w:r>
            <w:r>
              <w:rPr>
                <w:rFonts w:ascii="SimHei" w:hAnsi="SimHei" w:eastAsia="SimHei" w:cs="SimHei"/>
                <w:sz w:val="31"/>
                <w:szCs w:val="31"/>
                <w:spacing w:val="3"/>
              </w:rPr>
              <w:t xml:space="preserve"> </w:t>
            </w:r>
            <w:r>
              <w:rPr>
                <w:rFonts w:ascii="SimHei" w:hAnsi="SimHei" w:eastAsia="SimHei" w:cs="SimHei"/>
                <w:sz w:val="31"/>
                <w:szCs w:val="31"/>
                <w:spacing w:val="-22"/>
                <w:w w:val="92"/>
              </w:rPr>
              <w:t>然存</w:t>
            </w:r>
            <w:r>
              <w:rPr>
                <w:rFonts w:ascii="SimHei" w:hAnsi="SimHei" w:eastAsia="SimHei" w:cs="SimHei"/>
                <w:sz w:val="31"/>
                <w:szCs w:val="31"/>
                <w:spacing w:val="1"/>
              </w:rPr>
              <w:t xml:space="preserve"> </w:t>
            </w:r>
            <w:r>
              <w:rPr>
                <w:rFonts w:ascii="SimHei" w:hAnsi="SimHei" w:eastAsia="SimHei" w:cs="SimHei"/>
                <w:sz w:val="31"/>
                <w:szCs w:val="31"/>
                <w:spacing w:val="-34"/>
                <w:w w:val="96"/>
              </w:rPr>
              <w:t>在的</w:t>
            </w:r>
            <w:r>
              <w:rPr>
                <w:rFonts w:ascii="SimHei" w:hAnsi="SimHei" w:eastAsia="SimHei" w:cs="SimHei"/>
                <w:sz w:val="31"/>
                <w:szCs w:val="31"/>
              </w:rPr>
              <w:t xml:space="preserve"> </w:t>
            </w:r>
            <w:r>
              <w:rPr>
                <w:rFonts w:ascii="SimHei" w:hAnsi="SimHei" w:eastAsia="SimHei" w:cs="SimHei"/>
                <w:sz w:val="31"/>
                <w:szCs w:val="31"/>
                <w:spacing w:val="-24"/>
                <w:w w:val="92"/>
              </w:rPr>
              <w:t>主要</w:t>
            </w:r>
          </w:p>
          <w:p>
            <w:pPr>
              <w:ind w:left="146"/>
              <w:spacing w:before="1" w:line="227" w:lineRule="auto"/>
              <w:rPr>
                <w:rFonts w:ascii="SimHei" w:hAnsi="SimHei" w:eastAsia="SimHei" w:cs="SimHei"/>
                <w:sz w:val="31"/>
                <w:szCs w:val="31"/>
              </w:rPr>
            </w:pPr>
            <w:r>
              <w:rPr>
                <w:rFonts w:ascii="SimHei" w:hAnsi="SimHei" w:eastAsia="SimHei" w:cs="SimHei"/>
                <w:sz w:val="31"/>
                <w:szCs w:val="31"/>
                <w:spacing w:val="-34"/>
              </w:rPr>
              <w:t>问题</w:t>
            </w:r>
          </w:p>
        </w:tc>
        <w:tc>
          <w:tcPr>
            <w:tcW w:w="8079" w:type="dxa"/>
            <w:vAlign w:val="top"/>
            <w:gridSpan w:val="2"/>
            <w:tcBorders>
              <w:right w:val="single" w:color="000000" w:sz="6" w:space="0"/>
            </w:tcBorders>
          </w:tcPr>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ind w:left="570"/>
              <w:spacing w:before="91" w:line="221" w:lineRule="auto"/>
              <w:rPr>
                <w:rFonts w:ascii="NSimSun" w:hAnsi="NSimSun" w:eastAsia="NSimSun" w:cs="NSimSun"/>
                <w:sz w:val="28"/>
                <w:szCs w:val="28"/>
              </w:rPr>
            </w:pPr>
            <w:r>
              <w:rPr>
                <w:rFonts w:ascii="NSimSun" w:hAnsi="NSimSun" w:eastAsia="NSimSun" w:cs="NSimSun"/>
                <w:sz w:val="28"/>
                <w:szCs w:val="28"/>
              </w:rPr>
              <w:t>无</w:t>
            </w:r>
          </w:p>
        </w:tc>
      </w:tr>
      <w:tr>
        <w:trPr>
          <w:trHeight w:val="1889" w:hRule="atLeast"/>
        </w:trPr>
        <w:tc>
          <w:tcPr>
            <w:tcW w:w="798" w:type="dxa"/>
            <w:vAlign w:val="top"/>
            <w:tcBorders>
              <w:left w:val="single" w:color="000000" w:sz="6" w:space="0"/>
              <w:bottom w:val="single" w:color="000000" w:sz="6" w:space="0"/>
            </w:tcBorders>
          </w:tcPr>
          <w:p>
            <w:pPr>
              <w:ind w:left="135" w:right="129" w:hanging="3"/>
              <w:spacing w:before="165" w:line="372" w:lineRule="auto"/>
              <w:jc w:val="both"/>
              <w:rPr>
                <w:rFonts w:ascii="SimHei" w:hAnsi="SimHei" w:eastAsia="SimHei" w:cs="SimHei"/>
                <w:sz w:val="31"/>
                <w:szCs w:val="31"/>
              </w:rPr>
            </w:pPr>
            <w:r>
              <w:rPr>
                <w:rFonts w:ascii="SimHei" w:hAnsi="SimHei" w:eastAsia="SimHei" w:cs="SimHei"/>
                <w:sz w:val="31"/>
                <w:szCs w:val="31"/>
                <w:spacing w:val="-19"/>
                <w:w w:val="91"/>
              </w:rPr>
              <w:t>技术</w:t>
            </w:r>
            <w:r>
              <w:rPr>
                <w:rFonts w:ascii="SimHei" w:hAnsi="SimHei" w:eastAsia="SimHei" w:cs="SimHei"/>
                <w:sz w:val="31"/>
                <w:szCs w:val="31"/>
              </w:rPr>
              <w:t xml:space="preserve"> </w:t>
            </w:r>
            <w:r>
              <w:rPr>
                <w:rFonts w:ascii="SimHei" w:hAnsi="SimHei" w:eastAsia="SimHei" w:cs="SimHei"/>
                <w:sz w:val="31"/>
                <w:szCs w:val="31"/>
                <w:spacing w:val="-20"/>
                <w:w w:val="90"/>
              </w:rPr>
              <w:t>复核</w:t>
            </w:r>
          </w:p>
          <w:p>
            <w:pPr>
              <w:ind w:left="130"/>
              <w:spacing w:line="231" w:lineRule="auto"/>
              <w:rPr>
                <w:rFonts w:ascii="SimHei" w:hAnsi="SimHei" w:eastAsia="SimHei" w:cs="SimHei"/>
                <w:sz w:val="31"/>
                <w:szCs w:val="31"/>
              </w:rPr>
            </w:pPr>
            <w:r>
              <w:rPr>
                <w:rFonts w:ascii="SimHei" w:hAnsi="SimHei" w:eastAsia="SimHei" w:cs="SimHei"/>
                <w:sz w:val="31"/>
                <w:szCs w:val="31"/>
                <w:spacing w:val="-20"/>
                <w:w w:val="98"/>
              </w:rPr>
              <w:t>结论</w:t>
            </w:r>
          </w:p>
        </w:tc>
        <w:tc>
          <w:tcPr>
            <w:tcW w:w="4034" w:type="dxa"/>
            <w:vAlign w:val="top"/>
            <w:tcBorders>
              <w:bottom w:val="single" w:color="000000" w:sz="6" w:space="0"/>
            </w:tcBorders>
          </w:tcPr>
          <w:p>
            <w:pPr>
              <w:spacing w:line="277" w:lineRule="auto"/>
              <w:rPr>
                <w:rFonts w:ascii="Arial"/>
                <w:sz w:val="21"/>
              </w:rPr>
            </w:pPr>
            <w:r/>
          </w:p>
          <w:p>
            <w:pPr>
              <w:spacing w:line="277" w:lineRule="auto"/>
              <w:rPr>
                <w:rFonts w:ascii="Arial"/>
                <w:sz w:val="21"/>
              </w:rPr>
            </w:pPr>
            <w:r/>
          </w:p>
          <w:p>
            <w:pPr>
              <w:ind w:left="1468"/>
              <w:spacing w:before="153" w:line="233" w:lineRule="auto"/>
              <w:rPr>
                <w:rFonts w:ascii="MS UI Gothic" w:hAnsi="MS UI Gothic" w:eastAsia="MS UI Gothic" w:cs="MS UI Gothic"/>
                <w:sz w:val="47"/>
                <w:szCs w:val="47"/>
              </w:rPr>
            </w:pPr>
            <w:r>
              <w:rPr>
                <w:rFonts w:ascii="FangSong" w:hAnsi="FangSong" w:eastAsia="FangSong" w:cs="FangSong"/>
                <w:sz w:val="43"/>
                <w:szCs w:val="43"/>
                <w:spacing w:val="-48"/>
              </w:rPr>
              <w:t>通过</w:t>
            </w:r>
            <w:r>
              <w:rPr>
                <w:rFonts w:ascii="MS UI Gothic" w:hAnsi="MS UI Gothic" w:eastAsia="MS UI Gothic" w:cs="MS UI Gothic"/>
                <w:sz w:val="47"/>
                <w:szCs w:val="47"/>
                <w:spacing w:val="-48"/>
              </w:rPr>
              <w:t>☑</w:t>
            </w:r>
          </w:p>
        </w:tc>
        <w:tc>
          <w:tcPr>
            <w:tcW w:w="4045" w:type="dxa"/>
            <w:vAlign w:val="top"/>
            <w:tcBorders>
              <w:bottom w:val="single" w:color="000000" w:sz="6" w:space="0"/>
              <w:right w:val="single" w:color="000000" w:sz="6" w:space="0"/>
            </w:tcBorders>
          </w:tcPr>
          <w:p>
            <w:pPr>
              <w:spacing w:line="276" w:lineRule="auto"/>
              <w:rPr>
                <w:rFonts w:ascii="Arial"/>
                <w:sz w:val="21"/>
              </w:rPr>
            </w:pPr>
            <w:r/>
          </w:p>
          <w:p>
            <w:pPr>
              <w:spacing w:line="277" w:lineRule="auto"/>
              <w:rPr>
                <w:rFonts w:ascii="Arial"/>
                <w:sz w:val="21"/>
              </w:rPr>
            </w:pPr>
            <w:r/>
          </w:p>
          <w:p>
            <w:pPr>
              <w:ind w:left="907"/>
              <w:spacing w:before="153" w:line="228" w:lineRule="auto"/>
              <w:rPr>
                <w:rFonts w:ascii="FangSong" w:hAnsi="FangSong" w:eastAsia="FangSong" w:cs="FangSong"/>
                <w:sz w:val="47"/>
                <w:szCs w:val="47"/>
              </w:rPr>
            </w:pPr>
            <w:r>
              <w:rPr>
                <w:rFonts w:ascii="FangSong" w:hAnsi="FangSong" w:eastAsia="FangSong" w:cs="FangSong"/>
                <w:sz w:val="43"/>
                <w:szCs w:val="43"/>
                <w:spacing w:val="-52"/>
              </w:rPr>
              <w:t>修改后通过</w:t>
            </w:r>
            <w:r>
              <w:rPr>
                <w:rFonts w:ascii="FangSong" w:hAnsi="FangSong" w:eastAsia="FangSong" w:cs="FangSong"/>
                <w:sz w:val="47"/>
                <w:szCs w:val="47"/>
                <w:spacing w:val="-52"/>
              </w:rPr>
              <w:t>□</w:t>
            </w:r>
          </w:p>
        </w:tc>
      </w:tr>
    </w:tbl>
    <w:p>
      <w:pPr>
        <w:pStyle w:val="BodyText"/>
        <w:rPr/>
      </w:pPr>
      <w:r/>
    </w:p>
    <w:p>
      <w:pPr>
        <w:sectPr>
          <w:pgSz w:w="11907" w:h="16840"/>
          <w:pgMar w:top="400" w:right="1507" w:bottom="400" w:left="1507" w:header="0" w:footer="0" w:gutter="0"/>
        </w:sectPr>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ind w:left="751"/>
        <w:spacing w:before="150" w:line="188" w:lineRule="auto"/>
        <w:outlineLvl w:val="0"/>
        <w:rPr>
          <w:rFonts w:ascii="Microsoft YaHei" w:hAnsi="Microsoft YaHei" w:eastAsia="Microsoft YaHei" w:cs="Microsoft YaHei"/>
          <w:sz w:val="35"/>
          <w:szCs w:val="35"/>
        </w:rPr>
      </w:pPr>
      <w:r>
        <w:rPr>
          <w:rFonts w:ascii="Microsoft YaHei" w:hAnsi="Microsoft YaHei" w:eastAsia="Microsoft YaHei" w:cs="Microsoft YaHei"/>
          <w:sz w:val="35"/>
          <w:szCs w:val="35"/>
          <w:spacing w:val="9"/>
        </w:rPr>
        <w:t>建设项目环境影响报告专家技术复核意见表</w:t>
      </w:r>
    </w:p>
    <w:p>
      <w:pPr>
        <w:pStyle w:val="BodyText"/>
        <w:spacing w:line="254" w:lineRule="auto"/>
        <w:rPr/>
      </w:pPr>
      <w:r/>
    </w:p>
    <w:p>
      <w:pPr>
        <w:pStyle w:val="BodyText"/>
        <w:spacing w:line="254"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ind w:left="30"/>
        <w:spacing w:before="101" w:line="223" w:lineRule="auto"/>
        <w:rPr>
          <w:rFonts w:ascii="SimSun" w:hAnsi="SimSun" w:eastAsia="SimSun" w:cs="SimSun"/>
          <w:sz w:val="31"/>
          <w:szCs w:val="31"/>
        </w:rPr>
      </w:pPr>
      <w:r>
        <w:rPr>
          <w:rFonts w:ascii="SimSun" w:hAnsi="SimSun" w:eastAsia="SimSun" w:cs="SimSun"/>
          <w:sz w:val="31"/>
          <w:szCs w:val="31"/>
          <w:spacing w:val="8"/>
        </w:rPr>
        <w:t>建设项目环境影响报告编制单位：</w:t>
      </w:r>
    </w:p>
    <w:p>
      <w:pPr>
        <w:ind w:left="29"/>
        <w:spacing w:before="305" w:line="404" w:lineRule="auto"/>
        <w:rPr>
          <w:rFonts w:ascii="SimSun" w:hAnsi="SimSun" w:eastAsia="SimSun" w:cs="SimSun"/>
          <w:sz w:val="31"/>
          <w:szCs w:val="31"/>
        </w:rPr>
      </w:pPr>
      <w:r>
        <w:rPr>
          <w:rFonts w:ascii="SimSun" w:hAnsi="SimSun" w:eastAsia="SimSun" w:cs="SimSun"/>
          <w:sz w:val="31"/>
          <w:szCs w:val="31"/>
          <w:u w:val="single" w:color="auto"/>
          <w:spacing w:val="9"/>
        </w:rPr>
        <w:t>乌鲁木齐汇翔达工程咨询服务有限公司</w:t>
      </w:r>
    </w:p>
    <w:p>
      <w:pPr>
        <w:ind w:left="30"/>
        <w:spacing w:line="223" w:lineRule="auto"/>
        <w:rPr>
          <w:rFonts w:ascii="SimSun" w:hAnsi="SimSun" w:eastAsia="SimSun" w:cs="SimSun"/>
          <w:sz w:val="31"/>
          <w:szCs w:val="31"/>
        </w:rPr>
      </w:pPr>
      <w:r>
        <w:rPr>
          <w:rFonts w:ascii="SimSun" w:hAnsi="SimSun" w:eastAsia="SimSun" w:cs="SimSun"/>
          <w:sz w:val="31"/>
          <w:szCs w:val="31"/>
          <w:spacing w:val="7"/>
        </w:rPr>
        <w:t>建设项目环境影响报告名称：</w:t>
      </w:r>
    </w:p>
    <w:p>
      <w:pPr>
        <w:ind w:left="44"/>
        <w:spacing w:before="306" w:line="225" w:lineRule="auto"/>
        <w:rPr>
          <w:rFonts w:ascii="SimSun" w:hAnsi="SimSun" w:eastAsia="SimSun" w:cs="SimSun"/>
          <w:sz w:val="31"/>
          <w:szCs w:val="31"/>
        </w:rPr>
      </w:pPr>
      <w:r>
        <w:rPr>
          <w:rFonts w:ascii="SimSun" w:hAnsi="SimSun" w:eastAsia="SimSun" w:cs="SimSun"/>
          <w:sz w:val="31"/>
          <w:szCs w:val="31"/>
          <w:u w:val="single" w:color="auto"/>
          <w:spacing w:val="8"/>
        </w:rPr>
        <w:t>呼图壁县丰收塑料制品厂农用地膜加工项目</w:t>
      </w:r>
    </w:p>
    <w:p>
      <w:pPr>
        <w:ind w:left="26" w:right="14" w:firstLine="1"/>
        <w:spacing w:before="301" w:line="405" w:lineRule="auto"/>
        <w:rPr>
          <w:rFonts w:ascii="SimSun" w:hAnsi="SimSun" w:eastAsia="SimSun" w:cs="SimSun"/>
          <w:sz w:val="31"/>
          <w:szCs w:val="31"/>
        </w:rPr>
      </w:pPr>
      <w:r>
        <w:rPr>
          <w:rFonts w:ascii="SimSun" w:hAnsi="SimSun" w:eastAsia="SimSun" w:cs="SimSun"/>
          <w:sz w:val="31"/>
          <w:szCs w:val="31"/>
          <w:spacing w:val="6"/>
        </w:rPr>
        <w:t>技术复核人姓名： </w:t>
      </w:r>
      <w:r>
        <w:rPr>
          <w:rFonts w:ascii="SimSun" w:hAnsi="SimSun" w:eastAsia="SimSun" w:cs="SimSun"/>
          <w:sz w:val="31"/>
          <w:szCs w:val="31"/>
          <w:u w:val="single" w:color="auto"/>
          <w:spacing w:val="6"/>
        </w:rPr>
        <w:t xml:space="preserve">     袁新杰         </w:t>
      </w:r>
      <w:r>
        <w:rPr>
          <w:rFonts w:ascii="SimSun" w:hAnsi="SimSun" w:eastAsia="SimSun" w:cs="SimSun"/>
          <w:sz w:val="31"/>
          <w:szCs w:val="31"/>
          <w:u w:val="single" w:color="auto"/>
          <w:spacing w:val="5"/>
        </w:rPr>
        <w:t xml:space="preserve">               </w:t>
      </w:r>
      <w:r>
        <w:rPr>
          <w:rFonts w:ascii="SimSun" w:hAnsi="SimSun" w:eastAsia="SimSun" w:cs="SimSun"/>
          <w:sz w:val="31"/>
          <w:szCs w:val="31"/>
        </w:rPr>
        <w:t xml:space="preserve"> </w:t>
      </w:r>
      <w:r>
        <w:rPr>
          <w:rFonts w:ascii="SimSun" w:hAnsi="SimSun" w:eastAsia="SimSun" w:cs="SimSun"/>
          <w:sz w:val="31"/>
          <w:szCs w:val="31"/>
          <w:spacing w:val="6"/>
        </w:rPr>
        <w:t>职  务、职  称：</w:t>
      </w:r>
      <w:r>
        <w:rPr>
          <w:rFonts w:ascii="SimSun" w:hAnsi="SimSun" w:eastAsia="SimSun" w:cs="SimSun"/>
          <w:sz w:val="31"/>
          <w:szCs w:val="31"/>
          <w:spacing w:val="15"/>
        </w:rPr>
        <w:t xml:space="preserve"> </w:t>
      </w:r>
      <w:r>
        <w:rPr>
          <w:rFonts w:ascii="SimSun" w:hAnsi="SimSun" w:eastAsia="SimSun" w:cs="SimSun"/>
          <w:sz w:val="31"/>
          <w:szCs w:val="31"/>
          <w:u w:val="single" w:color="auto"/>
          <w:spacing w:val="7"/>
        </w:rPr>
        <w:t xml:space="preserve">        </w:t>
      </w:r>
      <w:r>
        <w:rPr>
          <w:rFonts w:ascii="SimSun" w:hAnsi="SimSun" w:eastAsia="SimSun" w:cs="SimSun"/>
          <w:sz w:val="31"/>
          <w:szCs w:val="31"/>
          <w:u w:val="single" w:color="auto"/>
          <w:spacing w:val="6"/>
        </w:rPr>
        <w:t>正高级工程师</w:t>
      </w:r>
      <w:r>
        <w:rPr>
          <w:rFonts w:ascii="SimSun" w:hAnsi="SimSun" w:eastAsia="SimSun" w:cs="SimSun"/>
          <w:sz w:val="31"/>
          <w:szCs w:val="31"/>
          <w:u w:val="single" w:color="auto"/>
          <w:spacing w:val="4"/>
        </w:rPr>
        <w:t xml:space="preserve">               </w:t>
      </w:r>
      <w:r>
        <w:rPr>
          <w:rFonts w:ascii="SimSun" w:hAnsi="SimSun" w:eastAsia="SimSun" w:cs="SimSun"/>
          <w:sz w:val="31"/>
          <w:szCs w:val="31"/>
          <w:spacing w:val="5"/>
        </w:rPr>
        <w:t xml:space="preserve"> </w:t>
      </w:r>
      <w:r>
        <w:rPr>
          <w:rFonts w:ascii="SimSun" w:hAnsi="SimSun" w:eastAsia="SimSun" w:cs="SimSun"/>
          <w:sz w:val="31"/>
          <w:szCs w:val="31"/>
          <w:spacing w:val="3"/>
        </w:rPr>
        <w:t>所  在</w:t>
      </w:r>
      <w:r>
        <w:rPr>
          <w:rFonts w:ascii="SimSun" w:hAnsi="SimSun" w:eastAsia="SimSun" w:cs="SimSun"/>
          <w:sz w:val="31"/>
          <w:szCs w:val="31"/>
          <w:spacing w:val="14"/>
        </w:rPr>
        <w:t xml:space="preserve">  </w:t>
      </w:r>
      <w:r>
        <w:rPr>
          <w:rFonts w:ascii="SimSun" w:hAnsi="SimSun" w:eastAsia="SimSun" w:cs="SimSun"/>
          <w:sz w:val="31"/>
          <w:szCs w:val="31"/>
          <w:spacing w:val="3"/>
        </w:rPr>
        <w:t>单</w:t>
      </w:r>
      <w:r>
        <w:rPr>
          <w:rFonts w:ascii="SimSun" w:hAnsi="SimSun" w:eastAsia="SimSun" w:cs="SimSun"/>
          <w:sz w:val="31"/>
          <w:szCs w:val="31"/>
          <w:spacing w:val="12"/>
        </w:rPr>
        <w:t xml:space="preserve">  </w:t>
      </w:r>
      <w:r>
        <w:rPr>
          <w:rFonts w:ascii="SimSun" w:hAnsi="SimSun" w:eastAsia="SimSun" w:cs="SimSun"/>
          <w:sz w:val="31"/>
          <w:szCs w:val="31"/>
          <w:spacing w:val="3"/>
        </w:rPr>
        <w:t>位：</w:t>
      </w:r>
      <w:r>
        <w:rPr>
          <w:rFonts w:ascii="SimSun" w:hAnsi="SimSun" w:eastAsia="SimSun" w:cs="SimSun"/>
          <w:sz w:val="31"/>
          <w:szCs w:val="31"/>
          <w:spacing w:val="16"/>
        </w:rPr>
        <w:t xml:space="preserve"> </w:t>
      </w:r>
      <w:r>
        <w:rPr>
          <w:rFonts w:ascii="SimSun" w:hAnsi="SimSun" w:eastAsia="SimSun" w:cs="SimSun"/>
          <w:sz w:val="31"/>
          <w:szCs w:val="31"/>
          <w:u w:val="single" w:color="auto"/>
          <w:spacing w:val="7"/>
        </w:rPr>
        <w:t xml:space="preserve">        </w:t>
      </w:r>
      <w:r>
        <w:rPr>
          <w:rFonts w:ascii="SimSun" w:hAnsi="SimSun" w:eastAsia="SimSun" w:cs="SimSun"/>
          <w:sz w:val="31"/>
          <w:szCs w:val="31"/>
          <w:u w:val="single" w:color="auto"/>
          <w:spacing w:val="3"/>
        </w:rPr>
        <w:t>新疆环科院</w:t>
      </w:r>
      <w:r>
        <w:rPr>
          <w:rFonts w:ascii="SimSun" w:hAnsi="SimSun" w:eastAsia="SimSun" w:cs="SimSun"/>
          <w:sz w:val="31"/>
          <w:szCs w:val="31"/>
          <w:u w:val="single" w:color="auto"/>
        </w:rPr>
        <w:t xml:space="preserve">                  </w:t>
      </w:r>
    </w:p>
    <w:p>
      <w:pPr>
        <w:ind w:left="27"/>
        <w:spacing w:before="1" w:line="226" w:lineRule="auto"/>
        <w:rPr>
          <w:rFonts w:ascii="SimSun" w:hAnsi="SimSun" w:eastAsia="SimSun" w:cs="SimSun"/>
          <w:sz w:val="31"/>
          <w:szCs w:val="31"/>
        </w:rPr>
      </w:pPr>
      <w:r>
        <w:rPr>
          <w:rFonts w:ascii="SimSun" w:hAnsi="SimSun" w:eastAsia="SimSun" w:cs="SimSun"/>
          <w:sz w:val="31"/>
          <w:szCs w:val="31"/>
          <w:spacing w:val="-3"/>
        </w:rPr>
        <w:t>联</w:t>
      </w:r>
      <w:r>
        <w:rPr>
          <w:rFonts w:ascii="SimSun" w:hAnsi="SimSun" w:eastAsia="SimSun" w:cs="SimSun"/>
          <w:sz w:val="31"/>
          <w:szCs w:val="31"/>
          <w:spacing w:val="15"/>
        </w:rPr>
        <w:t xml:space="preserve">  </w:t>
      </w:r>
      <w:r>
        <w:rPr>
          <w:rFonts w:ascii="SimSun" w:hAnsi="SimSun" w:eastAsia="SimSun" w:cs="SimSun"/>
          <w:sz w:val="31"/>
          <w:szCs w:val="31"/>
          <w:spacing w:val="-3"/>
        </w:rPr>
        <w:t>系</w:t>
      </w:r>
      <w:r>
        <w:rPr>
          <w:rFonts w:ascii="SimSun" w:hAnsi="SimSun" w:eastAsia="SimSun" w:cs="SimSun"/>
          <w:sz w:val="31"/>
          <w:szCs w:val="31"/>
          <w:spacing w:val="30"/>
        </w:rPr>
        <w:t xml:space="preserve">  </w:t>
      </w:r>
      <w:r>
        <w:rPr>
          <w:rFonts w:ascii="SimSun" w:hAnsi="SimSun" w:eastAsia="SimSun" w:cs="SimSun"/>
          <w:sz w:val="31"/>
          <w:szCs w:val="31"/>
          <w:spacing w:val="-3"/>
        </w:rPr>
        <w:t>电  话：</w:t>
      </w:r>
      <w:r>
        <w:rPr>
          <w:rFonts w:ascii="SimSun" w:hAnsi="SimSun" w:eastAsia="SimSun" w:cs="SimSun"/>
          <w:sz w:val="31"/>
          <w:szCs w:val="31"/>
          <w:spacing w:val="15"/>
        </w:rPr>
        <w:t xml:space="preserve"> </w:t>
      </w:r>
      <w:r>
        <w:rPr>
          <w:rFonts w:ascii="SimSun" w:hAnsi="SimSun" w:eastAsia="SimSun" w:cs="SimSun"/>
          <w:sz w:val="31"/>
          <w:szCs w:val="31"/>
          <w:u w:val="single" w:color="auto"/>
          <w:spacing w:val="9"/>
        </w:rPr>
        <w:t xml:space="preserve">        </w:t>
      </w:r>
      <w:r>
        <w:rPr>
          <w:rFonts w:ascii="SimSun" w:hAnsi="SimSun" w:eastAsia="SimSun" w:cs="SimSun"/>
          <w:sz w:val="31"/>
          <w:szCs w:val="31"/>
          <w:u w:val="single" w:color="auto"/>
          <w:spacing w:val="-3"/>
        </w:rPr>
        <w:t>13999136805               </w:t>
      </w:r>
      <w:r>
        <w:rPr>
          <w:rFonts w:ascii="SimSun" w:hAnsi="SimSun" w:eastAsia="SimSun" w:cs="SimSun"/>
          <w:sz w:val="31"/>
          <w:szCs w:val="31"/>
          <w:u w:val="single" w:color="auto"/>
          <w:spacing w:val="-4"/>
        </w:rPr>
        <w:t xml:space="preserve">  </w:t>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ind w:left="1901"/>
        <w:spacing w:before="101" w:line="225" w:lineRule="auto"/>
        <w:rPr>
          <w:rFonts w:ascii="SimSun" w:hAnsi="SimSun" w:eastAsia="SimSun" w:cs="SimSun"/>
          <w:sz w:val="31"/>
          <w:szCs w:val="31"/>
        </w:rPr>
      </w:pPr>
      <w:r>
        <w:rPr>
          <w:rFonts w:ascii="SimSun" w:hAnsi="SimSun" w:eastAsia="SimSun" w:cs="SimSun"/>
          <w:sz w:val="31"/>
          <w:szCs w:val="31"/>
          <w:spacing w:val="-3"/>
        </w:rPr>
        <w:t>填表日期</w:t>
      </w:r>
      <w:r>
        <w:rPr>
          <w:rFonts w:ascii="SimSun" w:hAnsi="SimSun" w:eastAsia="SimSun" w:cs="SimSun"/>
          <w:sz w:val="31"/>
          <w:szCs w:val="31"/>
          <w:spacing w:val="56"/>
        </w:rPr>
        <w:t xml:space="preserve"> </w:t>
      </w:r>
      <w:r>
        <w:rPr>
          <w:rFonts w:ascii="SimSun" w:hAnsi="SimSun" w:eastAsia="SimSun" w:cs="SimSun"/>
          <w:sz w:val="31"/>
          <w:szCs w:val="31"/>
          <w:spacing w:val="-3"/>
        </w:rPr>
        <w:t>： 2023</w:t>
      </w:r>
      <w:r>
        <w:rPr>
          <w:rFonts w:ascii="SimSun" w:hAnsi="SimSun" w:eastAsia="SimSun" w:cs="SimSun"/>
          <w:sz w:val="31"/>
          <w:szCs w:val="31"/>
          <w:spacing w:val="21"/>
        </w:rPr>
        <w:t xml:space="preserve"> </w:t>
      </w:r>
      <w:r>
        <w:rPr>
          <w:rFonts w:ascii="SimSun" w:hAnsi="SimSun" w:eastAsia="SimSun" w:cs="SimSun"/>
          <w:sz w:val="31"/>
          <w:szCs w:val="31"/>
          <w:spacing w:val="-3"/>
        </w:rPr>
        <w:t>年</w:t>
      </w:r>
      <w:r>
        <w:rPr>
          <w:rFonts w:ascii="SimSun" w:hAnsi="SimSun" w:eastAsia="SimSun" w:cs="SimSun"/>
          <w:sz w:val="31"/>
          <w:szCs w:val="31"/>
          <w:spacing w:val="42"/>
        </w:rPr>
        <w:t xml:space="preserve"> </w:t>
      </w:r>
      <w:r>
        <w:rPr>
          <w:rFonts w:ascii="SimSun" w:hAnsi="SimSun" w:eastAsia="SimSun" w:cs="SimSun"/>
          <w:sz w:val="31"/>
          <w:szCs w:val="31"/>
          <w:spacing w:val="-3"/>
        </w:rPr>
        <w:t>12</w:t>
      </w:r>
      <w:r>
        <w:rPr>
          <w:rFonts w:ascii="SimSun" w:hAnsi="SimSun" w:eastAsia="SimSun" w:cs="SimSun"/>
          <w:sz w:val="31"/>
          <w:szCs w:val="31"/>
          <w:spacing w:val="-57"/>
        </w:rPr>
        <w:t xml:space="preserve"> </w:t>
      </w:r>
      <w:r>
        <w:rPr>
          <w:rFonts w:ascii="SimSun" w:hAnsi="SimSun" w:eastAsia="SimSun" w:cs="SimSun"/>
          <w:sz w:val="31"/>
          <w:szCs w:val="31"/>
          <w:spacing w:val="-3"/>
        </w:rPr>
        <w:t>月</w:t>
      </w:r>
      <w:r>
        <w:rPr>
          <w:rFonts w:ascii="SimSun" w:hAnsi="SimSun" w:eastAsia="SimSun" w:cs="SimSun"/>
          <w:sz w:val="31"/>
          <w:szCs w:val="31"/>
          <w:spacing w:val="-59"/>
        </w:rPr>
        <w:t xml:space="preserve"> </w:t>
      </w:r>
      <w:r>
        <w:rPr>
          <w:rFonts w:ascii="SimSun" w:hAnsi="SimSun" w:eastAsia="SimSun" w:cs="SimSun"/>
          <w:sz w:val="31"/>
          <w:szCs w:val="31"/>
          <w:spacing w:val="-3"/>
        </w:rPr>
        <w:t>9 日</w:t>
      </w:r>
    </w:p>
    <w:p>
      <w:pPr>
        <w:spacing w:line="225" w:lineRule="auto"/>
        <w:sectPr>
          <w:pgSz w:w="11906" w:h="16839"/>
          <w:pgMar w:top="400" w:right="1785" w:bottom="400" w:left="1785" w:header="0" w:footer="0" w:gutter="0"/>
        </w:sectPr>
        <w:rPr>
          <w:rFonts w:ascii="SimSun" w:hAnsi="SimSun" w:eastAsia="SimSun" w:cs="SimSun"/>
          <w:sz w:val="31"/>
          <w:szCs w:val="31"/>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4"/>
        <w:gridCol w:w="3994"/>
        <w:gridCol w:w="3998"/>
      </w:tblGrid>
      <w:tr>
        <w:trPr>
          <w:trHeight w:val="2861" w:hRule="atLeast"/>
        </w:trPr>
        <w:tc>
          <w:tcPr>
            <w:tcW w:w="534" w:type="dxa"/>
            <w:vAlign w:val="top"/>
            <w:textDirection w:val="tbRlV"/>
          </w:tcPr>
          <w:p>
            <w:pPr>
              <w:ind w:left="82"/>
              <w:spacing w:before="97" w:line="220" w:lineRule="auto"/>
              <w:rPr>
                <w:rFonts w:ascii="SimHei" w:hAnsi="SimHei" w:eastAsia="SimHei" w:cs="SimHei"/>
                <w:sz w:val="31"/>
                <w:szCs w:val="31"/>
              </w:rPr>
            </w:pPr>
            <w:r>
              <w:rPr>
                <w:rFonts w:ascii="SimHei" w:hAnsi="SimHei" w:eastAsia="SimHei" w:cs="SimHei"/>
                <w:sz w:val="31"/>
                <w:szCs w:val="31"/>
                <w:spacing w:val="-31"/>
                <w:w w:val="98"/>
              </w:rPr>
              <w:t>报告修改情况总体意见</w:t>
            </w:r>
          </w:p>
        </w:tc>
        <w:tc>
          <w:tcPr>
            <w:tcW w:w="7992" w:type="dxa"/>
            <w:vAlign w:val="top"/>
            <w:gridSpan w:val="2"/>
          </w:tcPr>
          <w:p>
            <w:pPr>
              <w:spacing w:line="246" w:lineRule="auto"/>
              <w:rPr>
                <w:rFonts w:ascii="Arial"/>
                <w:sz w:val="21"/>
              </w:rPr>
            </w:pPr>
            <w:r/>
          </w:p>
          <w:p>
            <w:pPr>
              <w:pStyle w:val="TableText"/>
              <w:ind w:left="718"/>
              <w:spacing w:before="97" w:line="624" w:lineRule="exact"/>
              <w:rPr>
                <w:sz w:val="30"/>
                <w:szCs w:val="30"/>
              </w:rPr>
            </w:pPr>
            <w:r>
              <w:rPr>
                <w:sz w:val="30"/>
                <w:szCs w:val="30"/>
                <w:spacing w:val="-1"/>
                <w:position w:val="24"/>
              </w:rPr>
              <w:t>经复核，该报告表已按照审查意见进行了修改</w:t>
            </w:r>
            <w:r>
              <w:rPr>
                <w:sz w:val="30"/>
                <w:szCs w:val="30"/>
                <w:spacing w:val="-2"/>
                <w:position w:val="24"/>
              </w:rPr>
              <w:t>完善，基</w:t>
            </w:r>
          </w:p>
          <w:p>
            <w:pPr>
              <w:pStyle w:val="TableText"/>
              <w:ind w:left="117"/>
              <w:spacing w:line="218" w:lineRule="auto"/>
              <w:rPr>
                <w:sz w:val="30"/>
                <w:szCs w:val="30"/>
              </w:rPr>
            </w:pPr>
            <w:r>
              <w:rPr>
                <w:sz w:val="30"/>
                <w:szCs w:val="30"/>
                <w:spacing w:val="-2"/>
              </w:rPr>
              <w:t>本满足审查要求。</w:t>
            </w:r>
          </w:p>
          <w:p>
            <w:pPr>
              <w:ind w:firstLine="4152"/>
              <w:spacing w:before="115" w:line="904" w:lineRule="exact"/>
              <w:rPr/>
            </w:pPr>
            <w:r>
              <w:rPr>
                <w:position w:val="-18"/>
              </w:rPr>
              <w:drawing>
                <wp:inline distT="0" distB="0" distL="0" distR="0">
                  <wp:extent cx="920940" cy="574471"/>
                  <wp:effectExtent l="0" t="0" r="0" b="0"/>
                  <wp:docPr id="28" name="IM 28"/>
                  <wp:cNvGraphicFramePr/>
                  <a:graphic>
                    <a:graphicData uri="http://schemas.openxmlformats.org/drawingml/2006/picture">
                      <pic:pic>
                        <pic:nvPicPr>
                          <pic:cNvPr id="28" name="IM 28"/>
                          <pic:cNvPicPr/>
                        </pic:nvPicPr>
                        <pic:blipFill>
                          <a:blip r:embed="rId19"/>
                          <a:stretch>
                            <a:fillRect/>
                          </a:stretch>
                        </pic:blipFill>
                        <pic:spPr>
                          <a:xfrm rot="0">
                            <a:off x="0" y="0"/>
                            <a:ext cx="920940" cy="574471"/>
                          </a:xfrm>
                          <a:prstGeom prst="rect">
                            <a:avLst/>
                          </a:prstGeom>
                        </pic:spPr>
                      </pic:pic>
                    </a:graphicData>
                  </a:graphic>
                </wp:inline>
              </w:drawing>
            </w:r>
          </w:p>
          <w:p>
            <w:pPr>
              <w:pStyle w:val="TableText"/>
              <w:ind w:left="3469"/>
              <w:spacing w:before="60" w:line="219" w:lineRule="auto"/>
              <w:rPr/>
            </w:pPr>
            <w:r>
              <w:rPr>
                <w:rFonts w:ascii="Times New Roman" w:hAnsi="Times New Roman" w:eastAsia="Times New Roman" w:cs="Times New Roman"/>
                <w:spacing w:val="-6"/>
              </w:rPr>
              <w:t>2023 </w:t>
            </w:r>
            <w:r>
              <w:rPr>
                <w:spacing w:val="-6"/>
              </w:rPr>
              <w:t>年</w:t>
            </w:r>
            <w:r>
              <w:rPr>
                <w:spacing w:val="-23"/>
              </w:rPr>
              <w:t xml:space="preserve"> </w:t>
            </w:r>
            <w:r>
              <w:rPr>
                <w:rFonts w:ascii="Times New Roman" w:hAnsi="Times New Roman" w:eastAsia="Times New Roman" w:cs="Times New Roman"/>
                <w:spacing w:val="-6"/>
              </w:rPr>
              <w:t>12</w:t>
            </w:r>
            <w:r>
              <w:rPr>
                <w:rFonts w:ascii="Times New Roman" w:hAnsi="Times New Roman" w:eastAsia="Times New Roman" w:cs="Times New Roman"/>
                <w:spacing w:val="15"/>
                <w:w w:val="101"/>
              </w:rPr>
              <w:t xml:space="preserve"> </w:t>
            </w:r>
            <w:r>
              <w:rPr>
                <w:spacing w:val="-6"/>
              </w:rPr>
              <w:t>月</w:t>
            </w:r>
            <w:r>
              <w:rPr>
                <w:spacing w:val="-50"/>
              </w:rPr>
              <w:t xml:space="preserve"> </w:t>
            </w:r>
            <w:r>
              <w:rPr>
                <w:rFonts w:ascii="Times New Roman" w:hAnsi="Times New Roman" w:eastAsia="Times New Roman" w:cs="Times New Roman"/>
                <w:spacing w:val="-6"/>
              </w:rPr>
              <w:t>9  </w:t>
            </w:r>
            <w:r>
              <w:rPr>
                <w:spacing w:val="-6"/>
              </w:rPr>
              <w:t>日</w:t>
            </w:r>
          </w:p>
        </w:tc>
      </w:tr>
      <w:tr>
        <w:trPr>
          <w:trHeight w:val="7947" w:hRule="atLeast"/>
        </w:trPr>
        <w:tc>
          <w:tcPr>
            <w:tcW w:w="534" w:type="dxa"/>
            <w:vAlign w:val="top"/>
            <w:textDirection w:val="tbRlV"/>
          </w:tcPr>
          <w:p>
            <w:pPr>
              <w:ind w:left="2354"/>
              <w:spacing w:before="97" w:line="220" w:lineRule="auto"/>
              <w:rPr>
                <w:rFonts w:ascii="SimHei" w:hAnsi="SimHei" w:eastAsia="SimHei" w:cs="SimHei"/>
                <w:sz w:val="31"/>
                <w:szCs w:val="31"/>
              </w:rPr>
            </w:pPr>
            <w:r>
              <w:rPr>
                <w:rFonts w:ascii="SimHei" w:hAnsi="SimHei" w:eastAsia="SimHei" w:cs="SimHei"/>
                <w:sz w:val="31"/>
                <w:szCs w:val="31"/>
                <w:spacing w:val="-29"/>
                <w:w w:val="97"/>
              </w:rPr>
              <w:t>报告编制仍存在的主要问题</w:t>
            </w:r>
          </w:p>
        </w:tc>
        <w:tc>
          <w:tcPr>
            <w:tcW w:w="7992" w:type="dxa"/>
            <w:vAlign w:val="top"/>
            <w:gridSpan w:val="2"/>
          </w:tcPr>
          <w:p>
            <w:pPr>
              <w:rPr>
                <w:rFonts w:ascii="Arial"/>
                <w:sz w:val="21"/>
              </w:rPr>
            </w:pPr>
            <w:r/>
          </w:p>
        </w:tc>
      </w:tr>
      <w:tr>
        <w:trPr>
          <w:trHeight w:val="2822" w:hRule="atLeast"/>
        </w:trPr>
        <w:tc>
          <w:tcPr>
            <w:tcW w:w="534" w:type="dxa"/>
            <w:vAlign w:val="top"/>
            <w:textDirection w:val="tbRlV"/>
          </w:tcPr>
          <w:p>
            <w:pPr>
              <w:ind w:left="601"/>
              <w:spacing w:before="97" w:line="221" w:lineRule="auto"/>
              <w:rPr>
                <w:rFonts w:ascii="SimHei" w:hAnsi="SimHei" w:eastAsia="SimHei" w:cs="SimHei"/>
                <w:sz w:val="31"/>
                <w:szCs w:val="31"/>
              </w:rPr>
            </w:pPr>
            <w:r>
              <w:rPr>
                <w:rFonts w:ascii="SimHei" w:hAnsi="SimHei" w:eastAsia="SimHei" w:cs="SimHei"/>
                <w:sz w:val="31"/>
                <w:szCs w:val="31"/>
                <w:spacing w:val="-28"/>
                <w:w w:val="98"/>
              </w:rPr>
              <w:t>技术复核结论</w:t>
            </w:r>
          </w:p>
        </w:tc>
        <w:tc>
          <w:tcPr>
            <w:tcW w:w="3994" w:type="dxa"/>
            <w:vAlign w:val="top"/>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ind w:left="1487"/>
              <w:spacing w:before="140" w:line="215" w:lineRule="auto"/>
              <w:rPr>
                <w:sz w:val="43"/>
                <w:szCs w:val="43"/>
              </w:rPr>
            </w:pPr>
            <w:r>
              <w:rPr>
                <w:rFonts w:ascii="FangSong" w:hAnsi="FangSong" w:eastAsia="FangSong" w:cs="FangSong"/>
                <w:sz w:val="43"/>
                <w:szCs w:val="43"/>
                <w:spacing w:val="-66"/>
                <w:w w:val="98"/>
              </w:rPr>
              <w:t>通过</w:t>
            </w:r>
            <w:r>
              <w:rPr>
                <w:sz w:val="43"/>
                <w:szCs w:val="43"/>
                <w:position w:val="-9"/>
              </w:rPr>
              <w:drawing>
                <wp:inline distT="0" distB="0" distL="0" distR="0">
                  <wp:extent cx="201839" cy="293539"/>
                  <wp:effectExtent l="0" t="0" r="0" b="0"/>
                  <wp:docPr id="30" name="IM 30"/>
                  <wp:cNvGraphicFramePr/>
                  <a:graphic>
                    <a:graphicData uri="http://schemas.openxmlformats.org/drawingml/2006/picture">
                      <pic:pic>
                        <pic:nvPicPr>
                          <pic:cNvPr id="30" name="IM 30"/>
                          <pic:cNvPicPr/>
                        </pic:nvPicPr>
                        <pic:blipFill>
                          <a:blip r:embed="rId20"/>
                          <a:stretch>
                            <a:fillRect/>
                          </a:stretch>
                        </pic:blipFill>
                        <pic:spPr>
                          <a:xfrm rot="0">
                            <a:off x="0" y="0"/>
                            <a:ext cx="201839" cy="293539"/>
                          </a:xfrm>
                          <a:prstGeom prst="rect">
                            <a:avLst/>
                          </a:prstGeom>
                        </pic:spPr>
                      </pic:pic>
                    </a:graphicData>
                  </a:graphic>
                </wp:inline>
              </w:drawing>
            </w:r>
          </w:p>
        </w:tc>
        <w:tc>
          <w:tcPr>
            <w:tcW w:w="3998" w:type="dxa"/>
            <w:vAlign w:val="top"/>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ind w:left="1306"/>
              <w:spacing w:before="140" w:line="215" w:lineRule="auto"/>
              <w:rPr>
                <w:sz w:val="43"/>
                <w:szCs w:val="43"/>
              </w:rPr>
            </w:pPr>
            <w:r>
              <w:rPr>
                <w:rFonts w:ascii="FangSong" w:hAnsi="FangSong" w:eastAsia="FangSong" w:cs="FangSong"/>
                <w:sz w:val="43"/>
                <w:szCs w:val="43"/>
                <w:spacing w:val="-69"/>
              </w:rPr>
              <w:t>不通过</w:t>
            </w:r>
            <w:r>
              <w:rPr>
                <w:sz w:val="43"/>
                <w:szCs w:val="43"/>
                <w:position w:val="-9"/>
              </w:rPr>
              <w:drawing>
                <wp:inline distT="0" distB="0" distL="0" distR="0">
                  <wp:extent cx="188426" cy="293539"/>
                  <wp:effectExtent l="0" t="0" r="0" b="0"/>
                  <wp:docPr id="32" name="IM 32"/>
                  <wp:cNvGraphicFramePr/>
                  <a:graphic>
                    <a:graphicData uri="http://schemas.openxmlformats.org/drawingml/2006/picture">
                      <pic:pic>
                        <pic:nvPicPr>
                          <pic:cNvPr id="32" name="IM 32"/>
                          <pic:cNvPicPr/>
                        </pic:nvPicPr>
                        <pic:blipFill>
                          <a:blip r:embed="rId21"/>
                          <a:stretch>
                            <a:fillRect/>
                          </a:stretch>
                        </pic:blipFill>
                        <pic:spPr>
                          <a:xfrm rot="0">
                            <a:off x="0" y="0"/>
                            <a:ext cx="188426" cy="293539"/>
                          </a:xfrm>
                          <a:prstGeom prst="rect">
                            <a:avLst/>
                          </a:prstGeom>
                        </pic:spPr>
                      </pic:pic>
                    </a:graphicData>
                  </a:graphic>
                </wp:inline>
              </w:drawing>
            </w:r>
          </w:p>
        </w:tc>
      </w:tr>
    </w:tbl>
    <w:p>
      <w:pPr>
        <w:pStyle w:val="BodyText"/>
        <w:rPr/>
      </w:pPr>
      <w:r/>
    </w:p>
    <w:p>
      <w:pPr>
        <w:sectPr>
          <w:pgSz w:w="11906" w:h="16839"/>
          <w:pgMar w:top="400" w:right="1687" w:bottom="400" w:left="1687" w:header="0" w:footer="0" w:gutter="0"/>
        </w:sectPr>
        <w:rPr/>
      </w:pPr>
    </w:p>
    <w:p>
      <w:pPr>
        <w:pStyle w:val="BodyText"/>
        <w:spacing w:line="318" w:lineRule="auto"/>
        <w:rPr/>
      </w:pPr>
      <w:r/>
    </w:p>
    <w:p>
      <w:pPr>
        <w:pStyle w:val="BodyText"/>
        <w:spacing w:line="319" w:lineRule="auto"/>
        <w:rPr/>
      </w:pPr>
      <w:r/>
    </w:p>
    <w:p>
      <w:pPr>
        <w:pStyle w:val="BodyText"/>
        <w:spacing w:line="319" w:lineRule="auto"/>
        <w:rPr/>
      </w:pPr>
      <w:r/>
    </w:p>
    <w:p>
      <w:pPr>
        <w:ind w:left="804"/>
        <w:spacing w:before="144" w:line="205" w:lineRule="auto"/>
        <w:rPr>
          <w:rFonts w:ascii="Microsoft YaHei UI" w:hAnsi="Microsoft YaHei UI" w:eastAsia="Microsoft YaHei UI" w:cs="Microsoft YaHei UI"/>
          <w:sz w:val="35"/>
          <w:szCs w:val="35"/>
        </w:rPr>
      </w:pPr>
      <w:r>
        <w:rPr>
          <w:rFonts w:ascii="Microsoft YaHei UI" w:hAnsi="Microsoft YaHei UI" w:eastAsia="Microsoft YaHei UI" w:cs="Microsoft YaHei UI"/>
          <w:sz w:val="35"/>
          <w:szCs w:val="35"/>
          <w:b/>
          <w:bCs/>
          <w:spacing w:val="9"/>
        </w:rPr>
        <w:t>建设项目环境影响报告书（表）专家复核意见</w:t>
      </w:r>
    </w:p>
    <w:tbl>
      <w:tblPr>
        <w:tblStyle w:val="TableNormal"/>
        <w:tblW w:w="87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29"/>
        <w:gridCol w:w="566"/>
        <w:gridCol w:w="3056"/>
        <w:gridCol w:w="362"/>
        <w:gridCol w:w="1099"/>
        <w:gridCol w:w="804"/>
        <w:gridCol w:w="1678"/>
      </w:tblGrid>
      <w:tr>
        <w:trPr>
          <w:trHeight w:val="485" w:hRule="atLeast"/>
        </w:trPr>
        <w:tc>
          <w:tcPr>
            <w:tcW w:w="1229" w:type="dxa"/>
            <w:vAlign w:val="top"/>
          </w:tcPr>
          <w:p>
            <w:pPr>
              <w:pStyle w:val="TableText"/>
              <w:ind w:left="144"/>
              <w:spacing w:before="122" w:line="220" w:lineRule="auto"/>
              <w:rPr/>
            </w:pPr>
            <w:r>
              <w:rPr>
                <w:spacing w:val="-4"/>
              </w:rPr>
              <w:t>项目名称</w:t>
            </w:r>
          </w:p>
        </w:tc>
        <w:tc>
          <w:tcPr>
            <w:tcW w:w="7565" w:type="dxa"/>
            <w:vAlign w:val="top"/>
            <w:gridSpan w:val="6"/>
          </w:tcPr>
          <w:p>
            <w:pPr>
              <w:pStyle w:val="TableText"/>
              <w:ind w:left="1519"/>
              <w:spacing w:before="123" w:line="219" w:lineRule="auto"/>
              <w:rPr/>
            </w:pPr>
            <w:r>
              <w:rPr>
                <w:spacing w:val="-2"/>
              </w:rPr>
              <w:t>呼图壁县丰收塑料制品厂农用地膜加工项目</w:t>
            </w:r>
          </w:p>
        </w:tc>
      </w:tr>
      <w:tr>
        <w:trPr>
          <w:trHeight w:val="562" w:hRule="atLeast"/>
        </w:trPr>
        <w:tc>
          <w:tcPr>
            <w:tcW w:w="1229" w:type="dxa"/>
            <w:vAlign w:val="top"/>
          </w:tcPr>
          <w:p>
            <w:pPr>
              <w:pStyle w:val="TableText"/>
              <w:ind w:left="260"/>
              <w:spacing w:before="161" w:line="219" w:lineRule="auto"/>
              <w:rPr/>
            </w:pPr>
            <w:r>
              <w:rPr>
                <w:spacing w:val="-5"/>
              </w:rPr>
              <w:t>姓</w:t>
            </w:r>
            <w:r>
              <w:rPr>
                <w:spacing w:val="6"/>
              </w:rPr>
              <w:t xml:space="preserve">  </w:t>
            </w:r>
            <w:r>
              <w:rPr>
                <w:spacing w:val="-5"/>
              </w:rPr>
              <w:t>名</w:t>
            </w:r>
          </w:p>
        </w:tc>
        <w:tc>
          <w:tcPr>
            <w:tcW w:w="3622" w:type="dxa"/>
            <w:vAlign w:val="top"/>
            <w:gridSpan w:val="2"/>
          </w:tcPr>
          <w:p>
            <w:pPr>
              <w:pStyle w:val="TableText"/>
              <w:ind w:left="1583"/>
              <w:spacing w:before="161" w:line="219" w:lineRule="auto"/>
              <w:rPr/>
            </w:pPr>
            <w:r>
              <w:rPr>
                <w:spacing w:val="-8"/>
              </w:rPr>
              <w:t>张涛</w:t>
            </w:r>
          </w:p>
        </w:tc>
        <w:tc>
          <w:tcPr>
            <w:tcW w:w="1461" w:type="dxa"/>
            <w:vAlign w:val="top"/>
            <w:gridSpan w:val="2"/>
          </w:tcPr>
          <w:p>
            <w:pPr>
              <w:pStyle w:val="TableText"/>
              <w:ind w:left="213"/>
              <w:spacing w:before="188" w:line="210" w:lineRule="auto"/>
              <w:rPr/>
            </w:pPr>
            <w:r>
              <w:rPr>
                <w:spacing w:val="-3"/>
              </w:rPr>
              <w:t>职务</w:t>
            </w:r>
            <w:r>
              <w:rPr>
                <w:rFonts w:ascii="Malgun Gothic" w:hAnsi="Malgun Gothic" w:eastAsia="Malgun Gothic" w:cs="Malgun Gothic"/>
                <w:spacing w:val="-3"/>
              </w:rPr>
              <w:t>/</w:t>
            </w:r>
            <w:r>
              <w:rPr>
                <w:spacing w:val="-3"/>
              </w:rPr>
              <w:t>职称</w:t>
            </w:r>
          </w:p>
        </w:tc>
        <w:tc>
          <w:tcPr>
            <w:tcW w:w="2482" w:type="dxa"/>
            <w:vAlign w:val="top"/>
            <w:gridSpan w:val="2"/>
          </w:tcPr>
          <w:p>
            <w:pPr>
              <w:pStyle w:val="TableText"/>
              <w:ind w:left="468"/>
              <w:spacing w:before="161" w:line="219" w:lineRule="auto"/>
              <w:rPr/>
            </w:pPr>
            <w:r>
              <w:rPr>
                <w:spacing w:val="-2"/>
              </w:rPr>
              <w:t>技术总监/高工</w:t>
            </w:r>
          </w:p>
        </w:tc>
      </w:tr>
      <w:tr>
        <w:trPr>
          <w:trHeight w:val="562" w:hRule="atLeast"/>
        </w:trPr>
        <w:tc>
          <w:tcPr>
            <w:tcW w:w="1229" w:type="dxa"/>
            <w:vAlign w:val="top"/>
          </w:tcPr>
          <w:p>
            <w:pPr>
              <w:pStyle w:val="TableText"/>
              <w:ind w:left="262"/>
              <w:spacing w:before="160" w:line="220" w:lineRule="auto"/>
              <w:rPr/>
            </w:pPr>
            <w:r>
              <w:rPr>
                <w:spacing w:val="-6"/>
              </w:rPr>
              <w:t>单</w:t>
            </w:r>
            <w:r>
              <w:rPr>
                <w:spacing w:val="4"/>
              </w:rPr>
              <w:t xml:space="preserve">  </w:t>
            </w:r>
            <w:r>
              <w:rPr>
                <w:spacing w:val="-6"/>
              </w:rPr>
              <w:t>位</w:t>
            </w:r>
          </w:p>
        </w:tc>
        <w:tc>
          <w:tcPr>
            <w:tcW w:w="3622" w:type="dxa"/>
            <w:vAlign w:val="top"/>
            <w:gridSpan w:val="2"/>
          </w:tcPr>
          <w:p>
            <w:pPr>
              <w:pStyle w:val="TableText"/>
              <w:ind w:left="379"/>
              <w:spacing w:before="159" w:line="219" w:lineRule="auto"/>
              <w:rPr/>
            </w:pPr>
            <w:r>
              <w:rPr>
                <w:spacing w:val="-1"/>
              </w:rPr>
              <w:t>新疆鼎耀工程咨询有限公司</w:t>
            </w:r>
          </w:p>
        </w:tc>
        <w:tc>
          <w:tcPr>
            <w:tcW w:w="1461" w:type="dxa"/>
            <w:vAlign w:val="top"/>
            <w:gridSpan w:val="2"/>
          </w:tcPr>
          <w:p>
            <w:pPr>
              <w:pStyle w:val="TableText"/>
              <w:ind w:left="405"/>
              <w:spacing w:before="160" w:line="221" w:lineRule="auto"/>
              <w:rPr/>
            </w:pPr>
            <w:r>
              <w:rPr>
                <w:spacing w:val="-19"/>
              </w:rPr>
              <w:t>电</w:t>
            </w:r>
            <w:r>
              <w:rPr>
                <w:spacing w:val="4"/>
              </w:rPr>
              <w:t xml:space="preserve">  </w:t>
            </w:r>
            <w:r>
              <w:rPr>
                <w:spacing w:val="-19"/>
              </w:rPr>
              <w:t>话</w:t>
            </w:r>
          </w:p>
        </w:tc>
        <w:tc>
          <w:tcPr>
            <w:tcW w:w="2482" w:type="dxa"/>
            <w:vAlign w:val="top"/>
            <w:gridSpan w:val="2"/>
          </w:tcPr>
          <w:p>
            <w:pPr>
              <w:ind w:left="559"/>
              <w:spacing w:before="234" w:line="165" w:lineRule="auto"/>
              <w:rPr>
                <w:rFonts w:ascii="Malgun Gothic" w:hAnsi="Malgun Gothic" w:eastAsia="Malgun Gothic" w:cs="Malgun Gothic"/>
                <w:sz w:val="24"/>
                <w:szCs w:val="24"/>
              </w:rPr>
            </w:pPr>
            <w:r>
              <w:rPr>
                <w:rFonts w:ascii="Malgun Gothic" w:hAnsi="Malgun Gothic" w:eastAsia="Malgun Gothic" w:cs="Malgun Gothic"/>
                <w:sz w:val="24"/>
                <w:szCs w:val="24"/>
                <w:spacing w:val="-8"/>
              </w:rPr>
              <w:t>13699372668</w:t>
            </w:r>
          </w:p>
        </w:tc>
      </w:tr>
      <w:tr>
        <w:trPr>
          <w:trHeight w:val="9023" w:hRule="atLeast"/>
        </w:trPr>
        <w:tc>
          <w:tcPr>
            <w:tcW w:w="8794" w:type="dxa"/>
            <w:vAlign w:val="top"/>
            <w:gridSpan w:val="7"/>
          </w:tcPr>
          <w:p>
            <w:pPr>
              <w:spacing w:line="350" w:lineRule="auto"/>
              <w:rPr>
                <w:rFonts w:ascii="Arial"/>
                <w:sz w:val="21"/>
              </w:rPr>
            </w:pPr>
            <w:r/>
          </w:p>
          <w:p>
            <w:pPr>
              <w:spacing w:line="350" w:lineRule="auto"/>
              <w:rPr>
                <w:rFonts w:ascii="Arial"/>
                <w:sz w:val="21"/>
              </w:rPr>
            </w:pPr>
            <w:r/>
          </w:p>
          <w:p>
            <w:pPr>
              <w:pStyle w:val="TableText"/>
              <w:ind w:left="675"/>
              <w:spacing w:before="91" w:line="219" w:lineRule="auto"/>
              <w:rPr>
                <w:sz w:val="28"/>
                <w:szCs w:val="28"/>
              </w:rPr>
            </w:pPr>
            <w:r>
              <w:rPr>
                <w:sz w:val="28"/>
                <w:szCs w:val="28"/>
                <w:spacing w:val="-1"/>
              </w:rPr>
              <w:t>报告基本已按照技术审查意见修改及说明，同意通过技术复核。</w:t>
            </w:r>
          </w:p>
        </w:tc>
      </w:tr>
      <w:tr>
        <w:trPr>
          <w:trHeight w:val="941" w:hRule="atLeast"/>
        </w:trPr>
        <w:tc>
          <w:tcPr>
            <w:tcW w:w="1795" w:type="dxa"/>
            <w:vAlign w:val="top"/>
            <w:gridSpan w:val="2"/>
          </w:tcPr>
          <w:p>
            <w:pPr>
              <w:spacing w:line="275" w:lineRule="auto"/>
              <w:rPr>
                <w:rFonts w:ascii="Arial"/>
                <w:sz w:val="21"/>
              </w:rPr>
            </w:pPr>
            <w:r/>
          </w:p>
          <w:p>
            <w:pPr>
              <w:pStyle w:val="TableText"/>
              <w:ind w:left="426"/>
              <w:spacing w:before="78" w:line="219" w:lineRule="auto"/>
              <w:rPr/>
            </w:pPr>
            <w:r>
              <w:rPr>
                <w:spacing w:val="-4"/>
              </w:rPr>
              <w:t>最终结论</w:t>
            </w:r>
          </w:p>
        </w:tc>
        <w:tc>
          <w:tcPr>
            <w:tcW w:w="3418" w:type="dxa"/>
            <w:vAlign w:val="top"/>
            <w:gridSpan w:val="2"/>
          </w:tcPr>
          <w:p>
            <w:pPr>
              <w:spacing w:line="241" w:lineRule="auto"/>
              <w:rPr>
                <w:rFonts w:ascii="Arial"/>
                <w:sz w:val="21"/>
              </w:rPr>
            </w:pPr>
            <w:r/>
          </w:p>
          <w:p>
            <w:pPr>
              <w:pStyle w:val="TableText"/>
              <w:ind w:left="316"/>
              <w:spacing w:before="104" w:line="212" w:lineRule="auto"/>
              <w:rPr>
                <w:rFonts w:ascii="Malgun Gothic" w:hAnsi="Malgun Gothic" w:eastAsia="Malgun Gothic" w:cs="Malgun Gothic"/>
              </w:rPr>
            </w:pPr>
            <w:r>
              <w:rPr>
                <w:spacing w:val="-1"/>
              </w:rPr>
              <w:t>通过</w:t>
            </w:r>
            <w:r>
              <w:rPr>
                <w:rFonts w:ascii="Malgun Gothic" w:hAnsi="Malgun Gothic" w:eastAsia="Malgun Gothic" w:cs="Malgun Gothic"/>
                <w:spacing w:val="-1"/>
              </w:rPr>
              <w:t>√</w:t>
            </w:r>
            <w:r>
              <w:rPr>
                <w:spacing w:val="-1"/>
              </w:rPr>
              <w:t>修改后通过</w:t>
            </w:r>
            <w:r>
              <w:rPr>
                <w:rFonts w:ascii="Malgun Gothic" w:hAnsi="Malgun Gothic" w:eastAsia="Malgun Gothic" w:cs="Malgun Gothic"/>
                <w:spacing w:val="-1"/>
              </w:rPr>
              <w:t>□</w:t>
            </w:r>
            <w:r>
              <w:rPr>
                <w:spacing w:val="-1"/>
              </w:rPr>
              <w:t>重审</w:t>
            </w:r>
            <w:r>
              <w:rPr>
                <w:rFonts w:ascii="Malgun Gothic" w:hAnsi="Malgun Gothic" w:eastAsia="Malgun Gothic" w:cs="Malgun Gothic"/>
                <w:spacing w:val="-1"/>
              </w:rPr>
              <w:t>□</w:t>
            </w:r>
          </w:p>
        </w:tc>
        <w:tc>
          <w:tcPr>
            <w:tcW w:w="1903" w:type="dxa"/>
            <w:vAlign w:val="top"/>
            <w:gridSpan w:val="2"/>
          </w:tcPr>
          <w:p>
            <w:pPr>
              <w:spacing w:line="275" w:lineRule="auto"/>
              <w:rPr>
                <w:rFonts w:ascii="Arial"/>
                <w:sz w:val="21"/>
              </w:rPr>
            </w:pPr>
            <w:r/>
          </w:p>
          <w:p>
            <w:pPr>
              <w:pStyle w:val="TableText"/>
              <w:ind w:left="479"/>
              <w:spacing w:before="78" w:line="219" w:lineRule="auto"/>
              <w:rPr/>
            </w:pPr>
            <w:r>
              <w:rPr>
                <w:spacing w:val="-3"/>
              </w:rPr>
              <w:t>专家签字</w:t>
            </w:r>
          </w:p>
        </w:tc>
        <w:tc>
          <w:tcPr>
            <w:tcW w:w="1678" w:type="dxa"/>
            <w:vAlign w:val="top"/>
          </w:tcPr>
          <w:p>
            <w:pPr>
              <w:ind w:firstLine="296"/>
              <w:spacing w:before="111" w:line="720" w:lineRule="exact"/>
              <w:rPr/>
            </w:pPr>
            <w:r>
              <w:rPr>
                <w:position w:val="-14"/>
              </w:rPr>
              <w:drawing>
                <wp:inline distT="0" distB="0" distL="0" distR="0">
                  <wp:extent cx="685800" cy="457200"/>
                  <wp:effectExtent l="0" t="0" r="0" b="0"/>
                  <wp:docPr id="34" name="IM 34"/>
                  <wp:cNvGraphicFramePr/>
                  <a:graphic>
                    <a:graphicData uri="http://schemas.openxmlformats.org/drawingml/2006/picture">
                      <pic:pic>
                        <pic:nvPicPr>
                          <pic:cNvPr id="34" name="IM 34"/>
                          <pic:cNvPicPr/>
                        </pic:nvPicPr>
                        <pic:blipFill>
                          <a:blip r:embed="rId22"/>
                          <a:stretch>
                            <a:fillRect/>
                          </a:stretch>
                        </pic:blipFill>
                        <pic:spPr>
                          <a:xfrm rot="0">
                            <a:off x="0" y="0"/>
                            <a:ext cx="685800" cy="457200"/>
                          </a:xfrm>
                          <a:prstGeom prst="rect">
                            <a:avLst/>
                          </a:prstGeom>
                        </pic:spPr>
                      </pic:pic>
                    </a:graphicData>
                  </a:graphic>
                </wp:inline>
              </w:drawing>
            </w:r>
          </w:p>
        </w:tc>
      </w:tr>
      <w:tr>
        <w:trPr>
          <w:trHeight w:val="633" w:hRule="atLeast"/>
        </w:trPr>
        <w:tc>
          <w:tcPr>
            <w:tcW w:w="5213" w:type="dxa"/>
            <w:vAlign w:val="top"/>
            <w:gridSpan w:val="4"/>
          </w:tcPr>
          <w:p>
            <w:pPr>
              <w:pStyle w:val="TableText"/>
              <w:ind w:left="2134"/>
              <w:spacing w:before="198" w:line="220" w:lineRule="auto"/>
              <w:rPr/>
            </w:pPr>
            <w:r>
              <w:rPr>
                <w:spacing w:val="-3"/>
              </w:rPr>
              <w:t>评审日期</w:t>
            </w:r>
          </w:p>
        </w:tc>
        <w:tc>
          <w:tcPr>
            <w:tcW w:w="3581" w:type="dxa"/>
            <w:vAlign w:val="top"/>
            <w:gridSpan w:val="3"/>
          </w:tcPr>
          <w:p>
            <w:pPr>
              <w:pStyle w:val="TableText"/>
              <w:ind w:left="714"/>
              <w:spacing w:before="212" w:line="186" w:lineRule="auto"/>
              <w:rPr/>
            </w:pPr>
            <w:r>
              <w:rPr>
                <w:rFonts w:ascii="Malgun Gothic" w:hAnsi="Malgun Gothic" w:eastAsia="Malgun Gothic" w:cs="Malgun Gothic"/>
                <w:spacing w:val="-18"/>
              </w:rPr>
              <w:t>2023</w:t>
            </w:r>
            <w:r>
              <w:rPr>
                <w:rFonts w:ascii="Malgun Gothic" w:hAnsi="Malgun Gothic" w:eastAsia="Malgun Gothic" w:cs="Malgun Gothic"/>
                <w:spacing w:val="-11"/>
              </w:rPr>
              <w:t xml:space="preserve"> </w:t>
            </w:r>
            <w:r>
              <w:rPr>
                <w:spacing w:val="-18"/>
              </w:rPr>
              <w:t>年</w:t>
            </w:r>
            <w:r>
              <w:rPr>
                <w:spacing w:val="10"/>
              </w:rPr>
              <w:t xml:space="preserve"> </w:t>
            </w:r>
            <w:r>
              <w:rPr>
                <w:rFonts w:ascii="Malgun Gothic" w:hAnsi="Malgun Gothic" w:eastAsia="Malgun Gothic" w:cs="Malgun Gothic"/>
                <w:spacing w:val="-18"/>
              </w:rPr>
              <w:t>1</w:t>
            </w:r>
            <w:r>
              <w:rPr>
                <w:spacing w:val="-18"/>
              </w:rPr>
              <w:t>2</w:t>
            </w:r>
            <w:r>
              <w:rPr>
                <w:spacing w:val="15"/>
              </w:rPr>
              <w:t xml:space="preserve"> </w:t>
            </w:r>
            <w:r>
              <w:rPr>
                <w:spacing w:val="-18"/>
              </w:rPr>
              <w:t>月</w:t>
            </w:r>
            <w:r>
              <w:rPr>
                <w:spacing w:val="10"/>
              </w:rPr>
              <w:t xml:space="preserve"> </w:t>
            </w:r>
            <w:r>
              <w:rPr>
                <w:rFonts w:ascii="Malgun Gothic" w:hAnsi="Malgun Gothic" w:eastAsia="Malgun Gothic" w:cs="Malgun Gothic"/>
                <w:spacing w:val="-18"/>
              </w:rPr>
              <w:t>11</w:t>
            </w:r>
            <w:r>
              <w:rPr>
                <w:rFonts w:ascii="Malgun Gothic" w:hAnsi="Malgun Gothic" w:eastAsia="Malgun Gothic" w:cs="Malgun Gothic"/>
                <w:spacing w:val="84"/>
              </w:rPr>
              <w:t xml:space="preserve"> </w:t>
            </w:r>
            <w:r>
              <w:rPr>
                <w:spacing w:val="-18"/>
              </w:rPr>
              <w:t>日</w:t>
            </w:r>
          </w:p>
        </w:tc>
      </w:tr>
    </w:tbl>
    <w:p>
      <w:pPr>
        <w:pStyle w:val="BodyText"/>
        <w:rPr/>
      </w:pPr>
      <w:r/>
    </w:p>
    <w:p>
      <w:pPr>
        <w:sectPr>
          <w:pgSz w:w="11906" w:h="16839"/>
          <w:pgMar w:top="400" w:right="1553" w:bottom="400" w:left="1553" w:header="0" w:footer="0" w:gutter="0"/>
        </w:sectPr>
        <w:rPr/>
      </w:pPr>
    </w:p>
    <w:p>
      <w:pPr>
        <w:pStyle w:val="BodyText"/>
        <w:spacing w:line="287" w:lineRule="auto"/>
        <w:rPr/>
      </w:pPr>
      <w:r/>
    </w:p>
    <w:p>
      <w:pPr>
        <w:pStyle w:val="BodyText"/>
        <w:spacing w:line="287" w:lineRule="auto"/>
        <w:rPr/>
      </w:pPr>
      <w:r/>
    </w:p>
    <w:p>
      <w:pPr>
        <w:pStyle w:val="BodyText"/>
        <w:spacing w:line="288" w:lineRule="auto"/>
        <w:rPr/>
      </w:pPr>
      <w:r/>
    </w:p>
    <w:p>
      <w:pPr>
        <w:pStyle w:val="BodyText"/>
        <w:spacing w:line="288" w:lineRule="auto"/>
        <w:rPr/>
      </w:pPr>
      <w:r/>
    </w:p>
    <w:p>
      <w:pPr>
        <w:ind w:left="3615"/>
        <w:spacing w:before="91" w:line="220" w:lineRule="auto"/>
        <w:outlineLvl w:val="0"/>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修改说明</w:t>
      </w:r>
    </w:p>
    <w:p>
      <w:pPr>
        <w:ind w:left="23"/>
        <w:spacing w:before="225" w:line="219" w:lineRule="auto"/>
        <w:outlineLvl w:val="0"/>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会议纪要</w:t>
      </w:r>
    </w:p>
    <w:p>
      <w:pPr>
        <w:ind w:left="32"/>
        <w:spacing w:before="226" w:line="220" w:lineRule="auto"/>
        <w:outlineLvl w:val="0"/>
        <w:rPr>
          <w:rFonts w:ascii="SimSun" w:hAnsi="SimSun" w:eastAsia="SimSun" w:cs="SimSun"/>
          <w:sz w:val="28"/>
          <w:szCs w:val="28"/>
        </w:rPr>
      </w:pPr>
      <w:r>
        <w:rPr>
          <w:rFonts w:ascii="Times New Roman" w:hAnsi="Times New Roman" w:eastAsia="Times New Roman" w:cs="Times New Roman"/>
          <w:sz w:val="28"/>
          <w:szCs w:val="28"/>
          <w:b/>
          <w:bCs/>
          <w:spacing w:val="-2"/>
        </w:rPr>
        <w:t>1</w:t>
      </w:r>
      <w:r>
        <w:rPr>
          <w:rFonts w:ascii="Times New Roman" w:hAnsi="Times New Roman" w:eastAsia="Times New Roman" w:cs="Times New Roman"/>
          <w:sz w:val="28"/>
          <w:szCs w:val="28"/>
          <w:b/>
          <w:bCs/>
          <w:spacing w:val="-33"/>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、完善“是否开工建设</w:t>
      </w:r>
      <w:r>
        <w:rPr>
          <w:rFonts w:ascii="SimSun" w:hAnsi="SimSun" w:eastAsia="SimSun" w:cs="SimSun"/>
          <w:sz w:val="28"/>
          <w:szCs w:val="28"/>
          <w:spacing w:val="-105"/>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”所要求的填写内容；核实项目产业政策符</w:t>
      </w:r>
    </w:p>
    <w:p>
      <w:pPr>
        <w:ind w:left="47" w:right="80" w:hanging="21"/>
        <w:spacing w:before="229" w:line="369" w:lineRule="auto"/>
        <w:jc w:val="both"/>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4"/>
        </w:rPr>
        <w:t>合性分析，核实项目用地类型及补充必要证明，完善选址合理性分析</w:t>
      </w:r>
      <w:r>
        <w:rPr>
          <w:rFonts w:ascii="SimSun" w:hAnsi="SimSun" w:eastAsia="SimSun" w:cs="SimSun"/>
          <w:sz w:val="28"/>
          <w:szCs w:val="28"/>
          <w:spacing w:val="13"/>
        </w:rPr>
        <w:t xml:space="preserve"> </w:t>
      </w:r>
      <w:r>
        <w:rPr>
          <w:rFonts w:ascii="SimSun" w:hAnsi="SimSun" w:eastAsia="SimSun" w:cs="SimSun"/>
          <w:sz w:val="28"/>
          <w:szCs w:val="28"/>
          <w14:textOutline w14:w="5103" w14:cap="sq" w14:cmpd="sng">
            <w14:solidFill>
              <w14:srgbClr w14:val="000000"/>
            </w14:solidFill>
            <w14:prstDash w14:val="solid"/>
            <w14:bevel/>
          </w14:textOutline>
          <w:spacing w:val="-4"/>
        </w:rPr>
        <w:t>的内容；补充项目与《关于加快解决当前挥</w:t>
      </w:r>
      <w:r>
        <w:rPr>
          <w:rFonts w:ascii="SimSun" w:hAnsi="SimSun" w:eastAsia="SimSun" w:cs="SimSun"/>
          <w:sz w:val="28"/>
          <w:szCs w:val="28"/>
          <w14:textOutline w14:w="5103" w14:cap="sq" w14:cmpd="sng">
            <w14:solidFill>
              <w14:srgbClr w14:val="000000"/>
            </w14:solidFill>
            <w14:prstDash w14:val="solid"/>
            <w14:bevel/>
          </w14:textOutline>
          <w:spacing w:val="-5"/>
        </w:rPr>
        <w:t>发性有机物治理突出问题</w:t>
      </w:r>
      <w:r>
        <w:rPr>
          <w:rFonts w:ascii="SimSun" w:hAnsi="SimSun" w:eastAsia="SimSun" w:cs="SimSun"/>
          <w:sz w:val="28"/>
          <w:szCs w:val="28"/>
        </w:rPr>
        <w:t xml:space="preserve"> </w:t>
      </w:r>
      <w:r>
        <w:rPr>
          <w:rFonts w:ascii="SimSun" w:hAnsi="SimSun" w:eastAsia="SimSun" w:cs="SimSun"/>
          <w:sz w:val="28"/>
          <w:szCs w:val="28"/>
          <w14:textOutline w14:w="5103" w14:cap="sq" w14:cmpd="sng">
            <w14:solidFill>
              <w14:srgbClr w14:val="000000"/>
            </w14:solidFill>
            <w14:prstDash w14:val="solid"/>
            <w14:bevel/>
          </w14:textOutline>
          <w:spacing w:val="-6"/>
        </w:rPr>
        <w:t>的通知》《昌吉回族自治州生态环境保护与建设“十四五</w:t>
      </w:r>
      <w:r>
        <w:rPr>
          <w:rFonts w:ascii="SimSun" w:hAnsi="SimSun" w:eastAsia="SimSun" w:cs="SimSun"/>
          <w:sz w:val="28"/>
          <w:szCs w:val="28"/>
          <w:spacing w:val="-9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6"/>
        </w:rPr>
        <w:t>”规划》的</w:t>
      </w:r>
    </w:p>
    <w:p>
      <w:pPr>
        <w:ind w:left="27"/>
        <w:spacing w:before="1" w:line="219"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符合性分析。</w:t>
      </w:r>
    </w:p>
    <w:p>
      <w:pPr>
        <w:ind w:left="529"/>
        <w:spacing w:before="213" w:line="219" w:lineRule="auto"/>
        <w:rPr>
          <w:rFonts w:ascii="Times New Roman" w:hAnsi="Times New Roman" w:eastAsia="Times New Roman" w:cs="Times New Roman"/>
          <w:sz w:val="24"/>
          <w:szCs w:val="24"/>
        </w:rPr>
      </w:pPr>
      <w:r>
        <w:rPr>
          <w:rFonts w:ascii="SimSun" w:hAnsi="SimSun" w:eastAsia="SimSun" w:cs="SimSun"/>
          <w:sz w:val="24"/>
          <w:szCs w:val="24"/>
          <w:spacing w:val="-3"/>
        </w:rPr>
        <w:t>已修改，“</w:t>
      </w:r>
      <w:r>
        <w:rPr>
          <w:rFonts w:ascii="SimSun" w:hAnsi="SimSun" w:eastAsia="SimSun" w:cs="SimSun"/>
          <w:sz w:val="24"/>
          <w:szCs w:val="24"/>
          <w14:textOutline w14:w="4358" w14:cap="sq" w14:cmpd="sng">
            <w14:solidFill>
              <w14:srgbClr w14:val="000000"/>
            </w14:solidFill>
            <w14:prstDash w14:val="solid"/>
            <w14:bevel/>
          </w14:textOutline>
          <w:spacing w:val="-3"/>
        </w:rPr>
        <w:t>完善‘是否开工建设</w:t>
      </w:r>
      <w:r>
        <w:rPr>
          <w:rFonts w:ascii="SimSun" w:hAnsi="SimSun" w:eastAsia="SimSun" w:cs="SimSun"/>
          <w:sz w:val="24"/>
          <w:szCs w:val="24"/>
          <w:spacing w:val="-84"/>
        </w:rPr>
        <w:t xml:space="preserve"> </w:t>
      </w:r>
      <w:r>
        <w:rPr>
          <w:rFonts w:ascii="SimSun" w:hAnsi="SimSun" w:eastAsia="SimSun" w:cs="SimSun"/>
          <w:sz w:val="24"/>
          <w:szCs w:val="24"/>
          <w14:textOutline w14:w="4358" w14:cap="sq" w14:cmpd="sng">
            <w14:solidFill>
              <w14:srgbClr w14:val="000000"/>
            </w14:solidFill>
            <w14:prstDash w14:val="solid"/>
            <w14:bevel/>
          </w14:textOutline>
          <w:spacing w:val="-3"/>
        </w:rPr>
        <w:t>’所要求的填写内容</w:t>
      </w:r>
      <w:r>
        <w:rPr>
          <w:rFonts w:ascii="SimSun" w:hAnsi="SimSun" w:eastAsia="SimSun" w:cs="SimSun"/>
          <w:sz w:val="24"/>
          <w:szCs w:val="24"/>
          <w:spacing w:val="-88"/>
        </w:rPr>
        <w:t xml:space="preserve"> </w:t>
      </w:r>
      <w:r>
        <w:rPr>
          <w:rFonts w:ascii="SimSun" w:hAnsi="SimSun" w:eastAsia="SimSun" w:cs="SimSun"/>
          <w:sz w:val="24"/>
          <w:szCs w:val="24"/>
          <w:spacing w:val="-3"/>
        </w:rPr>
        <w:t>”修改见</w:t>
      </w:r>
      <w:r>
        <w:rPr>
          <w:rFonts w:ascii="Times New Roman" w:hAnsi="Times New Roman" w:eastAsia="Times New Roman" w:cs="Times New Roman"/>
          <w:sz w:val="24"/>
          <w:szCs w:val="24"/>
          <w:spacing w:val="-3"/>
        </w:rPr>
        <w:t>P1</w:t>
      </w:r>
    </w:p>
    <w:p>
      <w:pPr>
        <w:ind w:left="24" w:right="80" w:firstLine="482"/>
        <w:spacing w:before="212" w:line="385" w:lineRule="auto"/>
        <w:rPr>
          <w:rFonts w:ascii="SimSun" w:hAnsi="SimSun" w:eastAsia="SimSun" w:cs="SimSun"/>
          <w:sz w:val="24"/>
          <w:szCs w:val="24"/>
        </w:rPr>
      </w:pPr>
      <w:r>
        <w:rPr>
          <w:rFonts w:ascii="SimSun" w:hAnsi="SimSun" w:eastAsia="SimSun" w:cs="SimSun"/>
          <w:sz w:val="24"/>
          <w:szCs w:val="24"/>
          <w:spacing w:val="-3"/>
        </w:rPr>
        <w:t>是否开工建设：是，</w:t>
      </w:r>
      <w:r>
        <w:rPr>
          <w:rFonts w:ascii="Times New Roman" w:hAnsi="Times New Roman" w:eastAsia="Times New Roman" w:cs="Times New Roman"/>
          <w:sz w:val="24"/>
          <w:szCs w:val="24"/>
          <w:spacing w:val="-3"/>
        </w:rPr>
        <w:t>2015</w:t>
      </w:r>
      <w:r>
        <w:rPr>
          <w:rFonts w:ascii="SimSun" w:hAnsi="SimSun" w:eastAsia="SimSun" w:cs="SimSun"/>
          <w:sz w:val="24"/>
          <w:szCs w:val="24"/>
          <w:spacing w:val="-3"/>
        </w:rPr>
        <w:t>年</w:t>
      </w:r>
      <w:r>
        <w:rPr>
          <w:rFonts w:ascii="Times New Roman" w:hAnsi="Times New Roman" w:eastAsia="Times New Roman" w:cs="Times New Roman"/>
          <w:sz w:val="24"/>
          <w:szCs w:val="24"/>
          <w:spacing w:val="-3"/>
        </w:rPr>
        <w:t>10</w:t>
      </w:r>
      <w:r>
        <w:rPr>
          <w:rFonts w:ascii="SimSun" w:hAnsi="SimSun" w:eastAsia="SimSun" w:cs="SimSun"/>
          <w:sz w:val="24"/>
          <w:szCs w:val="24"/>
          <w:spacing w:val="-3"/>
        </w:rPr>
        <w:t>月</w:t>
      </w:r>
      <w:r>
        <w:rPr>
          <w:rFonts w:ascii="Times New Roman" w:hAnsi="Times New Roman" w:eastAsia="Times New Roman" w:cs="Times New Roman"/>
          <w:sz w:val="24"/>
          <w:szCs w:val="24"/>
          <w:spacing w:val="-3"/>
        </w:rPr>
        <w:t>27</w:t>
      </w:r>
      <w:r>
        <w:rPr>
          <w:rFonts w:ascii="SimSun" w:hAnsi="SimSun" w:eastAsia="SimSun" w:cs="SimSun"/>
          <w:sz w:val="24"/>
          <w:szCs w:val="24"/>
          <w:spacing w:val="-3"/>
        </w:rPr>
        <w:t>日取得《关于呼图壁县丰收塑料制品厂滴</w:t>
      </w:r>
      <w:r>
        <w:rPr>
          <w:rFonts w:ascii="SimSun" w:hAnsi="SimSun" w:eastAsia="SimSun" w:cs="SimSun"/>
          <w:sz w:val="24"/>
          <w:szCs w:val="24"/>
          <w:spacing w:val="3"/>
        </w:rPr>
        <w:t xml:space="preserve"> </w:t>
      </w:r>
      <w:r>
        <w:rPr>
          <w:rFonts w:ascii="SimSun" w:hAnsi="SimSun" w:eastAsia="SimSun" w:cs="SimSun"/>
          <w:sz w:val="24"/>
          <w:szCs w:val="24"/>
          <w:spacing w:val="-2"/>
        </w:rPr>
        <w:t>灌带生产线建设项目环境影响报告表的批复》（呼环评字〔</w:t>
      </w:r>
      <w:r>
        <w:rPr>
          <w:rFonts w:ascii="Times New Roman" w:hAnsi="Times New Roman" w:eastAsia="Times New Roman" w:cs="Times New Roman"/>
          <w:sz w:val="24"/>
          <w:szCs w:val="24"/>
          <w:spacing w:val="-2"/>
        </w:rPr>
        <w:t>2015</w:t>
      </w:r>
      <w:r>
        <w:rPr>
          <w:rFonts w:ascii="SimSun" w:hAnsi="SimSun" w:eastAsia="SimSun" w:cs="SimSun"/>
          <w:sz w:val="24"/>
          <w:szCs w:val="24"/>
          <w:spacing w:val="-2"/>
        </w:rPr>
        <w:t>〕</w:t>
      </w:r>
      <w:r>
        <w:rPr>
          <w:rFonts w:ascii="Times New Roman" w:hAnsi="Times New Roman" w:eastAsia="Times New Roman" w:cs="Times New Roman"/>
          <w:sz w:val="24"/>
          <w:szCs w:val="24"/>
          <w:spacing w:val="-2"/>
        </w:rPr>
        <w:t>59</w:t>
      </w:r>
      <w:r>
        <w:rPr>
          <w:rFonts w:ascii="SimSun" w:hAnsi="SimSun" w:eastAsia="SimSun" w:cs="SimSun"/>
          <w:sz w:val="24"/>
          <w:szCs w:val="24"/>
          <w:spacing w:val="-2"/>
        </w:rPr>
        <w:t>号</w:t>
      </w:r>
      <w:r>
        <w:rPr>
          <w:rFonts w:ascii="SimSun" w:hAnsi="SimSun" w:eastAsia="SimSun" w:cs="SimSun"/>
          <w:sz w:val="24"/>
          <w:szCs w:val="24"/>
          <w:spacing w:val="-15"/>
        </w:rPr>
        <w:t>）；</w:t>
      </w:r>
      <w:r>
        <w:rPr>
          <w:rFonts w:ascii="Times New Roman" w:hAnsi="Times New Roman" w:eastAsia="Times New Roman" w:cs="Times New Roman"/>
          <w:sz w:val="24"/>
          <w:szCs w:val="24"/>
          <w:spacing w:val="-2"/>
        </w:rPr>
        <w:t>2</w:t>
      </w:r>
      <w:r>
        <w:rPr>
          <w:rFonts w:ascii="Times New Roman" w:hAnsi="Times New Roman" w:eastAsia="Times New Roman" w:cs="Times New Roman"/>
          <w:sz w:val="24"/>
          <w:szCs w:val="24"/>
          <w:spacing w:val="-3"/>
        </w:rPr>
        <w:t>016</w:t>
      </w:r>
      <w:r>
        <w:rPr>
          <w:rFonts w:ascii="Times New Roman" w:hAnsi="Times New Roman" w:eastAsia="Times New Roman" w:cs="Times New Roman"/>
          <w:sz w:val="24"/>
          <w:szCs w:val="24"/>
          <w:spacing w:val="1"/>
        </w:rPr>
        <w:t xml:space="preserve"> </w:t>
      </w:r>
      <w:r>
        <w:rPr>
          <w:rFonts w:ascii="SimSun" w:hAnsi="SimSun" w:eastAsia="SimSun" w:cs="SimSun"/>
          <w:sz w:val="24"/>
          <w:szCs w:val="24"/>
        </w:rPr>
        <w:t>年</w:t>
      </w:r>
      <w:r>
        <w:rPr>
          <w:rFonts w:ascii="Times New Roman" w:hAnsi="Times New Roman" w:eastAsia="Times New Roman" w:cs="Times New Roman"/>
          <w:sz w:val="24"/>
          <w:szCs w:val="24"/>
        </w:rPr>
        <w:t>6</w:t>
      </w:r>
      <w:r>
        <w:rPr>
          <w:rFonts w:ascii="SimSun" w:hAnsi="SimSun" w:eastAsia="SimSun" w:cs="SimSun"/>
          <w:sz w:val="24"/>
          <w:szCs w:val="24"/>
        </w:rPr>
        <w:t>月开工建设完成仓库建设；</w:t>
      </w:r>
      <w:r>
        <w:rPr>
          <w:rFonts w:ascii="Times New Roman" w:hAnsi="Times New Roman" w:eastAsia="Times New Roman" w:cs="Times New Roman"/>
          <w:sz w:val="24"/>
          <w:szCs w:val="24"/>
        </w:rPr>
        <w:t>2016</w:t>
      </w:r>
      <w:r>
        <w:rPr>
          <w:rFonts w:ascii="SimSun" w:hAnsi="SimSun" w:eastAsia="SimSun" w:cs="SimSun"/>
          <w:sz w:val="24"/>
          <w:szCs w:val="24"/>
        </w:rPr>
        <w:t>年</w:t>
      </w:r>
      <w:r>
        <w:rPr>
          <w:rFonts w:ascii="Times New Roman" w:hAnsi="Times New Roman" w:eastAsia="Times New Roman" w:cs="Times New Roman"/>
          <w:sz w:val="24"/>
          <w:szCs w:val="24"/>
        </w:rPr>
        <w:t>8</w:t>
      </w:r>
      <w:r>
        <w:rPr>
          <w:rFonts w:ascii="SimSun" w:hAnsi="SimSun" w:eastAsia="SimSun" w:cs="SimSun"/>
          <w:sz w:val="24"/>
          <w:szCs w:val="24"/>
        </w:rPr>
        <w:t>月在已建仓库建设</w:t>
      </w:r>
      <w:r>
        <w:rPr>
          <w:rFonts w:ascii="Times New Roman" w:hAnsi="Times New Roman" w:eastAsia="Times New Roman" w:cs="Times New Roman"/>
          <w:sz w:val="24"/>
          <w:szCs w:val="24"/>
          <w:spacing w:val="-1"/>
        </w:rPr>
        <w:t>2</w:t>
      </w:r>
      <w:r>
        <w:rPr>
          <w:rFonts w:ascii="SimSun" w:hAnsi="SimSun" w:eastAsia="SimSun" w:cs="SimSun"/>
          <w:sz w:val="24"/>
          <w:szCs w:val="24"/>
          <w:spacing w:val="-1"/>
        </w:rPr>
        <w:t>条地膜生产线；</w:t>
      </w:r>
      <w:r>
        <w:rPr>
          <w:rFonts w:ascii="Times New Roman" w:hAnsi="Times New Roman" w:eastAsia="Times New Roman" w:cs="Times New Roman"/>
          <w:sz w:val="24"/>
          <w:szCs w:val="24"/>
          <w:spacing w:val="-1"/>
        </w:rPr>
        <w:t>2023</w:t>
      </w:r>
      <w:r>
        <w:rPr>
          <w:rFonts w:ascii="Times New Roman" w:hAnsi="Times New Roman" w:eastAsia="Times New Roman" w:cs="Times New Roman"/>
          <w:sz w:val="24"/>
          <w:szCs w:val="24"/>
        </w:rPr>
        <w:t xml:space="preserve"> </w:t>
      </w:r>
      <w:r>
        <w:rPr>
          <w:rFonts w:ascii="SimSun" w:hAnsi="SimSun" w:eastAsia="SimSun" w:cs="SimSun"/>
          <w:sz w:val="24"/>
          <w:szCs w:val="24"/>
          <w:spacing w:val="-3"/>
        </w:rPr>
        <w:t>年</w:t>
      </w:r>
      <w:r>
        <w:rPr>
          <w:rFonts w:ascii="Times New Roman" w:hAnsi="Times New Roman" w:eastAsia="Times New Roman" w:cs="Times New Roman"/>
          <w:sz w:val="24"/>
          <w:szCs w:val="24"/>
          <w:spacing w:val="-3"/>
        </w:rPr>
        <w:t>11</w:t>
      </w:r>
      <w:r>
        <w:rPr>
          <w:rFonts w:ascii="SimSun" w:hAnsi="SimSun" w:eastAsia="SimSun" w:cs="SimSun"/>
          <w:sz w:val="24"/>
          <w:szCs w:val="24"/>
          <w:spacing w:val="-3"/>
        </w:rPr>
        <w:t>月</w:t>
      </w:r>
      <w:r>
        <w:rPr>
          <w:rFonts w:ascii="Times New Roman" w:hAnsi="Times New Roman" w:eastAsia="Times New Roman" w:cs="Times New Roman"/>
          <w:sz w:val="24"/>
          <w:szCs w:val="24"/>
          <w:spacing w:val="-3"/>
        </w:rPr>
        <w:t>21</w:t>
      </w:r>
      <w:r>
        <w:rPr>
          <w:rFonts w:ascii="SimSun" w:hAnsi="SimSun" w:eastAsia="SimSun" w:cs="SimSun"/>
          <w:sz w:val="24"/>
          <w:szCs w:val="24"/>
          <w:spacing w:val="-3"/>
        </w:rPr>
        <w:t>日取得昌吉州生态环境局呼图壁县分局出具《关于呼图壁县丰收塑料制</w:t>
      </w:r>
      <w:r>
        <w:rPr>
          <w:rFonts w:ascii="SimSun" w:hAnsi="SimSun" w:eastAsia="SimSun" w:cs="SimSun"/>
          <w:sz w:val="24"/>
          <w:szCs w:val="24"/>
          <w:spacing w:val="6"/>
        </w:rPr>
        <w:t xml:space="preserve"> </w:t>
      </w:r>
      <w:r>
        <w:rPr>
          <w:rFonts w:ascii="SimSun" w:hAnsi="SimSun" w:eastAsia="SimSun" w:cs="SimSun"/>
          <w:sz w:val="24"/>
          <w:szCs w:val="24"/>
          <w:spacing w:val="-3"/>
        </w:rPr>
        <w:t>品厂农用地膜加工项目未批先建处理意见的报告》，文件指出：对该建设项目不</w:t>
      </w:r>
    </w:p>
    <w:p>
      <w:pPr>
        <w:ind w:left="30"/>
        <w:spacing w:before="1" w:line="221" w:lineRule="auto"/>
        <w:rPr>
          <w:rFonts w:ascii="SimSun" w:hAnsi="SimSun" w:eastAsia="SimSun" w:cs="SimSun"/>
          <w:sz w:val="24"/>
          <w:szCs w:val="24"/>
        </w:rPr>
      </w:pPr>
      <w:r>
        <w:rPr>
          <w:rFonts w:ascii="SimSun" w:hAnsi="SimSun" w:eastAsia="SimSun" w:cs="SimSun"/>
          <w:sz w:val="24"/>
          <w:szCs w:val="24"/>
          <w:spacing w:val="-6"/>
        </w:rPr>
        <w:t>予处罚</w:t>
      </w:r>
    </w:p>
    <w:p>
      <w:pPr>
        <w:ind w:left="491"/>
        <w:spacing w:before="212" w:line="219" w:lineRule="auto"/>
        <w:rPr>
          <w:rFonts w:ascii="Times New Roman" w:hAnsi="Times New Roman" w:eastAsia="Times New Roman" w:cs="Times New Roman"/>
          <w:sz w:val="24"/>
          <w:szCs w:val="24"/>
        </w:rPr>
      </w:pPr>
      <w:r>
        <w:rPr>
          <w:rFonts w:ascii="SimSun" w:hAnsi="SimSun" w:eastAsia="SimSun" w:cs="SimSun"/>
          <w:sz w:val="24"/>
          <w:szCs w:val="24"/>
          <w:spacing w:val="-1"/>
        </w:rPr>
        <w:t>“</w:t>
      </w:r>
      <w:r>
        <w:rPr>
          <w:rFonts w:ascii="SimSun" w:hAnsi="SimSun" w:eastAsia="SimSun" w:cs="SimSun"/>
          <w:sz w:val="24"/>
          <w:szCs w:val="24"/>
          <w14:textOutline w14:w="4358" w14:cap="sq" w14:cmpd="sng">
            <w14:solidFill>
              <w14:srgbClr w14:val="000000"/>
            </w14:solidFill>
            <w14:prstDash w14:val="solid"/>
            <w14:bevel/>
          </w14:textOutline>
          <w:spacing w:val="-1"/>
        </w:rPr>
        <w:t>核实项目产业政策符合性分析</w:t>
      </w:r>
      <w:r>
        <w:rPr>
          <w:rFonts w:ascii="SimSun" w:hAnsi="SimSun" w:eastAsia="SimSun" w:cs="SimSun"/>
          <w:sz w:val="24"/>
          <w:szCs w:val="24"/>
          <w:spacing w:val="-85"/>
        </w:rPr>
        <w:t xml:space="preserve"> </w:t>
      </w:r>
      <w:r>
        <w:rPr>
          <w:rFonts w:ascii="SimSun" w:hAnsi="SimSun" w:eastAsia="SimSun" w:cs="SimSun"/>
          <w:sz w:val="24"/>
          <w:szCs w:val="24"/>
          <w:spacing w:val="-1"/>
        </w:rPr>
        <w:t>”修改见</w:t>
      </w:r>
      <w:r>
        <w:rPr>
          <w:rFonts w:ascii="Times New Roman" w:hAnsi="Times New Roman" w:eastAsia="Times New Roman" w:cs="Times New Roman"/>
          <w:sz w:val="24"/>
          <w:szCs w:val="24"/>
          <w:spacing w:val="-1"/>
        </w:rPr>
        <w:t>P10</w:t>
      </w:r>
    </w:p>
    <w:p>
      <w:pPr>
        <w:ind w:left="514"/>
        <w:spacing w:before="216"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9</w:t>
      </w:r>
      <w:r>
        <w:rPr>
          <w:rFonts w:ascii="SimSun" w:hAnsi="SimSun" w:eastAsia="SimSun" w:cs="SimSun"/>
          <w:sz w:val="24"/>
          <w:szCs w:val="24"/>
          <w:spacing w:val="-2"/>
        </w:rPr>
        <w:t>）产业布局规划符合性</w:t>
      </w:r>
    </w:p>
    <w:p>
      <w:pPr>
        <w:ind w:left="24" w:right="80" w:firstLine="479"/>
        <w:spacing w:before="213" w:line="385" w:lineRule="auto"/>
        <w:rPr>
          <w:rFonts w:ascii="SimSun" w:hAnsi="SimSun" w:eastAsia="SimSun" w:cs="SimSun"/>
          <w:sz w:val="24"/>
          <w:szCs w:val="24"/>
        </w:rPr>
      </w:pPr>
      <w:r>
        <w:rPr>
          <w:rFonts w:ascii="SimSun" w:hAnsi="SimSun" w:eastAsia="SimSun" w:cs="SimSun"/>
          <w:sz w:val="24"/>
          <w:szCs w:val="24"/>
          <w:spacing w:val="-1"/>
        </w:rPr>
        <w:t>根据国家发展和改革委会《产业结构调整指导目录（</w:t>
      </w:r>
      <w:r>
        <w:rPr>
          <w:rFonts w:ascii="Times New Roman" w:hAnsi="Times New Roman" w:eastAsia="Times New Roman" w:cs="Times New Roman"/>
          <w:sz w:val="24"/>
          <w:szCs w:val="24"/>
          <w:spacing w:val="-1"/>
        </w:rPr>
        <w:t>2019</w:t>
      </w:r>
      <w:r>
        <w:rPr>
          <w:rFonts w:ascii="SimSun" w:hAnsi="SimSun" w:eastAsia="SimSun" w:cs="SimSun"/>
          <w:sz w:val="24"/>
          <w:szCs w:val="24"/>
          <w:spacing w:val="-1"/>
        </w:rPr>
        <w:t>年本）》（</w:t>
      </w:r>
      <w:r>
        <w:rPr>
          <w:rFonts w:ascii="Times New Roman" w:hAnsi="Times New Roman" w:eastAsia="Times New Roman" w:cs="Times New Roman"/>
          <w:sz w:val="24"/>
          <w:szCs w:val="24"/>
          <w:spacing w:val="-1"/>
        </w:rPr>
        <w:t>2021   </w:t>
      </w:r>
      <w:r>
        <w:rPr>
          <w:rFonts w:ascii="SimSun" w:hAnsi="SimSun" w:eastAsia="SimSun" w:cs="SimSun"/>
          <w:sz w:val="24"/>
          <w:szCs w:val="24"/>
          <w:spacing w:val="-1"/>
        </w:rPr>
        <w:t>年修订</w:t>
      </w:r>
      <w:r>
        <w:rPr>
          <w:rFonts w:ascii="SimSun" w:hAnsi="SimSun" w:eastAsia="SimSun" w:cs="SimSun"/>
          <w:sz w:val="24"/>
          <w:szCs w:val="24"/>
          <w:spacing w:val="-23"/>
        </w:rPr>
        <w:t>），</w:t>
      </w:r>
      <w:r>
        <w:rPr>
          <w:rFonts w:ascii="SimSun" w:hAnsi="SimSun" w:eastAsia="SimSun" w:cs="SimSun"/>
          <w:sz w:val="24"/>
          <w:szCs w:val="24"/>
          <w:spacing w:val="-1"/>
        </w:rPr>
        <w:t>其中“第三类 淘汰类，二、落后产品</w:t>
      </w:r>
      <w:r>
        <w:rPr>
          <w:rFonts w:ascii="SimSun" w:hAnsi="SimSun" w:eastAsia="SimSun" w:cs="SimSun"/>
          <w:sz w:val="24"/>
          <w:szCs w:val="24"/>
          <w:spacing w:val="-23"/>
        </w:rPr>
        <w:t>，（</w:t>
      </w:r>
      <w:r>
        <w:rPr>
          <w:rFonts w:ascii="SimSun" w:hAnsi="SimSun" w:eastAsia="SimSun" w:cs="SimSun"/>
          <w:sz w:val="24"/>
          <w:szCs w:val="24"/>
          <w:spacing w:val="-1"/>
        </w:rPr>
        <w:t>九）轻工，</w:t>
      </w:r>
      <w:r>
        <w:rPr>
          <w:rFonts w:ascii="Times New Roman" w:hAnsi="Times New Roman" w:eastAsia="Times New Roman" w:cs="Times New Roman"/>
          <w:sz w:val="24"/>
          <w:szCs w:val="24"/>
          <w:spacing w:val="-1"/>
        </w:rPr>
        <w:t>16</w:t>
      </w:r>
      <w:r>
        <w:rPr>
          <w:rFonts w:ascii="Times New Roman" w:hAnsi="Times New Roman" w:eastAsia="Times New Roman" w:cs="Times New Roman"/>
          <w:sz w:val="24"/>
          <w:szCs w:val="24"/>
          <w:spacing w:val="-33"/>
        </w:rPr>
        <w:t xml:space="preserve"> </w:t>
      </w:r>
      <w:r>
        <w:rPr>
          <w:rFonts w:ascii="SimSun" w:hAnsi="SimSun" w:eastAsia="SimSun" w:cs="SimSun"/>
          <w:sz w:val="24"/>
          <w:szCs w:val="24"/>
          <w:spacing w:val="-1"/>
        </w:rPr>
        <w:t>、</w:t>
      </w:r>
      <w:r>
        <w:rPr>
          <w:rFonts w:ascii="Times New Roman" w:hAnsi="Times New Roman" w:eastAsia="Times New Roman" w:cs="Times New Roman"/>
          <w:sz w:val="24"/>
          <w:szCs w:val="24"/>
          <w:spacing w:val="-1"/>
        </w:rPr>
        <w:t>......</w:t>
      </w:r>
      <w:r>
        <w:rPr>
          <w:rFonts w:ascii="SimSun" w:hAnsi="SimSun" w:eastAsia="SimSun" w:cs="SimSun"/>
          <w:sz w:val="24"/>
          <w:szCs w:val="24"/>
          <w:spacing w:val="-2"/>
        </w:rPr>
        <w:t>厚度低</w:t>
      </w:r>
      <w:r>
        <w:rPr>
          <w:rFonts w:ascii="SimSun" w:hAnsi="SimSun" w:eastAsia="SimSun" w:cs="SimSun"/>
          <w:sz w:val="24"/>
          <w:szCs w:val="24"/>
        </w:rPr>
        <w:t xml:space="preserve"> </w:t>
      </w:r>
      <w:r>
        <w:rPr>
          <w:rFonts w:ascii="SimSun" w:hAnsi="SimSun" w:eastAsia="SimSun" w:cs="SimSun"/>
          <w:sz w:val="24"/>
          <w:szCs w:val="24"/>
          <w:spacing w:val="-2"/>
        </w:rPr>
        <w:t>于</w:t>
      </w:r>
      <w:r>
        <w:rPr>
          <w:rFonts w:ascii="Times New Roman" w:hAnsi="Times New Roman" w:eastAsia="Times New Roman" w:cs="Times New Roman"/>
          <w:sz w:val="24"/>
          <w:szCs w:val="24"/>
          <w:spacing w:val="-2"/>
        </w:rPr>
        <w:t>0.01</w:t>
      </w:r>
      <w:r>
        <w:rPr>
          <w:rFonts w:ascii="SimSun" w:hAnsi="SimSun" w:eastAsia="SimSun" w:cs="SimSun"/>
          <w:sz w:val="24"/>
          <w:szCs w:val="24"/>
          <w:spacing w:val="-2"/>
        </w:rPr>
        <w:t>毫米的聚乙烯农用地膜</w:t>
      </w:r>
      <w:r>
        <w:rPr>
          <w:rFonts w:ascii="SimSun" w:hAnsi="SimSun" w:eastAsia="SimSun" w:cs="SimSun"/>
          <w:sz w:val="24"/>
          <w:szCs w:val="24"/>
          <w:spacing w:val="-77"/>
        </w:rPr>
        <w:t xml:space="preserve"> </w:t>
      </w:r>
      <w:r>
        <w:rPr>
          <w:rFonts w:ascii="SimSun" w:hAnsi="SimSun" w:eastAsia="SimSun" w:cs="SimSun"/>
          <w:sz w:val="24"/>
          <w:szCs w:val="24"/>
          <w:spacing w:val="-2"/>
        </w:rPr>
        <w:t>”，本项目产品厚度为</w:t>
      </w:r>
      <w:r>
        <w:rPr>
          <w:rFonts w:ascii="Times New Roman" w:hAnsi="Times New Roman" w:eastAsia="Times New Roman" w:cs="Times New Roman"/>
          <w:sz w:val="24"/>
          <w:szCs w:val="24"/>
          <w:spacing w:val="-2"/>
        </w:rPr>
        <w:t>0.01-0.08mm</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2"/>
        </w:rPr>
        <w:t>，不属于淘汰</w:t>
      </w:r>
    </w:p>
    <w:p>
      <w:pPr>
        <w:ind w:left="23"/>
        <w:spacing w:before="1" w:line="219" w:lineRule="auto"/>
        <w:rPr>
          <w:rFonts w:ascii="SimSun" w:hAnsi="SimSun" w:eastAsia="SimSun" w:cs="SimSun"/>
          <w:sz w:val="24"/>
          <w:szCs w:val="24"/>
        </w:rPr>
      </w:pPr>
      <w:r>
        <w:rPr>
          <w:rFonts w:ascii="SimSun" w:hAnsi="SimSun" w:eastAsia="SimSun" w:cs="SimSun"/>
          <w:sz w:val="24"/>
          <w:szCs w:val="24"/>
        </w:rPr>
        <w:t>类，也不属于其中的限制类和鼓励类，属于允许</w:t>
      </w:r>
      <w:r>
        <w:rPr>
          <w:rFonts w:ascii="SimSun" w:hAnsi="SimSun" w:eastAsia="SimSun" w:cs="SimSun"/>
          <w:sz w:val="24"/>
          <w:szCs w:val="24"/>
          <w:spacing w:val="-1"/>
        </w:rPr>
        <w:t>类；符合相关产业政策。</w:t>
      </w:r>
    </w:p>
    <w:p>
      <w:pPr>
        <w:ind w:right="80"/>
        <w:spacing w:before="214" w:line="540" w:lineRule="exact"/>
        <w:jc w:val="right"/>
        <w:rPr>
          <w:rFonts w:ascii="SimSun" w:hAnsi="SimSun" w:eastAsia="SimSun" w:cs="SimSun"/>
          <w:sz w:val="24"/>
          <w:szCs w:val="24"/>
        </w:rPr>
      </w:pPr>
      <w:r>
        <w:rPr>
          <w:rFonts w:ascii="SimSun" w:hAnsi="SimSun" w:eastAsia="SimSun" w:cs="SimSun"/>
          <w:sz w:val="24"/>
          <w:szCs w:val="24"/>
          <w:spacing w:val="-4"/>
          <w:position w:val="23"/>
        </w:rPr>
        <w:t>“</w:t>
      </w:r>
      <w:r>
        <w:rPr>
          <w:rFonts w:ascii="SimSun" w:hAnsi="SimSun" w:eastAsia="SimSun" w:cs="SimSun"/>
          <w:sz w:val="24"/>
          <w:szCs w:val="24"/>
          <w14:textOutline w14:w="4358" w14:cap="sq" w14:cmpd="sng">
            <w14:solidFill>
              <w14:srgbClr w14:val="000000"/>
            </w14:solidFill>
            <w14:prstDash w14:val="solid"/>
            <w14:bevel/>
          </w14:textOutline>
          <w:spacing w:val="-4"/>
          <w:position w:val="23"/>
        </w:rPr>
        <w:t>核实项目用地类型及补充必要证明，完善选址合理性分析的内容</w:t>
      </w:r>
      <w:r>
        <w:rPr>
          <w:rFonts w:ascii="SimSun" w:hAnsi="SimSun" w:eastAsia="SimSun" w:cs="SimSun"/>
          <w:sz w:val="24"/>
          <w:szCs w:val="24"/>
          <w:spacing w:val="-81"/>
          <w:position w:val="23"/>
        </w:rPr>
        <w:t xml:space="preserve"> </w:t>
      </w:r>
      <w:r>
        <w:rPr>
          <w:rFonts w:ascii="SimSun" w:hAnsi="SimSun" w:eastAsia="SimSun" w:cs="SimSun"/>
          <w:sz w:val="24"/>
          <w:szCs w:val="24"/>
          <w:spacing w:val="-4"/>
          <w:position w:val="23"/>
        </w:rPr>
        <w:t>”修改见</w:t>
      </w:r>
    </w:p>
    <w:p>
      <w:pPr>
        <w:ind w:left="18"/>
        <w:spacing w:before="1"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P10</w:t>
      </w:r>
    </w:p>
    <w:p>
      <w:pPr>
        <w:ind w:left="514"/>
        <w:spacing w:before="244" w:line="219"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8</w:t>
      </w:r>
      <w:r>
        <w:rPr>
          <w:rFonts w:ascii="SimSun" w:hAnsi="SimSun" w:eastAsia="SimSun" w:cs="SimSun"/>
          <w:sz w:val="24"/>
          <w:szCs w:val="24"/>
          <w:spacing w:val="-3"/>
        </w:rPr>
        <w:t>）选址符合性</w:t>
      </w:r>
    </w:p>
    <w:p>
      <w:pPr>
        <w:spacing w:before="213" w:line="219" w:lineRule="auto"/>
        <w:jc w:val="right"/>
        <w:rPr>
          <w:rFonts w:ascii="SimSun" w:hAnsi="SimSun" w:eastAsia="SimSun" w:cs="SimSun"/>
          <w:sz w:val="24"/>
          <w:szCs w:val="24"/>
        </w:rPr>
      </w:pPr>
      <w:r>
        <w:rPr>
          <w:rFonts w:ascii="SimSun" w:hAnsi="SimSun" w:eastAsia="SimSun" w:cs="SimSun"/>
          <w:sz w:val="24"/>
          <w:szCs w:val="24"/>
          <w:spacing w:val="-8"/>
        </w:rPr>
        <w:t>本项目为扩建项目，土地类型为建设用地，土地用途为工业用地（见附件）。</w:t>
      </w:r>
    </w:p>
    <w:p>
      <w:pPr>
        <w:spacing w:before="218" w:line="499" w:lineRule="exact"/>
        <w:jc w:val="right"/>
        <w:rPr>
          <w:rFonts w:ascii="SimSun" w:hAnsi="SimSun" w:eastAsia="SimSun" w:cs="SimSun"/>
          <w:sz w:val="24"/>
          <w:szCs w:val="24"/>
        </w:rPr>
      </w:pPr>
      <w:r>
        <w:rPr>
          <w:rFonts w:ascii="SimSun" w:hAnsi="SimSun" w:eastAsia="SimSun" w:cs="SimSun"/>
          <w:sz w:val="24"/>
          <w:szCs w:val="24"/>
          <w:spacing w:val="-4"/>
          <w:position w:val="19"/>
        </w:rPr>
        <w:t>本项目占地面积为</w:t>
      </w:r>
      <w:r>
        <w:rPr>
          <w:rFonts w:ascii="Times New Roman" w:hAnsi="Times New Roman" w:eastAsia="Times New Roman" w:cs="Times New Roman"/>
          <w:sz w:val="24"/>
          <w:szCs w:val="24"/>
          <w:spacing w:val="-4"/>
          <w:position w:val="19"/>
        </w:rPr>
        <w:t>200</w:t>
      </w:r>
      <w:r>
        <w:rPr>
          <w:rFonts w:ascii="SimSun" w:hAnsi="SimSun" w:eastAsia="SimSun" w:cs="SimSun"/>
          <w:sz w:val="24"/>
          <w:szCs w:val="24"/>
          <w:spacing w:val="-4"/>
          <w:position w:val="19"/>
        </w:rPr>
        <w:t>㎡，位于企业附近无重点文物保护单位、风</w:t>
      </w:r>
      <w:r>
        <w:rPr>
          <w:rFonts w:ascii="SimSun" w:hAnsi="SimSun" w:eastAsia="SimSun" w:cs="SimSun"/>
          <w:sz w:val="24"/>
          <w:szCs w:val="24"/>
          <w:spacing w:val="-5"/>
          <w:position w:val="19"/>
        </w:rPr>
        <w:t>景名胜区、</w:t>
      </w:r>
    </w:p>
    <w:p>
      <w:pPr>
        <w:ind w:left="24"/>
        <w:spacing w:line="219" w:lineRule="auto"/>
        <w:rPr>
          <w:rFonts w:ascii="SimSun" w:hAnsi="SimSun" w:eastAsia="SimSun" w:cs="SimSun"/>
          <w:sz w:val="24"/>
          <w:szCs w:val="24"/>
        </w:rPr>
      </w:pPr>
      <w:r>
        <w:rPr>
          <w:rFonts w:ascii="SimSun" w:hAnsi="SimSun" w:eastAsia="SimSun" w:cs="SimSun"/>
          <w:sz w:val="24"/>
          <w:szCs w:val="24"/>
          <w:spacing w:val="-3"/>
        </w:rPr>
        <w:t>革命历史古迹、集中式水源地等环境敏感点。项目选址符合环境功能区划。所在</w:t>
      </w:r>
    </w:p>
    <w:p>
      <w:pPr>
        <w:spacing w:line="219" w:lineRule="auto"/>
        <w:sectPr>
          <w:footerReference w:type="default" r:id="rId23"/>
          <w:pgSz w:w="11906" w:h="16839"/>
          <w:pgMar w:top="400" w:right="1719" w:bottom="1211" w:left="1785" w:header="0" w:footer="1049" w:gutter="0"/>
        </w:sectPr>
        <w:rPr>
          <w:rFonts w:ascii="SimSun" w:hAnsi="SimSun" w:eastAsia="SimSun" w:cs="SimSun"/>
          <w:sz w:val="24"/>
          <w:szCs w:val="24"/>
        </w:rPr>
      </w:pPr>
    </w:p>
    <w:p>
      <w:pPr>
        <w:pStyle w:val="BodyText"/>
        <w:spacing w:line="287" w:lineRule="auto"/>
        <w:rPr/>
      </w:pPr>
      <w:r/>
    </w:p>
    <w:p>
      <w:pPr>
        <w:pStyle w:val="BodyText"/>
        <w:spacing w:line="287" w:lineRule="auto"/>
        <w:rPr/>
      </w:pPr>
      <w:r/>
    </w:p>
    <w:p>
      <w:pPr>
        <w:pStyle w:val="BodyText"/>
        <w:spacing w:line="288" w:lineRule="auto"/>
        <w:rPr/>
      </w:pPr>
      <w:r/>
    </w:p>
    <w:p>
      <w:pPr>
        <w:pStyle w:val="BodyText"/>
        <w:spacing w:line="288" w:lineRule="auto"/>
        <w:rPr/>
      </w:pPr>
      <w:r/>
    </w:p>
    <w:p>
      <w:pPr>
        <w:ind w:left="128" w:right="37"/>
        <w:spacing w:before="78" w:line="384" w:lineRule="auto"/>
        <w:jc w:val="both"/>
        <w:rPr>
          <w:rFonts w:ascii="SimSun" w:hAnsi="SimSun" w:eastAsia="SimSun" w:cs="SimSun"/>
          <w:sz w:val="24"/>
          <w:szCs w:val="24"/>
        </w:rPr>
      </w:pPr>
      <w:r>
        <w:rPr>
          <w:rFonts w:ascii="SimSun" w:hAnsi="SimSun" w:eastAsia="SimSun" w:cs="SimSun"/>
          <w:sz w:val="24"/>
          <w:szCs w:val="24"/>
          <w:spacing w:val="-7"/>
        </w:rPr>
        <w:t>地具有良好的区位优势，交通便捷、物流通畅、项目所</w:t>
      </w:r>
      <w:r>
        <w:rPr>
          <w:rFonts w:ascii="SimSun" w:hAnsi="SimSun" w:eastAsia="SimSun" w:cs="SimSun"/>
          <w:sz w:val="24"/>
          <w:szCs w:val="24"/>
          <w:spacing w:val="-8"/>
        </w:rPr>
        <w:t>在地地势平坦，坡度较小。</w:t>
      </w:r>
      <w:r>
        <w:rPr>
          <w:rFonts w:ascii="SimSun" w:hAnsi="SimSun" w:eastAsia="SimSun" w:cs="SimSun"/>
          <w:sz w:val="24"/>
          <w:szCs w:val="24"/>
        </w:rPr>
        <w:t xml:space="preserve"> </w:t>
      </w:r>
      <w:r>
        <w:rPr>
          <w:rFonts w:ascii="SimSun" w:hAnsi="SimSun" w:eastAsia="SimSun" w:cs="SimSun"/>
          <w:sz w:val="24"/>
          <w:szCs w:val="24"/>
          <w:spacing w:val="-3"/>
        </w:rPr>
        <w:t>本项目施工期按照本环评要求建设环保设施，废气可实现达标排放，对周边环境</w:t>
      </w:r>
    </w:p>
    <w:p>
      <w:pPr>
        <w:ind w:left="128"/>
        <w:spacing w:line="221" w:lineRule="auto"/>
        <w:rPr>
          <w:rFonts w:ascii="SimSun" w:hAnsi="SimSun" w:eastAsia="SimSun" w:cs="SimSun"/>
          <w:sz w:val="24"/>
          <w:szCs w:val="24"/>
        </w:rPr>
      </w:pPr>
      <w:r>
        <w:rPr>
          <w:rFonts w:ascii="SimSun" w:hAnsi="SimSun" w:eastAsia="SimSun" w:cs="SimSun"/>
          <w:sz w:val="24"/>
          <w:szCs w:val="24"/>
          <w:spacing w:val="-2"/>
        </w:rPr>
        <w:t>影响较小。</w:t>
      </w:r>
    </w:p>
    <w:p>
      <w:pPr>
        <w:ind w:left="127" w:right="118" w:firstLine="481"/>
        <w:spacing w:before="213" w:line="384" w:lineRule="auto"/>
        <w:rPr>
          <w:rFonts w:ascii="SimSun" w:hAnsi="SimSun" w:eastAsia="SimSun" w:cs="SimSun"/>
          <w:sz w:val="24"/>
          <w:szCs w:val="24"/>
        </w:rPr>
      </w:pPr>
      <w:r>
        <w:rPr>
          <w:rFonts w:ascii="SimSun" w:hAnsi="SimSun" w:eastAsia="SimSun" w:cs="SimSun"/>
          <w:sz w:val="24"/>
          <w:szCs w:val="24"/>
          <w:spacing w:val="-3"/>
        </w:rPr>
        <w:t>本项目不新增生活污水和生产废水。项目所在区域不属于特殊</w:t>
      </w:r>
      <w:r>
        <w:rPr>
          <w:rFonts w:ascii="SimSun" w:hAnsi="SimSun" w:eastAsia="SimSun" w:cs="SimSun"/>
          <w:sz w:val="24"/>
          <w:szCs w:val="24"/>
          <w:spacing w:val="-4"/>
        </w:rPr>
        <w:t>保护地区、社</w:t>
      </w:r>
      <w:r>
        <w:rPr>
          <w:rFonts w:ascii="SimSun" w:hAnsi="SimSun" w:eastAsia="SimSun" w:cs="SimSun"/>
          <w:sz w:val="24"/>
          <w:szCs w:val="24"/>
        </w:rPr>
        <w:t xml:space="preserve"> </w:t>
      </w:r>
      <w:r>
        <w:rPr>
          <w:rFonts w:ascii="SimSun" w:hAnsi="SimSun" w:eastAsia="SimSun" w:cs="SimSun"/>
          <w:sz w:val="24"/>
          <w:szCs w:val="24"/>
          <w:spacing w:val="-3"/>
        </w:rPr>
        <w:t>会关注区、生活脆弱区和特殊地貌景观区，地区无重点保护生态品种及濒危生物</w:t>
      </w:r>
    </w:p>
    <w:p>
      <w:pPr>
        <w:ind w:left="128"/>
        <w:spacing w:line="218" w:lineRule="auto"/>
        <w:rPr>
          <w:rFonts w:ascii="SimSun" w:hAnsi="SimSun" w:eastAsia="SimSun" w:cs="SimSun"/>
          <w:sz w:val="24"/>
          <w:szCs w:val="24"/>
        </w:rPr>
      </w:pPr>
      <w:r>
        <w:rPr>
          <w:rFonts w:ascii="SimSun" w:hAnsi="SimSun" w:eastAsia="SimSun" w:cs="SimSun"/>
          <w:sz w:val="24"/>
          <w:szCs w:val="24"/>
        </w:rPr>
        <w:t>物种，也无文物古迹等人文景观。因此，从环保角</w:t>
      </w:r>
      <w:r>
        <w:rPr>
          <w:rFonts w:ascii="SimSun" w:hAnsi="SimSun" w:eastAsia="SimSun" w:cs="SimSun"/>
          <w:sz w:val="24"/>
          <w:szCs w:val="24"/>
          <w:spacing w:val="-1"/>
        </w:rPr>
        <w:t>度考虑，项目选址可行。</w:t>
      </w:r>
    </w:p>
    <w:p>
      <w:pPr>
        <w:ind w:left="611"/>
        <w:spacing w:before="218" w:line="499" w:lineRule="exact"/>
        <w:rPr>
          <w:rFonts w:ascii="SimSun" w:hAnsi="SimSun" w:eastAsia="SimSun" w:cs="SimSun"/>
          <w:sz w:val="24"/>
          <w:szCs w:val="24"/>
        </w:rPr>
      </w:pPr>
      <w:r>
        <w:rPr>
          <w:rFonts w:ascii="SimSun" w:hAnsi="SimSun" w:eastAsia="SimSun" w:cs="SimSun"/>
          <w:sz w:val="24"/>
          <w:szCs w:val="24"/>
          <w:spacing w:val="-3"/>
          <w:position w:val="19"/>
        </w:rPr>
        <w:t>综上分析，本项目符合国家产业政策，符合用地总体规划</w:t>
      </w:r>
      <w:r>
        <w:rPr>
          <w:rFonts w:ascii="SimSun" w:hAnsi="SimSun" w:eastAsia="SimSun" w:cs="SimSun"/>
          <w:sz w:val="24"/>
          <w:szCs w:val="24"/>
          <w:spacing w:val="-4"/>
          <w:position w:val="19"/>
        </w:rPr>
        <w:t>，项目周边均为工</w:t>
      </w:r>
    </w:p>
    <w:p>
      <w:pPr>
        <w:ind w:left="127"/>
        <w:spacing w:line="220" w:lineRule="auto"/>
        <w:rPr>
          <w:rFonts w:ascii="SimSun" w:hAnsi="SimSun" w:eastAsia="SimSun" w:cs="SimSun"/>
          <w:sz w:val="24"/>
          <w:szCs w:val="24"/>
        </w:rPr>
      </w:pPr>
      <w:r>
        <w:rPr>
          <w:rFonts w:ascii="SimSun" w:hAnsi="SimSun" w:eastAsia="SimSun" w:cs="SimSun"/>
          <w:sz w:val="24"/>
          <w:szCs w:val="24"/>
          <w:spacing w:val="-1"/>
        </w:rPr>
        <w:t>业企业，项目选址较合理。</w:t>
      </w:r>
    </w:p>
    <w:p>
      <w:pPr>
        <w:ind w:left="596"/>
        <w:spacing w:before="213" w:line="502" w:lineRule="exact"/>
        <w:rPr>
          <w:rFonts w:ascii="SimSun" w:hAnsi="SimSun" w:eastAsia="SimSun" w:cs="SimSun"/>
          <w:sz w:val="24"/>
          <w:szCs w:val="24"/>
        </w:rPr>
      </w:pPr>
      <w:r>
        <w:rPr>
          <w:rFonts w:ascii="SimSun" w:hAnsi="SimSun" w:eastAsia="SimSun" w:cs="SimSun"/>
          <w:sz w:val="24"/>
          <w:szCs w:val="24"/>
          <w:spacing w:val="-3"/>
          <w:position w:val="20"/>
        </w:rPr>
        <w:t>“</w:t>
      </w:r>
      <w:r>
        <w:rPr>
          <w:rFonts w:ascii="SimSun" w:hAnsi="SimSun" w:eastAsia="SimSun" w:cs="SimSun"/>
          <w:sz w:val="24"/>
          <w:szCs w:val="24"/>
          <w14:textOutline w14:w="4358" w14:cap="sq" w14:cmpd="sng">
            <w14:solidFill>
              <w14:srgbClr w14:val="000000"/>
            </w14:solidFill>
            <w14:prstDash w14:val="solid"/>
            <w14:bevel/>
          </w14:textOutline>
          <w:spacing w:val="-3"/>
          <w:position w:val="20"/>
        </w:rPr>
        <w:t>补充项目与《关于加快解决当前挥发性有机物治理突出问题的通知》《昌</w:t>
      </w:r>
    </w:p>
    <w:p>
      <w:pPr>
        <w:ind w:left="137"/>
        <w:spacing w:line="218" w:lineRule="auto"/>
        <w:rPr>
          <w:rFonts w:ascii="Times New Roman" w:hAnsi="Times New Roman" w:eastAsia="Times New Roman" w:cs="Times New Roma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2"/>
        </w:rPr>
        <w:t>吉回族自治州生态环境保护与建设“十四五</w:t>
      </w:r>
      <w:r>
        <w:rPr>
          <w:rFonts w:ascii="SimSun" w:hAnsi="SimSun" w:eastAsia="SimSun" w:cs="SimSun"/>
          <w:sz w:val="24"/>
          <w:szCs w:val="24"/>
          <w:spacing w:val="-77"/>
        </w:rPr>
        <w:t xml:space="preserve"> </w:t>
      </w:r>
      <w:r>
        <w:rPr>
          <w:rFonts w:ascii="SimSun" w:hAnsi="SimSun" w:eastAsia="SimSun" w:cs="SimSun"/>
          <w:sz w:val="24"/>
          <w:szCs w:val="24"/>
          <w14:textOutline w14:w="4358" w14:cap="sq" w14:cmpd="sng">
            <w14:solidFill>
              <w14:srgbClr w14:val="000000"/>
            </w14:solidFill>
            <w14:prstDash w14:val="solid"/>
            <w14:bevel/>
          </w14:textOutline>
          <w:spacing w:val="-2"/>
        </w:rPr>
        <w:t>”规划》的符合性分析</w:t>
      </w:r>
      <w:r>
        <w:rPr>
          <w:rFonts w:ascii="SimSun" w:hAnsi="SimSun" w:eastAsia="SimSun" w:cs="SimSun"/>
          <w:sz w:val="24"/>
          <w:szCs w:val="24"/>
          <w:spacing w:val="-88"/>
        </w:rPr>
        <w:t xml:space="preserve"> </w:t>
      </w:r>
      <w:r>
        <w:rPr>
          <w:rFonts w:ascii="SimSun" w:hAnsi="SimSun" w:eastAsia="SimSun" w:cs="SimSun"/>
          <w:sz w:val="24"/>
          <w:szCs w:val="24"/>
          <w:spacing w:val="-2"/>
        </w:rPr>
        <w:t>”修改见</w:t>
      </w:r>
      <w:r>
        <w:rPr>
          <w:rFonts w:ascii="Times New Roman" w:hAnsi="Times New Roman" w:eastAsia="Times New Roman" w:cs="Times New Roman"/>
          <w:sz w:val="24"/>
          <w:szCs w:val="24"/>
          <w:spacing w:val="-2"/>
        </w:rPr>
        <w:t>P11</w:t>
      </w:r>
    </w:p>
    <w:p>
      <w:pPr>
        <w:ind w:left="620"/>
        <w:spacing w:before="215" w:line="500" w:lineRule="exact"/>
        <w:rPr>
          <w:rFonts w:ascii="SimSun" w:hAnsi="SimSun" w:eastAsia="SimSun" w:cs="SimSun"/>
          <w:sz w:val="24"/>
          <w:szCs w:val="24"/>
        </w:rPr>
      </w:pPr>
      <w:r>
        <w:rPr>
          <w:rFonts w:ascii="SimSun" w:hAnsi="SimSun" w:eastAsia="SimSun" w:cs="SimSun"/>
          <w:sz w:val="24"/>
          <w:szCs w:val="24"/>
          <w:spacing w:val="-3"/>
          <w:position w:val="19"/>
        </w:rPr>
        <w:t>（</w:t>
      </w:r>
      <w:r>
        <w:rPr>
          <w:rFonts w:ascii="Times New Roman" w:hAnsi="Times New Roman" w:eastAsia="Times New Roman" w:cs="Times New Roman"/>
          <w:sz w:val="24"/>
          <w:szCs w:val="24"/>
          <w:spacing w:val="-3"/>
          <w:position w:val="19"/>
        </w:rPr>
        <w:t>10</w:t>
      </w:r>
      <w:r>
        <w:rPr>
          <w:rFonts w:ascii="SimSun" w:hAnsi="SimSun" w:eastAsia="SimSun" w:cs="SimSun"/>
          <w:sz w:val="24"/>
          <w:szCs w:val="24"/>
          <w:spacing w:val="-3"/>
          <w:position w:val="19"/>
        </w:rPr>
        <w:t>）与《关于加快解决当前挥发性有机物</w:t>
      </w:r>
      <w:r>
        <w:rPr>
          <w:rFonts w:ascii="SimSun" w:hAnsi="SimSun" w:eastAsia="SimSun" w:cs="SimSun"/>
          <w:sz w:val="24"/>
          <w:szCs w:val="24"/>
          <w:spacing w:val="-4"/>
          <w:position w:val="19"/>
        </w:rPr>
        <w:t>治理突出问题的通知》符合性分</w:t>
      </w:r>
    </w:p>
    <w:p>
      <w:pPr>
        <w:ind w:left="130"/>
        <w:spacing w:line="220" w:lineRule="auto"/>
        <w:rPr>
          <w:rFonts w:ascii="SimSun" w:hAnsi="SimSun" w:eastAsia="SimSun" w:cs="SimSun"/>
          <w:sz w:val="24"/>
          <w:szCs w:val="24"/>
        </w:rPr>
      </w:pPr>
      <w:r>
        <w:rPr>
          <w:rFonts w:ascii="SimSun" w:hAnsi="SimSun" w:eastAsia="SimSun" w:cs="SimSun"/>
          <w:sz w:val="24"/>
          <w:szCs w:val="24"/>
        </w:rPr>
        <w:t>析</w:t>
      </w:r>
    </w:p>
    <w:p>
      <w:pPr>
        <w:ind w:left="608"/>
        <w:spacing w:before="215" w:line="499" w:lineRule="exact"/>
        <w:rPr>
          <w:rFonts w:ascii="SimSun" w:hAnsi="SimSun" w:eastAsia="SimSun" w:cs="SimSun"/>
          <w:sz w:val="24"/>
          <w:szCs w:val="24"/>
        </w:rPr>
      </w:pPr>
      <w:r>
        <w:rPr>
          <w:rFonts w:ascii="SimSun" w:hAnsi="SimSun" w:eastAsia="SimSun" w:cs="SimSun"/>
          <w:sz w:val="24"/>
          <w:szCs w:val="24"/>
          <w:spacing w:val="-3"/>
          <w:position w:val="19"/>
        </w:rPr>
        <w:t>根据《关于加快解决当前挥发性有机物治理突出问题的通知》文件内容，与</w:t>
      </w:r>
    </w:p>
    <w:p>
      <w:pPr>
        <w:ind w:left="129"/>
        <w:spacing w:before="1" w:line="218" w:lineRule="auto"/>
        <w:rPr>
          <w:rFonts w:ascii="SimSun" w:hAnsi="SimSun" w:eastAsia="SimSun" w:cs="SimSun"/>
          <w:sz w:val="24"/>
          <w:szCs w:val="24"/>
        </w:rPr>
      </w:pPr>
      <w:r>
        <w:rPr>
          <w:rFonts w:ascii="SimSun" w:hAnsi="SimSun" w:eastAsia="SimSun" w:cs="SimSun"/>
          <w:sz w:val="24"/>
          <w:szCs w:val="24"/>
          <w:spacing w:val="-1"/>
        </w:rPr>
        <w:t>本项目有关的突出问题符合性分析内容见表</w:t>
      </w:r>
      <w:r>
        <w:rPr>
          <w:rFonts w:ascii="Times New Roman" w:hAnsi="Times New Roman" w:eastAsia="Times New Roman" w:cs="Times New Roman"/>
          <w:sz w:val="24"/>
          <w:szCs w:val="24"/>
          <w:spacing w:val="-1"/>
        </w:rPr>
        <w:t>1.1-5</w:t>
      </w:r>
      <w:r>
        <w:rPr>
          <w:rFonts w:ascii="SimSun" w:hAnsi="SimSun" w:eastAsia="SimSun" w:cs="SimSun"/>
          <w:sz w:val="24"/>
          <w:szCs w:val="24"/>
          <w:spacing w:val="-1"/>
        </w:rPr>
        <w:t>。</w:t>
      </w:r>
    </w:p>
    <w:p>
      <w:pPr>
        <w:ind w:left="608"/>
        <w:spacing w:before="215" w:line="502" w:lineRule="exact"/>
        <w:rPr>
          <w:rFonts w:ascii="SimSun" w:hAnsi="SimSun" w:eastAsia="SimSun" w:cs="SimSun"/>
          <w:sz w:val="24"/>
          <w:szCs w:val="24"/>
        </w:rPr>
      </w:pPr>
      <w:r>
        <w:rPr>
          <w:rFonts w:ascii="SimSun" w:hAnsi="SimSun" w:eastAsia="SimSun" w:cs="SimSun"/>
          <w:sz w:val="24"/>
          <w:szCs w:val="24"/>
          <w:spacing w:val="-3"/>
          <w:position w:val="20"/>
        </w:rPr>
        <w:t>根据符合性分析结果可知，本项目符合《关于加快解决当前挥发</w:t>
      </w:r>
      <w:r>
        <w:rPr>
          <w:rFonts w:ascii="SimSun" w:hAnsi="SimSun" w:eastAsia="SimSun" w:cs="SimSun"/>
          <w:sz w:val="24"/>
          <w:szCs w:val="24"/>
          <w:spacing w:val="-4"/>
          <w:position w:val="20"/>
        </w:rPr>
        <w:t>性有机物治</w:t>
      </w:r>
    </w:p>
    <w:p>
      <w:pPr>
        <w:ind w:left="131"/>
        <w:spacing w:line="219" w:lineRule="auto"/>
        <w:rPr>
          <w:rFonts w:ascii="SimSun" w:hAnsi="SimSun" w:eastAsia="SimSun" w:cs="SimSun"/>
          <w:sz w:val="24"/>
          <w:szCs w:val="24"/>
        </w:rPr>
      </w:pPr>
      <w:r>
        <w:rPr>
          <w:rFonts w:ascii="SimSun" w:hAnsi="SimSun" w:eastAsia="SimSun" w:cs="SimSun"/>
          <w:sz w:val="24"/>
          <w:szCs w:val="24"/>
          <w:spacing w:val="-1"/>
        </w:rPr>
        <w:t>理突出问题的通知》文件中指出的突出问题。</w:t>
      </w:r>
    </w:p>
    <w:p>
      <w:pPr>
        <w:ind w:left="250"/>
        <w:spacing w:before="135" w:line="219" w:lineRule="auto"/>
        <w:rPr>
          <w:rFonts w:ascii="SimSun" w:hAnsi="SimSun" w:eastAsia="SimSun" w:cs="SimSun"/>
          <w:sz w:val="24"/>
          <w:szCs w:val="24"/>
        </w:rPr>
      </w:pPr>
      <w:r>
        <w:rPr>
          <w:rFonts w:ascii="SimSun" w:hAnsi="SimSun" w:eastAsia="SimSun" w:cs="SimSun"/>
          <w:sz w:val="24"/>
          <w:szCs w:val="24"/>
        </w:rPr>
        <w:t>表</w:t>
      </w:r>
      <w:r>
        <w:rPr>
          <w:rFonts w:ascii="Times New Roman" w:hAnsi="Times New Roman" w:eastAsia="Times New Roman" w:cs="Times New Roman"/>
          <w:sz w:val="24"/>
          <w:szCs w:val="24"/>
        </w:rPr>
        <w:t>1.1-5  </w:t>
      </w:r>
      <w:r>
        <w:rPr>
          <w:rFonts w:ascii="SimSun" w:hAnsi="SimSun" w:eastAsia="SimSun" w:cs="SimSun"/>
          <w:sz w:val="24"/>
          <w:szCs w:val="24"/>
        </w:rPr>
        <w:t>《关于加快解决当前挥发性有机物治理突出</w:t>
      </w:r>
      <w:r>
        <w:rPr>
          <w:rFonts w:ascii="SimSun" w:hAnsi="SimSun" w:eastAsia="SimSun" w:cs="SimSun"/>
          <w:sz w:val="24"/>
          <w:szCs w:val="24"/>
          <w:spacing w:val="-1"/>
        </w:rPr>
        <w:t>问题的通知》符合性分析</w:t>
      </w:r>
    </w:p>
    <w:tbl>
      <w:tblPr>
        <w:tblStyle w:val="TableNormal"/>
        <w:tblW w:w="8518"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48"/>
        <w:gridCol w:w="4643"/>
        <w:gridCol w:w="2755"/>
        <w:gridCol w:w="472"/>
      </w:tblGrid>
      <w:tr>
        <w:trPr>
          <w:trHeight w:val="1084" w:hRule="atLeast"/>
        </w:trPr>
        <w:tc>
          <w:tcPr>
            <w:tcW w:w="648" w:type="dxa"/>
            <w:vAlign w:val="top"/>
            <w:tcBorders>
              <w:left w:val="single" w:color="000000" w:sz="10" w:space="0"/>
              <w:top w:val="single" w:color="000000" w:sz="10" w:space="0"/>
            </w:tcBorders>
          </w:tcPr>
          <w:p>
            <w:pPr>
              <w:spacing w:line="405" w:lineRule="auto"/>
              <w:rPr>
                <w:rFonts w:ascii="Arial"/>
                <w:sz w:val="21"/>
              </w:rPr>
            </w:pPr>
            <w:r/>
          </w:p>
          <w:p>
            <w:pPr>
              <w:pStyle w:val="TableText"/>
              <w:ind w:left="104"/>
              <w:spacing w:before="65" w:line="229" w:lineRule="auto"/>
              <w:rPr>
                <w:sz w:val="20"/>
                <w:szCs w:val="20"/>
              </w:rPr>
            </w:pPr>
            <w:r>
              <w:rPr>
                <w:sz w:val="20"/>
                <w:szCs w:val="20"/>
                <w:spacing w:val="5"/>
              </w:rPr>
              <w:t>序号</w:t>
            </w:r>
          </w:p>
        </w:tc>
        <w:tc>
          <w:tcPr>
            <w:tcW w:w="4643" w:type="dxa"/>
            <w:vAlign w:val="top"/>
            <w:tcBorders>
              <w:top w:val="single" w:color="000000" w:sz="10" w:space="0"/>
            </w:tcBorders>
          </w:tcPr>
          <w:p>
            <w:pPr>
              <w:spacing w:line="405" w:lineRule="auto"/>
              <w:rPr>
                <w:rFonts w:ascii="Arial"/>
                <w:sz w:val="21"/>
              </w:rPr>
            </w:pPr>
            <w:r/>
          </w:p>
          <w:p>
            <w:pPr>
              <w:pStyle w:val="TableText"/>
              <w:ind w:left="1904"/>
              <w:spacing w:before="65" w:line="228" w:lineRule="auto"/>
              <w:rPr>
                <w:sz w:val="20"/>
                <w:szCs w:val="20"/>
              </w:rPr>
            </w:pPr>
            <w:r>
              <w:rPr>
                <w:sz w:val="20"/>
                <w:szCs w:val="20"/>
                <w:spacing w:val="6"/>
              </w:rPr>
              <w:t>文件内容</w:t>
            </w:r>
          </w:p>
        </w:tc>
        <w:tc>
          <w:tcPr>
            <w:tcW w:w="2755" w:type="dxa"/>
            <w:vAlign w:val="top"/>
            <w:tcBorders>
              <w:top w:val="single" w:color="000000" w:sz="10" w:space="0"/>
            </w:tcBorders>
          </w:tcPr>
          <w:p>
            <w:pPr>
              <w:spacing w:line="405" w:lineRule="auto"/>
              <w:rPr>
                <w:rFonts w:ascii="Arial"/>
                <w:sz w:val="21"/>
              </w:rPr>
            </w:pPr>
            <w:r/>
          </w:p>
          <w:p>
            <w:pPr>
              <w:pStyle w:val="TableText"/>
              <w:ind w:left="656"/>
              <w:spacing w:before="65" w:line="227" w:lineRule="auto"/>
              <w:rPr>
                <w:sz w:val="20"/>
                <w:szCs w:val="20"/>
              </w:rPr>
            </w:pPr>
            <w:r>
              <w:rPr>
                <w:sz w:val="20"/>
                <w:szCs w:val="20"/>
                <w:spacing w:val="8"/>
              </w:rPr>
              <w:t>本项目建设情况</w:t>
            </w:r>
          </w:p>
        </w:tc>
        <w:tc>
          <w:tcPr>
            <w:tcW w:w="472" w:type="dxa"/>
            <w:vAlign w:val="top"/>
            <w:textDirection w:val="tbRlV"/>
            <w:tcBorders>
              <w:right w:val="single" w:color="000000" w:sz="10" w:space="0"/>
              <w:top w:val="single" w:color="000000" w:sz="10" w:space="0"/>
            </w:tcBorders>
          </w:tcPr>
          <w:p>
            <w:pPr>
              <w:pStyle w:val="TableText"/>
              <w:ind w:left="113"/>
              <w:spacing w:before="113" w:line="215" w:lineRule="auto"/>
              <w:rPr>
                <w:sz w:val="20"/>
                <w:szCs w:val="20"/>
              </w:rPr>
            </w:pPr>
            <w:r>
              <w:rPr>
                <w:sz w:val="20"/>
                <w:szCs w:val="20"/>
                <w:spacing w:val="8"/>
              </w:rPr>
              <w:t>符</w:t>
            </w:r>
            <w:r>
              <w:rPr>
                <w:sz w:val="20"/>
                <w:szCs w:val="20"/>
                <w:spacing w:val="52"/>
              </w:rPr>
              <w:t xml:space="preserve"> </w:t>
            </w:r>
            <w:r>
              <w:rPr>
                <w:sz w:val="20"/>
                <w:szCs w:val="20"/>
                <w:spacing w:val="8"/>
              </w:rPr>
              <w:t>合</w:t>
            </w:r>
            <w:r>
              <w:rPr>
                <w:sz w:val="20"/>
                <w:szCs w:val="20"/>
                <w:spacing w:val="51"/>
              </w:rPr>
              <w:t xml:space="preserve"> </w:t>
            </w:r>
            <w:r>
              <w:rPr>
                <w:sz w:val="20"/>
                <w:szCs w:val="20"/>
                <w:spacing w:val="8"/>
              </w:rPr>
              <w:t>性</w:t>
            </w:r>
          </w:p>
        </w:tc>
      </w:tr>
      <w:tr>
        <w:trPr>
          <w:trHeight w:val="2872" w:hRule="atLeast"/>
        </w:trPr>
        <w:tc>
          <w:tcPr>
            <w:tcW w:w="648" w:type="dxa"/>
            <w:vAlign w:val="top"/>
            <w:vMerge w:val="restart"/>
            <w:tcBorders>
              <w:left w:val="single" w:color="000000" w:sz="10" w:space="0"/>
              <w:bottom w:val="nil"/>
            </w:tcBorders>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pStyle w:val="TableText"/>
              <w:ind w:left="104" w:right="118" w:firstLine="3"/>
              <w:spacing w:before="65" w:line="297" w:lineRule="auto"/>
              <w:jc w:val="both"/>
              <w:rPr>
                <w:sz w:val="20"/>
                <w:szCs w:val="20"/>
              </w:rPr>
            </w:pPr>
            <w:r>
              <w:rPr>
                <w:sz w:val="20"/>
                <w:szCs w:val="20"/>
                <w:spacing w:val="3"/>
              </w:rPr>
              <w:t>五废</w:t>
            </w:r>
            <w:r>
              <w:rPr>
                <w:sz w:val="20"/>
                <w:szCs w:val="20"/>
              </w:rPr>
              <w:t xml:space="preserve"> </w:t>
            </w:r>
            <w:r>
              <w:rPr>
                <w:sz w:val="20"/>
                <w:szCs w:val="20"/>
                <w:spacing w:val="4"/>
              </w:rPr>
              <w:t>气收</w:t>
            </w:r>
            <w:r>
              <w:rPr>
                <w:sz w:val="20"/>
                <w:szCs w:val="20"/>
              </w:rPr>
              <w:t xml:space="preserve"> </w:t>
            </w:r>
            <w:r>
              <w:rPr>
                <w:sz w:val="20"/>
                <w:szCs w:val="20"/>
                <w:spacing w:val="4"/>
              </w:rPr>
              <w:t>集率</w:t>
            </w:r>
          </w:p>
        </w:tc>
        <w:tc>
          <w:tcPr>
            <w:tcW w:w="4643" w:type="dxa"/>
            <w:vAlign w:val="top"/>
          </w:tcPr>
          <w:p>
            <w:pPr>
              <w:spacing w:line="292" w:lineRule="auto"/>
              <w:rPr>
                <w:rFonts w:ascii="Arial"/>
                <w:sz w:val="21"/>
              </w:rPr>
            </w:pPr>
            <w:r/>
          </w:p>
          <w:p>
            <w:pPr>
              <w:spacing w:line="293" w:lineRule="auto"/>
              <w:rPr>
                <w:rFonts w:ascii="Arial"/>
                <w:sz w:val="21"/>
              </w:rPr>
            </w:pPr>
            <w:r/>
          </w:p>
          <w:p>
            <w:pPr>
              <w:pStyle w:val="TableText"/>
              <w:ind w:left="106" w:right="103" w:firstLine="10"/>
              <w:spacing w:before="65" w:line="306" w:lineRule="auto"/>
              <w:rPr>
                <w:sz w:val="20"/>
                <w:szCs w:val="20"/>
              </w:rPr>
            </w:pPr>
            <w:r>
              <w:rPr>
                <w:sz w:val="20"/>
                <w:szCs w:val="20"/>
                <w:spacing w:val="10"/>
              </w:rPr>
              <w:t>存在的突出问题。敞开式生产未配备收集设施，</w:t>
            </w:r>
            <w:r>
              <w:rPr>
                <w:sz w:val="20"/>
                <w:szCs w:val="20"/>
                <w:spacing w:val="6"/>
              </w:rPr>
              <w:t xml:space="preserve"> </w:t>
            </w:r>
            <w:r>
              <w:rPr>
                <w:sz w:val="20"/>
                <w:szCs w:val="20"/>
                <w:spacing w:val="6"/>
              </w:rPr>
              <w:t>未对</w:t>
            </w:r>
            <w:r>
              <w:rPr>
                <w:rFonts w:ascii="Times New Roman" w:hAnsi="Times New Roman" w:eastAsia="Times New Roman" w:cs="Times New Roman"/>
                <w:sz w:val="20"/>
                <w:szCs w:val="20"/>
              </w:rPr>
              <w:t>VOCs</w:t>
            </w:r>
            <w:r>
              <w:rPr>
                <w:sz w:val="20"/>
                <w:szCs w:val="20"/>
                <w:spacing w:val="6"/>
              </w:rPr>
              <w:t>废气进行分质收集，废气收集系统排风</w:t>
            </w:r>
            <w:r>
              <w:rPr>
                <w:sz w:val="20"/>
                <w:szCs w:val="20"/>
                <w:spacing w:val="13"/>
              </w:rPr>
              <w:t xml:space="preserve"> </w:t>
            </w:r>
            <w:r>
              <w:rPr>
                <w:sz w:val="20"/>
                <w:szCs w:val="20"/>
                <w:spacing w:val="10"/>
              </w:rPr>
              <w:t>罩（局部密闭式集气罩）控制风速达不到标准要</w:t>
            </w:r>
            <w:r>
              <w:rPr>
                <w:sz w:val="20"/>
                <w:szCs w:val="20"/>
              </w:rPr>
              <w:t xml:space="preserve"> </w:t>
            </w:r>
            <w:r>
              <w:rPr>
                <w:sz w:val="20"/>
                <w:szCs w:val="20"/>
                <w:spacing w:val="10"/>
              </w:rPr>
              <w:t>求，废气收集系统输送管道破损、泄漏严重，生</w:t>
            </w:r>
          </w:p>
          <w:p>
            <w:pPr>
              <w:pStyle w:val="TableText"/>
              <w:ind w:left="1377"/>
              <w:spacing w:before="113" w:line="228" w:lineRule="auto"/>
              <w:rPr>
                <w:sz w:val="20"/>
                <w:szCs w:val="20"/>
              </w:rPr>
            </w:pPr>
            <w:r>
              <w:rPr>
                <w:sz w:val="20"/>
                <w:szCs w:val="20"/>
                <w:spacing w:val="7"/>
              </w:rPr>
              <w:t>产设备密闭不严等。</w:t>
            </w:r>
          </w:p>
        </w:tc>
        <w:tc>
          <w:tcPr>
            <w:tcW w:w="2755" w:type="dxa"/>
            <w:vAlign w:val="top"/>
          </w:tcPr>
          <w:p>
            <w:pPr>
              <w:pStyle w:val="TableText"/>
              <w:ind w:left="131" w:right="107" w:firstLine="2"/>
              <w:spacing w:before="116" w:line="317" w:lineRule="auto"/>
              <w:jc w:val="both"/>
              <w:rPr>
                <w:sz w:val="20"/>
                <w:szCs w:val="20"/>
              </w:rPr>
            </w:pPr>
            <w:r>
              <w:rPr>
                <w:sz w:val="20"/>
                <w:szCs w:val="20"/>
                <w:spacing w:val="8"/>
              </w:rPr>
              <w:t>项目生产运营期对主要产生</w:t>
            </w:r>
            <w:r>
              <w:rPr>
                <w:sz w:val="20"/>
                <w:szCs w:val="20"/>
                <w:spacing w:val="9"/>
              </w:rPr>
              <w:t xml:space="preserve"> </w:t>
            </w:r>
            <w:r>
              <w:rPr>
                <w:rFonts w:ascii="Times New Roman" w:hAnsi="Times New Roman" w:eastAsia="Times New Roman" w:cs="Times New Roman"/>
                <w:sz w:val="20"/>
                <w:szCs w:val="20"/>
              </w:rPr>
              <w:t>VOCs</w:t>
            </w:r>
            <w:r>
              <w:rPr>
                <w:sz w:val="20"/>
                <w:szCs w:val="20"/>
                <w:spacing w:val="17"/>
              </w:rPr>
              <w:t>废气工段设置局部密</w:t>
            </w:r>
            <w:r>
              <w:rPr>
                <w:sz w:val="20"/>
                <w:szCs w:val="20"/>
                <w:spacing w:val="4"/>
              </w:rPr>
              <w:t xml:space="preserve"> </w:t>
            </w:r>
            <w:r>
              <w:rPr>
                <w:sz w:val="20"/>
                <w:szCs w:val="20"/>
                <w:spacing w:val="9"/>
              </w:rPr>
              <w:t>闭式集气罩收集废气，项目</w:t>
            </w:r>
            <w:r>
              <w:rPr>
                <w:sz w:val="20"/>
                <w:szCs w:val="20"/>
              </w:rPr>
              <w:t xml:space="preserve"> </w:t>
            </w:r>
            <w:r>
              <w:rPr>
                <w:sz w:val="20"/>
                <w:szCs w:val="20"/>
                <w:spacing w:val="9"/>
              </w:rPr>
              <w:t>建设过程中严格按照环评中</w:t>
            </w:r>
            <w:r>
              <w:rPr>
                <w:sz w:val="20"/>
                <w:szCs w:val="20"/>
              </w:rPr>
              <w:t xml:space="preserve"> </w:t>
            </w:r>
            <w:r>
              <w:rPr>
                <w:sz w:val="20"/>
                <w:szCs w:val="20"/>
                <w:spacing w:val="9"/>
              </w:rPr>
              <w:t>提出的排风罩控制风速，定</w:t>
            </w:r>
            <w:r>
              <w:rPr>
                <w:sz w:val="20"/>
                <w:szCs w:val="20"/>
                <w:spacing w:val="2"/>
              </w:rPr>
              <w:t xml:space="preserve"> </w:t>
            </w:r>
            <w:r>
              <w:rPr>
                <w:sz w:val="20"/>
                <w:szCs w:val="20"/>
                <w:spacing w:val="9"/>
              </w:rPr>
              <w:t>期检查输送管道破损、泄漏</w:t>
            </w:r>
            <w:r>
              <w:rPr>
                <w:sz w:val="20"/>
                <w:szCs w:val="20"/>
              </w:rPr>
              <w:t xml:space="preserve"> </w:t>
            </w:r>
            <w:r>
              <w:rPr>
                <w:sz w:val="20"/>
                <w:szCs w:val="20"/>
                <w:spacing w:val="9"/>
              </w:rPr>
              <w:t>情况，检查生产设施密闭情</w:t>
            </w:r>
          </w:p>
          <w:p>
            <w:pPr>
              <w:pStyle w:val="TableText"/>
              <w:ind w:left="1183"/>
              <w:spacing w:before="112" w:line="211" w:lineRule="auto"/>
              <w:rPr>
                <w:sz w:val="20"/>
                <w:szCs w:val="20"/>
              </w:rPr>
            </w:pPr>
            <w:r>
              <w:rPr>
                <w:sz w:val="20"/>
                <w:szCs w:val="20"/>
                <w:spacing w:val="-1"/>
              </w:rPr>
              <w:t>况。</w:t>
            </w:r>
          </w:p>
        </w:tc>
        <w:tc>
          <w:tcPr>
            <w:tcW w:w="472" w:type="dxa"/>
            <w:vAlign w:val="top"/>
            <w:textDirection w:val="tbRlV"/>
            <w:tcBorders>
              <w:right w:val="single" w:color="000000" w:sz="10" w:space="0"/>
            </w:tcBorders>
          </w:tcPr>
          <w:p>
            <w:pPr>
              <w:pStyle w:val="TableText"/>
              <w:ind w:left="1193"/>
              <w:spacing w:before="113" w:line="215" w:lineRule="auto"/>
              <w:rPr>
                <w:sz w:val="20"/>
                <w:szCs w:val="20"/>
              </w:rPr>
            </w:pPr>
            <w:r>
              <w:rPr>
                <w:sz w:val="20"/>
                <w:szCs w:val="20"/>
                <w:spacing w:val="8"/>
              </w:rPr>
              <w:t>符</w:t>
            </w:r>
            <w:r>
              <w:rPr>
                <w:sz w:val="20"/>
                <w:szCs w:val="20"/>
                <w:spacing w:val="51"/>
              </w:rPr>
              <w:t xml:space="preserve"> </w:t>
            </w:r>
            <w:r>
              <w:rPr>
                <w:sz w:val="20"/>
                <w:szCs w:val="20"/>
                <w:spacing w:val="8"/>
              </w:rPr>
              <w:t>合</w:t>
            </w:r>
          </w:p>
        </w:tc>
      </w:tr>
      <w:tr>
        <w:trPr>
          <w:trHeight w:val="1460" w:hRule="atLeast"/>
        </w:trPr>
        <w:tc>
          <w:tcPr>
            <w:tcW w:w="648" w:type="dxa"/>
            <w:vAlign w:val="top"/>
            <w:vMerge w:val="continue"/>
            <w:tcBorders>
              <w:left w:val="single" w:color="000000" w:sz="10" w:space="0"/>
              <w:bottom w:val="single" w:color="000000" w:sz="10" w:space="0"/>
              <w:top w:val="nil"/>
            </w:tcBorders>
          </w:tcPr>
          <w:p>
            <w:pPr>
              <w:rPr>
                <w:rFonts w:ascii="Arial"/>
                <w:sz w:val="21"/>
              </w:rPr>
            </w:pPr>
            <w:r/>
          </w:p>
        </w:tc>
        <w:tc>
          <w:tcPr>
            <w:tcW w:w="4643" w:type="dxa"/>
            <w:vAlign w:val="top"/>
            <w:tcBorders>
              <w:bottom w:val="single" w:color="000000" w:sz="10" w:space="0"/>
            </w:tcBorders>
          </w:tcPr>
          <w:p>
            <w:pPr>
              <w:pStyle w:val="TableText"/>
              <w:ind w:left="116" w:right="103" w:hanging="9"/>
              <w:spacing w:before="128" w:line="305" w:lineRule="auto"/>
              <w:jc w:val="both"/>
              <w:rPr>
                <w:sz w:val="20"/>
                <w:szCs w:val="20"/>
              </w:rPr>
            </w:pPr>
            <w:r>
              <w:rPr>
                <w:sz w:val="20"/>
                <w:szCs w:val="20"/>
                <w:spacing w:val="6"/>
              </w:rPr>
              <w:t>治理要求。产生</w:t>
            </w:r>
            <w:r>
              <w:rPr>
                <w:rFonts w:ascii="Times New Roman" w:hAnsi="Times New Roman" w:eastAsia="Times New Roman" w:cs="Times New Roman"/>
                <w:sz w:val="20"/>
                <w:szCs w:val="20"/>
              </w:rPr>
              <w:t>VOCs</w:t>
            </w:r>
            <w:r>
              <w:rPr>
                <w:sz w:val="20"/>
                <w:szCs w:val="20"/>
                <w:spacing w:val="6"/>
              </w:rPr>
              <w:t>的生产环节优先采用密闭设</w:t>
            </w:r>
            <w:r>
              <w:rPr>
                <w:sz w:val="20"/>
                <w:szCs w:val="20"/>
                <w:spacing w:val="11"/>
              </w:rPr>
              <w:t xml:space="preserve"> </w:t>
            </w:r>
            <w:r>
              <w:rPr>
                <w:sz w:val="20"/>
                <w:szCs w:val="20"/>
                <w:spacing w:val="9"/>
              </w:rPr>
              <w:t>备、在密闭空间中操作或采用全密闭局部密闭式</w:t>
            </w:r>
            <w:r>
              <w:rPr>
                <w:sz w:val="20"/>
                <w:szCs w:val="20"/>
                <w:spacing w:val="10"/>
              </w:rPr>
              <w:t xml:space="preserve"> </w:t>
            </w:r>
            <w:r>
              <w:rPr>
                <w:sz w:val="20"/>
                <w:szCs w:val="20"/>
                <w:spacing w:val="9"/>
              </w:rPr>
              <w:t>集气罩收集方式，并保持负压运行。无尘等级要</w:t>
            </w:r>
            <w:r>
              <w:rPr>
                <w:sz w:val="20"/>
                <w:szCs w:val="20"/>
                <w:spacing w:val="10"/>
              </w:rPr>
              <w:t xml:space="preserve"> </w:t>
            </w:r>
            <w:r>
              <w:rPr>
                <w:sz w:val="20"/>
                <w:szCs w:val="20"/>
                <w:spacing w:val="9"/>
              </w:rPr>
              <w:t>求车间需设置成正压的，宜建设内层正压、外层</w:t>
            </w:r>
          </w:p>
        </w:tc>
        <w:tc>
          <w:tcPr>
            <w:tcW w:w="2755" w:type="dxa"/>
            <w:vAlign w:val="top"/>
            <w:tcBorders>
              <w:bottom w:val="single" w:color="000000" w:sz="10" w:space="0"/>
            </w:tcBorders>
          </w:tcPr>
          <w:p>
            <w:pPr>
              <w:pStyle w:val="TableText"/>
              <w:ind w:left="130" w:right="107" w:firstLine="56"/>
              <w:spacing w:before="128" w:line="305" w:lineRule="auto"/>
              <w:jc w:val="both"/>
              <w:rPr>
                <w:sz w:val="20"/>
                <w:szCs w:val="20"/>
              </w:rPr>
            </w:pPr>
            <w:r>
              <w:rPr>
                <w:sz w:val="20"/>
                <w:szCs w:val="20"/>
                <w:spacing w:val="11"/>
              </w:rPr>
              <w:t>项目产生</w:t>
            </w:r>
            <w:r>
              <w:rPr>
                <w:rFonts w:ascii="Times New Roman" w:hAnsi="Times New Roman" w:eastAsia="Times New Roman" w:cs="Times New Roman"/>
                <w:sz w:val="20"/>
                <w:szCs w:val="20"/>
              </w:rPr>
              <w:t>VOCs</w:t>
            </w:r>
            <w:r>
              <w:rPr>
                <w:sz w:val="20"/>
                <w:szCs w:val="20"/>
                <w:spacing w:val="11"/>
              </w:rPr>
              <w:t>的生产环节</w:t>
            </w:r>
            <w:r>
              <w:rPr>
                <w:sz w:val="20"/>
                <w:szCs w:val="20"/>
                <w:spacing w:val="2"/>
              </w:rPr>
              <w:t xml:space="preserve"> </w:t>
            </w:r>
            <w:r>
              <w:rPr>
                <w:sz w:val="20"/>
                <w:szCs w:val="20"/>
                <w:spacing w:val="9"/>
              </w:rPr>
              <w:t>设置在生产车间内，运营期</w:t>
            </w:r>
            <w:r>
              <w:rPr>
                <w:sz w:val="20"/>
                <w:szCs w:val="20"/>
                <w:spacing w:val="3"/>
              </w:rPr>
              <w:t xml:space="preserve"> </w:t>
            </w:r>
            <w:r>
              <w:rPr>
                <w:sz w:val="20"/>
                <w:szCs w:val="20"/>
                <w:spacing w:val="9"/>
              </w:rPr>
              <w:t>做好设备车间密闭，在密闭</w:t>
            </w:r>
            <w:r>
              <w:rPr>
                <w:sz w:val="20"/>
                <w:szCs w:val="20"/>
                <w:spacing w:val="3"/>
              </w:rPr>
              <w:t xml:space="preserve"> </w:t>
            </w:r>
            <w:r>
              <w:rPr>
                <w:sz w:val="20"/>
                <w:szCs w:val="20"/>
                <w:spacing w:val="15"/>
              </w:rPr>
              <w:t>空间中操作</w:t>
            </w:r>
            <w:r>
              <w:rPr>
                <w:rFonts w:ascii="Times New Roman" w:hAnsi="Times New Roman" w:eastAsia="Times New Roman" w:cs="Times New Roman"/>
                <w:sz w:val="20"/>
                <w:szCs w:val="20"/>
                <w:spacing w:val="15"/>
              </w:rPr>
              <w:t>.</w:t>
            </w:r>
            <w:r>
              <w:rPr>
                <w:sz w:val="20"/>
                <w:szCs w:val="20"/>
                <w:spacing w:val="15"/>
              </w:rPr>
              <w:t>项目废气收集</w:t>
            </w:r>
          </w:p>
        </w:tc>
        <w:tc>
          <w:tcPr>
            <w:tcW w:w="472" w:type="dxa"/>
            <w:vAlign w:val="top"/>
            <w:textDirection w:val="tbRlV"/>
            <w:tcBorders>
              <w:bottom w:val="single" w:color="000000" w:sz="10" w:space="0"/>
              <w:right w:val="single" w:color="000000" w:sz="10" w:space="0"/>
            </w:tcBorders>
          </w:tcPr>
          <w:p>
            <w:pPr>
              <w:pStyle w:val="TableText"/>
              <w:ind w:left="486"/>
              <w:spacing w:before="113" w:line="215" w:lineRule="auto"/>
              <w:rPr>
                <w:sz w:val="20"/>
                <w:szCs w:val="20"/>
              </w:rPr>
            </w:pPr>
            <w:r>
              <w:rPr>
                <w:sz w:val="20"/>
                <w:szCs w:val="20"/>
                <w:spacing w:val="8"/>
              </w:rPr>
              <w:t>符</w:t>
            </w:r>
            <w:r>
              <w:rPr>
                <w:sz w:val="20"/>
                <w:szCs w:val="20"/>
                <w:spacing w:val="51"/>
              </w:rPr>
              <w:t xml:space="preserve"> </w:t>
            </w:r>
            <w:r>
              <w:rPr>
                <w:sz w:val="20"/>
                <w:szCs w:val="20"/>
                <w:spacing w:val="8"/>
              </w:rPr>
              <w:t>合</w:t>
            </w:r>
          </w:p>
        </w:tc>
      </w:tr>
    </w:tbl>
    <w:p>
      <w:pPr>
        <w:pStyle w:val="BodyText"/>
        <w:rPr/>
      </w:pPr>
      <w:r/>
    </w:p>
    <w:p>
      <w:pPr>
        <w:sectPr>
          <w:footerReference w:type="default" r:id="rId24"/>
          <w:pgSz w:w="11906" w:h="16839"/>
          <w:pgMar w:top="400" w:right="1681" w:bottom="1211" w:left="1680" w:header="0" w:footer="1049" w:gutter="0"/>
        </w:sectPr>
        <w:rPr/>
      </w:pPr>
    </w:p>
    <w:p>
      <w:pPr>
        <w:spacing w:before="19"/>
        <w:rPr/>
      </w:pPr>
      <w:r/>
    </w:p>
    <w:p>
      <w:pPr>
        <w:spacing w:before="19"/>
        <w:rPr/>
      </w:pPr>
      <w:r/>
    </w:p>
    <w:p>
      <w:pPr>
        <w:spacing w:before="18"/>
        <w:rPr/>
      </w:pPr>
      <w:r/>
    </w:p>
    <w:p>
      <w:pPr>
        <w:spacing w:before="18"/>
        <w:rPr/>
      </w:pPr>
      <w:r/>
    </w:p>
    <w:tbl>
      <w:tblPr>
        <w:tblStyle w:val="TableNormal"/>
        <w:tblW w:w="8518"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48"/>
        <w:gridCol w:w="4643"/>
        <w:gridCol w:w="2755"/>
        <w:gridCol w:w="472"/>
      </w:tblGrid>
      <w:tr>
        <w:trPr>
          <w:trHeight w:val="5020" w:hRule="atLeast"/>
        </w:trPr>
        <w:tc>
          <w:tcPr>
            <w:tcW w:w="648" w:type="dxa"/>
            <w:vAlign w:val="top"/>
            <w:tcBorders>
              <w:left w:val="single" w:color="000000" w:sz="10" w:space="0"/>
              <w:top w:val="single" w:color="000000" w:sz="10" w:space="0"/>
            </w:tcBorders>
          </w:tcPr>
          <w:p>
            <w:pPr>
              <w:rPr>
                <w:rFonts w:ascii="Arial"/>
                <w:sz w:val="21"/>
              </w:rPr>
            </w:pPr>
            <w:r/>
          </w:p>
        </w:tc>
        <w:tc>
          <w:tcPr>
            <w:tcW w:w="4643" w:type="dxa"/>
            <w:vAlign w:val="top"/>
            <w:tcBorders>
              <w:top w:val="single" w:color="000000" w:sz="10" w:space="0"/>
            </w:tcBorders>
          </w:tcPr>
          <w:p>
            <w:pPr>
              <w:pStyle w:val="TableText"/>
              <w:ind w:left="117" w:right="119"/>
              <w:spacing w:before="94" w:line="280" w:lineRule="auto"/>
              <w:rPr>
                <w:sz w:val="20"/>
                <w:szCs w:val="20"/>
              </w:rPr>
            </w:pPr>
            <w:r>
              <w:rPr>
                <w:sz w:val="20"/>
                <w:szCs w:val="20"/>
                <w:spacing w:val="9"/>
              </w:rPr>
              <w:t>微负压的双层整体密闭收集空间。对采用局部收</w:t>
            </w:r>
            <w:r>
              <w:rPr>
                <w:sz w:val="20"/>
                <w:szCs w:val="20"/>
                <w:spacing w:val="10"/>
              </w:rPr>
              <w:t xml:space="preserve"> </w:t>
            </w:r>
            <w:r>
              <w:rPr>
                <w:sz w:val="20"/>
                <w:szCs w:val="20"/>
                <w:spacing w:val="9"/>
              </w:rPr>
              <w:t>集方式的企业，距废气收集系统排风罩开口面最</w:t>
            </w:r>
          </w:p>
          <w:p>
            <w:pPr>
              <w:pStyle w:val="TableText"/>
              <w:ind w:left="102" w:right="82" w:firstLine="172"/>
              <w:spacing w:before="115" w:line="317" w:lineRule="auto"/>
              <w:rPr>
                <w:sz w:val="20"/>
                <w:szCs w:val="20"/>
              </w:rPr>
            </w:pPr>
            <w:r>
              <w:rPr>
                <w:sz w:val="20"/>
                <w:szCs w:val="20"/>
                <w:spacing w:val="10"/>
              </w:rPr>
              <w:t>远处的</w:t>
            </w:r>
            <w:r>
              <w:rPr>
                <w:rFonts w:ascii="Times New Roman" w:hAnsi="Times New Roman" w:eastAsia="Times New Roman" w:cs="Times New Roman"/>
                <w:sz w:val="20"/>
                <w:szCs w:val="20"/>
              </w:rPr>
              <w:t>VOCs</w:t>
            </w:r>
            <w:r>
              <w:rPr>
                <w:sz w:val="20"/>
                <w:szCs w:val="20"/>
                <w:spacing w:val="10"/>
              </w:rPr>
              <w:t>无组织排放位置控制风速不低于</w:t>
            </w:r>
            <w:r>
              <w:rPr>
                <w:sz w:val="20"/>
                <w:szCs w:val="20"/>
                <w:spacing w:val="5"/>
              </w:rPr>
              <w:t xml:space="preserve">   </w:t>
            </w:r>
            <w:r>
              <w:rPr>
                <w:rFonts w:ascii="Times New Roman" w:hAnsi="Times New Roman" w:eastAsia="Times New Roman" w:cs="Times New Roman"/>
                <w:sz w:val="20"/>
                <w:szCs w:val="20"/>
                <w:spacing w:val="10"/>
              </w:rPr>
              <w:t>0.3m/s</w:t>
            </w:r>
            <w:r>
              <w:rPr>
                <w:sz w:val="20"/>
                <w:szCs w:val="20"/>
                <w:spacing w:val="10"/>
              </w:rPr>
              <w:t>；推广以生产线或设备为单位设置隔间，</w:t>
            </w:r>
            <w:r>
              <w:rPr>
                <w:sz w:val="20"/>
                <w:szCs w:val="20"/>
                <w:spacing w:val="17"/>
              </w:rPr>
              <w:t xml:space="preserve"> </w:t>
            </w:r>
            <w:r>
              <w:rPr>
                <w:sz w:val="20"/>
                <w:szCs w:val="20"/>
                <w:spacing w:val="10"/>
              </w:rPr>
              <w:t>收集风量应确保隔间保持微负压。当废气产生点</w:t>
            </w:r>
            <w:r>
              <w:rPr>
                <w:sz w:val="20"/>
                <w:szCs w:val="20"/>
                <w:spacing w:val="4"/>
              </w:rPr>
              <w:t xml:space="preserve"> </w:t>
            </w:r>
            <w:r>
              <w:rPr>
                <w:sz w:val="20"/>
                <w:szCs w:val="20"/>
                <w:spacing w:val="10"/>
              </w:rPr>
              <w:t>较多、彼此距离较远时，在满足设计规范、风压</w:t>
            </w:r>
            <w:r>
              <w:rPr>
                <w:sz w:val="20"/>
                <w:szCs w:val="20"/>
                <w:spacing w:val="4"/>
              </w:rPr>
              <w:t xml:space="preserve"> </w:t>
            </w:r>
            <w:r>
              <w:rPr>
                <w:sz w:val="20"/>
                <w:szCs w:val="20"/>
                <w:spacing w:val="10"/>
              </w:rPr>
              <w:t>平衡的基础上，适当分设多套收集系统或中继风</w:t>
            </w:r>
            <w:r>
              <w:rPr>
                <w:sz w:val="20"/>
                <w:szCs w:val="20"/>
                <w:spacing w:val="4"/>
              </w:rPr>
              <w:t xml:space="preserve"> </w:t>
            </w:r>
            <w:r>
              <w:rPr>
                <w:sz w:val="20"/>
                <w:szCs w:val="20"/>
                <w:spacing w:val="11"/>
              </w:rPr>
              <w:t>机。废气收集系统的输送管道应密闭、无破损。</w:t>
            </w:r>
            <w:r>
              <w:rPr>
                <w:sz w:val="20"/>
                <w:szCs w:val="20"/>
                <w:spacing w:val="2"/>
              </w:rPr>
              <w:t xml:space="preserve"> </w:t>
            </w:r>
            <w:r>
              <w:rPr>
                <w:sz w:val="20"/>
                <w:szCs w:val="20"/>
                <w:spacing w:val="8"/>
              </w:rPr>
              <w:t>含</w:t>
            </w:r>
            <w:r>
              <w:rPr>
                <w:rFonts w:ascii="Times New Roman" w:hAnsi="Times New Roman" w:eastAsia="Times New Roman" w:cs="Times New Roman"/>
                <w:sz w:val="20"/>
                <w:szCs w:val="20"/>
              </w:rPr>
              <w:t>VOCs</w:t>
            </w:r>
            <w:r>
              <w:rPr>
                <w:sz w:val="20"/>
                <w:szCs w:val="20"/>
                <w:spacing w:val="8"/>
              </w:rPr>
              <w:t>物料输送原则上采用重力流或泵送方式；</w:t>
            </w:r>
          </w:p>
          <w:p>
            <w:pPr>
              <w:pStyle w:val="TableText"/>
              <w:ind w:left="240"/>
              <w:spacing w:before="114" w:line="227" w:lineRule="auto"/>
              <w:rPr>
                <w:sz w:val="20"/>
                <w:szCs w:val="20"/>
              </w:rPr>
            </w:pPr>
            <w:r>
              <w:rPr>
                <w:sz w:val="20"/>
                <w:szCs w:val="20"/>
                <w:spacing w:val="8"/>
              </w:rPr>
              <w:t>固体物料投加逐步推进采用密闭式投料装置。</w:t>
            </w:r>
          </w:p>
        </w:tc>
        <w:tc>
          <w:tcPr>
            <w:tcW w:w="2755" w:type="dxa"/>
            <w:vAlign w:val="top"/>
            <w:tcBorders>
              <w:top w:val="single" w:color="000000" w:sz="10" w:space="0"/>
            </w:tcBorders>
          </w:tcPr>
          <w:p>
            <w:pPr>
              <w:pStyle w:val="TableText"/>
              <w:ind w:left="129"/>
              <w:spacing w:before="93" w:line="227" w:lineRule="auto"/>
              <w:rPr>
                <w:sz w:val="20"/>
                <w:szCs w:val="20"/>
              </w:rPr>
            </w:pPr>
            <w:r>
              <w:rPr>
                <w:sz w:val="20"/>
                <w:szCs w:val="20"/>
                <w:spacing w:val="9"/>
              </w:rPr>
              <w:t>采用局部收集方式，废气收</w:t>
            </w:r>
          </w:p>
          <w:p>
            <w:pPr>
              <w:pStyle w:val="TableText"/>
              <w:ind w:left="130"/>
              <w:spacing w:before="113" w:line="228" w:lineRule="auto"/>
              <w:rPr>
                <w:sz w:val="20"/>
                <w:szCs w:val="20"/>
              </w:rPr>
            </w:pPr>
            <w:r>
              <w:rPr>
                <w:sz w:val="20"/>
                <w:szCs w:val="20"/>
                <w:spacing w:val="9"/>
              </w:rPr>
              <w:t>集系统排风罩开口面最远处</w:t>
            </w:r>
          </w:p>
          <w:p>
            <w:pPr>
              <w:pStyle w:val="TableText"/>
              <w:ind w:left="200"/>
              <w:spacing w:before="113" w:line="228" w:lineRule="auto"/>
              <w:rPr>
                <w:sz w:val="20"/>
                <w:szCs w:val="20"/>
              </w:rPr>
            </w:pPr>
            <w:r>
              <w:rPr>
                <w:sz w:val="20"/>
                <w:szCs w:val="20"/>
                <w:spacing w:val="9"/>
              </w:rPr>
              <w:t>的</w:t>
            </w:r>
            <w:r>
              <w:rPr>
                <w:rFonts w:ascii="Times New Roman" w:hAnsi="Times New Roman" w:eastAsia="Times New Roman" w:cs="Times New Roman"/>
                <w:sz w:val="20"/>
                <w:szCs w:val="20"/>
              </w:rPr>
              <w:t>VOCs</w:t>
            </w:r>
            <w:r>
              <w:rPr>
                <w:sz w:val="20"/>
                <w:szCs w:val="20"/>
                <w:spacing w:val="9"/>
              </w:rPr>
              <w:t>无组织排放位置控</w:t>
            </w:r>
          </w:p>
          <w:p>
            <w:pPr>
              <w:pStyle w:val="TableText"/>
              <w:ind w:left="162"/>
              <w:spacing w:before="113" w:line="228" w:lineRule="auto"/>
              <w:rPr>
                <w:sz w:val="20"/>
                <w:szCs w:val="20"/>
              </w:rPr>
            </w:pPr>
            <w:r>
              <w:rPr>
                <w:sz w:val="20"/>
                <w:szCs w:val="20"/>
                <w:spacing w:val="7"/>
              </w:rPr>
              <w:t>制风速不低于</w:t>
            </w:r>
            <w:r>
              <w:rPr>
                <w:rFonts w:ascii="Times New Roman" w:hAnsi="Times New Roman" w:eastAsia="Times New Roman" w:cs="Times New Roman"/>
                <w:sz w:val="20"/>
                <w:szCs w:val="20"/>
                <w:spacing w:val="7"/>
              </w:rPr>
              <w:t>0.3m/s</w:t>
            </w:r>
            <w:r>
              <w:rPr>
                <w:sz w:val="20"/>
                <w:szCs w:val="20"/>
                <w:spacing w:val="7"/>
              </w:rPr>
              <w:t>；项目</w:t>
            </w:r>
          </w:p>
          <w:p>
            <w:pPr>
              <w:pStyle w:val="TableText"/>
              <w:ind w:left="235"/>
              <w:spacing w:before="112" w:line="228" w:lineRule="auto"/>
              <w:rPr>
                <w:sz w:val="20"/>
                <w:szCs w:val="20"/>
              </w:rPr>
            </w:pPr>
            <w:r>
              <w:rPr>
                <w:sz w:val="20"/>
                <w:szCs w:val="20"/>
                <w:spacing w:val="9"/>
              </w:rPr>
              <w:t>在一个密闭生产车间内生</w:t>
            </w:r>
          </w:p>
          <w:p>
            <w:pPr>
              <w:pStyle w:val="TableText"/>
              <w:ind w:left="130"/>
              <w:spacing w:before="114" w:line="227" w:lineRule="auto"/>
              <w:rPr>
                <w:sz w:val="20"/>
                <w:szCs w:val="20"/>
              </w:rPr>
            </w:pPr>
            <w:r>
              <w:rPr>
                <w:sz w:val="20"/>
                <w:szCs w:val="20"/>
                <w:spacing w:val="9"/>
              </w:rPr>
              <w:t>产，已采取全密闭措施，经</w:t>
            </w:r>
          </w:p>
          <w:p>
            <w:pPr>
              <w:pStyle w:val="TableText"/>
              <w:ind w:left="132"/>
              <w:spacing w:before="113" w:line="228" w:lineRule="auto"/>
              <w:rPr>
                <w:sz w:val="20"/>
                <w:szCs w:val="20"/>
              </w:rPr>
            </w:pPr>
            <w:r>
              <w:rPr>
                <w:sz w:val="20"/>
                <w:szCs w:val="20"/>
                <w:spacing w:val="8"/>
              </w:rPr>
              <w:t>局部密闭式集气罩收集工段</w:t>
            </w:r>
          </w:p>
          <w:p>
            <w:pPr>
              <w:pStyle w:val="TableText"/>
              <w:ind w:left="132"/>
              <w:spacing w:before="113" w:line="228" w:lineRule="auto"/>
              <w:rPr>
                <w:sz w:val="20"/>
                <w:szCs w:val="20"/>
              </w:rPr>
            </w:pPr>
            <w:r>
              <w:rPr>
                <w:sz w:val="20"/>
                <w:szCs w:val="20"/>
                <w:spacing w:val="8"/>
              </w:rPr>
              <w:t>可确保废气收集在微负压状</w:t>
            </w:r>
          </w:p>
          <w:p>
            <w:pPr>
              <w:pStyle w:val="TableText"/>
              <w:ind w:left="130"/>
              <w:spacing w:before="113" w:line="228" w:lineRule="auto"/>
              <w:rPr>
                <w:sz w:val="20"/>
                <w:szCs w:val="20"/>
              </w:rPr>
            </w:pPr>
            <w:r>
              <w:rPr>
                <w:sz w:val="20"/>
                <w:szCs w:val="20"/>
                <w:spacing w:val="9"/>
              </w:rPr>
              <w:t>态。项目运营期企业应严格</w:t>
            </w:r>
          </w:p>
          <w:p>
            <w:pPr>
              <w:pStyle w:val="TableText"/>
              <w:ind w:left="132"/>
              <w:spacing w:before="113" w:line="228" w:lineRule="auto"/>
              <w:rPr>
                <w:sz w:val="20"/>
                <w:szCs w:val="20"/>
              </w:rPr>
            </w:pPr>
            <w:r>
              <w:rPr>
                <w:sz w:val="20"/>
                <w:szCs w:val="20"/>
                <w:spacing w:val="8"/>
              </w:rPr>
              <w:t>按照排查检查要点一一核查</w:t>
            </w:r>
          </w:p>
          <w:p>
            <w:pPr>
              <w:pStyle w:val="TableText"/>
              <w:ind w:left="134"/>
              <w:spacing w:before="113" w:line="228" w:lineRule="auto"/>
              <w:rPr>
                <w:sz w:val="20"/>
                <w:szCs w:val="20"/>
              </w:rPr>
            </w:pPr>
            <w:r>
              <w:rPr>
                <w:sz w:val="20"/>
                <w:szCs w:val="20"/>
                <w:spacing w:val="8"/>
              </w:rPr>
              <w:t>与检验，确保废气收集系统</w:t>
            </w:r>
          </w:p>
          <w:p>
            <w:pPr>
              <w:pStyle w:val="TableText"/>
              <w:spacing w:before="113" w:line="228" w:lineRule="auto"/>
              <w:jc w:val="right"/>
              <w:rPr>
                <w:sz w:val="20"/>
                <w:szCs w:val="20"/>
              </w:rPr>
            </w:pPr>
            <w:r>
              <w:rPr>
                <w:sz w:val="20"/>
                <w:szCs w:val="20"/>
                <w:spacing w:val="-3"/>
              </w:rPr>
              <w:t>的输送管道应密闭、无破损；</w:t>
            </w:r>
          </w:p>
          <w:p>
            <w:pPr>
              <w:pStyle w:val="TableText"/>
              <w:ind w:left="863" w:right="160" w:hanging="675"/>
              <w:spacing w:before="114" w:line="275" w:lineRule="auto"/>
              <w:rPr>
                <w:sz w:val="20"/>
                <w:szCs w:val="20"/>
              </w:rPr>
            </w:pPr>
            <w:r>
              <w:rPr>
                <w:sz w:val="20"/>
                <w:szCs w:val="20"/>
                <w:spacing w:val="11"/>
              </w:rPr>
              <w:t>原料在常温状态下无</w:t>
            </w:r>
            <w:r>
              <w:rPr>
                <w:rFonts w:ascii="Times New Roman" w:hAnsi="Times New Roman" w:eastAsia="Times New Roman" w:cs="Times New Roman"/>
                <w:sz w:val="20"/>
                <w:szCs w:val="20"/>
              </w:rPr>
              <w:t>VOCs </w:t>
            </w:r>
            <w:r>
              <w:rPr>
                <w:sz w:val="20"/>
                <w:szCs w:val="20"/>
                <w:spacing w:val="6"/>
              </w:rPr>
              <w:t>废气排放。</w:t>
            </w:r>
          </w:p>
        </w:tc>
        <w:tc>
          <w:tcPr>
            <w:tcW w:w="472" w:type="dxa"/>
            <w:vAlign w:val="top"/>
            <w:tcBorders>
              <w:right w:val="single" w:color="000000" w:sz="10" w:space="0"/>
              <w:top w:val="single" w:color="000000" w:sz="10" w:space="0"/>
            </w:tcBorders>
          </w:tcPr>
          <w:p>
            <w:pPr>
              <w:rPr>
                <w:rFonts w:ascii="Arial"/>
                <w:sz w:val="21"/>
              </w:rPr>
            </w:pPr>
            <w:r/>
          </w:p>
        </w:tc>
      </w:tr>
      <w:tr>
        <w:trPr>
          <w:trHeight w:val="2520" w:hRule="atLeast"/>
        </w:trPr>
        <w:tc>
          <w:tcPr>
            <w:tcW w:w="648" w:type="dxa"/>
            <w:vAlign w:val="top"/>
            <w:vMerge w:val="restart"/>
            <w:tcBorders>
              <w:left w:val="single" w:color="000000" w:sz="10" w:space="0"/>
              <w:bottom w:val="nil"/>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104" w:right="118" w:firstLine="2"/>
              <w:spacing w:before="65" w:line="306" w:lineRule="auto"/>
              <w:rPr>
                <w:sz w:val="20"/>
                <w:szCs w:val="20"/>
              </w:rPr>
            </w:pPr>
            <w:r>
              <w:rPr>
                <w:sz w:val="20"/>
                <w:szCs w:val="20"/>
                <w:spacing w:val="3"/>
              </w:rPr>
              <w:t>六、</w:t>
            </w:r>
            <w:r>
              <w:rPr>
                <w:sz w:val="20"/>
                <w:szCs w:val="20"/>
              </w:rPr>
              <w:t xml:space="preserve"> </w:t>
            </w:r>
            <w:r>
              <w:rPr>
                <w:sz w:val="20"/>
                <w:szCs w:val="20"/>
                <w:spacing w:val="5"/>
              </w:rPr>
              <w:t>有机</w:t>
            </w:r>
            <w:r>
              <w:rPr>
                <w:sz w:val="20"/>
                <w:szCs w:val="20"/>
              </w:rPr>
              <w:t xml:space="preserve"> </w:t>
            </w:r>
            <w:r>
              <w:rPr>
                <w:sz w:val="20"/>
                <w:szCs w:val="20"/>
                <w:spacing w:val="5"/>
              </w:rPr>
              <w:t>废气</w:t>
            </w:r>
            <w:r>
              <w:rPr>
                <w:sz w:val="20"/>
                <w:szCs w:val="20"/>
              </w:rPr>
              <w:t xml:space="preserve"> </w:t>
            </w:r>
            <w:r>
              <w:rPr>
                <w:sz w:val="20"/>
                <w:szCs w:val="20"/>
                <w:spacing w:val="5"/>
              </w:rPr>
              <w:t>旁路</w:t>
            </w:r>
          </w:p>
        </w:tc>
        <w:tc>
          <w:tcPr>
            <w:tcW w:w="4643" w:type="dxa"/>
            <w:vAlign w:val="top"/>
          </w:tcPr>
          <w:p>
            <w:pPr>
              <w:pStyle w:val="TableText"/>
              <w:ind w:left="116"/>
              <w:spacing w:before="118" w:line="228" w:lineRule="auto"/>
              <w:rPr>
                <w:sz w:val="20"/>
                <w:szCs w:val="20"/>
              </w:rPr>
            </w:pPr>
            <w:r>
              <w:rPr>
                <w:sz w:val="20"/>
                <w:szCs w:val="20"/>
                <w:spacing w:val="9"/>
              </w:rPr>
              <w:t>存在的突出问题。生产设施和治理设施旁路数量</w:t>
            </w:r>
          </w:p>
          <w:p>
            <w:pPr>
              <w:pStyle w:val="TableText"/>
              <w:ind w:left="127"/>
              <w:spacing w:before="113" w:line="228" w:lineRule="auto"/>
              <w:rPr>
                <w:sz w:val="20"/>
                <w:szCs w:val="20"/>
              </w:rPr>
            </w:pPr>
            <w:r>
              <w:rPr>
                <w:sz w:val="20"/>
                <w:szCs w:val="20"/>
                <w:spacing w:val="9"/>
              </w:rPr>
              <w:t>多、管线设置隐蔽，未将旁路纳入日常监管，旁</w:t>
            </w:r>
          </w:p>
          <w:p>
            <w:pPr>
              <w:pStyle w:val="TableText"/>
              <w:ind w:left="119"/>
              <w:spacing w:before="113" w:line="228" w:lineRule="auto"/>
              <w:rPr>
                <w:sz w:val="20"/>
                <w:szCs w:val="20"/>
              </w:rPr>
            </w:pPr>
            <w:r>
              <w:rPr>
                <w:sz w:val="20"/>
                <w:szCs w:val="20"/>
                <w:spacing w:val="9"/>
              </w:rPr>
              <w:t>路烟道、阀门漏风严重，部分企业以安全为由通</w:t>
            </w:r>
          </w:p>
          <w:p>
            <w:pPr>
              <w:pStyle w:val="TableText"/>
              <w:ind w:left="118"/>
              <w:spacing w:before="113" w:line="228" w:lineRule="auto"/>
              <w:rPr>
                <w:sz w:val="20"/>
                <w:szCs w:val="20"/>
              </w:rPr>
            </w:pPr>
            <w:r>
              <w:rPr>
                <w:sz w:val="20"/>
                <w:szCs w:val="20"/>
                <w:spacing w:val="9"/>
              </w:rPr>
              <w:t>过末端治理设施应急排口、治理设施中间工序直</w:t>
            </w:r>
          </w:p>
          <w:p>
            <w:pPr>
              <w:pStyle w:val="TableText"/>
              <w:ind w:left="117"/>
              <w:spacing w:before="113" w:line="228" w:lineRule="auto"/>
              <w:rPr>
                <w:sz w:val="20"/>
                <w:szCs w:val="20"/>
              </w:rPr>
            </w:pPr>
            <w:r>
              <w:rPr>
                <w:sz w:val="20"/>
                <w:szCs w:val="20"/>
                <w:spacing w:val="9"/>
              </w:rPr>
              <w:t>排管线、焦炉热备烟囱等直排、偷排，部分企业</w:t>
            </w:r>
          </w:p>
          <w:p>
            <w:pPr>
              <w:pStyle w:val="TableText"/>
              <w:ind w:left="222"/>
              <w:spacing w:before="113" w:line="228" w:lineRule="auto"/>
              <w:rPr>
                <w:sz w:val="20"/>
                <w:szCs w:val="20"/>
              </w:rPr>
            </w:pPr>
            <w:r>
              <w:rPr>
                <w:sz w:val="20"/>
                <w:szCs w:val="20"/>
                <w:spacing w:val="9"/>
              </w:rPr>
              <w:t>伪造旁路管理台账或篡改中控系统旁路开启参</w:t>
            </w:r>
          </w:p>
          <w:p>
            <w:pPr>
              <w:pStyle w:val="TableText"/>
              <w:ind w:left="2115"/>
              <w:spacing w:before="112" w:line="214" w:lineRule="auto"/>
              <w:rPr>
                <w:sz w:val="20"/>
                <w:szCs w:val="20"/>
              </w:rPr>
            </w:pPr>
            <w:r>
              <w:rPr>
                <w:sz w:val="20"/>
                <w:szCs w:val="20"/>
                <w:spacing w:val="-1"/>
              </w:rPr>
              <w:t>数。</w:t>
            </w:r>
          </w:p>
        </w:tc>
        <w:tc>
          <w:tcPr>
            <w:tcW w:w="2755" w:type="dxa"/>
            <w:vAlign w:val="top"/>
          </w:tcPr>
          <w:p>
            <w:pPr>
              <w:pStyle w:val="TableText"/>
              <w:ind w:left="128" w:right="107" w:firstLine="5"/>
              <w:spacing w:before="120" w:line="311" w:lineRule="auto"/>
              <w:jc w:val="both"/>
              <w:rPr>
                <w:sz w:val="20"/>
                <w:szCs w:val="20"/>
              </w:rPr>
            </w:pPr>
            <w:r>
              <w:rPr>
                <w:sz w:val="20"/>
                <w:szCs w:val="20"/>
                <w:spacing w:val="8"/>
              </w:rPr>
              <w:t>项目在主要产生废气工段设</w:t>
            </w:r>
            <w:r>
              <w:rPr>
                <w:sz w:val="20"/>
                <w:szCs w:val="20"/>
                <w:spacing w:val="9"/>
              </w:rPr>
              <w:t xml:space="preserve"> </w:t>
            </w:r>
            <w:r>
              <w:rPr>
                <w:sz w:val="20"/>
                <w:szCs w:val="20"/>
                <w:spacing w:val="9"/>
              </w:rPr>
              <w:t>置局部密闭式集气罩，无旁</w:t>
            </w:r>
            <w:r>
              <w:rPr>
                <w:sz w:val="20"/>
                <w:szCs w:val="20"/>
                <w:spacing w:val="2"/>
              </w:rPr>
              <w:t xml:space="preserve"> </w:t>
            </w:r>
            <w:r>
              <w:rPr>
                <w:sz w:val="20"/>
                <w:szCs w:val="20"/>
                <w:spacing w:val="9"/>
              </w:rPr>
              <w:t>路废气，项目运营期，企业</w:t>
            </w:r>
            <w:r>
              <w:rPr>
                <w:sz w:val="20"/>
                <w:szCs w:val="20"/>
                <w:spacing w:val="2"/>
              </w:rPr>
              <w:t xml:space="preserve"> </w:t>
            </w:r>
            <w:r>
              <w:rPr>
                <w:sz w:val="20"/>
                <w:szCs w:val="20"/>
                <w:spacing w:val="9"/>
              </w:rPr>
              <w:t>应严格按照排查检查要点一</w:t>
            </w:r>
            <w:r>
              <w:rPr>
                <w:sz w:val="20"/>
                <w:szCs w:val="20"/>
                <w:spacing w:val="2"/>
              </w:rPr>
              <w:t xml:space="preserve"> </w:t>
            </w:r>
            <w:r>
              <w:rPr>
                <w:sz w:val="20"/>
                <w:szCs w:val="20"/>
                <w:spacing w:val="9"/>
              </w:rPr>
              <w:t>一核查与检验，确保废气收</w:t>
            </w:r>
          </w:p>
          <w:p>
            <w:pPr>
              <w:pStyle w:val="TableText"/>
              <w:ind w:left="130"/>
              <w:spacing w:before="113" w:line="228" w:lineRule="auto"/>
              <w:rPr>
                <w:sz w:val="20"/>
                <w:szCs w:val="20"/>
              </w:rPr>
            </w:pPr>
            <w:r>
              <w:rPr>
                <w:sz w:val="20"/>
                <w:szCs w:val="20"/>
                <w:spacing w:val="8"/>
              </w:rPr>
              <w:t>集系统的输送管道应密闭、</w:t>
            </w:r>
          </w:p>
          <w:p>
            <w:pPr>
              <w:pStyle w:val="TableText"/>
              <w:ind w:left="972"/>
              <w:spacing w:before="112" w:line="214" w:lineRule="auto"/>
              <w:rPr>
                <w:sz w:val="20"/>
                <w:szCs w:val="20"/>
              </w:rPr>
            </w:pPr>
            <w:r>
              <w:rPr>
                <w:sz w:val="20"/>
                <w:szCs w:val="20"/>
                <w:spacing w:val="4"/>
              </w:rPr>
              <w:t>无破损。</w:t>
            </w:r>
          </w:p>
        </w:tc>
        <w:tc>
          <w:tcPr>
            <w:tcW w:w="472" w:type="dxa"/>
            <w:vAlign w:val="top"/>
            <w:textDirection w:val="tbRlV"/>
            <w:tcBorders>
              <w:right w:val="single" w:color="000000" w:sz="10" w:space="0"/>
            </w:tcBorders>
          </w:tcPr>
          <w:p>
            <w:pPr>
              <w:pStyle w:val="TableText"/>
              <w:ind w:left="1018"/>
              <w:spacing w:before="113" w:line="215" w:lineRule="auto"/>
              <w:rPr>
                <w:sz w:val="20"/>
                <w:szCs w:val="20"/>
              </w:rPr>
            </w:pPr>
            <w:r>
              <w:rPr>
                <w:sz w:val="20"/>
                <w:szCs w:val="20"/>
                <w:spacing w:val="8"/>
              </w:rPr>
              <w:t>符</w:t>
            </w:r>
            <w:r>
              <w:rPr>
                <w:sz w:val="20"/>
                <w:szCs w:val="20"/>
                <w:spacing w:val="51"/>
              </w:rPr>
              <w:t xml:space="preserve"> </w:t>
            </w:r>
            <w:r>
              <w:rPr>
                <w:sz w:val="20"/>
                <w:szCs w:val="20"/>
                <w:spacing w:val="8"/>
              </w:rPr>
              <w:t>合</w:t>
            </w:r>
          </w:p>
        </w:tc>
      </w:tr>
      <w:tr>
        <w:trPr>
          <w:trHeight w:val="5036" w:hRule="atLeast"/>
        </w:trPr>
        <w:tc>
          <w:tcPr>
            <w:tcW w:w="648" w:type="dxa"/>
            <w:vAlign w:val="top"/>
            <w:vMerge w:val="continue"/>
            <w:tcBorders>
              <w:left w:val="single" w:color="000000" w:sz="10" w:space="0"/>
              <w:top w:val="nil"/>
            </w:tcBorders>
          </w:tcPr>
          <w:p>
            <w:pPr>
              <w:rPr>
                <w:rFonts w:ascii="Arial"/>
                <w:sz w:val="21"/>
              </w:rPr>
            </w:pPr>
            <w:r/>
          </w:p>
        </w:tc>
        <w:tc>
          <w:tcPr>
            <w:tcW w:w="4643" w:type="dxa"/>
            <w:vAlign w:val="top"/>
          </w:tcPr>
          <w:p>
            <w:pPr>
              <w:pStyle w:val="TableText"/>
              <w:ind w:left="102" w:right="32" w:firstLine="20"/>
              <w:spacing w:before="126" w:line="324" w:lineRule="auto"/>
              <w:rPr>
                <w:sz w:val="20"/>
                <w:szCs w:val="20"/>
              </w:rPr>
            </w:pPr>
            <w:r>
              <w:rPr>
                <w:sz w:val="20"/>
                <w:szCs w:val="20"/>
                <w:spacing w:val="9"/>
              </w:rPr>
              <w:t>治理要求。对生产系统和治理设施旁路进行系统</w:t>
            </w:r>
            <w:r>
              <w:rPr>
                <w:sz w:val="20"/>
                <w:szCs w:val="20"/>
                <w:spacing w:val="2"/>
              </w:rPr>
              <w:t xml:space="preserve">  </w:t>
            </w:r>
            <w:r>
              <w:rPr>
                <w:sz w:val="20"/>
                <w:szCs w:val="20"/>
                <w:spacing w:val="4"/>
              </w:rPr>
              <w:t>评估，除保障安全生产必须保留的应急类旁路外，</w:t>
            </w:r>
            <w:r>
              <w:rPr>
                <w:sz w:val="20"/>
                <w:szCs w:val="20"/>
                <w:spacing w:val="14"/>
              </w:rPr>
              <w:t xml:space="preserve"> </w:t>
            </w:r>
            <w:r>
              <w:rPr>
                <w:sz w:val="20"/>
                <w:szCs w:val="20"/>
                <w:spacing w:val="10"/>
              </w:rPr>
              <w:t>应采取彻底拆除、切断、物理隔离等方式取缔旁</w:t>
            </w:r>
            <w:r>
              <w:rPr>
                <w:sz w:val="20"/>
                <w:szCs w:val="20"/>
                <w:spacing w:val="2"/>
              </w:rPr>
              <w:t xml:space="preserve">  </w:t>
            </w:r>
            <w:r>
              <w:rPr>
                <w:sz w:val="20"/>
                <w:szCs w:val="20"/>
                <w:spacing w:val="4"/>
              </w:rPr>
              <w:t>路（含生产车间、生产装置建设的直排管线等）。</w:t>
            </w:r>
            <w:r>
              <w:rPr>
                <w:sz w:val="20"/>
                <w:szCs w:val="20"/>
                <w:spacing w:val="14"/>
              </w:rPr>
              <w:t xml:space="preserve"> </w:t>
            </w:r>
            <w:r>
              <w:rPr>
                <w:sz w:val="20"/>
                <w:szCs w:val="20"/>
                <w:spacing w:val="10"/>
              </w:rPr>
              <w:t>对于确需保留的应急类旁路，企业应向当地生态</w:t>
            </w:r>
            <w:r>
              <w:rPr>
                <w:sz w:val="20"/>
                <w:szCs w:val="20"/>
                <w:spacing w:val="2"/>
              </w:rPr>
              <w:t xml:space="preserve">  </w:t>
            </w:r>
            <w:r>
              <w:rPr>
                <w:sz w:val="20"/>
                <w:szCs w:val="20"/>
                <w:spacing w:val="4"/>
              </w:rPr>
              <w:t>环境部门报备，在非紧急情况下保持关闭并铅封，</w:t>
            </w:r>
            <w:r>
              <w:rPr>
                <w:sz w:val="20"/>
                <w:szCs w:val="20"/>
                <w:spacing w:val="14"/>
              </w:rPr>
              <w:t xml:space="preserve"> </w:t>
            </w:r>
            <w:r>
              <w:rPr>
                <w:sz w:val="20"/>
                <w:szCs w:val="20"/>
                <w:spacing w:val="4"/>
              </w:rPr>
              <w:t>通过安装自动监测设备、流量计等方式加强监管，</w:t>
            </w:r>
            <w:r>
              <w:rPr>
                <w:sz w:val="20"/>
                <w:szCs w:val="20"/>
                <w:spacing w:val="14"/>
              </w:rPr>
              <w:t xml:space="preserve"> </w:t>
            </w:r>
            <w:r>
              <w:rPr>
                <w:sz w:val="20"/>
                <w:szCs w:val="20"/>
                <w:spacing w:val="10"/>
              </w:rPr>
              <w:t>并保存历史记录，开启后应及时向当地生态环境</w:t>
            </w:r>
            <w:r>
              <w:rPr>
                <w:sz w:val="20"/>
                <w:szCs w:val="20"/>
                <w:spacing w:val="2"/>
              </w:rPr>
              <w:t xml:space="preserve">  </w:t>
            </w:r>
            <w:r>
              <w:rPr>
                <w:sz w:val="20"/>
                <w:szCs w:val="20"/>
                <w:spacing w:val="10"/>
              </w:rPr>
              <w:t>部门报告，做好台账记录；阀门腐蚀、损坏后应</w:t>
            </w:r>
            <w:r>
              <w:rPr>
                <w:sz w:val="20"/>
                <w:szCs w:val="20"/>
                <w:spacing w:val="2"/>
              </w:rPr>
              <w:t xml:space="preserve">  </w:t>
            </w:r>
            <w:r>
              <w:rPr>
                <w:sz w:val="20"/>
                <w:szCs w:val="20"/>
                <w:spacing w:val="8"/>
              </w:rPr>
              <w:t>及时更换，鼓励选用泄漏率小于</w:t>
            </w:r>
            <w:r>
              <w:rPr>
                <w:rFonts w:ascii="Times New Roman" w:hAnsi="Times New Roman" w:eastAsia="Times New Roman" w:cs="Times New Roman"/>
                <w:sz w:val="20"/>
                <w:szCs w:val="20"/>
                <w:spacing w:val="8"/>
              </w:rPr>
              <w:t>0.5%</w:t>
            </w:r>
            <w:r>
              <w:rPr>
                <w:sz w:val="20"/>
                <w:szCs w:val="20"/>
                <w:spacing w:val="8"/>
              </w:rPr>
              <w:t>的阀门；建 </w:t>
            </w:r>
            <w:r>
              <w:rPr>
                <w:sz w:val="20"/>
                <w:szCs w:val="20"/>
                <w:spacing w:val="10"/>
              </w:rPr>
              <w:t>设有中控系统的企业，鼓励在旁路设置感应式阀</w:t>
            </w:r>
            <w:r>
              <w:rPr>
                <w:sz w:val="20"/>
                <w:szCs w:val="20"/>
                <w:spacing w:val="2"/>
              </w:rPr>
              <w:t xml:space="preserve">  </w:t>
            </w:r>
            <w:r>
              <w:rPr>
                <w:sz w:val="20"/>
                <w:szCs w:val="20"/>
                <w:spacing w:val="10"/>
              </w:rPr>
              <w:t>门，阀门开启状态、开度等信号接入中控系统， </w:t>
            </w:r>
            <w:r>
              <w:rPr>
                <w:sz w:val="20"/>
                <w:szCs w:val="20"/>
                <w:spacing w:val="6"/>
              </w:rPr>
              <w:t>历史记录至少保存</w:t>
            </w:r>
            <w:r>
              <w:rPr>
                <w:rFonts w:ascii="Times New Roman" w:hAnsi="Times New Roman" w:eastAsia="Times New Roman" w:cs="Times New Roman"/>
                <w:sz w:val="20"/>
                <w:szCs w:val="20"/>
                <w:spacing w:val="6"/>
              </w:rPr>
              <w:t>5</w:t>
            </w:r>
            <w:r>
              <w:rPr>
                <w:sz w:val="20"/>
                <w:szCs w:val="20"/>
                <w:spacing w:val="6"/>
              </w:rPr>
              <w:t>年。在保证安全的前提下，鼓</w:t>
            </w:r>
          </w:p>
          <w:p>
            <w:pPr>
              <w:pStyle w:val="TableText"/>
              <w:ind w:left="642"/>
              <w:spacing w:before="112" w:line="206" w:lineRule="auto"/>
              <w:rPr>
                <w:sz w:val="20"/>
                <w:szCs w:val="20"/>
              </w:rPr>
            </w:pPr>
            <w:r>
              <w:rPr>
                <w:sz w:val="20"/>
                <w:szCs w:val="20"/>
                <w:spacing w:val="8"/>
              </w:rPr>
              <w:t>励对旁路废气进行处理，防止直排。</w:t>
            </w:r>
          </w:p>
        </w:tc>
        <w:tc>
          <w:tcPr>
            <w:tcW w:w="2755" w:type="dxa"/>
            <w:vAlign w:val="top"/>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pStyle w:val="TableText"/>
              <w:ind w:left="128" w:right="107" w:firstLine="5"/>
              <w:spacing w:before="65" w:line="319" w:lineRule="auto"/>
              <w:jc w:val="both"/>
              <w:rPr>
                <w:sz w:val="20"/>
                <w:szCs w:val="20"/>
              </w:rPr>
            </w:pPr>
            <w:r>
              <w:rPr>
                <w:sz w:val="20"/>
                <w:szCs w:val="20"/>
                <w:spacing w:val="8"/>
              </w:rPr>
              <w:t>项目运营期企业应严格按照</w:t>
            </w:r>
            <w:r>
              <w:rPr>
                <w:sz w:val="20"/>
                <w:szCs w:val="20"/>
                <w:spacing w:val="9"/>
              </w:rPr>
              <w:t xml:space="preserve"> </w:t>
            </w:r>
            <w:r>
              <w:rPr>
                <w:sz w:val="20"/>
                <w:szCs w:val="20"/>
                <w:spacing w:val="9"/>
              </w:rPr>
              <w:t>排查检查要点一一核查与检</w:t>
            </w:r>
            <w:r>
              <w:rPr>
                <w:sz w:val="20"/>
                <w:szCs w:val="20"/>
                <w:spacing w:val="2"/>
              </w:rPr>
              <w:t xml:space="preserve"> </w:t>
            </w:r>
            <w:r>
              <w:rPr>
                <w:sz w:val="20"/>
                <w:szCs w:val="20"/>
                <w:spacing w:val="9"/>
              </w:rPr>
              <w:t>验，确保废气收集系统的输</w:t>
            </w:r>
            <w:r>
              <w:rPr>
                <w:sz w:val="20"/>
                <w:szCs w:val="20"/>
                <w:spacing w:val="2"/>
              </w:rPr>
              <w:t xml:space="preserve"> </w:t>
            </w:r>
            <w:r>
              <w:rPr>
                <w:sz w:val="20"/>
                <w:szCs w:val="20"/>
                <w:spacing w:val="9"/>
              </w:rPr>
              <w:t>送管道应密闭、无破损；严</w:t>
            </w:r>
            <w:r>
              <w:rPr>
                <w:sz w:val="20"/>
                <w:szCs w:val="20"/>
                <w:spacing w:val="4"/>
              </w:rPr>
              <w:t xml:space="preserve"> </w:t>
            </w:r>
            <w:r>
              <w:rPr>
                <w:sz w:val="20"/>
                <w:szCs w:val="20"/>
                <w:spacing w:val="9"/>
              </w:rPr>
              <w:t>格按照文件中要求建设，项</w:t>
            </w:r>
            <w:r>
              <w:rPr>
                <w:sz w:val="20"/>
                <w:szCs w:val="20"/>
                <w:spacing w:val="4"/>
              </w:rPr>
              <w:t xml:space="preserve"> </w:t>
            </w:r>
            <w:r>
              <w:rPr>
                <w:sz w:val="20"/>
                <w:szCs w:val="20"/>
                <w:spacing w:val="9"/>
              </w:rPr>
              <w:t>目不设置应急类旁路，在确</w:t>
            </w:r>
            <w:r>
              <w:rPr>
                <w:sz w:val="20"/>
                <w:szCs w:val="20"/>
                <w:spacing w:val="2"/>
              </w:rPr>
              <w:t xml:space="preserve"> </w:t>
            </w:r>
            <w:r>
              <w:rPr>
                <w:sz w:val="20"/>
                <w:szCs w:val="20"/>
                <w:spacing w:val="9"/>
              </w:rPr>
              <w:t>需设置情况，严格按照治理</w:t>
            </w:r>
            <w:r>
              <w:rPr>
                <w:sz w:val="20"/>
                <w:szCs w:val="20"/>
                <w:spacing w:val="2"/>
              </w:rPr>
              <w:t xml:space="preserve"> </w:t>
            </w:r>
            <w:r>
              <w:rPr>
                <w:sz w:val="20"/>
                <w:szCs w:val="20"/>
                <w:spacing w:val="8"/>
              </w:rPr>
              <w:t>要求做好报备和记录工作。</w:t>
            </w:r>
          </w:p>
        </w:tc>
        <w:tc>
          <w:tcPr>
            <w:tcW w:w="472" w:type="dxa"/>
            <w:vAlign w:val="top"/>
            <w:textDirection w:val="tbRlV"/>
            <w:tcBorders>
              <w:right w:val="single" w:color="000000" w:sz="10" w:space="0"/>
            </w:tcBorders>
          </w:tcPr>
          <w:p>
            <w:pPr>
              <w:pStyle w:val="TableText"/>
              <w:ind w:left="2283"/>
              <w:spacing w:before="113" w:line="215" w:lineRule="auto"/>
              <w:rPr>
                <w:sz w:val="20"/>
                <w:szCs w:val="20"/>
              </w:rPr>
            </w:pPr>
            <w:r>
              <w:rPr>
                <w:sz w:val="20"/>
                <w:szCs w:val="20"/>
                <w:spacing w:val="8"/>
              </w:rPr>
              <w:t>符</w:t>
            </w:r>
            <w:r>
              <w:rPr>
                <w:sz w:val="20"/>
                <w:szCs w:val="20"/>
                <w:spacing w:val="51"/>
              </w:rPr>
              <w:t xml:space="preserve"> </w:t>
            </w:r>
            <w:r>
              <w:rPr>
                <w:sz w:val="20"/>
                <w:szCs w:val="20"/>
                <w:spacing w:val="8"/>
              </w:rPr>
              <w:t>合</w:t>
            </w:r>
          </w:p>
        </w:tc>
      </w:tr>
      <w:tr>
        <w:trPr>
          <w:trHeight w:val="1105" w:hRule="atLeast"/>
        </w:trPr>
        <w:tc>
          <w:tcPr>
            <w:tcW w:w="648" w:type="dxa"/>
            <w:vAlign w:val="top"/>
            <w:tcBorders>
              <w:left w:val="single" w:color="000000" w:sz="10" w:space="0"/>
              <w:bottom w:val="single" w:color="000000" w:sz="10" w:space="0"/>
            </w:tcBorders>
          </w:tcPr>
          <w:p>
            <w:pPr>
              <w:pStyle w:val="TableText"/>
              <w:ind w:left="104" w:right="118"/>
              <w:spacing w:before="132" w:line="296" w:lineRule="auto"/>
              <w:rPr>
                <w:sz w:val="20"/>
                <w:szCs w:val="20"/>
              </w:rPr>
            </w:pPr>
            <w:r>
              <w:rPr>
                <w:sz w:val="20"/>
                <w:szCs w:val="20"/>
                <w:spacing w:val="5"/>
              </w:rPr>
              <w:t>七、</w:t>
            </w:r>
            <w:r>
              <w:rPr>
                <w:sz w:val="20"/>
                <w:szCs w:val="20"/>
              </w:rPr>
              <w:t xml:space="preserve"> </w:t>
            </w:r>
            <w:r>
              <w:rPr>
                <w:sz w:val="20"/>
                <w:szCs w:val="20"/>
                <w:spacing w:val="5"/>
              </w:rPr>
              <w:t>有机</w:t>
            </w:r>
            <w:r>
              <w:rPr>
                <w:sz w:val="20"/>
                <w:szCs w:val="20"/>
              </w:rPr>
              <w:t xml:space="preserve"> </w:t>
            </w:r>
            <w:r>
              <w:rPr>
                <w:sz w:val="20"/>
                <w:szCs w:val="20"/>
                <w:spacing w:val="5"/>
              </w:rPr>
              <w:t>废气</w:t>
            </w:r>
          </w:p>
        </w:tc>
        <w:tc>
          <w:tcPr>
            <w:tcW w:w="4643" w:type="dxa"/>
            <w:vAlign w:val="top"/>
            <w:tcBorders>
              <w:bottom w:val="single" w:color="000000" w:sz="10" w:space="0"/>
            </w:tcBorders>
          </w:tcPr>
          <w:p>
            <w:pPr>
              <w:pStyle w:val="TableText"/>
              <w:ind w:left="121" w:right="119" w:hanging="5"/>
              <w:spacing w:before="132" w:line="296" w:lineRule="auto"/>
              <w:jc w:val="both"/>
              <w:rPr>
                <w:sz w:val="20"/>
                <w:szCs w:val="20"/>
              </w:rPr>
            </w:pPr>
            <w:r>
              <w:rPr>
                <w:sz w:val="20"/>
                <w:szCs w:val="20"/>
                <w:spacing w:val="9"/>
              </w:rPr>
              <w:t>存在的突出问题。治理设施设计不规范、与生产</w:t>
            </w:r>
            <w:r>
              <w:rPr>
                <w:sz w:val="20"/>
                <w:szCs w:val="20"/>
                <w:spacing w:val="11"/>
              </w:rPr>
              <w:t xml:space="preserve"> </w:t>
            </w:r>
            <w:r>
              <w:rPr>
                <w:sz w:val="20"/>
                <w:szCs w:val="20"/>
                <w:spacing w:val="9"/>
              </w:rPr>
              <w:t>系统不匹配；光催化、光氧化、低温等离子等低</w:t>
            </w:r>
            <w:r>
              <w:rPr>
                <w:sz w:val="20"/>
                <w:szCs w:val="20"/>
                <w:spacing w:val="6"/>
              </w:rPr>
              <w:t xml:space="preserve"> </w:t>
            </w:r>
            <w:r>
              <w:rPr>
                <w:sz w:val="20"/>
                <w:szCs w:val="20"/>
                <w:spacing w:val="9"/>
              </w:rPr>
              <w:t>效技术使用占比大、治理效果差；治理设施建设</w:t>
            </w:r>
          </w:p>
        </w:tc>
        <w:tc>
          <w:tcPr>
            <w:tcW w:w="2755" w:type="dxa"/>
            <w:vAlign w:val="top"/>
            <w:tcBorders>
              <w:bottom w:val="single" w:color="000000" w:sz="10" w:space="0"/>
            </w:tcBorders>
          </w:tcPr>
          <w:p>
            <w:pPr>
              <w:pStyle w:val="TableText"/>
              <w:ind w:left="134" w:right="107" w:hanging="1"/>
              <w:spacing w:before="132" w:line="296" w:lineRule="auto"/>
              <w:jc w:val="both"/>
              <w:rPr>
                <w:sz w:val="20"/>
                <w:szCs w:val="20"/>
              </w:rPr>
            </w:pPr>
            <w:r>
              <w:rPr>
                <w:sz w:val="20"/>
                <w:szCs w:val="20"/>
                <w:spacing w:val="8"/>
              </w:rPr>
              <w:t>项目废气治理措施采用活性</w:t>
            </w:r>
            <w:r>
              <w:rPr>
                <w:sz w:val="20"/>
                <w:szCs w:val="20"/>
                <w:spacing w:val="9"/>
              </w:rPr>
              <w:t xml:space="preserve"> </w:t>
            </w:r>
            <w:r>
              <w:rPr>
                <w:sz w:val="20"/>
                <w:szCs w:val="20"/>
                <w:spacing w:val="12"/>
              </w:rPr>
              <w:t>炭吸附</w:t>
            </w:r>
            <w:r>
              <w:rPr>
                <w:rFonts w:ascii="Times New Roman" w:hAnsi="Times New Roman" w:eastAsia="Times New Roman" w:cs="Times New Roman"/>
                <w:sz w:val="20"/>
                <w:szCs w:val="20"/>
                <w:spacing w:val="12"/>
              </w:rPr>
              <w:t>+</w:t>
            </w:r>
            <w:r>
              <w:rPr>
                <w:sz w:val="20"/>
                <w:szCs w:val="20"/>
                <w:spacing w:val="12"/>
              </w:rPr>
              <w:t>直接催化燃烧法工</w:t>
            </w:r>
            <w:r>
              <w:rPr>
                <w:sz w:val="20"/>
                <w:szCs w:val="20"/>
                <w:spacing w:val="1"/>
              </w:rPr>
              <w:t xml:space="preserve"> </w:t>
            </w:r>
            <w:r>
              <w:rPr>
                <w:sz w:val="20"/>
                <w:szCs w:val="20"/>
                <w:spacing w:val="8"/>
              </w:rPr>
              <w:t>艺，未使用文件中提出的低</w:t>
            </w:r>
          </w:p>
        </w:tc>
        <w:tc>
          <w:tcPr>
            <w:tcW w:w="472" w:type="dxa"/>
            <w:vAlign w:val="top"/>
            <w:textDirection w:val="tbRlV"/>
            <w:tcBorders>
              <w:bottom w:val="single" w:color="000000" w:sz="10" w:space="0"/>
              <w:right w:val="single" w:color="000000" w:sz="10" w:space="0"/>
            </w:tcBorders>
          </w:tcPr>
          <w:p>
            <w:pPr>
              <w:pStyle w:val="TableText"/>
              <w:ind w:left="311"/>
              <w:spacing w:before="113" w:line="215" w:lineRule="auto"/>
              <w:rPr>
                <w:sz w:val="20"/>
                <w:szCs w:val="20"/>
              </w:rPr>
            </w:pPr>
            <w:r>
              <w:rPr>
                <w:sz w:val="20"/>
                <w:szCs w:val="20"/>
                <w:spacing w:val="8"/>
              </w:rPr>
              <w:t>符</w:t>
            </w:r>
            <w:r>
              <w:rPr>
                <w:sz w:val="20"/>
                <w:szCs w:val="20"/>
                <w:spacing w:val="51"/>
              </w:rPr>
              <w:t xml:space="preserve"> </w:t>
            </w:r>
            <w:r>
              <w:rPr>
                <w:sz w:val="20"/>
                <w:szCs w:val="20"/>
                <w:spacing w:val="8"/>
              </w:rPr>
              <w:t>合</w:t>
            </w:r>
          </w:p>
        </w:tc>
      </w:tr>
    </w:tbl>
    <w:p>
      <w:pPr>
        <w:pStyle w:val="BodyText"/>
        <w:rPr/>
      </w:pPr>
      <w:r/>
    </w:p>
    <w:p>
      <w:pPr>
        <w:sectPr>
          <w:footerReference w:type="default" r:id="rId25"/>
          <w:pgSz w:w="11906" w:h="16839"/>
          <w:pgMar w:top="400" w:right="1681" w:bottom="1211" w:left="1680" w:header="0" w:footer="1049" w:gutter="0"/>
        </w:sectPr>
        <w:rPr/>
      </w:pPr>
    </w:p>
    <w:p>
      <w:pPr>
        <w:spacing w:before="19"/>
        <w:rPr/>
      </w:pPr>
      <w:r/>
    </w:p>
    <w:p>
      <w:pPr>
        <w:spacing w:before="19"/>
        <w:rPr/>
      </w:pPr>
      <w:r/>
    </w:p>
    <w:p>
      <w:pPr>
        <w:spacing w:before="18"/>
        <w:rPr/>
      </w:pPr>
      <w:r/>
    </w:p>
    <w:p>
      <w:pPr>
        <w:spacing w:before="18"/>
        <w:rPr/>
      </w:pPr>
      <w:r/>
    </w:p>
    <w:tbl>
      <w:tblPr>
        <w:tblStyle w:val="TableNormal"/>
        <w:tblW w:w="8518"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48"/>
        <w:gridCol w:w="4643"/>
        <w:gridCol w:w="2755"/>
        <w:gridCol w:w="472"/>
      </w:tblGrid>
      <w:tr>
        <w:trPr>
          <w:trHeight w:val="708" w:hRule="atLeast"/>
        </w:trPr>
        <w:tc>
          <w:tcPr>
            <w:tcW w:w="648" w:type="dxa"/>
            <w:vAlign w:val="top"/>
            <w:vMerge w:val="restart"/>
            <w:tcBorders>
              <w:left w:val="single" w:color="000000" w:sz="10" w:space="0"/>
              <w:bottom w:val="nil"/>
              <w:top w:val="single" w:color="000000" w:sz="10" w:space="0"/>
            </w:tcBorders>
          </w:tcPr>
          <w:p>
            <w:pPr>
              <w:pStyle w:val="TableText"/>
              <w:ind w:left="108" w:right="118" w:firstLine="1"/>
              <w:spacing w:before="93" w:line="281" w:lineRule="auto"/>
              <w:rPr>
                <w:sz w:val="20"/>
                <w:szCs w:val="20"/>
              </w:rPr>
            </w:pPr>
            <w:r>
              <w:rPr>
                <w:sz w:val="20"/>
                <w:szCs w:val="20"/>
                <w:spacing w:val="2"/>
              </w:rPr>
              <w:t>治理</w:t>
            </w:r>
            <w:r>
              <w:rPr>
                <w:sz w:val="20"/>
                <w:szCs w:val="20"/>
              </w:rPr>
              <w:t xml:space="preserve"> </w:t>
            </w:r>
            <w:r>
              <w:rPr>
                <w:sz w:val="20"/>
                <w:szCs w:val="20"/>
                <w:spacing w:val="3"/>
              </w:rPr>
              <w:t>设施</w:t>
            </w:r>
          </w:p>
        </w:tc>
        <w:tc>
          <w:tcPr>
            <w:tcW w:w="4643" w:type="dxa"/>
            <w:vAlign w:val="top"/>
            <w:tcBorders>
              <w:top w:val="single" w:color="000000" w:sz="10" w:space="0"/>
            </w:tcBorders>
          </w:tcPr>
          <w:p>
            <w:pPr>
              <w:pStyle w:val="TableText"/>
              <w:ind w:right="8"/>
              <w:spacing w:before="93" w:line="228" w:lineRule="auto"/>
              <w:jc w:val="right"/>
              <w:rPr>
                <w:sz w:val="20"/>
                <w:szCs w:val="20"/>
              </w:rPr>
            </w:pPr>
            <w:r>
              <w:rPr>
                <w:sz w:val="20"/>
                <w:szCs w:val="20"/>
                <w:spacing w:val="5"/>
              </w:rPr>
              <w:t>质量良莠不齐，应付治理、无效治理等现象突出；</w:t>
            </w:r>
          </w:p>
          <w:p>
            <w:pPr>
              <w:pStyle w:val="TableText"/>
              <w:ind w:left="439"/>
              <w:spacing w:before="113" w:line="225" w:lineRule="auto"/>
              <w:rPr>
                <w:sz w:val="20"/>
                <w:szCs w:val="20"/>
              </w:rPr>
            </w:pPr>
            <w:r>
              <w:rPr>
                <w:sz w:val="20"/>
                <w:szCs w:val="20"/>
                <w:spacing w:val="8"/>
              </w:rPr>
              <w:t>治理设施运行不规范，定期维护不到位。</w:t>
            </w:r>
          </w:p>
        </w:tc>
        <w:tc>
          <w:tcPr>
            <w:tcW w:w="2755" w:type="dxa"/>
            <w:vAlign w:val="top"/>
            <w:tcBorders>
              <w:top w:val="single" w:color="000000" w:sz="10" w:space="0"/>
            </w:tcBorders>
          </w:tcPr>
          <w:p>
            <w:pPr>
              <w:pStyle w:val="TableText"/>
              <w:ind w:left="131" w:right="110" w:firstLine="4"/>
              <w:spacing w:before="93" w:line="279" w:lineRule="auto"/>
              <w:rPr>
                <w:sz w:val="20"/>
                <w:szCs w:val="20"/>
              </w:rPr>
            </w:pPr>
            <w:r>
              <w:rPr>
                <w:sz w:val="20"/>
                <w:szCs w:val="20"/>
                <w:spacing w:val="8"/>
              </w:rPr>
              <w:t>效技术，项目运营阶段做好</w:t>
            </w:r>
            <w:r>
              <w:rPr>
                <w:sz w:val="20"/>
                <w:szCs w:val="20"/>
                <w:spacing w:val="7"/>
              </w:rPr>
              <w:t xml:space="preserve"> </w:t>
            </w:r>
            <w:r>
              <w:rPr>
                <w:sz w:val="20"/>
                <w:szCs w:val="20"/>
                <w:spacing w:val="8"/>
              </w:rPr>
              <w:t>规范运行和定期维护工作。</w:t>
            </w:r>
          </w:p>
        </w:tc>
        <w:tc>
          <w:tcPr>
            <w:tcW w:w="472" w:type="dxa"/>
            <w:vAlign w:val="top"/>
            <w:tcBorders>
              <w:right w:val="single" w:color="000000" w:sz="10" w:space="0"/>
              <w:top w:val="single" w:color="000000" w:sz="10" w:space="0"/>
            </w:tcBorders>
          </w:tcPr>
          <w:p>
            <w:pPr>
              <w:rPr>
                <w:rFonts w:ascii="Arial"/>
                <w:sz w:val="21"/>
              </w:rPr>
            </w:pPr>
            <w:r/>
          </w:p>
        </w:tc>
      </w:tr>
      <w:tr>
        <w:trPr>
          <w:trHeight w:val="12963" w:hRule="atLeast"/>
        </w:trPr>
        <w:tc>
          <w:tcPr>
            <w:tcW w:w="648" w:type="dxa"/>
            <w:vAlign w:val="top"/>
            <w:vMerge w:val="continue"/>
            <w:tcBorders>
              <w:left w:val="single" w:color="000000" w:sz="10" w:space="0"/>
              <w:bottom w:val="single" w:color="000000" w:sz="10" w:space="0"/>
              <w:top w:val="nil"/>
            </w:tcBorders>
          </w:tcPr>
          <w:p>
            <w:pPr>
              <w:rPr>
                <w:rFonts w:ascii="Arial"/>
                <w:sz w:val="21"/>
              </w:rPr>
            </w:pPr>
            <w:r/>
          </w:p>
        </w:tc>
        <w:tc>
          <w:tcPr>
            <w:tcW w:w="4643" w:type="dxa"/>
            <w:vAlign w:val="top"/>
            <w:tcBorders>
              <w:bottom w:val="single" w:color="000000" w:sz="10" w:space="0"/>
            </w:tcBorders>
          </w:tcPr>
          <w:p>
            <w:pPr>
              <w:pStyle w:val="TableText"/>
              <w:ind w:left="104" w:right="32" w:firstLine="17"/>
              <w:spacing w:before="110" w:line="306" w:lineRule="auto"/>
              <w:jc w:val="both"/>
              <w:rPr>
                <w:sz w:val="20"/>
                <w:szCs w:val="20"/>
              </w:rPr>
            </w:pPr>
            <w:r>
              <w:rPr>
                <w:sz w:val="20"/>
                <w:szCs w:val="20"/>
                <w:spacing w:val="9"/>
              </w:rPr>
              <w:t>治理要求。新建治理设施或对现有治理设施实施</w:t>
            </w:r>
            <w:r>
              <w:rPr>
                <w:sz w:val="20"/>
                <w:szCs w:val="20"/>
                <w:spacing w:val="2"/>
              </w:rPr>
              <w:t xml:space="preserve">  </w:t>
            </w:r>
            <w:r>
              <w:rPr>
                <w:sz w:val="20"/>
                <w:szCs w:val="20"/>
                <w:spacing w:val="10"/>
              </w:rPr>
              <w:t>改造，应依据排放废气特征、</w:t>
            </w:r>
            <w:r>
              <w:rPr>
                <w:rFonts w:ascii="Times New Roman" w:hAnsi="Times New Roman" w:eastAsia="Times New Roman" w:cs="Times New Roman"/>
                <w:sz w:val="20"/>
                <w:szCs w:val="20"/>
              </w:rPr>
              <w:t>VOCs</w:t>
            </w:r>
            <w:r>
              <w:rPr>
                <w:sz w:val="20"/>
                <w:szCs w:val="20"/>
                <w:spacing w:val="10"/>
              </w:rPr>
              <w:t>组分及浓度、 </w:t>
            </w:r>
            <w:r>
              <w:rPr>
                <w:sz w:val="20"/>
                <w:szCs w:val="20"/>
                <w:spacing w:val="4"/>
              </w:rPr>
              <w:t>生产工况等，合理选择治理技术；对治理难度大、</w:t>
            </w:r>
            <w:r>
              <w:rPr>
                <w:sz w:val="20"/>
                <w:szCs w:val="20"/>
                <w:spacing w:val="12"/>
              </w:rPr>
              <w:t xml:space="preserve"> </w:t>
            </w:r>
            <w:r>
              <w:rPr>
                <w:sz w:val="20"/>
                <w:szCs w:val="20"/>
                <w:spacing w:val="10"/>
              </w:rPr>
              <w:t>单一治理工艺难以稳定达标的，宜采用多种技术</w:t>
            </w:r>
          </w:p>
          <w:p>
            <w:pPr>
              <w:pStyle w:val="TableText"/>
              <w:ind w:left="644" w:right="119" w:hanging="510"/>
              <w:spacing w:before="113" w:line="280" w:lineRule="auto"/>
              <w:rPr>
                <w:sz w:val="20"/>
                <w:szCs w:val="20"/>
              </w:rPr>
            </w:pPr>
            <w:r>
              <w:rPr>
                <w:sz w:val="20"/>
                <w:szCs w:val="20"/>
                <w:spacing w:val="8"/>
              </w:rPr>
              <w:t>的组合工艺；除恶臭异味治理外，一般不使用低</w:t>
            </w:r>
            <w:r>
              <w:rPr>
                <w:sz w:val="20"/>
                <w:szCs w:val="20"/>
                <w:spacing w:val="14"/>
              </w:rPr>
              <w:t xml:space="preserve"> </w:t>
            </w:r>
            <w:r>
              <w:rPr>
                <w:sz w:val="20"/>
                <w:szCs w:val="20"/>
                <w:spacing w:val="8"/>
              </w:rPr>
              <w:t>温等离子、光催化、光氧化等技术。</w:t>
            </w:r>
          </w:p>
          <w:p>
            <w:pPr>
              <w:pStyle w:val="TableText"/>
              <w:ind w:left="101" w:right="32" w:firstLine="1"/>
              <w:spacing w:before="111" w:line="322" w:lineRule="auto"/>
              <w:jc w:val="both"/>
              <w:rPr>
                <w:sz w:val="20"/>
                <w:szCs w:val="20"/>
              </w:rPr>
            </w:pPr>
            <w:r>
              <w:rPr>
                <w:sz w:val="20"/>
                <w:szCs w:val="20"/>
                <w:spacing w:val="1"/>
              </w:rPr>
              <w:t>加强运行维护管理，做到治理设施较生产设备“</w:t>
            </w:r>
            <w:r>
              <w:rPr>
                <w:sz w:val="20"/>
                <w:szCs w:val="20"/>
              </w:rPr>
              <w:t>先 </w:t>
            </w:r>
            <w:r>
              <w:rPr>
                <w:sz w:val="20"/>
                <w:szCs w:val="20"/>
                <w:spacing w:val="8"/>
              </w:rPr>
              <w:t>启后停</w:t>
            </w:r>
            <w:r>
              <w:rPr>
                <w:sz w:val="20"/>
                <w:szCs w:val="20"/>
                <w:spacing w:val="-53"/>
              </w:rPr>
              <w:t xml:space="preserve"> </w:t>
            </w:r>
            <w:r>
              <w:rPr>
                <w:sz w:val="20"/>
                <w:szCs w:val="20"/>
                <w:spacing w:val="8"/>
              </w:rPr>
              <w:t>”，在治理设施达到正常运行条件后方可</w:t>
            </w:r>
            <w:r>
              <w:rPr>
                <w:sz w:val="20"/>
                <w:szCs w:val="20"/>
              </w:rPr>
              <w:t xml:space="preserve">  </w:t>
            </w:r>
            <w:r>
              <w:rPr>
                <w:sz w:val="20"/>
                <w:szCs w:val="20"/>
                <w:spacing w:val="6"/>
              </w:rPr>
              <w:t>启动生产设备，在生产设备停止、残留</w:t>
            </w:r>
            <w:r>
              <w:rPr>
                <w:rFonts w:ascii="Times New Roman" w:hAnsi="Times New Roman" w:eastAsia="Times New Roman" w:cs="Times New Roman"/>
                <w:sz w:val="20"/>
                <w:szCs w:val="20"/>
              </w:rPr>
              <w:t>VOCs</w:t>
            </w:r>
            <w:r>
              <w:rPr>
                <w:sz w:val="20"/>
                <w:szCs w:val="20"/>
                <w:spacing w:val="6"/>
              </w:rPr>
              <w:t>废气 </w:t>
            </w:r>
            <w:r>
              <w:rPr>
                <w:sz w:val="20"/>
                <w:szCs w:val="20"/>
                <w:spacing w:val="4"/>
              </w:rPr>
              <w:t>收集处理完毕后，方可停运治理设施；及时清理、</w:t>
            </w:r>
            <w:r>
              <w:rPr>
                <w:sz w:val="20"/>
                <w:szCs w:val="20"/>
                <w:spacing w:val="15"/>
              </w:rPr>
              <w:t xml:space="preserve"> </w:t>
            </w:r>
            <w:r>
              <w:rPr>
                <w:sz w:val="20"/>
                <w:szCs w:val="20"/>
                <w:spacing w:val="4"/>
              </w:rPr>
              <w:t>更换吸附剂、吸收剂、催化剂、蓄热体、过滤棉、</w:t>
            </w:r>
            <w:r>
              <w:rPr>
                <w:sz w:val="20"/>
                <w:szCs w:val="20"/>
                <w:spacing w:val="15"/>
              </w:rPr>
              <w:t xml:space="preserve"> </w:t>
            </w:r>
            <w:r>
              <w:rPr>
                <w:sz w:val="20"/>
                <w:szCs w:val="20"/>
                <w:spacing w:val="10"/>
              </w:rPr>
              <w:t>灯管、电器元件等治理设施耗材，确保设施能够</w:t>
            </w:r>
            <w:r>
              <w:rPr>
                <w:sz w:val="20"/>
                <w:szCs w:val="20"/>
                <w:spacing w:val="2"/>
              </w:rPr>
              <w:t xml:space="preserve">  </w:t>
            </w:r>
            <w:r>
              <w:rPr>
                <w:sz w:val="20"/>
                <w:szCs w:val="20"/>
                <w:spacing w:val="10"/>
              </w:rPr>
              <w:t>稳定高效运行；做好生产设备和治理设施启停机</w:t>
            </w:r>
            <w:r>
              <w:rPr>
                <w:sz w:val="20"/>
                <w:szCs w:val="20"/>
                <w:spacing w:val="2"/>
              </w:rPr>
              <w:t xml:space="preserve">  </w:t>
            </w:r>
            <w:r>
              <w:rPr>
                <w:sz w:val="20"/>
                <w:szCs w:val="20"/>
                <w:spacing w:val="10"/>
              </w:rPr>
              <w:t>时间、检维修情况、治理设施耗材维护更换、处</w:t>
            </w:r>
            <w:r>
              <w:rPr>
                <w:sz w:val="20"/>
                <w:szCs w:val="20"/>
                <w:spacing w:val="2"/>
              </w:rPr>
              <w:t xml:space="preserve">  </w:t>
            </w:r>
            <w:r>
              <w:rPr>
                <w:sz w:val="20"/>
                <w:szCs w:val="20"/>
                <w:spacing w:val="6"/>
              </w:rPr>
              <w:t>置情况等台账记录；对于</w:t>
            </w:r>
            <w:r>
              <w:rPr>
                <w:rFonts w:ascii="Times New Roman" w:hAnsi="Times New Roman" w:eastAsia="Times New Roman" w:cs="Times New Roman"/>
                <w:sz w:val="20"/>
                <w:szCs w:val="20"/>
              </w:rPr>
              <w:t>VOCs</w:t>
            </w:r>
            <w:r>
              <w:rPr>
                <w:sz w:val="20"/>
                <w:szCs w:val="20"/>
                <w:spacing w:val="6"/>
              </w:rPr>
              <w:t>治理设施产生的废 </w:t>
            </w:r>
            <w:r>
              <w:rPr>
                <w:sz w:val="20"/>
                <w:szCs w:val="20"/>
                <w:spacing w:val="10"/>
              </w:rPr>
              <w:t>过滤棉、废催化剂、废吸附剂、废吸收剂、废有</w:t>
            </w:r>
          </w:p>
          <w:p>
            <w:pPr>
              <w:pStyle w:val="TableText"/>
              <w:ind w:left="1282" w:right="119" w:hanging="1166"/>
              <w:spacing w:before="114" w:line="280" w:lineRule="auto"/>
              <w:rPr>
                <w:sz w:val="20"/>
                <w:szCs w:val="20"/>
              </w:rPr>
            </w:pPr>
            <w:r>
              <w:rPr>
                <w:sz w:val="20"/>
                <w:szCs w:val="20"/>
                <w:spacing w:val="9"/>
              </w:rPr>
              <w:t>机溶剂等，应及时清运，属于危险废物的应交有</w:t>
            </w:r>
            <w:r>
              <w:rPr>
                <w:sz w:val="20"/>
                <w:szCs w:val="20"/>
                <w:spacing w:val="11"/>
              </w:rPr>
              <w:t xml:space="preserve"> </w:t>
            </w:r>
            <w:r>
              <w:rPr>
                <w:sz w:val="20"/>
                <w:szCs w:val="20"/>
                <w:spacing w:val="7"/>
              </w:rPr>
              <w:t>资质的单位处理处置。</w:t>
            </w:r>
          </w:p>
          <w:p>
            <w:pPr>
              <w:pStyle w:val="TableText"/>
              <w:ind w:left="105" w:right="48" w:firstLine="11"/>
              <w:spacing w:before="109" w:line="321" w:lineRule="auto"/>
              <w:jc w:val="both"/>
              <w:rPr>
                <w:sz w:val="20"/>
                <w:szCs w:val="20"/>
              </w:rPr>
            </w:pPr>
            <w:r>
              <w:rPr>
                <w:sz w:val="20"/>
                <w:szCs w:val="20"/>
                <w:spacing w:val="8"/>
              </w:rPr>
              <w:t>采用活性炭吸附工艺的企业，应根据废气排放特 </w:t>
            </w:r>
            <w:r>
              <w:rPr>
                <w:sz w:val="20"/>
                <w:szCs w:val="20"/>
                <w:spacing w:val="3"/>
              </w:rPr>
              <w:t>征，按照相关工程技术规范设计净化工艺和设备，</w:t>
            </w:r>
            <w:r>
              <w:rPr>
                <w:sz w:val="20"/>
                <w:szCs w:val="20"/>
                <w:spacing w:val="17"/>
              </w:rPr>
              <w:t xml:space="preserve"> </w:t>
            </w:r>
            <w:r>
              <w:rPr>
                <w:sz w:val="20"/>
                <w:szCs w:val="20"/>
                <w:spacing w:val="9"/>
              </w:rPr>
              <w:t>使废气在吸附装置中有足够的停留时间，选择符 </w:t>
            </w:r>
            <w:r>
              <w:rPr>
                <w:sz w:val="20"/>
                <w:szCs w:val="20"/>
                <w:spacing w:val="9"/>
              </w:rPr>
              <w:t>合相关产品质量标准的活性炭，并足额充填、及 </w:t>
            </w:r>
            <w:r>
              <w:rPr>
                <w:sz w:val="20"/>
                <w:szCs w:val="20"/>
                <w:spacing w:val="9"/>
              </w:rPr>
              <w:t>时更换。采用颗粒活性炭作为吸附剂时，其碘值 </w:t>
            </w:r>
            <w:r>
              <w:rPr>
                <w:sz w:val="20"/>
                <w:szCs w:val="20"/>
                <w:spacing w:val="11"/>
              </w:rPr>
              <w:t>不宜低于</w:t>
            </w:r>
            <w:r>
              <w:rPr>
                <w:rFonts w:ascii="Times New Roman" w:hAnsi="Times New Roman" w:eastAsia="Times New Roman" w:cs="Times New Roman"/>
                <w:sz w:val="20"/>
                <w:szCs w:val="20"/>
                <w:spacing w:val="11"/>
              </w:rPr>
              <w:t>800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11"/>
              </w:rPr>
              <w:t>/g</w:t>
            </w:r>
            <w:r>
              <w:rPr>
                <w:sz w:val="20"/>
                <w:szCs w:val="20"/>
                <w:spacing w:val="11"/>
              </w:rPr>
              <w:t>；采用蜂窝活性炭作为吸附剂</w:t>
            </w:r>
            <w:r>
              <w:rPr>
                <w:sz w:val="20"/>
                <w:szCs w:val="20"/>
                <w:spacing w:val="6"/>
              </w:rPr>
              <w:t xml:space="preserve">  </w:t>
            </w:r>
            <w:r>
              <w:rPr>
                <w:sz w:val="20"/>
                <w:szCs w:val="20"/>
                <w:spacing w:val="5"/>
              </w:rPr>
              <w:t>时，其碘值不宜低于</w:t>
            </w:r>
            <w:r>
              <w:rPr>
                <w:rFonts w:ascii="Times New Roman" w:hAnsi="Times New Roman" w:eastAsia="Times New Roman" w:cs="Times New Roman"/>
                <w:sz w:val="20"/>
                <w:szCs w:val="20"/>
                <w:spacing w:val="5"/>
              </w:rPr>
              <w:t>650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/g</w:t>
            </w:r>
            <w:r>
              <w:rPr>
                <w:sz w:val="20"/>
                <w:szCs w:val="20"/>
                <w:spacing w:val="5"/>
              </w:rPr>
              <w:t>；采用活性炭纤维作</w:t>
            </w:r>
            <w:r>
              <w:rPr>
                <w:sz w:val="20"/>
                <w:szCs w:val="20"/>
                <w:spacing w:val="2"/>
              </w:rPr>
              <w:t xml:space="preserve"> </w:t>
            </w:r>
            <w:r>
              <w:rPr>
                <w:sz w:val="20"/>
                <w:szCs w:val="20"/>
                <w:spacing w:val="10"/>
              </w:rPr>
              <w:t>为吸附剂时，其比表面积不低于</w:t>
            </w:r>
            <w:r>
              <w:rPr>
                <w:rFonts w:ascii="Times New Roman" w:hAnsi="Times New Roman" w:eastAsia="Times New Roman" w:cs="Times New Roman"/>
                <w:sz w:val="20"/>
                <w:szCs w:val="20"/>
                <w:spacing w:val="10"/>
              </w:rPr>
              <w:t>1100m</w:t>
            </w:r>
            <w:r>
              <w:rPr>
                <w:rFonts w:ascii="Times New Roman" w:hAnsi="Times New Roman" w:eastAsia="Times New Roman" w:cs="Times New Roman"/>
                <w:sz w:val="13"/>
                <w:szCs w:val="13"/>
                <w:spacing w:val="9"/>
                <w:position w:val="6"/>
              </w:rPr>
              <w:t>2</w:t>
            </w:r>
            <w:r>
              <w:rPr>
                <w:rFonts w:ascii="Times New Roman" w:hAnsi="Times New Roman" w:eastAsia="Times New Roman" w:cs="Times New Roman"/>
                <w:sz w:val="20"/>
                <w:szCs w:val="20"/>
                <w:spacing w:val="9"/>
              </w:rPr>
              <w:t>/g</w:t>
            </w:r>
            <w:r>
              <w:rPr>
                <w:sz w:val="20"/>
                <w:szCs w:val="20"/>
                <w:spacing w:val="9"/>
              </w:rPr>
              <w:t>（</w:t>
            </w:r>
            <w:r>
              <w:rPr>
                <w:rFonts w:ascii="Times New Roman" w:hAnsi="Times New Roman" w:eastAsia="Times New Roman" w:cs="Times New Roman"/>
                <w:sz w:val="20"/>
                <w:szCs w:val="20"/>
              </w:rPr>
              <w:t>BET   </w:t>
            </w:r>
            <w:r>
              <w:rPr>
                <w:sz w:val="20"/>
                <w:szCs w:val="20"/>
                <w:spacing w:val="10"/>
              </w:rPr>
              <w:t>法）。一次性活性炭吸附工艺宜采用颗粒活性炭</w:t>
            </w:r>
          </w:p>
          <w:p>
            <w:pPr>
              <w:pStyle w:val="TableText"/>
              <w:ind w:left="1169" w:right="119" w:hanging="1051"/>
              <w:spacing w:before="113" w:line="280" w:lineRule="auto"/>
              <w:rPr>
                <w:sz w:val="20"/>
                <w:szCs w:val="20"/>
              </w:rPr>
            </w:pPr>
            <w:r>
              <w:rPr>
                <w:sz w:val="20"/>
                <w:szCs w:val="20"/>
                <w:spacing w:val="9"/>
              </w:rPr>
              <w:t>作为吸附剂。活性炭、活性炭纤维产品销售时应 </w:t>
            </w:r>
            <w:r>
              <w:rPr>
                <w:sz w:val="20"/>
                <w:szCs w:val="20"/>
                <w:spacing w:val="8"/>
              </w:rPr>
              <w:t>提供产品质量证明材料。</w:t>
            </w:r>
          </w:p>
          <w:p>
            <w:pPr>
              <w:pStyle w:val="TableText"/>
              <w:ind w:left="116"/>
              <w:spacing w:before="114" w:line="227" w:lineRule="auto"/>
              <w:rPr>
                <w:sz w:val="20"/>
                <w:szCs w:val="20"/>
              </w:rPr>
            </w:pPr>
            <w:r>
              <w:rPr>
                <w:sz w:val="20"/>
                <w:szCs w:val="20"/>
                <w:spacing w:val="9"/>
              </w:rPr>
              <w:t>采用催化燃烧工艺的企业应使用合格的催化剂并</w:t>
            </w:r>
          </w:p>
          <w:p>
            <w:pPr>
              <w:pStyle w:val="TableText"/>
              <w:ind w:left="437"/>
              <w:spacing w:before="114" w:line="227" w:lineRule="auto"/>
              <w:rPr>
                <w:sz w:val="20"/>
                <w:szCs w:val="20"/>
              </w:rPr>
            </w:pPr>
            <w:r>
              <w:rPr>
                <w:sz w:val="20"/>
                <w:szCs w:val="20"/>
                <w:spacing w:val="9"/>
              </w:rPr>
              <w:t>足额添加，催化剂床层的设计空速宜低于</w:t>
            </w:r>
          </w:p>
          <w:p>
            <w:pPr>
              <w:pStyle w:val="TableText"/>
              <w:ind w:left="131"/>
              <w:spacing w:before="114" w:line="227" w:lineRule="auto"/>
              <w:rPr>
                <w:sz w:val="20"/>
                <w:szCs w:val="20"/>
              </w:rPr>
            </w:pPr>
            <w:r>
              <w:rPr>
                <w:rFonts w:ascii="Times New Roman" w:hAnsi="Times New Roman" w:eastAsia="Times New Roman" w:cs="Times New Roman"/>
                <w:sz w:val="20"/>
                <w:szCs w:val="20"/>
                <w:spacing w:val="6"/>
              </w:rPr>
              <w:t>40000h-</w:t>
            </w:r>
            <w:r>
              <w:rPr>
                <w:rFonts w:ascii="Times New Roman" w:hAnsi="Times New Roman" w:eastAsia="Times New Roman" w:cs="Times New Roman"/>
                <w:sz w:val="20"/>
                <w:szCs w:val="20"/>
                <w:spacing w:val="-28"/>
              </w:rPr>
              <w:t xml:space="preserve"> </w:t>
            </w: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spacing w:val="-21"/>
              </w:rPr>
              <w:t xml:space="preserve"> </w:t>
            </w:r>
            <w:r>
              <w:rPr>
                <w:sz w:val="20"/>
                <w:szCs w:val="20"/>
                <w:spacing w:val="6"/>
              </w:rPr>
              <w:t>。采用非连续吸脱附治理工艺的，应按</w:t>
            </w:r>
          </w:p>
          <w:p>
            <w:pPr>
              <w:pStyle w:val="TableText"/>
              <w:ind w:left="106"/>
              <w:spacing w:before="114" w:line="227" w:lineRule="auto"/>
              <w:rPr>
                <w:sz w:val="20"/>
                <w:szCs w:val="20"/>
              </w:rPr>
            </w:pPr>
            <w:r>
              <w:rPr>
                <w:sz w:val="20"/>
                <w:szCs w:val="20"/>
                <w:spacing w:val="6"/>
              </w:rPr>
              <w:t>设计要求及时解吸吸附的</w:t>
            </w:r>
            <w:r>
              <w:rPr>
                <w:rFonts w:ascii="Times New Roman" w:hAnsi="Times New Roman" w:eastAsia="Times New Roman" w:cs="Times New Roman"/>
                <w:sz w:val="20"/>
                <w:szCs w:val="20"/>
              </w:rPr>
              <w:t>VOCs</w:t>
            </w:r>
            <w:r>
              <w:rPr>
                <w:sz w:val="20"/>
                <w:szCs w:val="20"/>
                <w:spacing w:val="6"/>
              </w:rPr>
              <w:t>，解吸气体应保证</w:t>
            </w:r>
          </w:p>
          <w:p>
            <w:pPr>
              <w:pStyle w:val="TableText"/>
              <w:ind w:left="116"/>
              <w:spacing w:before="114" w:line="227" w:lineRule="auto"/>
              <w:rPr>
                <w:sz w:val="20"/>
                <w:szCs w:val="20"/>
              </w:rPr>
            </w:pPr>
            <w:r>
              <w:rPr>
                <w:sz w:val="20"/>
                <w:szCs w:val="20"/>
                <w:spacing w:val="9"/>
              </w:rPr>
              <w:t>采用高效处理工艺处理后达标排放。蓄热式燃烧</w:t>
            </w:r>
          </w:p>
          <w:p>
            <w:pPr>
              <w:pStyle w:val="TableText"/>
              <w:ind w:left="102"/>
              <w:spacing w:before="114" w:line="225" w:lineRule="auto"/>
              <w:rPr>
                <w:sz w:val="20"/>
                <w:szCs w:val="20"/>
              </w:rPr>
            </w:pPr>
            <w:r>
              <w:rPr>
                <w:sz w:val="20"/>
                <w:szCs w:val="20"/>
                <w:spacing w:val="3"/>
              </w:rPr>
              <w:t>装置（</w:t>
            </w:r>
            <w:r>
              <w:rPr>
                <w:rFonts w:ascii="Times New Roman" w:hAnsi="Times New Roman" w:eastAsia="Times New Roman" w:cs="Times New Roman"/>
                <w:sz w:val="20"/>
                <w:szCs w:val="20"/>
              </w:rPr>
              <w:t>RTO</w:t>
            </w:r>
            <w:r>
              <w:rPr>
                <w:sz w:val="20"/>
                <w:szCs w:val="20"/>
                <w:spacing w:val="3"/>
              </w:rPr>
              <w:t>）燃烧温度一般不低于</w:t>
            </w:r>
            <w:r>
              <w:rPr>
                <w:rFonts w:ascii="Times New Roman" w:hAnsi="Times New Roman" w:eastAsia="Times New Roman" w:cs="Times New Roman"/>
                <w:sz w:val="20"/>
                <w:szCs w:val="20"/>
                <w:spacing w:val="3"/>
              </w:rPr>
              <w:t>760</w:t>
            </w:r>
            <w:r>
              <w:rPr>
                <w:sz w:val="20"/>
                <w:szCs w:val="20"/>
                <w:spacing w:val="3"/>
              </w:rPr>
              <w:t>℃</w:t>
            </w:r>
            <w:r>
              <w:rPr>
                <w:sz w:val="20"/>
                <w:szCs w:val="20"/>
                <w:spacing w:val="-72"/>
              </w:rPr>
              <w:t xml:space="preserve"> </w:t>
            </w:r>
            <w:r>
              <w:rPr>
                <w:sz w:val="20"/>
                <w:szCs w:val="20"/>
                <w:spacing w:val="3"/>
              </w:rPr>
              <w:t>,</w:t>
            </w:r>
            <w:r>
              <w:rPr>
                <w:sz w:val="20"/>
                <w:szCs w:val="20"/>
                <w:spacing w:val="40"/>
              </w:rPr>
              <w:t xml:space="preserve"> </w:t>
            </w:r>
            <w:r>
              <w:rPr>
                <w:sz w:val="20"/>
                <w:szCs w:val="20"/>
                <w:spacing w:val="3"/>
              </w:rPr>
              <w:t>催化燃</w:t>
            </w:r>
          </w:p>
          <w:p>
            <w:pPr>
              <w:pStyle w:val="TableText"/>
              <w:ind w:left="128"/>
              <w:spacing w:before="116" w:line="224" w:lineRule="auto"/>
              <w:rPr>
                <w:sz w:val="20"/>
                <w:szCs w:val="20"/>
              </w:rPr>
            </w:pPr>
            <w:r>
              <w:rPr>
                <w:sz w:val="20"/>
                <w:szCs w:val="20"/>
                <w:spacing w:val="5"/>
              </w:rPr>
              <w:t>烧装置（</w:t>
            </w:r>
            <w:r>
              <w:rPr>
                <w:rFonts w:ascii="Times New Roman" w:hAnsi="Times New Roman" w:eastAsia="Times New Roman" w:cs="Times New Roman"/>
                <w:sz w:val="20"/>
                <w:szCs w:val="20"/>
              </w:rPr>
              <w:t>CO</w:t>
            </w:r>
            <w:r>
              <w:rPr>
                <w:sz w:val="20"/>
                <w:szCs w:val="20"/>
                <w:spacing w:val="5"/>
              </w:rPr>
              <w:t>）燃烧温度一般不低于</w:t>
            </w:r>
            <w:r>
              <w:rPr>
                <w:rFonts w:ascii="Times New Roman" w:hAnsi="Times New Roman" w:eastAsia="Times New Roman" w:cs="Times New Roman"/>
                <w:sz w:val="20"/>
                <w:szCs w:val="20"/>
                <w:spacing w:val="5"/>
              </w:rPr>
              <w:t>300</w:t>
            </w:r>
            <w:r>
              <w:rPr>
                <w:sz w:val="20"/>
                <w:szCs w:val="20"/>
                <w:spacing w:val="5"/>
              </w:rPr>
              <w:t>℃</w:t>
            </w:r>
            <w:r>
              <w:rPr>
                <w:sz w:val="20"/>
                <w:szCs w:val="20"/>
                <w:spacing w:val="-66"/>
              </w:rPr>
              <w:t xml:space="preserve"> </w:t>
            </w:r>
            <w:r>
              <w:rPr>
                <w:sz w:val="20"/>
                <w:szCs w:val="20"/>
                <w:spacing w:val="5"/>
              </w:rPr>
              <w:t>,</w:t>
            </w:r>
            <w:r>
              <w:rPr>
                <w:sz w:val="20"/>
                <w:szCs w:val="20"/>
                <w:spacing w:val="59"/>
              </w:rPr>
              <w:t xml:space="preserve"> </w:t>
            </w:r>
            <w:r>
              <w:rPr>
                <w:sz w:val="20"/>
                <w:szCs w:val="20"/>
                <w:spacing w:val="5"/>
              </w:rPr>
              <w:t>相关</w:t>
            </w:r>
          </w:p>
        </w:tc>
        <w:tc>
          <w:tcPr>
            <w:tcW w:w="2755" w:type="dxa"/>
            <w:vAlign w:val="top"/>
            <w:tcBorders>
              <w:bottom w:val="single" w:color="000000" w:sz="10" w:space="0"/>
            </w:tcBorders>
          </w:tcPr>
          <w:p>
            <w:pPr>
              <w:pStyle w:val="TableText"/>
              <w:ind w:left="120" w:firstLine="12"/>
              <w:spacing w:before="107" w:line="321" w:lineRule="auto"/>
              <w:rPr>
                <w:sz w:val="20"/>
                <w:szCs w:val="20"/>
              </w:rPr>
            </w:pPr>
            <w:r>
              <w:rPr>
                <w:sz w:val="20"/>
                <w:szCs w:val="20"/>
                <w:spacing w:val="1"/>
              </w:rPr>
              <w:t>项目废气治理措施采用“活</w:t>
            </w:r>
            <w:r>
              <w:rPr>
                <w:sz w:val="20"/>
                <w:szCs w:val="20"/>
                <w:spacing w:val="2"/>
              </w:rPr>
              <w:t xml:space="preserve">   </w:t>
            </w:r>
            <w:r>
              <w:rPr>
                <w:sz w:val="20"/>
                <w:szCs w:val="20"/>
                <w:spacing w:val="6"/>
              </w:rPr>
              <w:t>性炭吸附</w:t>
            </w:r>
            <w:r>
              <w:rPr>
                <w:rFonts w:ascii="Times New Roman" w:hAnsi="Times New Roman" w:eastAsia="Times New Roman" w:cs="Times New Roman"/>
                <w:sz w:val="20"/>
                <w:szCs w:val="20"/>
                <w:spacing w:val="6"/>
              </w:rPr>
              <w:t>+</w:t>
            </w:r>
            <w:r>
              <w:rPr>
                <w:sz w:val="20"/>
                <w:szCs w:val="20"/>
                <w:spacing w:val="6"/>
              </w:rPr>
              <w:t>直接催化燃烧法</w:t>
            </w:r>
            <w:r>
              <w:rPr>
                <w:sz w:val="20"/>
                <w:szCs w:val="20"/>
                <w:spacing w:val="-63"/>
              </w:rPr>
              <w:t xml:space="preserve"> </w:t>
            </w:r>
            <w:r>
              <w:rPr>
                <w:sz w:val="20"/>
                <w:szCs w:val="20"/>
                <w:spacing w:val="6"/>
              </w:rPr>
              <w:t>”</w:t>
            </w:r>
            <w:r>
              <w:rPr>
                <w:sz w:val="20"/>
                <w:szCs w:val="20"/>
              </w:rPr>
              <w:t xml:space="preserve"> </w:t>
            </w:r>
            <w:r>
              <w:rPr>
                <w:sz w:val="20"/>
                <w:szCs w:val="20"/>
                <w:spacing w:val="2"/>
              </w:rPr>
              <w:t>技术，符合文件中“宜采用   </w:t>
            </w:r>
            <w:r>
              <w:rPr>
                <w:sz w:val="20"/>
                <w:szCs w:val="20"/>
              </w:rPr>
              <w:t>多种技术的组合工艺</w:t>
            </w:r>
            <w:r>
              <w:rPr>
                <w:sz w:val="20"/>
                <w:szCs w:val="20"/>
                <w:spacing w:val="-68"/>
              </w:rPr>
              <w:t xml:space="preserve"> </w:t>
            </w:r>
            <w:r>
              <w:rPr>
                <w:sz w:val="20"/>
                <w:szCs w:val="20"/>
              </w:rPr>
              <w:t>”，运   </w:t>
            </w:r>
            <w:r>
              <w:rPr>
                <w:sz w:val="20"/>
                <w:szCs w:val="20"/>
                <w:spacing w:val="2"/>
              </w:rPr>
              <w:t>营期加强运行维护管理，做</w:t>
            </w:r>
            <w:r>
              <w:rPr>
                <w:sz w:val="20"/>
                <w:szCs w:val="20"/>
                <w:spacing w:val="1"/>
              </w:rPr>
              <w:t xml:space="preserve">   </w:t>
            </w:r>
            <w:r>
              <w:rPr>
                <w:sz w:val="20"/>
                <w:szCs w:val="20"/>
                <w:spacing w:val="2"/>
              </w:rPr>
              <w:t>到治理设施较生产设备“先   </w:t>
            </w:r>
            <w:r>
              <w:rPr>
                <w:sz w:val="20"/>
                <w:szCs w:val="20"/>
              </w:rPr>
              <w:t>启后停</w:t>
            </w:r>
            <w:r>
              <w:rPr>
                <w:sz w:val="20"/>
                <w:szCs w:val="20"/>
                <w:spacing w:val="-71"/>
              </w:rPr>
              <w:t xml:space="preserve"> </w:t>
            </w:r>
            <w:r>
              <w:rPr>
                <w:sz w:val="20"/>
                <w:szCs w:val="20"/>
              </w:rPr>
              <w:t>”，在治理设施达到   </w:t>
            </w:r>
            <w:r>
              <w:rPr>
                <w:sz w:val="20"/>
                <w:szCs w:val="20"/>
                <w:spacing w:val="2"/>
              </w:rPr>
              <w:t>正常运行条件后方可启动生</w:t>
            </w:r>
            <w:r>
              <w:rPr>
                <w:sz w:val="20"/>
                <w:szCs w:val="20"/>
                <w:spacing w:val="1"/>
              </w:rPr>
              <w:t xml:space="preserve">   </w:t>
            </w:r>
            <w:r>
              <w:rPr>
                <w:sz w:val="20"/>
                <w:szCs w:val="20"/>
                <w:spacing w:val="2"/>
              </w:rPr>
              <w:t>产设备，在生产设备停止、</w:t>
            </w:r>
          </w:p>
          <w:p>
            <w:pPr>
              <w:pStyle w:val="TableText"/>
              <w:ind w:left="117" w:right="24" w:firstLine="65"/>
              <w:spacing w:before="109" w:line="328" w:lineRule="auto"/>
              <w:rPr>
                <w:sz w:val="20"/>
                <w:szCs w:val="20"/>
              </w:rPr>
            </w:pPr>
            <w:r>
              <w:rPr>
                <w:sz w:val="20"/>
                <w:szCs w:val="20"/>
                <w:spacing w:val="11"/>
              </w:rPr>
              <w:t>残留</w:t>
            </w:r>
            <w:r>
              <w:rPr>
                <w:rFonts w:ascii="Times New Roman" w:hAnsi="Times New Roman" w:eastAsia="Times New Roman" w:cs="Times New Roman"/>
                <w:sz w:val="20"/>
                <w:szCs w:val="20"/>
              </w:rPr>
              <w:t>VOCs</w:t>
            </w:r>
            <w:r>
              <w:rPr>
                <w:sz w:val="20"/>
                <w:szCs w:val="20"/>
                <w:spacing w:val="11"/>
              </w:rPr>
              <w:t>废气收集处理完</w:t>
            </w:r>
            <w:r>
              <w:rPr>
                <w:sz w:val="20"/>
                <w:szCs w:val="20"/>
                <w:spacing w:val="3"/>
              </w:rPr>
              <w:t xml:space="preserve">  </w:t>
            </w:r>
            <w:r>
              <w:rPr>
                <w:sz w:val="20"/>
                <w:szCs w:val="20"/>
                <w:spacing w:val="9"/>
              </w:rPr>
              <w:t>毕后，方可停运治理设施；</w:t>
            </w:r>
            <w:r>
              <w:rPr>
                <w:sz w:val="20"/>
                <w:szCs w:val="20"/>
                <w:spacing w:val="2"/>
              </w:rPr>
              <w:t xml:space="preserve">  </w:t>
            </w:r>
            <w:r>
              <w:rPr>
                <w:sz w:val="20"/>
                <w:szCs w:val="20"/>
                <w:spacing w:val="10"/>
              </w:rPr>
              <w:t>及时清理、更换吸附剂、催</w:t>
            </w:r>
            <w:r>
              <w:rPr>
                <w:sz w:val="20"/>
                <w:szCs w:val="20"/>
              </w:rPr>
              <w:t xml:space="preserve">  </w:t>
            </w:r>
            <w:r>
              <w:rPr>
                <w:sz w:val="20"/>
                <w:szCs w:val="20"/>
                <w:spacing w:val="10"/>
              </w:rPr>
              <w:t>化剂等治理设施耗材，确保</w:t>
            </w:r>
            <w:r>
              <w:rPr>
                <w:sz w:val="20"/>
                <w:szCs w:val="20"/>
              </w:rPr>
              <w:t xml:space="preserve">  </w:t>
            </w:r>
            <w:r>
              <w:rPr>
                <w:sz w:val="20"/>
                <w:szCs w:val="20"/>
                <w:spacing w:val="10"/>
              </w:rPr>
              <w:t>设施能够稳定高效运行；做</w:t>
            </w:r>
            <w:r>
              <w:rPr>
                <w:sz w:val="20"/>
                <w:szCs w:val="20"/>
              </w:rPr>
              <w:t xml:space="preserve">  </w:t>
            </w:r>
            <w:r>
              <w:rPr>
                <w:sz w:val="20"/>
                <w:szCs w:val="20"/>
                <w:spacing w:val="10"/>
              </w:rPr>
              <w:t>好生产设备和治理设施启停</w:t>
            </w:r>
            <w:r>
              <w:rPr>
                <w:sz w:val="20"/>
                <w:szCs w:val="20"/>
              </w:rPr>
              <w:t xml:space="preserve">  </w:t>
            </w:r>
            <w:r>
              <w:rPr>
                <w:sz w:val="20"/>
                <w:szCs w:val="20"/>
                <w:spacing w:val="10"/>
              </w:rPr>
              <w:t>机时间、检维修情况、治理</w:t>
            </w:r>
            <w:r>
              <w:rPr>
                <w:sz w:val="20"/>
                <w:szCs w:val="20"/>
              </w:rPr>
              <w:t xml:space="preserve">  </w:t>
            </w:r>
            <w:r>
              <w:rPr>
                <w:sz w:val="20"/>
                <w:szCs w:val="20"/>
                <w:spacing w:val="10"/>
              </w:rPr>
              <w:t>设施耗材维护更换、处置情</w:t>
            </w:r>
            <w:r>
              <w:rPr>
                <w:sz w:val="20"/>
                <w:szCs w:val="20"/>
              </w:rPr>
              <w:t xml:space="preserve">  </w:t>
            </w:r>
            <w:r>
              <w:rPr>
                <w:sz w:val="20"/>
                <w:szCs w:val="20"/>
                <w:spacing w:val="14"/>
              </w:rPr>
              <w:t>况等台账记录；对于</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14"/>
              </w:rPr>
              <w:t xml:space="preserve">   </w:t>
            </w:r>
            <w:r>
              <w:rPr>
                <w:sz w:val="20"/>
                <w:szCs w:val="20"/>
                <w:spacing w:val="10"/>
              </w:rPr>
              <w:t>治理设施产生的废吸附剂及</w:t>
            </w:r>
            <w:r>
              <w:rPr>
                <w:sz w:val="20"/>
                <w:szCs w:val="20"/>
              </w:rPr>
              <w:t xml:space="preserve">  </w:t>
            </w:r>
            <w:r>
              <w:rPr>
                <w:sz w:val="20"/>
                <w:szCs w:val="20"/>
                <w:spacing w:val="10"/>
              </w:rPr>
              <w:t>时清运，属于危险废物的应</w:t>
            </w:r>
            <w:r>
              <w:rPr>
                <w:sz w:val="20"/>
                <w:szCs w:val="20"/>
              </w:rPr>
              <w:t xml:space="preserve">  </w:t>
            </w:r>
            <w:r>
              <w:rPr>
                <w:sz w:val="20"/>
                <w:szCs w:val="20"/>
                <w:spacing w:val="11"/>
              </w:rPr>
              <w:t>交有资质的单位处理处置。</w:t>
            </w:r>
            <w:r>
              <w:rPr>
                <w:sz w:val="20"/>
                <w:szCs w:val="20"/>
                <w:spacing w:val="9"/>
              </w:rPr>
              <w:t xml:space="preserve"> </w:t>
            </w:r>
            <w:r>
              <w:rPr>
                <w:sz w:val="20"/>
                <w:szCs w:val="20"/>
                <w:spacing w:val="13"/>
              </w:rPr>
              <w:t>本项目采用活性炭吸附</w:t>
            </w:r>
            <w:r>
              <w:rPr>
                <w:rFonts w:ascii="Times New Roman" w:hAnsi="Times New Roman" w:eastAsia="Times New Roman" w:cs="Times New Roman"/>
                <w:sz w:val="20"/>
                <w:szCs w:val="20"/>
                <w:spacing w:val="13"/>
              </w:rPr>
              <w:t>+</w:t>
            </w:r>
            <w:r>
              <w:rPr>
                <w:sz w:val="20"/>
                <w:szCs w:val="20"/>
                <w:spacing w:val="13"/>
              </w:rPr>
              <w:t>直</w:t>
            </w:r>
            <w:r>
              <w:rPr>
                <w:sz w:val="20"/>
                <w:szCs w:val="20"/>
                <w:spacing w:val="3"/>
              </w:rPr>
              <w:t xml:space="preserve">  </w:t>
            </w:r>
            <w:r>
              <w:rPr>
                <w:sz w:val="20"/>
                <w:szCs w:val="20"/>
                <w:spacing w:val="11"/>
              </w:rPr>
              <w:t>接催化燃烧法（</w:t>
            </w:r>
            <w:r>
              <w:rPr>
                <w:rFonts w:ascii="Times New Roman" w:hAnsi="Times New Roman" w:eastAsia="Times New Roman" w:cs="Times New Roman"/>
                <w:sz w:val="20"/>
                <w:szCs w:val="20"/>
              </w:rPr>
              <w:t>CO</w:t>
            </w:r>
            <w:r>
              <w:rPr>
                <w:sz w:val="20"/>
                <w:szCs w:val="20"/>
                <w:spacing w:val="11"/>
              </w:rPr>
              <w:t>）工艺，</w:t>
            </w:r>
            <w:r>
              <w:rPr>
                <w:sz w:val="20"/>
                <w:szCs w:val="20"/>
                <w:spacing w:val="7"/>
              </w:rPr>
              <w:t xml:space="preserve"> </w:t>
            </w:r>
            <w:r>
              <w:rPr>
                <w:sz w:val="20"/>
                <w:szCs w:val="20"/>
                <w:spacing w:val="10"/>
              </w:rPr>
              <w:t>应根据废气排放特征，按照</w:t>
            </w:r>
            <w:r>
              <w:rPr>
                <w:sz w:val="20"/>
                <w:szCs w:val="20"/>
              </w:rPr>
              <w:t xml:space="preserve">  </w:t>
            </w:r>
            <w:r>
              <w:rPr>
                <w:sz w:val="20"/>
                <w:szCs w:val="20"/>
                <w:spacing w:val="10"/>
              </w:rPr>
              <w:t>相关工程技术规范设计净化</w:t>
            </w:r>
            <w:r>
              <w:rPr>
                <w:sz w:val="20"/>
                <w:szCs w:val="20"/>
              </w:rPr>
              <w:t xml:space="preserve">  </w:t>
            </w:r>
            <w:r>
              <w:rPr>
                <w:sz w:val="20"/>
                <w:szCs w:val="20"/>
                <w:spacing w:val="10"/>
              </w:rPr>
              <w:t>工艺和设备，使废气在吸附</w:t>
            </w:r>
            <w:r>
              <w:rPr>
                <w:sz w:val="20"/>
                <w:szCs w:val="20"/>
              </w:rPr>
              <w:t xml:space="preserve">  </w:t>
            </w:r>
            <w:r>
              <w:rPr>
                <w:sz w:val="20"/>
                <w:szCs w:val="20"/>
                <w:spacing w:val="9"/>
              </w:rPr>
              <w:t>装置中有足够的停留时间， </w:t>
            </w:r>
            <w:r>
              <w:rPr>
                <w:sz w:val="20"/>
                <w:szCs w:val="20"/>
                <w:spacing w:val="10"/>
              </w:rPr>
              <w:t>选择符合相关产品质量标准</w:t>
            </w:r>
            <w:r>
              <w:rPr>
                <w:sz w:val="20"/>
                <w:szCs w:val="20"/>
              </w:rPr>
              <w:t xml:space="preserve">  </w:t>
            </w:r>
            <w:r>
              <w:rPr>
                <w:sz w:val="20"/>
                <w:szCs w:val="20"/>
              </w:rPr>
              <w:t>的活性炭吸附，并足额充填、</w:t>
            </w:r>
            <w:r>
              <w:rPr>
                <w:sz w:val="20"/>
                <w:szCs w:val="20"/>
                <w:spacing w:val="6"/>
              </w:rPr>
              <w:t xml:space="preserve"> </w:t>
            </w:r>
            <w:r>
              <w:rPr>
                <w:sz w:val="20"/>
                <w:szCs w:val="20"/>
                <w:spacing w:val="10"/>
              </w:rPr>
              <w:t>及时更换。采用颗粒活性炭</w:t>
            </w:r>
            <w:r>
              <w:rPr>
                <w:sz w:val="20"/>
                <w:szCs w:val="20"/>
              </w:rPr>
              <w:t xml:space="preserve">  </w:t>
            </w:r>
            <w:r>
              <w:rPr>
                <w:sz w:val="20"/>
                <w:szCs w:val="20"/>
                <w:spacing w:val="10"/>
              </w:rPr>
              <w:t>作为吸附剂时，其碘值不低</w:t>
            </w:r>
            <w:r>
              <w:rPr>
                <w:sz w:val="20"/>
                <w:szCs w:val="20"/>
              </w:rPr>
              <w:t xml:space="preserve">  </w:t>
            </w:r>
            <w:r>
              <w:rPr>
                <w:sz w:val="20"/>
                <w:szCs w:val="20"/>
                <w:spacing w:val="1"/>
              </w:rPr>
              <w:t>于</w:t>
            </w:r>
            <w:r>
              <w:rPr>
                <w:rFonts w:ascii="Times New Roman" w:hAnsi="Times New Roman" w:eastAsia="Times New Roman" w:cs="Times New Roman"/>
                <w:sz w:val="20"/>
                <w:szCs w:val="20"/>
                <w:spacing w:val="1"/>
              </w:rPr>
              <w:t>800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1"/>
              </w:rPr>
              <w:t>/g</w:t>
            </w:r>
            <w:r>
              <w:rPr>
                <w:sz w:val="20"/>
                <w:szCs w:val="20"/>
                <w:spacing w:val="1"/>
              </w:rPr>
              <w:t>；采用蜂窝活性炭 </w:t>
            </w:r>
            <w:r>
              <w:rPr>
                <w:sz w:val="20"/>
                <w:szCs w:val="20"/>
                <w:spacing w:val="10"/>
              </w:rPr>
              <w:t>作为吸附剂时，其碘值不低</w:t>
            </w:r>
            <w:r>
              <w:rPr>
                <w:sz w:val="20"/>
                <w:szCs w:val="20"/>
              </w:rPr>
              <w:t xml:space="preserve">  </w:t>
            </w:r>
            <w:r>
              <w:rPr>
                <w:sz w:val="20"/>
                <w:szCs w:val="20"/>
                <w:spacing w:val="12"/>
              </w:rPr>
              <w:t>于</w:t>
            </w:r>
            <w:r>
              <w:rPr>
                <w:rFonts w:ascii="Times New Roman" w:hAnsi="Times New Roman" w:eastAsia="Times New Roman" w:cs="Times New Roman"/>
                <w:sz w:val="20"/>
                <w:szCs w:val="20"/>
                <w:spacing w:val="12"/>
              </w:rPr>
              <w:t>650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12"/>
              </w:rPr>
              <w:t>/g</w:t>
            </w:r>
            <w:r>
              <w:rPr>
                <w:sz w:val="20"/>
                <w:szCs w:val="20"/>
                <w:spacing w:val="12"/>
              </w:rPr>
              <w:t>；催化燃烧装置</w:t>
            </w:r>
          </w:p>
          <w:p>
            <w:pPr>
              <w:pStyle w:val="TableText"/>
              <w:ind w:left="1023" w:right="280" w:hanging="715"/>
              <w:spacing w:before="120" w:line="278" w:lineRule="auto"/>
              <w:rPr>
                <w:sz w:val="20"/>
                <w:szCs w:val="20"/>
              </w:rPr>
            </w:pPr>
            <w:r>
              <w:rPr>
                <w:sz w:val="20"/>
                <w:szCs w:val="20"/>
                <w:spacing w:val="9"/>
              </w:rPr>
              <w:t>（</w:t>
            </w:r>
            <w:r>
              <w:rPr>
                <w:rFonts w:ascii="Times New Roman" w:hAnsi="Times New Roman" w:eastAsia="Times New Roman" w:cs="Times New Roman"/>
                <w:sz w:val="20"/>
                <w:szCs w:val="20"/>
              </w:rPr>
              <w:t>CO</w:t>
            </w:r>
            <w:r>
              <w:rPr>
                <w:sz w:val="20"/>
                <w:szCs w:val="20"/>
                <w:spacing w:val="9"/>
              </w:rPr>
              <w:t>）燃烧温度不低于</w:t>
            </w:r>
            <w:r>
              <w:rPr>
                <w:sz w:val="20"/>
                <w:szCs w:val="20"/>
                <w:spacing w:val="1"/>
              </w:rPr>
              <w:t xml:space="preserve"> </w:t>
            </w:r>
            <w:r>
              <w:rPr>
                <w:rFonts w:ascii="Times New Roman" w:hAnsi="Times New Roman" w:eastAsia="Times New Roman" w:cs="Times New Roman"/>
                <w:sz w:val="20"/>
                <w:szCs w:val="20"/>
                <w:spacing w:val="2"/>
              </w:rPr>
              <w:t>300</w:t>
            </w:r>
            <w:r>
              <w:rPr>
                <w:sz w:val="20"/>
                <w:szCs w:val="20"/>
                <w:spacing w:val="2"/>
              </w:rPr>
              <w:t>℃。</w:t>
            </w:r>
          </w:p>
        </w:tc>
        <w:tc>
          <w:tcPr>
            <w:tcW w:w="472" w:type="dxa"/>
            <w:vAlign w:val="top"/>
            <w:textDirection w:val="tbRlV"/>
            <w:tcBorders>
              <w:bottom w:val="single" w:color="000000" w:sz="10" w:space="0"/>
              <w:right w:val="single" w:color="000000" w:sz="10" w:space="0"/>
            </w:tcBorders>
          </w:tcPr>
          <w:p>
            <w:pPr>
              <w:pStyle w:val="TableText"/>
              <w:ind w:left="6230"/>
              <w:spacing w:before="113" w:line="215" w:lineRule="auto"/>
              <w:rPr>
                <w:sz w:val="20"/>
                <w:szCs w:val="20"/>
              </w:rPr>
            </w:pPr>
            <w:r>
              <w:rPr>
                <w:sz w:val="20"/>
                <w:szCs w:val="20"/>
                <w:spacing w:val="8"/>
              </w:rPr>
              <w:t>符</w:t>
            </w:r>
            <w:r>
              <w:rPr>
                <w:sz w:val="20"/>
                <w:szCs w:val="20"/>
                <w:spacing w:val="51"/>
              </w:rPr>
              <w:t xml:space="preserve"> </w:t>
            </w:r>
            <w:r>
              <w:rPr>
                <w:sz w:val="20"/>
                <w:szCs w:val="20"/>
                <w:spacing w:val="8"/>
              </w:rPr>
              <w:t>合</w:t>
            </w:r>
          </w:p>
        </w:tc>
      </w:tr>
    </w:tbl>
    <w:p>
      <w:pPr>
        <w:pStyle w:val="BodyText"/>
        <w:rPr/>
      </w:pPr>
      <w:r/>
    </w:p>
    <w:p>
      <w:pPr>
        <w:sectPr>
          <w:footerReference w:type="default" r:id="rId26"/>
          <w:pgSz w:w="11906" w:h="16839"/>
          <w:pgMar w:top="400" w:right="1681" w:bottom="1211" w:left="1680" w:header="0" w:footer="1049" w:gutter="0"/>
        </w:sectPr>
        <w:rPr/>
      </w:pPr>
    </w:p>
    <w:p>
      <w:pPr>
        <w:spacing w:before="19"/>
        <w:rPr/>
      </w:pPr>
      <w:r/>
    </w:p>
    <w:p>
      <w:pPr>
        <w:spacing w:before="19"/>
        <w:rPr/>
      </w:pPr>
      <w:r/>
    </w:p>
    <w:p>
      <w:pPr>
        <w:spacing w:before="18"/>
        <w:rPr/>
      </w:pPr>
      <w:r/>
    </w:p>
    <w:p>
      <w:pPr>
        <w:spacing w:before="18"/>
        <w:rPr/>
      </w:pPr>
      <w:r/>
    </w:p>
    <w:tbl>
      <w:tblPr>
        <w:tblStyle w:val="TableNormal"/>
        <w:tblW w:w="8518"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48"/>
        <w:gridCol w:w="4643"/>
        <w:gridCol w:w="2755"/>
        <w:gridCol w:w="472"/>
      </w:tblGrid>
      <w:tr>
        <w:trPr>
          <w:trHeight w:val="349" w:hRule="atLeast"/>
        </w:trPr>
        <w:tc>
          <w:tcPr>
            <w:tcW w:w="648" w:type="dxa"/>
            <w:vAlign w:val="top"/>
            <w:tcBorders>
              <w:left w:val="single" w:color="000000" w:sz="10" w:space="0"/>
              <w:top w:val="single" w:color="000000" w:sz="10" w:space="0"/>
            </w:tcBorders>
          </w:tcPr>
          <w:p>
            <w:pPr>
              <w:rPr>
                <w:rFonts w:ascii="Arial"/>
                <w:sz w:val="21"/>
              </w:rPr>
            </w:pPr>
            <w:r/>
          </w:p>
        </w:tc>
        <w:tc>
          <w:tcPr>
            <w:tcW w:w="4643" w:type="dxa"/>
            <w:vAlign w:val="top"/>
            <w:tcBorders>
              <w:top w:val="single" w:color="000000" w:sz="10" w:space="0"/>
            </w:tcBorders>
          </w:tcPr>
          <w:p>
            <w:pPr>
              <w:pStyle w:val="TableText"/>
              <w:ind w:left="1064"/>
              <w:spacing w:before="94" w:line="226" w:lineRule="auto"/>
              <w:rPr>
                <w:sz w:val="20"/>
                <w:szCs w:val="20"/>
              </w:rPr>
            </w:pPr>
            <w:r>
              <w:rPr>
                <w:sz w:val="20"/>
                <w:szCs w:val="20"/>
                <w:spacing w:val="8"/>
              </w:rPr>
              <w:t>温度参数应自动记录存储。</w:t>
            </w:r>
          </w:p>
        </w:tc>
        <w:tc>
          <w:tcPr>
            <w:tcW w:w="2755" w:type="dxa"/>
            <w:vAlign w:val="top"/>
            <w:tcBorders>
              <w:top w:val="single" w:color="000000" w:sz="10" w:space="0"/>
            </w:tcBorders>
          </w:tcPr>
          <w:p>
            <w:pPr>
              <w:rPr>
                <w:rFonts w:ascii="Arial"/>
                <w:sz w:val="21"/>
              </w:rPr>
            </w:pPr>
            <w:r/>
          </w:p>
        </w:tc>
        <w:tc>
          <w:tcPr>
            <w:tcW w:w="472" w:type="dxa"/>
            <w:vAlign w:val="top"/>
            <w:tcBorders>
              <w:right w:val="single" w:color="000000" w:sz="10" w:space="0"/>
              <w:top w:val="single" w:color="000000" w:sz="10" w:space="0"/>
            </w:tcBorders>
          </w:tcPr>
          <w:p>
            <w:pPr>
              <w:rPr>
                <w:rFonts w:ascii="Arial"/>
                <w:sz w:val="21"/>
              </w:rPr>
            </w:pPr>
            <w:r/>
          </w:p>
        </w:tc>
      </w:tr>
      <w:tr>
        <w:trPr>
          <w:trHeight w:val="2520" w:hRule="atLeast"/>
        </w:trPr>
        <w:tc>
          <w:tcPr>
            <w:tcW w:w="648" w:type="dxa"/>
            <w:vAlign w:val="top"/>
            <w:vMerge w:val="restart"/>
            <w:tcBorders>
              <w:left w:val="single" w:color="000000" w:sz="10" w:space="0"/>
              <w:bottom w:val="nil"/>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08" w:right="118" w:firstLine="1"/>
              <w:spacing w:before="65" w:line="306" w:lineRule="auto"/>
              <w:rPr>
                <w:sz w:val="20"/>
                <w:szCs w:val="20"/>
              </w:rPr>
            </w:pPr>
            <w:r>
              <w:rPr>
                <w:sz w:val="20"/>
                <w:szCs w:val="20"/>
                <w:spacing w:val="2"/>
              </w:rPr>
              <w:t>九、</w:t>
            </w:r>
            <w:r>
              <w:rPr>
                <w:sz w:val="20"/>
                <w:szCs w:val="20"/>
              </w:rPr>
              <w:t xml:space="preserve"> </w:t>
            </w:r>
            <w:r>
              <w:rPr>
                <w:sz w:val="20"/>
                <w:szCs w:val="20"/>
                <w:spacing w:val="3"/>
              </w:rPr>
              <w:t>非正</w:t>
            </w:r>
            <w:r>
              <w:rPr>
                <w:sz w:val="20"/>
                <w:szCs w:val="20"/>
              </w:rPr>
              <w:t xml:space="preserve"> </w:t>
            </w:r>
            <w:r>
              <w:rPr>
                <w:sz w:val="20"/>
                <w:szCs w:val="20"/>
                <w:spacing w:val="3"/>
              </w:rPr>
              <w:t>常工</w:t>
            </w:r>
            <w:r>
              <w:rPr>
                <w:sz w:val="20"/>
                <w:szCs w:val="20"/>
              </w:rPr>
              <w:t xml:space="preserve"> </w:t>
            </w:r>
            <w:r>
              <w:rPr>
                <w:sz w:val="20"/>
                <w:szCs w:val="20"/>
                <w:spacing w:val="35"/>
                <w:w w:val="134"/>
              </w:rPr>
              <w:t>况</w:t>
            </w:r>
          </w:p>
        </w:tc>
        <w:tc>
          <w:tcPr>
            <w:tcW w:w="4643" w:type="dxa"/>
            <w:vAlign w:val="top"/>
          </w:tcPr>
          <w:p>
            <w:pPr>
              <w:spacing w:line="402" w:lineRule="auto"/>
              <w:rPr>
                <w:rFonts w:ascii="Arial"/>
                <w:sz w:val="21"/>
              </w:rPr>
            </w:pPr>
            <w:r/>
          </w:p>
          <w:p>
            <w:pPr>
              <w:pStyle w:val="TableText"/>
              <w:ind w:left="104" w:right="103" w:firstLine="11"/>
              <w:spacing w:before="65" w:line="297" w:lineRule="auto"/>
              <w:rPr>
                <w:sz w:val="20"/>
                <w:szCs w:val="20"/>
              </w:rPr>
            </w:pPr>
            <w:r>
              <w:rPr>
                <w:sz w:val="20"/>
                <w:szCs w:val="20"/>
                <w:spacing w:val="10"/>
              </w:rPr>
              <w:t>存在的突出问题。开停工、检维修、设备调试、</w:t>
            </w:r>
            <w:r>
              <w:rPr>
                <w:sz w:val="20"/>
                <w:szCs w:val="20"/>
                <w:spacing w:val="4"/>
              </w:rPr>
              <w:t xml:space="preserve"> </w:t>
            </w:r>
            <w:r>
              <w:rPr>
                <w:sz w:val="20"/>
                <w:szCs w:val="20"/>
                <w:spacing w:val="6"/>
              </w:rPr>
              <w:t>生产异常等非正常工况</w:t>
            </w:r>
            <w:r>
              <w:rPr>
                <w:rFonts w:ascii="Times New Roman" w:hAnsi="Times New Roman" w:eastAsia="Times New Roman" w:cs="Times New Roman"/>
                <w:sz w:val="20"/>
                <w:szCs w:val="20"/>
              </w:rPr>
              <w:t>VOCs</w:t>
            </w:r>
            <w:r>
              <w:rPr>
                <w:sz w:val="20"/>
                <w:szCs w:val="20"/>
                <w:spacing w:val="6"/>
              </w:rPr>
              <w:t>管控不到位；部分企</w:t>
            </w:r>
            <w:r>
              <w:rPr>
                <w:sz w:val="20"/>
                <w:szCs w:val="20"/>
                <w:spacing w:val="15"/>
              </w:rPr>
              <w:t xml:space="preserve"> </w:t>
            </w:r>
            <w:r>
              <w:rPr>
                <w:sz w:val="20"/>
                <w:szCs w:val="20"/>
                <w:spacing w:val="10"/>
              </w:rPr>
              <w:t>业清洗、退料、吹扫、放空、晾干等环节敞开式</w:t>
            </w:r>
          </w:p>
          <w:p>
            <w:pPr>
              <w:pStyle w:val="TableText"/>
              <w:ind w:left="275" w:right="119" w:hanging="157"/>
              <w:spacing w:before="113" w:line="280" w:lineRule="auto"/>
              <w:rPr>
                <w:sz w:val="20"/>
                <w:szCs w:val="20"/>
              </w:rPr>
            </w:pPr>
            <w:r>
              <w:rPr>
                <w:sz w:val="20"/>
                <w:szCs w:val="20"/>
                <w:spacing w:val="9"/>
              </w:rPr>
              <w:t>作业，</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9"/>
              </w:rPr>
              <w:t xml:space="preserve">  </w:t>
            </w:r>
            <w:r>
              <w:rPr>
                <w:sz w:val="20"/>
                <w:szCs w:val="20"/>
                <w:spacing w:val="9"/>
              </w:rPr>
              <w:t>直排；部分企业火炬系统监控不到</w:t>
            </w:r>
            <w:r>
              <w:rPr>
                <w:sz w:val="20"/>
                <w:szCs w:val="20"/>
                <w:spacing w:val="18"/>
              </w:rPr>
              <w:t xml:space="preserve"> </w:t>
            </w:r>
            <w:r>
              <w:rPr>
                <w:sz w:val="20"/>
                <w:szCs w:val="20"/>
                <w:spacing w:val="10"/>
              </w:rPr>
              <w:t>位，有机废气未充分燃烧，</w:t>
            </w:r>
            <w:r>
              <w:rPr>
                <w:rFonts w:ascii="Times New Roman" w:hAnsi="Times New Roman" w:eastAsia="Times New Roman" w:cs="Times New Roman"/>
                <w:sz w:val="20"/>
                <w:szCs w:val="20"/>
              </w:rPr>
              <w:t>VOCs</w:t>
            </w:r>
            <w:r>
              <w:rPr>
                <w:sz w:val="20"/>
                <w:szCs w:val="20"/>
                <w:spacing w:val="10"/>
              </w:rPr>
              <w:t>大量排放。</w:t>
            </w:r>
          </w:p>
        </w:tc>
        <w:tc>
          <w:tcPr>
            <w:tcW w:w="2755" w:type="dxa"/>
            <w:vAlign w:val="top"/>
          </w:tcPr>
          <w:p>
            <w:pPr>
              <w:pStyle w:val="TableText"/>
              <w:ind w:left="132" w:right="107" w:firstLine="54"/>
              <w:spacing w:before="111" w:line="311" w:lineRule="auto"/>
              <w:jc w:val="both"/>
              <w:rPr>
                <w:sz w:val="20"/>
                <w:szCs w:val="20"/>
              </w:rPr>
            </w:pPr>
            <w:r>
              <w:rPr>
                <w:sz w:val="20"/>
                <w:szCs w:val="20"/>
                <w:spacing w:val="11"/>
              </w:rPr>
              <w:t>非正常工况</w:t>
            </w:r>
            <w:r>
              <w:rPr>
                <w:rFonts w:ascii="Times New Roman" w:hAnsi="Times New Roman" w:eastAsia="Times New Roman" w:cs="Times New Roman"/>
                <w:sz w:val="20"/>
                <w:szCs w:val="20"/>
              </w:rPr>
              <w:t>VOCs</w:t>
            </w:r>
            <w:r>
              <w:rPr>
                <w:sz w:val="20"/>
                <w:szCs w:val="20"/>
                <w:spacing w:val="11"/>
              </w:rPr>
              <w:t>管控做到</w:t>
            </w:r>
            <w:r>
              <w:rPr>
                <w:sz w:val="20"/>
                <w:szCs w:val="20"/>
              </w:rPr>
              <w:t xml:space="preserve"> </w:t>
            </w:r>
            <w:r>
              <w:rPr>
                <w:sz w:val="20"/>
                <w:szCs w:val="20"/>
                <w:spacing w:val="8"/>
              </w:rPr>
              <w:t>治理设施较生产设备“先启</w:t>
            </w:r>
            <w:r>
              <w:rPr>
                <w:sz w:val="20"/>
                <w:szCs w:val="20"/>
                <w:spacing w:val="10"/>
              </w:rPr>
              <w:t xml:space="preserve"> </w:t>
            </w:r>
            <w:r>
              <w:rPr>
                <w:sz w:val="20"/>
                <w:szCs w:val="20"/>
                <w:spacing w:val="6"/>
              </w:rPr>
              <w:t>后停</w:t>
            </w:r>
            <w:r>
              <w:rPr>
                <w:sz w:val="20"/>
                <w:szCs w:val="20"/>
                <w:spacing w:val="-63"/>
              </w:rPr>
              <w:t xml:space="preserve"> </w:t>
            </w:r>
            <w:r>
              <w:rPr>
                <w:sz w:val="20"/>
                <w:szCs w:val="20"/>
                <w:spacing w:val="6"/>
              </w:rPr>
              <w:t>”，在治理设施达到正</w:t>
            </w:r>
            <w:r>
              <w:rPr>
                <w:sz w:val="20"/>
                <w:szCs w:val="20"/>
              </w:rPr>
              <w:t xml:space="preserve"> </w:t>
            </w:r>
            <w:r>
              <w:rPr>
                <w:sz w:val="20"/>
                <w:szCs w:val="20"/>
                <w:spacing w:val="8"/>
              </w:rPr>
              <w:t>常运行条件后方可启动生产</w:t>
            </w:r>
            <w:r>
              <w:rPr>
                <w:sz w:val="20"/>
                <w:szCs w:val="20"/>
                <w:spacing w:val="10"/>
              </w:rPr>
              <w:t xml:space="preserve"> </w:t>
            </w:r>
            <w:r>
              <w:rPr>
                <w:sz w:val="20"/>
                <w:szCs w:val="20"/>
                <w:spacing w:val="8"/>
              </w:rPr>
              <w:t>设备，在生产设备停止、残</w:t>
            </w:r>
          </w:p>
          <w:p>
            <w:pPr>
              <w:pStyle w:val="TableText"/>
              <w:ind w:left="237" w:right="162" w:hanging="39"/>
              <w:spacing w:before="113" w:line="277" w:lineRule="auto"/>
              <w:rPr>
                <w:sz w:val="20"/>
                <w:szCs w:val="20"/>
              </w:rPr>
            </w:pPr>
            <w:r>
              <w:rPr>
                <w:sz w:val="20"/>
                <w:szCs w:val="20"/>
                <w:spacing w:val="9"/>
              </w:rPr>
              <w:t>留</w:t>
            </w:r>
            <w:r>
              <w:rPr>
                <w:rFonts w:ascii="Times New Roman" w:hAnsi="Times New Roman" w:eastAsia="Times New Roman" w:cs="Times New Roman"/>
                <w:sz w:val="20"/>
                <w:szCs w:val="20"/>
              </w:rPr>
              <w:t>VOCs</w:t>
            </w:r>
            <w:r>
              <w:rPr>
                <w:sz w:val="20"/>
                <w:szCs w:val="20"/>
                <w:spacing w:val="9"/>
              </w:rPr>
              <w:t>废气收集处理完毕</w:t>
            </w:r>
            <w:r>
              <w:rPr>
                <w:sz w:val="20"/>
                <w:szCs w:val="20"/>
                <w:spacing w:val="6"/>
              </w:rPr>
              <w:t xml:space="preserve"> </w:t>
            </w:r>
            <w:r>
              <w:rPr>
                <w:sz w:val="20"/>
                <w:szCs w:val="20"/>
                <w:spacing w:val="7"/>
              </w:rPr>
              <w:t>后，方可停运治理设施。</w:t>
            </w:r>
          </w:p>
        </w:tc>
        <w:tc>
          <w:tcPr>
            <w:tcW w:w="472" w:type="dxa"/>
            <w:vAlign w:val="top"/>
            <w:textDirection w:val="tbRlV"/>
            <w:tcBorders>
              <w:right w:val="single" w:color="000000" w:sz="10" w:space="0"/>
            </w:tcBorders>
          </w:tcPr>
          <w:p>
            <w:pPr>
              <w:pStyle w:val="TableText"/>
              <w:ind w:left="1009"/>
              <w:spacing w:before="113" w:line="215" w:lineRule="auto"/>
              <w:rPr>
                <w:sz w:val="20"/>
                <w:szCs w:val="20"/>
              </w:rPr>
            </w:pPr>
            <w:r>
              <w:rPr>
                <w:sz w:val="20"/>
                <w:szCs w:val="20"/>
                <w:spacing w:val="8"/>
              </w:rPr>
              <w:t>符</w:t>
            </w:r>
            <w:r>
              <w:rPr>
                <w:sz w:val="20"/>
                <w:szCs w:val="20"/>
                <w:spacing w:val="51"/>
              </w:rPr>
              <w:t xml:space="preserve"> </w:t>
            </w:r>
            <w:r>
              <w:rPr>
                <w:sz w:val="20"/>
                <w:szCs w:val="20"/>
                <w:spacing w:val="8"/>
              </w:rPr>
              <w:t>合</w:t>
            </w:r>
          </w:p>
        </w:tc>
      </w:tr>
      <w:tr>
        <w:trPr>
          <w:trHeight w:val="10089" w:hRule="atLeast"/>
        </w:trPr>
        <w:tc>
          <w:tcPr>
            <w:tcW w:w="648" w:type="dxa"/>
            <w:vAlign w:val="top"/>
            <w:vMerge w:val="continue"/>
            <w:tcBorders>
              <w:left w:val="single" w:color="000000" w:sz="10" w:space="0"/>
              <w:bottom w:val="single" w:color="000000" w:sz="10" w:space="0"/>
              <w:top w:val="nil"/>
            </w:tcBorders>
          </w:tcPr>
          <w:p>
            <w:pPr>
              <w:rPr>
                <w:rFonts w:ascii="Arial"/>
                <w:sz w:val="21"/>
              </w:rPr>
            </w:pPr>
            <w:r/>
          </w:p>
        </w:tc>
        <w:tc>
          <w:tcPr>
            <w:tcW w:w="4643" w:type="dxa"/>
            <w:vAlign w:val="top"/>
            <w:tcBorders>
              <w:bottom w:val="single" w:color="000000" w:sz="10" w:space="0"/>
            </w:tcBorders>
          </w:tcPr>
          <w:p>
            <w:pPr>
              <w:pStyle w:val="TableText"/>
              <w:ind w:left="105" w:right="32" w:firstLine="16"/>
              <w:spacing w:before="117" w:line="324" w:lineRule="auto"/>
              <w:rPr>
                <w:sz w:val="20"/>
                <w:szCs w:val="20"/>
              </w:rPr>
            </w:pPr>
            <w:r>
              <w:rPr>
                <w:sz w:val="20"/>
                <w:szCs w:val="20"/>
                <w:spacing w:val="9"/>
              </w:rPr>
              <w:t>治理要求。石化、化工企业提前向当地生态环境</w:t>
            </w:r>
            <w:r>
              <w:rPr>
                <w:sz w:val="20"/>
                <w:szCs w:val="20"/>
                <w:spacing w:val="2"/>
              </w:rPr>
              <w:t xml:space="preserve">  </w:t>
            </w:r>
            <w:r>
              <w:rPr>
                <w:sz w:val="20"/>
                <w:szCs w:val="20"/>
                <w:spacing w:val="6"/>
              </w:rPr>
              <w:t>部门报告检维修计划，制定非正常工况</w:t>
            </w:r>
            <w:r>
              <w:rPr>
                <w:rFonts w:ascii="Times New Roman" w:hAnsi="Times New Roman" w:eastAsia="Times New Roman" w:cs="Times New Roman"/>
                <w:sz w:val="20"/>
                <w:szCs w:val="20"/>
              </w:rPr>
              <w:t>VOCs</w:t>
            </w:r>
            <w:r>
              <w:rPr>
                <w:sz w:val="20"/>
                <w:szCs w:val="20"/>
                <w:spacing w:val="6"/>
              </w:rPr>
              <w:t>管控 </w:t>
            </w:r>
            <w:r>
              <w:rPr>
                <w:sz w:val="20"/>
                <w:szCs w:val="20"/>
                <w:spacing w:val="10"/>
              </w:rPr>
              <w:t>规程，严格按照规程进行操作。企业开停工、检</w:t>
            </w:r>
            <w:r>
              <w:rPr>
                <w:sz w:val="20"/>
                <w:szCs w:val="20"/>
              </w:rPr>
              <w:t xml:space="preserve">  </w:t>
            </w:r>
            <w:r>
              <w:rPr>
                <w:sz w:val="20"/>
                <w:szCs w:val="20"/>
                <w:spacing w:val="5"/>
              </w:rPr>
              <w:t>维修期间，退料、清洗、吹扫等作业产生的</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5"/>
              </w:rPr>
              <w:t xml:space="preserve">  </w:t>
            </w:r>
            <w:r>
              <w:rPr>
                <w:sz w:val="20"/>
                <w:szCs w:val="20"/>
                <w:spacing w:val="10"/>
              </w:rPr>
              <w:t>废气应及时收集处理，确保满足标准要求。停工</w:t>
            </w:r>
            <w:r>
              <w:rPr>
                <w:sz w:val="20"/>
                <w:szCs w:val="20"/>
              </w:rPr>
              <w:t xml:space="preserve">  </w:t>
            </w:r>
            <w:r>
              <w:rPr>
                <w:sz w:val="20"/>
                <w:szCs w:val="20"/>
                <w:spacing w:val="10"/>
              </w:rPr>
              <w:t>退料时应密闭吹扫，最大化回收物料；产生的不</w:t>
            </w:r>
            <w:r>
              <w:rPr>
                <w:sz w:val="20"/>
                <w:szCs w:val="20"/>
              </w:rPr>
              <w:t xml:space="preserve">  </w:t>
            </w:r>
            <w:r>
              <w:rPr>
                <w:sz w:val="20"/>
                <w:szCs w:val="20"/>
                <w:spacing w:val="10"/>
              </w:rPr>
              <w:t>凝气应分类进入管网，通过加热炉、火炬系统、 </w:t>
            </w:r>
            <w:r>
              <w:rPr>
                <w:sz w:val="20"/>
                <w:szCs w:val="20"/>
                <w:spacing w:val="10"/>
              </w:rPr>
              <w:t>治理设施或带有恶臭和</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10"/>
              </w:rPr>
              <w:t xml:space="preserve">  </w:t>
            </w:r>
            <w:r>
              <w:rPr>
                <w:sz w:val="20"/>
                <w:szCs w:val="20"/>
                <w:spacing w:val="10"/>
              </w:rPr>
              <w:t>废气治理装置的污</w:t>
            </w:r>
            <w:r>
              <w:rPr>
                <w:sz w:val="20"/>
                <w:szCs w:val="20"/>
                <w:spacing w:val="5"/>
              </w:rPr>
              <w:t xml:space="preserve">  </w:t>
            </w:r>
            <w:r>
              <w:rPr>
                <w:sz w:val="20"/>
                <w:szCs w:val="20"/>
                <w:spacing w:val="4"/>
              </w:rPr>
              <w:t>油罐、污水处理设施、酸性水罐等进行收集处置。</w:t>
            </w:r>
            <w:r>
              <w:rPr>
                <w:sz w:val="20"/>
                <w:szCs w:val="20"/>
                <w:spacing w:val="11"/>
              </w:rPr>
              <w:t xml:space="preserve"> </w:t>
            </w:r>
            <w:r>
              <w:rPr>
                <w:sz w:val="20"/>
                <w:szCs w:val="20"/>
                <w:spacing w:val="10"/>
              </w:rPr>
              <w:t>在难以建立蒸罐、清洗、吹扫产物密闭排放管网</w:t>
            </w:r>
            <w:r>
              <w:rPr>
                <w:sz w:val="20"/>
                <w:szCs w:val="20"/>
              </w:rPr>
              <w:t xml:space="preserve">  </w:t>
            </w:r>
            <w:r>
              <w:rPr>
                <w:sz w:val="20"/>
                <w:szCs w:val="20"/>
                <w:spacing w:val="10"/>
              </w:rPr>
              <w:t>的情况下，可采用移动式设备处理检维修过程排</w:t>
            </w:r>
            <w:r>
              <w:rPr>
                <w:sz w:val="20"/>
                <w:szCs w:val="20"/>
              </w:rPr>
              <w:t xml:space="preserve">  </w:t>
            </w:r>
            <w:r>
              <w:rPr>
                <w:sz w:val="20"/>
                <w:szCs w:val="20"/>
                <w:spacing w:val="10"/>
              </w:rPr>
              <w:t>放的废气。蒸罐、清洗、吹扫产物全部处置完毕</w:t>
            </w:r>
            <w:r>
              <w:rPr>
                <w:sz w:val="20"/>
                <w:szCs w:val="20"/>
              </w:rPr>
              <w:t xml:space="preserve">  </w:t>
            </w:r>
            <w:r>
              <w:rPr>
                <w:sz w:val="20"/>
                <w:szCs w:val="20"/>
                <w:spacing w:val="10"/>
              </w:rPr>
              <w:t>后，方可停运配套治理设施、气柜、火炬等。加</w:t>
            </w:r>
          </w:p>
          <w:p>
            <w:pPr>
              <w:pStyle w:val="TableText"/>
              <w:ind w:left="333"/>
              <w:spacing w:before="113" w:line="228" w:lineRule="auto"/>
              <w:rPr>
                <w:sz w:val="20"/>
                <w:szCs w:val="20"/>
              </w:rPr>
            </w:pPr>
            <w:r>
              <w:rPr>
                <w:sz w:val="20"/>
                <w:szCs w:val="20"/>
                <w:spacing w:val="9"/>
              </w:rPr>
              <w:t>强放空气体</w:t>
            </w:r>
            <w:r>
              <w:rPr>
                <w:rFonts w:ascii="Times New Roman" w:hAnsi="Times New Roman" w:eastAsia="Times New Roman" w:cs="Times New Roman"/>
                <w:sz w:val="20"/>
                <w:szCs w:val="20"/>
              </w:rPr>
              <w:t>VOCs</w:t>
            </w:r>
            <w:r>
              <w:rPr>
                <w:sz w:val="20"/>
                <w:szCs w:val="20"/>
                <w:spacing w:val="9"/>
              </w:rPr>
              <w:t>浓度监测，一般低于</w:t>
            </w:r>
            <w:r>
              <w:rPr>
                <w:rFonts w:ascii="Times New Roman" w:hAnsi="Times New Roman" w:eastAsia="Times New Roman" w:cs="Times New Roman"/>
                <w:sz w:val="20"/>
                <w:szCs w:val="20"/>
                <w:spacing w:val="9"/>
              </w:rPr>
              <w:t>200</w:t>
            </w:r>
            <w:r>
              <w:rPr>
                <w:sz w:val="20"/>
                <w:szCs w:val="20"/>
                <w:spacing w:val="9"/>
              </w:rPr>
              <w:t>μ</w:t>
            </w:r>
          </w:p>
          <w:p>
            <w:pPr>
              <w:pStyle w:val="TableText"/>
              <w:ind w:left="102" w:right="48" w:hanging="6"/>
              <w:spacing w:before="110" w:line="323" w:lineRule="auto"/>
              <w:rPr>
                <w:sz w:val="20"/>
                <w:szCs w:val="20"/>
              </w:rPr>
            </w:pPr>
            <w:r>
              <w:rPr>
                <w:rFonts w:ascii="Times New Roman" w:hAnsi="Times New Roman" w:eastAsia="Times New Roman" w:cs="Times New Roman"/>
                <w:sz w:val="20"/>
                <w:szCs w:val="20"/>
              </w:rPr>
              <w:t>mol</w:t>
            </w:r>
            <w:r>
              <w:rPr>
                <w:rFonts w:ascii="Times New Roman" w:hAnsi="Times New Roman" w:eastAsia="Times New Roman" w:cs="Times New Roman"/>
                <w:sz w:val="20"/>
                <w:szCs w:val="20"/>
                <w:spacing w:val="9"/>
              </w:rPr>
              <w:t>/</w:t>
            </w:r>
            <w:r>
              <w:rPr>
                <w:rFonts w:ascii="Times New Roman" w:hAnsi="Times New Roman" w:eastAsia="Times New Roman" w:cs="Times New Roman"/>
                <w:sz w:val="20"/>
                <w:szCs w:val="20"/>
              </w:rPr>
              <w:t>mol</w:t>
            </w:r>
            <w:r>
              <w:rPr>
                <w:sz w:val="20"/>
                <w:szCs w:val="20"/>
                <w:spacing w:val="9"/>
              </w:rPr>
              <w:t>或</w:t>
            </w:r>
            <w:r>
              <w:rPr>
                <w:rFonts w:ascii="Times New Roman" w:hAnsi="Times New Roman" w:eastAsia="Times New Roman" w:cs="Times New Roman"/>
                <w:sz w:val="20"/>
                <w:szCs w:val="20"/>
                <w:spacing w:val="9"/>
              </w:rPr>
              <w:t>0.2%</w:t>
            </w:r>
            <w:r>
              <w:rPr>
                <w:sz w:val="20"/>
                <w:szCs w:val="20"/>
                <w:spacing w:val="9"/>
              </w:rPr>
              <w:t>爆炸下限浓度后再进行放空作业，</w:t>
            </w:r>
            <w:r>
              <w:rPr>
                <w:sz w:val="20"/>
                <w:szCs w:val="20"/>
                <w:spacing w:val="8"/>
              </w:rPr>
              <w:t xml:space="preserve"> </w:t>
            </w:r>
            <w:r>
              <w:rPr>
                <w:sz w:val="20"/>
                <w:szCs w:val="20"/>
                <w:spacing w:val="6"/>
              </w:rPr>
              <w:t>减少设备拆解过程中</w:t>
            </w:r>
            <w:r>
              <w:rPr>
                <w:rFonts w:ascii="Times New Roman" w:hAnsi="Times New Roman" w:eastAsia="Times New Roman" w:cs="Times New Roman"/>
                <w:sz w:val="20"/>
                <w:szCs w:val="20"/>
              </w:rPr>
              <w:t>VOCs</w:t>
            </w:r>
            <w:r>
              <w:rPr>
                <w:sz w:val="20"/>
                <w:szCs w:val="20"/>
                <w:spacing w:val="6"/>
              </w:rPr>
              <w:t>排放。在停工检维修阶</w:t>
            </w:r>
            <w:r>
              <w:rPr>
                <w:sz w:val="20"/>
                <w:szCs w:val="20"/>
                <w:spacing w:val="16"/>
              </w:rPr>
              <w:t xml:space="preserve"> </w:t>
            </w:r>
            <w:r>
              <w:rPr>
                <w:sz w:val="20"/>
                <w:szCs w:val="20"/>
                <w:spacing w:val="9"/>
              </w:rPr>
              <w:t>段，环保装置、气柜、火炬等应在生产装置开车 </w:t>
            </w:r>
            <w:r>
              <w:rPr>
                <w:sz w:val="20"/>
                <w:szCs w:val="20"/>
                <w:spacing w:val="9"/>
              </w:rPr>
              <w:t>前完成检维修；在开机进料时，应将置换出的废 </w:t>
            </w:r>
            <w:r>
              <w:rPr>
                <w:sz w:val="20"/>
                <w:szCs w:val="20"/>
                <w:spacing w:val="9"/>
              </w:rPr>
              <w:t>气排入火炬系统或采用其他有效方法进行处理； </w:t>
            </w:r>
            <w:r>
              <w:rPr>
                <w:sz w:val="20"/>
                <w:szCs w:val="20"/>
                <w:spacing w:val="9"/>
              </w:rPr>
              <w:t>开工初始阶段产生的不合格产品应妥善处理，不 </w:t>
            </w:r>
            <w:r>
              <w:rPr>
                <w:sz w:val="20"/>
                <w:szCs w:val="20"/>
                <w:spacing w:val="9"/>
              </w:rPr>
              <w:t>得直排。企业检维修期间，当地生态环境部门可 </w:t>
            </w:r>
            <w:r>
              <w:rPr>
                <w:sz w:val="20"/>
                <w:szCs w:val="20"/>
                <w:spacing w:val="9"/>
              </w:rPr>
              <w:t>利用走航、网格化监测等方式加强监管，必要时 </w:t>
            </w:r>
            <w:r>
              <w:rPr>
                <w:sz w:val="20"/>
                <w:szCs w:val="20"/>
                <w:spacing w:val="9"/>
              </w:rPr>
              <w:t>可实施驻厂监管。石化、化工企业应加强可燃性 </w:t>
            </w:r>
            <w:r>
              <w:rPr>
                <w:sz w:val="20"/>
                <w:szCs w:val="20"/>
                <w:spacing w:val="4"/>
              </w:rPr>
              <w:t>气体的回收，火炬燃烧装置一般只用于应急</w:t>
            </w:r>
            <w:r>
              <w:rPr>
                <w:sz w:val="20"/>
                <w:szCs w:val="20"/>
                <w:spacing w:val="3"/>
              </w:rPr>
              <w:t>处置，</w:t>
            </w:r>
            <w:r>
              <w:rPr>
                <w:sz w:val="20"/>
                <w:szCs w:val="20"/>
              </w:rPr>
              <w:t xml:space="preserve"> </w:t>
            </w:r>
            <w:r>
              <w:rPr>
                <w:sz w:val="20"/>
                <w:szCs w:val="20"/>
                <w:spacing w:val="10"/>
              </w:rPr>
              <w:t>不作为日常大气污染处理设施；企业应按标准要</w:t>
            </w:r>
          </w:p>
          <w:p>
            <w:pPr>
              <w:pStyle w:val="TableText"/>
              <w:ind w:left="118" w:right="119"/>
              <w:spacing w:before="112" w:line="297" w:lineRule="auto"/>
              <w:jc w:val="both"/>
              <w:rPr>
                <w:sz w:val="20"/>
                <w:szCs w:val="20"/>
              </w:rPr>
            </w:pPr>
            <w:r>
              <w:rPr>
                <w:sz w:val="20"/>
                <w:szCs w:val="20"/>
                <w:spacing w:val="9"/>
              </w:rPr>
              <w:t>求在火炬系统安装温度监控、废气流量计、助燃 </w:t>
            </w:r>
            <w:r>
              <w:rPr>
                <w:sz w:val="20"/>
                <w:szCs w:val="20"/>
                <w:spacing w:val="9"/>
              </w:rPr>
              <w:t>气体流量计等，鼓励安装热值检测仪；火炬排放 </w:t>
            </w:r>
            <w:r>
              <w:rPr>
                <w:sz w:val="20"/>
                <w:szCs w:val="20"/>
                <w:spacing w:val="14"/>
              </w:rPr>
              <w:t>废气热值达不到要求时应及时补充助燃气体。</w:t>
            </w:r>
          </w:p>
        </w:tc>
        <w:tc>
          <w:tcPr>
            <w:tcW w:w="2755" w:type="dxa"/>
            <w:vAlign w:val="top"/>
            <w:tcBorders>
              <w:bottom w:val="single" w:color="000000" w:sz="10" w:space="0"/>
            </w:tcBorders>
          </w:tcPr>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27" w:right="41" w:hanging="6"/>
              <w:spacing w:before="65" w:line="317" w:lineRule="auto"/>
              <w:rPr>
                <w:sz w:val="20"/>
                <w:szCs w:val="20"/>
              </w:rPr>
            </w:pPr>
            <w:r>
              <w:rPr>
                <w:sz w:val="20"/>
                <w:szCs w:val="20"/>
                <w:spacing w:val="-1"/>
              </w:rPr>
              <w:t>项目不属于石化、化工企业，</w:t>
            </w:r>
            <w:r>
              <w:rPr>
                <w:sz w:val="20"/>
                <w:szCs w:val="20"/>
              </w:rPr>
              <w:t xml:space="preserve"> </w:t>
            </w:r>
            <w:r>
              <w:rPr>
                <w:sz w:val="20"/>
                <w:szCs w:val="20"/>
                <w:spacing w:val="10"/>
              </w:rPr>
              <w:t>企业开停工、检维修期间，</w:t>
            </w:r>
            <w:r>
              <w:rPr>
                <w:sz w:val="20"/>
                <w:szCs w:val="20"/>
                <w:spacing w:val="6"/>
              </w:rPr>
              <w:t xml:space="preserve"> </w:t>
            </w:r>
            <w:r>
              <w:rPr>
                <w:sz w:val="20"/>
                <w:szCs w:val="20"/>
                <w:spacing w:val="7"/>
              </w:rPr>
              <w:t>退料、清洗、吹扫等作业产 </w:t>
            </w:r>
            <w:r>
              <w:rPr>
                <w:sz w:val="20"/>
                <w:szCs w:val="20"/>
                <w:spacing w:val="17"/>
              </w:rPr>
              <w:t>生的</w:t>
            </w:r>
            <w:r>
              <w:rPr>
                <w:rFonts w:ascii="Times New Roman" w:hAnsi="Times New Roman" w:eastAsia="Times New Roman" w:cs="Times New Roman"/>
                <w:sz w:val="20"/>
                <w:szCs w:val="20"/>
              </w:rPr>
              <w:t>VOCs</w:t>
            </w:r>
            <w:r>
              <w:rPr>
                <w:sz w:val="20"/>
                <w:szCs w:val="20"/>
                <w:spacing w:val="17"/>
              </w:rPr>
              <w:t>废气应及时收集</w:t>
            </w:r>
            <w:r>
              <w:rPr>
                <w:sz w:val="20"/>
                <w:szCs w:val="20"/>
                <w:spacing w:val="3"/>
              </w:rPr>
              <w:t xml:space="preserve">  </w:t>
            </w:r>
            <w:r>
              <w:rPr>
                <w:sz w:val="20"/>
                <w:szCs w:val="20"/>
                <w:spacing w:val="10"/>
              </w:rPr>
              <w:t>处理，确保满足标准要求。</w:t>
            </w:r>
            <w:r>
              <w:rPr>
                <w:sz w:val="20"/>
                <w:szCs w:val="20"/>
                <w:spacing w:val="9"/>
              </w:rPr>
              <w:t xml:space="preserve"> </w:t>
            </w:r>
            <w:r>
              <w:rPr>
                <w:sz w:val="20"/>
                <w:szCs w:val="20"/>
                <w:spacing w:val="7"/>
              </w:rPr>
              <w:t>在停工检维修阶段，环保装 </w:t>
            </w:r>
            <w:r>
              <w:rPr>
                <w:sz w:val="20"/>
                <w:szCs w:val="20"/>
                <w:spacing w:val="9"/>
              </w:rPr>
              <w:t>置、气柜、火炬等应在生产</w:t>
            </w:r>
          </w:p>
          <w:p>
            <w:pPr>
              <w:pStyle w:val="TableText"/>
              <w:ind w:left="235"/>
              <w:spacing w:before="113" w:line="228" w:lineRule="auto"/>
              <w:rPr>
                <w:sz w:val="20"/>
                <w:szCs w:val="20"/>
              </w:rPr>
            </w:pPr>
            <w:r>
              <w:rPr>
                <w:sz w:val="20"/>
                <w:szCs w:val="20"/>
                <w:spacing w:val="8"/>
              </w:rPr>
              <w:t>装置开车前完成检维修。</w:t>
            </w:r>
          </w:p>
        </w:tc>
        <w:tc>
          <w:tcPr>
            <w:tcW w:w="472" w:type="dxa"/>
            <w:vAlign w:val="top"/>
            <w:textDirection w:val="tbRlV"/>
            <w:tcBorders>
              <w:bottom w:val="single" w:color="000000" w:sz="10" w:space="0"/>
              <w:right w:val="single" w:color="000000" w:sz="10" w:space="0"/>
            </w:tcBorders>
          </w:tcPr>
          <w:p>
            <w:pPr>
              <w:pStyle w:val="TableText"/>
              <w:ind w:left="4794"/>
              <w:spacing w:before="113" w:line="215" w:lineRule="auto"/>
              <w:rPr>
                <w:sz w:val="20"/>
                <w:szCs w:val="20"/>
              </w:rPr>
            </w:pPr>
            <w:r>
              <w:rPr>
                <w:sz w:val="20"/>
                <w:szCs w:val="20"/>
                <w:spacing w:val="8"/>
              </w:rPr>
              <w:t>符</w:t>
            </w:r>
            <w:r>
              <w:rPr>
                <w:sz w:val="20"/>
                <w:szCs w:val="20"/>
                <w:spacing w:val="51"/>
              </w:rPr>
              <w:t xml:space="preserve"> </w:t>
            </w:r>
            <w:r>
              <w:rPr>
                <w:sz w:val="20"/>
                <w:szCs w:val="20"/>
                <w:spacing w:val="8"/>
              </w:rPr>
              <w:t>合</w:t>
            </w:r>
          </w:p>
        </w:tc>
      </w:tr>
    </w:tbl>
    <w:p>
      <w:pPr>
        <w:ind w:left="620"/>
        <w:spacing w:before="196" w:line="219"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12</w:t>
      </w:r>
      <w:r>
        <w:rPr>
          <w:rFonts w:ascii="SimSun" w:hAnsi="SimSun" w:eastAsia="SimSun" w:cs="SimSun"/>
          <w:sz w:val="24"/>
          <w:szCs w:val="24"/>
          <w:spacing w:val="-4"/>
        </w:rPr>
        <w:t>）与《昌吉回族自治州生态环境保护与建设</w:t>
      </w:r>
      <w:r>
        <w:rPr>
          <w:rFonts w:ascii="SimSun" w:hAnsi="SimSun" w:eastAsia="SimSun" w:cs="SimSun"/>
          <w:sz w:val="24"/>
          <w:szCs w:val="24"/>
          <w:spacing w:val="-5"/>
        </w:rPr>
        <w:t>“十四五</w:t>
      </w:r>
      <w:r>
        <w:rPr>
          <w:rFonts w:ascii="SimSun" w:hAnsi="SimSun" w:eastAsia="SimSun" w:cs="SimSun"/>
          <w:sz w:val="24"/>
          <w:szCs w:val="24"/>
          <w:spacing w:val="-88"/>
        </w:rPr>
        <w:t xml:space="preserve"> </w:t>
      </w:r>
      <w:r>
        <w:rPr>
          <w:rFonts w:ascii="SimSun" w:hAnsi="SimSun" w:eastAsia="SimSun" w:cs="SimSun"/>
          <w:sz w:val="24"/>
          <w:szCs w:val="24"/>
          <w:spacing w:val="-5"/>
        </w:rPr>
        <w:t>”规划》符合性分</w:t>
      </w:r>
    </w:p>
    <w:p>
      <w:pPr>
        <w:spacing w:line="219" w:lineRule="auto"/>
        <w:sectPr>
          <w:footerReference w:type="default" r:id="rId27"/>
          <w:pgSz w:w="11906" w:h="16839"/>
          <w:pgMar w:top="400" w:right="1681" w:bottom="1209" w:left="1680" w:header="0" w:footer="1049" w:gutter="0"/>
        </w:sectPr>
        <w:rPr>
          <w:rFonts w:ascii="SimSun" w:hAnsi="SimSun" w:eastAsia="SimSun" w:cs="SimSun"/>
          <w:sz w:val="24"/>
          <w:szCs w:val="24"/>
        </w:rPr>
      </w:pPr>
    </w:p>
    <w:p>
      <w:pPr>
        <w:pStyle w:val="BodyText"/>
        <w:spacing w:line="287" w:lineRule="auto"/>
        <w:rPr/>
      </w:pPr>
      <w:r/>
    </w:p>
    <w:p>
      <w:pPr>
        <w:pStyle w:val="BodyText"/>
        <w:spacing w:line="287" w:lineRule="auto"/>
        <w:rPr/>
      </w:pPr>
      <w:r/>
    </w:p>
    <w:p>
      <w:pPr>
        <w:pStyle w:val="BodyText"/>
        <w:spacing w:line="288" w:lineRule="auto"/>
        <w:rPr/>
      </w:pPr>
      <w:r/>
    </w:p>
    <w:p>
      <w:pPr>
        <w:pStyle w:val="BodyText"/>
        <w:spacing w:line="288" w:lineRule="auto"/>
        <w:rPr/>
      </w:pPr>
      <w:r/>
    </w:p>
    <w:p>
      <w:pPr>
        <w:ind w:left="133"/>
        <w:spacing w:before="78" w:line="220" w:lineRule="auto"/>
        <w:rPr>
          <w:rFonts w:ascii="SimSun" w:hAnsi="SimSun" w:eastAsia="SimSun" w:cs="SimSun"/>
          <w:sz w:val="24"/>
          <w:szCs w:val="24"/>
        </w:rPr>
      </w:pPr>
      <w:r>
        <w:rPr>
          <w:rFonts w:ascii="SimSun" w:hAnsi="SimSun" w:eastAsia="SimSun" w:cs="SimSun"/>
          <w:sz w:val="24"/>
          <w:szCs w:val="24"/>
        </w:rPr>
        <w:t>析</w:t>
      </w:r>
    </w:p>
    <w:p>
      <w:pPr>
        <w:ind w:left="612"/>
        <w:spacing w:before="212" w:line="219" w:lineRule="auto"/>
        <w:rPr>
          <w:rFonts w:ascii="SimSun" w:hAnsi="SimSun" w:eastAsia="SimSun" w:cs="SimSun"/>
          <w:sz w:val="24"/>
          <w:szCs w:val="24"/>
        </w:rPr>
      </w:pPr>
      <w:r>
        <w:rPr>
          <w:rFonts w:ascii="SimSun" w:hAnsi="SimSun" w:eastAsia="SimSun" w:cs="SimSun"/>
          <w:sz w:val="24"/>
          <w:szCs w:val="24"/>
          <w:spacing w:val="-1"/>
        </w:rPr>
        <w:t>本项目涉及的相关条例及条例符合性分析见表</w:t>
      </w:r>
      <w:r>
        <w:rPr>
          <w:rFonts w:ascii="Times New Roman" w:hAnsi="Times New Roman" w:eastAsia="Times New Roman" w:cs="Times New Roman"/>
          <w:sz w:val="24"/>
          <w:szCs w:val="24"/>
          <w:spacing w:val="-1"/>
        </w:rPr>
        <w:t>1.1-7</w:t>
      </w:r>
      <w:r>
        <w:rPr>
          <w:rFonts w:ascii="SimSun" w:hAnsi="SimSun" w:eastAsia="SimSun" w:cs="SimSun"/>
          <w:sz w:val="24"/>
          <w:szCs w:val="24"/>
          <w:spacing w:val="-1"/>
        </w:rPr>
        <w:t>。</w:t>
      </w:r>
    </w:p>
    <w:p>
      <w:pPr>
        <w:ind w:right="2"/>
        <w:spacing w:before="214" w:line="219" w:lineRule="auto"/>
        <w:jc w:val="right"/>
        <w:rPr>
          <w:rFonts w:ascii="SimSun" w:hAnsi="SimSun" w:eastAsia="SimSun" w:cs="SimSun"/>
          <w:sz w:val="24"/>
          <w:szCs w:val="24"/>
        </w:rPr>
      </w:pPr>
      <w:r>
        <w:rPr>
          <w:rFonts w:ascii="SimSun" w:hAnsi="SimSun" w:eastAsia="SimSun" w:cs="SimSun"/>
          <w:sz w:val="24"/>
          <w:szCs w:val="24"/>
          <w:spacing w:val="-8"/>
        </w:rPr>
        <w:t>根据《昌吉回族自治州生态环境保护与建设“十四五</w:t>
      </w:r>
      <w:r>
        <w:rPr>
          <w:rFonts w:ascii="SimSun" w:hAnsi="SimSun" w:eastAsia="SimSun" w:cs="SimSun"/>
          <w:sz w:val="24"/>
          <w:szCs w:val="24"/>
          <w:spacing w:val="-72"/>
        </w:rPr>
        <w:t xml:space="preserve"> </w:t>
      </w:r>
      <w:r>
        <w:rPr>
          <w:rFonts w:ascii="SimSun" w:hAnsi="SimSun" w:eastAsia="SimSun" w:cs="SimSun"/>
          <w:sz w:val="24"/>
          <w:szCs w:val="24"/>
          <w:spacing w:val="-8"/>
        </w:rPr>
        <w:t>”规划》文件对比分析，</w:t>
      </w:r>
    </w:p>
    <w:p>
      <w:pPr>
        <w:ind w:left="132"/>
        <w:spacing w:before="216" w:line="219" w:lineRule="auto"/>
        <w:rPr>
          <w:rFonts w:ascii="SimSun" w:hAnsi="SimSun" w:eastAsia="SimSun" w:cs="SimSun"/>
          <w:sz w:val="24"/>
          <w:szCs w:val="24"/>
        </w:rPr>
      </w:pPr>
      <w:r>
        <w:rPr>
          <w:rFonts w:ascii="SimSun" w:hAnsi="SimSun" w:eastAsia="SimSun" w:cs="SimSun"/>
          <w:sz w:val="24"/>
          <w:szCs w:val="24"/>
          <w:spacing w:val="-1"/>
        </w:rPr>
        <w:t>本项目符合文件相关要求。</w:t>
      </w:r>
    </w:p>
    <w:p>
      <w:pPr>
        <w:ind w:left="4046" w:right="126" w:hanging="3913"/>
        <w:spacing w:before="137" w:line="263" w:lineRule="auto"/>
        <w:rPr>
          <w:rFonts w:ascii="SimSun" w:hAnsi="SimSun" w:eastAsia="SimSun" w:cs="SimSun"/>
          <w:sz w:val="24"/>
          <w:szCs w:val="24"/>
        </w:rPr>
      </w:pPr>
      <w:r>
        <w:rPr>
          <w:rFonts w:ascii="SimSun" w:hAnsi="SimSun" w:eastAsia="SimSun" w:cs="SimSun"/>
          <w:sz w:val="24"/>
          <w:szCs w:val="24"/>
          <w:spacing w:val="-1"/>
        </w:rPr>
        <w:t>表</w:t>
      </w:r>
      <w:r>
        <w:rPr>
          <w:rFonts w:ascii="Times New Roman" w:hAnsi="Times New Roman" w:eastAsia="Times New Roman" w:cs="Times New Roman"/>
          <w:sz w:val="24"/>
          <w:szCs w:val="24"/>
          <w:spacing w:val="-1"/>
        </w:rPr>
        <w:t>1.1-7  </w:t>
      </w:r>
      <w:r>
        <w:rPr>
          <w:rFonts w:ascii="SimSun" w:hAnsi="SimSun" w:eastAsia="SimSun" w:cs="SimSun"/>
          <w:sz w:val="24"/>
          <w:szCs w:val="24"/>
          <w:spacing w:val="-1"/>
        </w:rPr>
        <w:t>与《昌吉回族自治州生态环境保护与建设“十四五</w:t>
      </w:r>
      <w:r>
        <w:rPr>
          <w:rFonts w:ascii="SimSun" w:hAnsi="SimSun" w:eastAsia="SimSun" w:cs="SimSun"/>
          <w:sz w:val="24"/>
          <w:szCs w:val="24"/>
          <w:spacing w:val="-88"/>
        </w:rPr>
        <w:t xml:space="preserve"> </w:t>
      </w:r>
      <w:r>
        <w:rPr>
          <w:rFonts w:ascii="SimSun" w:hAnsi="SimSun" w:eastAsia="SimSun" w:cs="SimSun"/>
          <w:sz w:val="24"/>
          <w:szCs w:val="24"/>
          <w:spacing w:val="-1"/>
        </w:rPr>
        <w:t>”规划》文</w:t>
      </w:r>
      <w:r>
        <w:rPr>
          <w:rFonts w:ascii="SimSun" w:hAnsi="SimSun" w:eastAsia="SimSun" w:cs="SimSun"/>
          <w:sz w:val="24"/>
          <w:szCs w:val="24"/>
          <w:spacing w:val="-2"/>
        </w:rPr>
        <w:t>件符合性</w:t>
      </w:r>
      <w:r>
        <w:rPr>
          <w:rFonts w:ascii="SimSun" w:hAnsi="SimSun" w:eastAsia="SimSun" w:cs="SimSun"/>
          <w:sz w:val="24"/>
          <w:szCs w:val="24"/>
        </w:rPr>
        <w:t xml:space="preserve"> </w:t>
      </w:r>
      <w:r>
        <w:rPr>
          <w:rFonts w:ascii="SimSun" w:hAnsi="SimSun" w:eastAsia="SimSun" w:cs="SimSun"/>
          <w:sz w:val="24"/>
          <w:szCs w:val="24"/>
          <w:spacing w:val="-7"/>
        </w:rPr>
        <w:t>分析</w:t>
      </w:r>
    </w:p>
    <w:tbl>
      <w:tblPr>
        <w:tblStyle w:val="TableNormal"/>
        <w:tblW w:w="8525"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80"/>
        <w:gridCol w:w="4141"/>
        <w:gridCol w:w="3145"/>
        <w:gridCol w:w="659"/>
      </w:tblGrid>
      <w:tr>
        <w:trPr>
          <w:trHeight w:val="728" w:hRule="atLeast"/>
        </w:trPr>
        <w:tc>
          <w:tcPr>
            <w:tcW w:w="580" w:type="dxa"/>
            <w:vAlign w:val="top"/>
            <w:textDirection w:val="tbRlV"/>
            <w:tcBorders>
              <w:left w:val="single" w:color="000000" w:sz="10" w:space="0"/>
              <w:top w:val="single" w:color="000000" w:sz="10" w:space="0"/>
            </w:tcBorders>
          </w:tcPr>
          <w:p>
            <w:pPr>
              <w:pStyle w:val="TableText"/>
              <w:ind w:left="114"/>
              <w:spacing w:before="186" w:line="218" w:lineRule="auto"/>
              <w:rPr>
                <w:sz w:val="20"/>
                <w:szCs w:val="20"/>
              </w:rPr>
            </w:pPr>
            <w:r>
              <w:rPr>
                <w:sz w:val="20"/>
                <w:szCs w:val="20"/>
                <w:spacing w:val="8"/>
              </w:rPr>
              <w:t>序</w:t>
            </w:r>
            <w:r>
              <w:rPr>
                <w:sz w:val="20"/>
                <w:szCs w:val="20"/>
                <w:spacing w:val="51"/>
              </w:rPr>
              <w:t xml:space="preserve"> </w:t>
            </w:r>
            <w:r>
              <w:rPr>
                <w:sz w:val="20"/>
                <w:szCs w:val="20"/>
                <w:spacing w:val="8"/>
              </w:rPr>
              <w:t>号</w:t>
            </w:r>
          </w:p>
        </w:tc>
        <w:tc>
          <w:tcPr>
            <w:tcW w:w="4141" w:type="dxa"/>
            <w:vAlign w:val="top"/>
            <w:tcBorders>
              <w:top w:val="single" w:color="000000" w:sz="10" w:space="0"/>
            </w:tcBorders>
          </w:tcPr>
          <w:p>
            <w:pPr>
              <w:pStyle w:val="TableText"/>
              <w:ind w:left="1677"/>
              <w:spacing w:before="113" w:line="228" w:lineRule="auto"/>
              <w:rPr>
                <w:sz w:val="20"/>
                <w:szCs w:val="20"/>
              </w:rPr>
            </w:pPr>
            <w:r>
              <w:rPr>
                <w:sz w:val="20"/>
                <w:szCs w:val="20"/>
                <w:spacing w:val="1"/>
              </w:rPr>
              <w:t>内容要求</w:t>
            </w:r>
          </w:p>
        </w:tc>
        <w:tc>
          <w:tcPr>
            <w:tcW w:w="3145" w:type="dxa"/>
            <w:vAlign w:val="top"/>
            <w:tcBorders>
              <w:top w:val="single" w:color="000000" w:sz="10" w:space="0"/>
            </w:tcBorders>
          </w:tcPr>
          <w:p>
            <w:pPr>
              <w:pStyle w:val="TableText"/>
              <w:ind w:left="958"/>
              <w:spacing w:before="114" w:line="228" w:lineRule="auto"/>
              <w:rPr>
                <w:sz w:val="20"/>
                <w:szCs w:val="20"/>
              </w:rPr>
            </w:pPr>
            <w:r>
              <w:rPr>
                <w:sz w:val="20"/>
                <w:szCs w:val="20"/>
                <w:spacing w:val="7"/>
              </w:rPr>
              <w:t>项目建设情况</w:t>
            </w:r>
          </w:p>
        </w:tc>
        <w:tc>
          <w:tcPr>
            <w:tcW w:w="659" w:type="dxa"/>
            <w:vAlign w:val="top"/>
            <w:tcBorders>
              <w:right w:val="single" w:color="000000" w:sz="10" w:space="0"/>
              <w:top w:val="single" w:color="000000" w:sz="10" w:space="0"/>
            </w:tcBorders>
          </w:tcPr>
          <w:p>
            <w:pPr>
              <w:pStyle w:val="TableText"/>
              <w:ind w:left="130"/>
              <w:spacing w:before="113" w:line="228" w:lineRule="auto"/>
              <w:rPr>
                <w:sz w:val="20"/>
                <w:szCs w:val="20"/>
              </w:rPr>
            </w:pPr>
            <w:r>
              <w:rPr>
                <w:sz w:val="20"/>
                <w:szCs w:val="20"/>
                <w:spacing w:val="3"/>
              </w:rPr>
              <w:t>符合</w:t>
            </w:r>
          </w:p>
          <w:p>
            <w:pPr>
              <w:pStyle w:val="TableText"/>
              <w:ind w:left="236"/>
              <w:spacing w:before="113" w:line="225" w:lineRule="auto"/>
              <w:rPr>
                <w:sz w:val="20"/>
                <w:szCs w:val="20"/>
              </w:rPr>
            </w:pPr>
            <w:r>
              <w:rPr>
                <w:sz w:val="20"/>
                <w:szCs w:val="20"/>
              </w:rPr>
              <w:t>性</w:t>
            </w:r>
          </w:p>
        </w:tc>
      </w:tr>
      <w:tr>
        <w:trPr>
          <w:trHeight w:val="2878" w:hRule="atLeast"/>
        </w:trPr>
        <w:tc>
          <w:tcPr>
            <w:tcW w:w="580" w:type="dxa"/>
            <w:vAlign w:val="top"/>
            <w:tcBorders>
              <w:left w:val="single" w:color="000000" w:sz="10" w:space="0"/>
            </w:tcBorders>
          </w:tcPr>
          <w:p>
            <w:pPr>
              <w:ind w:left="244"/>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4141" w:type="dxa"/>
            <w:vAlign w:val="top"/>
          </w:tcPr>
          <w:p>
            <w:pPr>
              <w:pStyle w:val="TableText"/>
              <w:ind w:left="103" w:right="85"/>
              <w:spacing w:before="112" w:line="311" w:lineRule="auto"/>
              <w:jc w:val="both"/>
              <w:rPr>
                <w:sz w:val="20"/>
                <w:szCs w:val="20"/>
              </w:rPr>
            </w:pPr>
            <w:r>
              <w:rPr>
                <w:sz w:val="20"/>
                <w:szCs w:val="20"/>
                <w:spacing w:val="6"/>
              </w:rPr>
              <w:t>深化工业污染治理。推进重点行业污染治理</w:t>
            </w:r>
            <w:r>
              <w:rPr>
                <w:sz w:val="20"/>
                <w:szCs w:val="20"/>
                <w:spacing w:val="10"/>
              </w:rPr>
              <w:t xml:space="preserve"> </w:t>
            </w:r>
            <w:r>
              <w:rPr>
                <w:sz w:val="20"/>
                <w:szCs w:val="20"/>
                <w:spacing w:val="4"/>
              </w:rPr>
              <w:t>升级改造。</w:t>
            </w:r>
            <w:r>
              <w:rPr>
                <w:sz w:val="20"/>
                <w:szCs w:val="20"/>
                <w:spacing w:val="-54"/>
              </w:rPr>
              <w:t xml:space="preserve"> </w:t>
            </w:r>
            <w:r>
              <w:rPr>
                <w:rFonts w:ascii="Times New Roman" w:hAnsi="Times New Roman" w:eastAsia="Times New Roman" w:cs="Times New Roman"/>
                <w:sz w:val="20"/>
                <w:szCs w:val="20"/>
                <w:spacing w:val="4"/>
              </w:rPr>
              <w:t>…</w:t>
            </w:r>
            <w:r>
              <w:rPr>
                <w:rFonts w:ascii="Times New Roman" w:hAnsi="Times New Roman" w:eastAsia="Times New Roman" w:cs="Times New Roman"/>
                <w:sz w:val="20"/>
                <w:szCs w:val="20"/>
                <w:spacing w:val="-27"/>
              </w:rPr>
              <w:t xml:space="preserve"> </w:t>
            </w:r>
            <w:r>
              <w:rPr>
                <w:rFonts w:ascii="Times New Roman" w:hAnsi="Times New Roman" w:eastAsia="Times New Roman" w:cs="Times New Roman"/>
                <w:sz w:val="20"/>
                <w:szCs w:val="20"/>
                <w:spacing w:val="4"/>
              </w:rPr>
              <w:t>…</w:t>
            </w:r>
            <w:r>
              <w:rPr>
                <w:sz w:val="20"/>
                <w:szCs w:val="20"/>
                <w:spacing w:val="4"/>
              </w:rPr>
              <w:t>推进铸造、砖瓦、矿物棉、</w:t>
            </w:r>
            <w:r>
              <w:rPr>
                <w:sz w:val="20"/>
                <w:szCs w:val="20"/>
              </w:rPr>
              <w:t xml:space="preserve"> </w:t>
            </w:r>
            <w:r>
              <w:rPr>
                <w:sz w:val="20"/>
                <w:szCs w:val="20"/>
                <w:spacing w:val="6"/>
              </w:rPr>
              <w:t>独立轧钢、炭素、化工、煤炭洗选、包装印</w:t>
            </w:r>
            <w:r>
              <w:rPr>
                <w:sz w:val="20"/>
                <w:szCs w:val="20"/>
                <w:spacing w:val="13"/>
              </w:rPr>
              <w:t xml:space="preserve"> </w:t>
            </w:r>
            <w:r>
              <w:rPr>
                <w:sz w:val="20"/>
                <w:szCs w:val="20"/>
                <w:spacing w:val="6"/>
              </w:rPr>
              <w:t>刷、家具、人造板、橡胶制品、塑料制品等</w:t>
            </w:r>
            <w:r>
              <w:rPr>
                <w:sz w:val="20"/>
                <w:szCs w:val="20"/>
                <w:spacing w:val="13"/>
              </w:rPr>
              <w:t xml:space="preserve"> </w:t>
            </w:r>
            <w:r>
              <w:rPr>
                <w:sz w:val="20"/>
                <w:szCs w:val="20"/>
                <w:spacing w:val="6"/>
              </w:rPr>
              <w:t>企业集群升级改造。持续推进工业源全面达</w:t>
            </w:r>
          </w:p>
          <w:p>
            <w:pPr>
              <w:pStyle w:val="TableText"/>
              <w:ind w:left="1653"/>
              <w:spacing w:before="113" w:line="228" w:lineRule="auto"/>
              <w:rPr>
                <w:sz w:val="20"/>
                <w:szCs w:val="20"/>
              </w:rPr>
            </w:pPr>
            <w:r>
              <w:rPr>
                <w:sz w:val="20"/>
                <w:szCs w:val="20"/>
                <w:spacing w:val="4"/>
              </w:rPr>
              <w:t>标排放。</w:t>
            </w:r>
          </w:p>
        </w:tc>
        <w:tc>
          <w:tcPr>
            <w:tcW w:w="3145" w:type="dxa"/>
            <w:vAlign w:val="top"/>
          </w:tcPr>
          <w:p>
            <w:pPr>
              <w:pStyle w:val="TableText"/>
              <w:ind w:left="114" w:right="95" w:firstLine="1"/>
              <w:spacing w:before="114" w:line="317" w:lineRule="auto"/>
              <w:rPr>
                <w:sz w:val="20"/>
                <w:szCs w:val="20"/>
              </w:rPr>
            </w:pPr>
            <w:r>
              <w:rPr>
                <w:sz w:val="20"/>
                <w:szCs w:val="20"/>
                <w:spacing w:val="9"/>
              </w:rPr>
              <w:t>本项目属于塑料制品业，项目属</w:t>
            </w:r>
            <w:r>
              <w:rPr>
                <w:sz w:val="20"/>
                <w:szCs w:val="20"/>
                <w:spacing w:val="1"/>
              </w:rPr>
              <w:t xml:space="preserve"> </w:t>
            </w:r>
            <w:r>
              <w:rPr>
                <w:sz w:val="20"/>
                <w:szCs w:val="20"/>
                <w:spacing w:val="9"/>
              </w:rPr>
              <w:t>于未批先建项目，经审批后采取</w:t>
            </w:r>
            <w:r>
              <w:rPr>
                <w:sz w:val="20"/>
                <w:szCs w:val="20"/>
                <w:spacing w:val="1"/>
              </w:rPr>
              <w:t xml:space="preserve"> </w:t>
            </w:r>
            <w:r>
              <w:rPr>
                <w:sz w:val="20"/>
                <w:szCs w:val="20"/>
                <w:spacing w:val="9"/>
              </w:rPr>
              <w:t>先进的污染治理设备。项目主要</w:t>
            </w:r>
            <w:r>
              <w:rPr>
                <w:sz w:val="20"/>
                <w:szCs w:val="20"/>
                <w:spacing w:val="1"/>
              </w:rPr>
              <w:t xml:space="preserve"> </w:t>
            </w:r>
            <w:r>
              <w:rPr>
                <w:sz w:val="20"/>
                <w:szCs w:val="20"/>
                <w:spacing w:val="9"/>
              </w:rPr>
              <w:t>污染物为非甲烷总烃废气影响，</w:t>
            </w:r>
            <w:r>
              <w:rPr>
                <w:sz w:val="20"/>
                <w:szCs w:val="20"/>
                <w:spacing w:val="3"/>
              </w:rPr>
              <w:t xml:space="preserve"> </w:t>
            </w:r>
            <w:r>
              <w:rPr>
                <w:sz w:val="20"/>
                <w:szCs w:val="20"/>
                <w:spacing w:val="12"/>
              </w:rPr>
              <w:t>采取“活性炭吸附</w:t>
            </w:r>
            <w:r>
              <w:rPr>
                <w:rFonts w:ascii="Times New Roman" w:hAnsi="Times New Roman" w:eastAsia="Times New Roman" w:cs="Times New Roman"/>
                <w:sz w:val="20"/>
                <w:szCs w:val="20"/>
                <w:spacing w:val="12"/>
              </w:rPr>
              <w:t>+</w:t>
            </w:r>
            <w:r>
              <w:rPr>
                <w:sz w:val="20"/>
                <w:szCs w:val="20"/>
                <w:spacing w:val="12"/>
              </w:rPr>
              <w:t>直接催化燃</w:t>
            </w:r>
            <w:r>
              <w:rPr>
                <w:sz w:val="20"/>
                <w:szCs w:val="20"/>
                <w:spacing w:val="3"/>
              </w:rPr>
              <w:t xml:space="preserve"> </w:t>
            </w:r>
            <w:r>
              <w:rPr>
                <w:sz w:val="20"/>
                <w:szCs w:val="20"/>
                <w:spacing w:val="4"/>
              </w:rPr>
              <w:t>烧法（</w:t>
            </w:r>
            <w:r>
              <w:rPr>
                <w:rFonts w:ascii="Times New Roman" w:hAnsi="Times New Roman" w:eastAsia="Times New Roman" w:cs="Times New Roman"/>
                <w:sz w:val="20"/>
                <w:szCs w:val="20"/>
              </w:rPr>
              <w:t>CO</w:t>
            </w:r>
            <w:r>
              <w:rPr>
                <w:sz w:val="20"/>
                <w:szCs w:val="20"/>
                <w:spacing w:val="4"/>
              </w:rPr>
              <w:t>）”治理措施，经计算</w:t>
            </w:r>
            <w:r>
              <w:rPr>
                <w:sz w:val="20"/>
                <w:szCs w:val="20"/>
              </w:rPr>
              <w:t xml:space="preserve"> </w:t>
            </w:r>
            <w:r>
              <w:rPr>
                <w:sz w:val="20"/>
                <w:szCs w:val="20"/>
                <w:spacing w:val="9"/>
              </w:rPr>
              <w:t>结果显示，污染物可实现达标排</w:t>
            </w:r>
          </w:p>
          <w:p>
            <w:pPr>
              <w:pStyle w:val="TableText"/>
              <w:ind w:left="1375"/>
              <w:spacing w:before="112" w:line="219" w:lineRule="auto"/>
              <w:rPr>
                <w:sz w:val="20"/>
                <w:szCs w:val="20"/>
              </w:rPr>
            </w:pPr>
            <w:r>
              <w:rPr>
                <w:sz w:val="20"/>
                <w:szCs w:val="20"/>
              </w:rPr>
              <w:t>放。</w:t>
            </w:r>
          </w:p>
        </w:tc>
        <w:tc>
          <w:tcPr>
            <w:tcW w:w="659" w:type="dxa"/>
            <w:vAlign w:val="top"/>
            <w:tcBorders>
              <w:right w:val="single" w:color="000000" w:sz="10" w:space="0"/>
            </w:tcBorders>
          </w:tcPr>
          <w:p>
            <w:pPr>
              <w:pStyle w:val="TableText"/>
              <w:ind w:left="130"/>
              <w:spacing w:before="110" w:line="228" w:lineRule="auto"/>
              <w:rPr>
                <w:sz w:val="20"/>
                <w:szCs w:val="20"/>
              </w:rPr>
            </w:pPr>
            <w:r>
              <w:rPr>
                <w:sz w:val="20"/>
                <w:szCs w:val="20"/>
                <w:spacing w:val="3"/>
              </w:rPr>
              <w:t>符合</w:t>
            </w:r>
          </w:p>
        </w:tc>
      </w:tr>
      <w:tr>
        <w:trPr>
          <w:trHeight w:val="3956" w:hRule="atLeast"/>
        </w:trPr>
        <w:tc>
          <w:tcPr>
            <w:tcW w:w="580" w:type="dxa"/>
            <w:vAlign w:val="top"/>
            <w:tcBorders>
              <w:left w:val="single" w:color="000000" w:sz="10" w:space="0"/>
            </w:tcBorders>
          </w:tcPr>
          <w:p>
            <w:pPr>
              <w:ind w:left="224"/>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4141" w:type="dxa"/>
            <w:vAlign w:val="top"/>
          </w:tcPr>
          <w:p>
            <w:pPr>
              <w:pStyle w:val="TableText"/>
              <w:ind w:left="103" w:right="85" w:firstLine="1"/>
              <w:spacing w:before="113" w:line="321" w:lineRule="auto"/>
              <w:jc w:val="both"/>
              <w:rPr>
                <w:sz w:val="20"/>
                <w:szCs w:val="20"/>
              </w:rPr>
            </w:pPr>
            <w:r>
              <w:rPr>
                <w:sz w:val="20"/>
                <w:szCs w:val="20"/>
                <w:spacing w:val="6"/>
              </w:rPr>
              <w:t>开展多污染源治理。推进石化、化工、工业</w:t>
            </w:r>
            <w:r>
              <w:rPr>
                <w:sz w:val="20"/>
                <w:szCs w:val="20"/>
                <w:spacing w:val="9"/>
              </w:rPr>
              <w:t xml:space="preserve"> </w:t>
            </w:r>
            <w:r>
              <w:rPr>
                <w:sz w:val="20"/>
                <w:szCs w:val="20"/>
                <w:spacing w:val="7"/>
              </w:rPr>
              <w:t>涂装、家具制造、塑料、橡胶、包装印刷、</w:t>
            </w:r>
            <w:r>
              <w:rPr>
                <w:sz w:val="20"/>
                <w:szCs w:val="20"/>
                <w:spacing w:val="12"/>
              </w:rPr>
              <w:t xml:space="preserve"> </w:t>
            </w:r>
            <w:r>
              <w:rPr>
                <w:sz w:val="20"/>
                <w:szCs w:val="20"/>
                <w:spacing w:val="8"/>
              </w:rPr>
              <w:t>汽修等重点行业领域</w:t>
            </w:r>
            <w:r>
              <w:rPr>
                <w:rFonts w:ascii="Times New Roman" w:hAnsi="Times New Roman" w:eastAsia="Times New Roman" w:cs="Times New Roman"/>
                <w:sz w:val="20"/>
                <w:szCs w:val="20"/>
              </w:rPr>
              <w:t>VOCs</w:t>
            </w:r>
            <w:r>
              <w:rPr>
                <w:sz w:val="20"/>
                <w:szCs w:val="20"/>
                <w:spacing w:val="8"/>
              </w:rPr>
              <w:t>整治，加强</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12"/>
                <w:w w:val="101"/>
              </w:rPr>
              <w:t xml:space="preserve"> </w:t>
            </w:r>
            <w:r>
              <w:rPr>
                <w:sz w:val="20"/>
                <w:szCs w:val="20"/>
                <w:spacing w:val="6"/>
              </w:rPr>
              <w:t>源头、过程、末端全流程控制。持续开展防</w:t>
            </w:r>
            <w:r>
              <w:rPr>
                <w:sz w:val="20"/>
                <w:szCs w:val="20"/>
                <w:spacing w:val="13"/>
              </w:rPr>
              <w:t xml:space="preserve"> </w:t>
            </w:r>
            <w:r>
              <w:rPr>
                <w:sz w:val="20"/>
                <w:szCs w:val="20"/>
                <w:spacing w:val="13"/>
              </w:rPr>
              <w:t>风固沙绿化工程，抑制季节性裸地农田扬</w:t>
            </w:r>
            <w:r>
              <w:rPr>
                <w:sz w:val="20"/>
                <w:szCs w:val="20"/>
                <w:spacing w:val="6"/>
              </w:rPr>
              <w:t xml:space="preserve">  </w:t>
            </w:r>
            <w:r>
              <w:rPr>
                <w:sz w:val="20"/>
                <w:szCs w:val="20"/>
                <w:spacing w:val="6"/>
              </w:rPr>
              <w:t>尘。推进露天矿山综合整治。深化建筑施工</w:t>
            </w:r>
            <w:r>
              <w:rPr>
                <w:sz w:val="20"/>
                <w:szCs w:val="20"/>
                <w:spacing w:val="11"/>
              </w:rPr>
              <w:t xml:space="preserve"> </w:t>
            </w:r>
            <w:r>
              <w:rPr>
                <w:sz w:val="20"/>
                <w:szCs w:val="20"/>
                <w:spacing w:val="10"/>
              </w:rPr>
              <w:t>扬尘整治，全州所有建筑工地全面落实</w:t>
            </w:r>
            <w:r>
              <w:rPr>
                <w:rFonts w:ascii="Times New Roman" w:hAnsi="Times New Roman" w:eastAsia="Times New Roman" w:cs="Times New Roman"/>
                <w:sz w:val="20"/>
                <w:szCs w:val="20"/>
                <w:spacing w:val="10"/>
              </w:rPr>
              <w:t>“</w:t>
            </w:r>
            <w:r>
              <w:rPr>
                <w:sz w:val="20"/>
                <w:szCs w:val="20"/>
                <w:spacing w:val="10"/>
              </w:rPr>
              <w:t>六</w:t>
            </w:r>
            <w:r>
              <w:rPr>
                <w:sz w:val="20"/>
                <w:szCs w:val="20"/>
                <w:spacing w:val="15"/>
              </w:rPr>
              <w:t xml:space="preserve"> </w:t>
            </w:r>
            <w:r>
              <w:rPr>
                <w:sz w:val="20"/>
                <w:szCs w:val="20"/>
                <w:spacing w:val="9"/>
              </w:rPr>
              <w:t>个百分百</w:t>
            </w:r>
            <w:r>
              <w:rPr>
                <w:rFonts w:ascii="Times New Roman" w:hAnsi="Times New Roman" w:eastAsia="Times New Roman" w:cs="Times New Roman"/>
                <w:sz w:val="20"/>
                <w:szCs w:val="20"/>
                <w:spacing w:val="9"/>
              </w:rPr>
              <w:t>”</w:t>
            </w:r>
            <w:r>
              <w:rPr>
                <w:rFonts w:ascii="Times New Roman" w:hAnsi="Times New Roman" w:eastAsia="Times New Roman" w:cs="Times New Roman"/>
                <w:sz w:val="20"/>
                <w:szCs w:val="20"/>
                <w:spacing w:val="-16"/>
              </w:rPr>
              <w:t xml:space="preserve"> </w:t>
            </w:r>
            <w:r>
              <w:rPr>
                <w:sz w:val="20"/>
                <w:szCs w:val="20"/>
                <w:spacing w:val="9"/>
              </w:rPr>
              <w:t>。强化道路扬尘治理，进一步加</w:t>
            </w:r>
            <w:r>
              <w:rPr>
                <w:sz w:val="20"/>
                <w:szCs w:val="20"/>
              </w:rPr>
              <w:t xml:space="preserve"> </w:t>
            </w:r>
            <w:r>
              <w:rPr>
                <w:sz w:val="20"/>
                <w:szCs w:val="20"/>
                <w:spacing w:val="7"/>
              </w:rPr>
              <w:t>强散料货运车辆运输环节的扬尘污染整治。</w:t>
            </w:r>
          </w:p>
          <w:p>
            <w:pPr>
              <w:pStyle w:val="TableText"/>
              <w:ind w:left="1022" w:right="106" w:hanging="918"/>
              <w:spacing w:before="113" w:line="272" w:lineRule="auto"/>
              <w:rPr>
                <w:sz w:val="20"/>
                <w:szCs w:val="20"/>
              </w:rPr>
            </w:pPr>
            <w:r>
              <w:rPr>
                <w:sz w:val="20"/>
                <w:szCs w:val="20"/>
                <w:spacing w:val="6"/>
              </w:rPr>
              <w:t>加强桔秆综合利用，严防因秸秆露天焚烧造</w:t>
            </w:r>
            <w:r>
              <w:rPr>
                <w:sz w:val="20"/>
                <w:szCs w:val="20"/>
                <w:spacing w:val="10"/>
              </w:rPr>
              <w:t xml:space="preserve"> </w:t>
            </w:r>
            <w:r>
              <w:rPr>
                <w:sz w:val="20"/>
                <w:szCs w:val="20"/>
                <w:spacing w:val="7"/>
              </w:rPr>
              <w:t>成区域性重污染天气。</w:t>
            </w:r>
          </w:p>
        </w:tc>
        <w:tc>
          <w:tcPr>
            <w:tcW w:w="3145" w:type="dxa"/>
            <w:vAlign w:val="top"/>
          </w:tcPr>
          <w:p>
            <w:pPr>
              <w:pStyle w:val="TableText"/>
              <w:ind w:left="116"/>
              <w:spacing w:before="117" w:line="227" w:lineRule="auto"/>
              <w:rPr>
                <w:sz w:val="20"/>
                <w:szCs w:val="20"/>
              </w:rPr>
            </w:pPr>
            <w:r>
              <w:rPr>
                <w:sz w:val="20"/>
                <w:szCs w:val="20"/>
                <w:spacing w:val="9"/>
              </w:rPr>
              <w:t>本项目属于塑料制品业，采取废</w:t>
            </w:r>
          </w:p>
          <w:p>
            <w:pPr>
              <w:pStyle w:val="TableText"/>
              <w:ind w:left="161"/>
              <w:spacing w:before="114" w:line="227" w:lineRule="auto"/>
              <w:rPr>
                <w:rFonts w:ascii="Times New Roman" w:hAnsi="Times New Roman" w:eastAsia="Times New Roman" w:cs="Times New Roman"/>
                <w:sz w:val="20"/>
                <w:szCs w:val="20"/>
              </w:rPr>
            </w:pPr>
            <w:r>
              <w:rPr>
                <w:sz w:val="20"/>
                <w:szCs w:val="20"/>
                <w:spacing w:val="8"/>
              </w:rPr>
              <w:t>气集中收集后由“活性炭吸附</w:t>
            </w:r>
            <w:r>
              <w:rPr>
                <w:rFonts w:ascii="Times New Roman" w:hAnsi="Times New Roman" w:eastAsia="Times New Roman" w:cs="Times New Roman"/>
                <w:sz w:val="20"/>
                <w:szCs w:val="20"/>
                <w:spacing w:val="8"/>
              </w:rPr>
              <w:t>+</w:t>
            </w:r>
          </w:p>
          <w:p>
            <w:pPr>
              <w:pStyle w:val="TableText"/>
              <w:ind w:left="117"/>
              <w:spacing w:before="114" w:line="227" w:lineRule="auto"/>
              <w:rPr>
                <w:sz w:val="20"/>
                <w:szCs w:val="20"/>
              </w:rPr>
            </w:pPr>
            <w:r>
              <w:rPr>
                <w:sz w:val="20"/>
                <w:szCs w:val="20"/>
                <w:spacing w:val="6"/>
              </w:rPr>
              <w:t>直接催化燃烧法</w:t>
            </w:r>
            <w:r>
              <w:rPr>
                <w:sz w:val="20"/>
                <w:szCs w:val="20"/>
                <w:spacing w:val="-60"/>
              </w:rPr>
              <w:t xml:space="preserve"> </w:t>
            </w:r>
            <w:r>
              <w:rPr>
                <w:sz w:val="20"/>
                <w:szCs w:val="20"/>
                <w:spacing w:val="6"/>
              </w:rPr>
              <w:t>”治理的末端治</w:t>
            </w:r>
          </w:p>
          <w:p>
            <w:pPr>
              <w:pStyle w:val="TableText"/>
              <w:ind w:left="117"/>
              <w:spacing w:before="113" w:line="228" w:lineRule="auto"/>
              <w:rPr>
                <w:sz w:val="20"/>
                <w:szCs w:val="20"/>
              </w:rPr>
            </w:pPr>
            <w:r>
              <w:rPr>
                <w:sz w:val="20"/>
                <w:szCs w:val="20"/>
                <w:spacing w:val="8"/>
              </w:rPr>
              <w:t>理措施；项目主体工程已建设完</w:t>
            </w:r>
          </w:p>
          <w:p>
            <w:pPr>
              <w:pStyle w:val="TableText"/>
              <w:ind w:left="117"/>
              <w:spacing w:before="113" w:line="228" w:lineRule="auto"/>
              <w:rPr>
                <w:sz w:val="20"/>
                <w:szCs w:val="20"/>
              </w:rPr>
            </w:pPr>
            <w:r>
              <w:rPr>
                <w:sz w:val="20"/>
                <w:szCs w:val="20"/>
                <w:spacing w:val="8"/>
              </w:rPr>
              <w:t>成，施工期进行生产线和环保设</w:t>
            </w:r>
          </w:p>
          <w:p>
            <w:pPr>
              <w:pStyle w:val="TableText"/>
              <w:ind w:left="117"/>
              <w:spacing w:before="113" w:line="228" w:lineRule="auto"/>
              <w:rPr>
                <w:sz w:val="20"/>
                <w:szCs w:val="20"/>
              </w:rPr>
            </w:pPr>
            <w:r>
              <w:rPr>
                <w:sz w:val="20"/>
                <w:szCs w:val="20"/>
                <w:spacing w:val="9"/>
              </w:rPr>
              <w:t>备的安装，不涉及建筑工地；设</w:t>
            </w:r>
          </w:p>
          <w:p>
            <w:pPr>
              <w:pStyle w:val="TableText"/>
              <w:ind w:left="221"/>
              <w:spacing w:before="112" w:line="227" w:lineRule="auto"/>
              <w:rPr>
                <w:sz w:val="20"/>
                <w:szCs w:val="20"/>
              </w:rPr>
            </w:pPr>
            <w:r>
              <w:rPr>
                <w:sz w:val="20"/>
                <w:szCs w:val="20"/>
                <w:spacing w:val="9"/>
              </w:rPr>
              <w:t>备运输过程采取厂区洒水降尘</w:t>
            </w:r>
          </w:p>
          <w:p>
            <w:pPr>
              <w:pStyle w:val="TableText"/>
              <w:ind w:left="1271" w:right="95" w:hanging="1156"/>
              <w:spacing w:before="115" w:line="280" w:lineRule="auto"/>
              <w:rPr>
                <w:sz w:val="20"/>
                <w:szCs w:val="20"/>
              </w:rPr>
            </w:pPr>
            <w:r>
              <w:rPr>
                <w:sz w:val="20"/>
                <w:szCs w:val="20"/>
                <w:spacing w:val="9"/>
              </w:rPr>
              <w:t>措施，减少施工期运输车辆扬尘</w:t>
            </w:r>
            <w:r>
              <w:rPr>
                <w:sz w:val="20"/>
                <w:szCs w:val="20"/>
                <w:spacing w:val="2"/>
              </w:rPr>
              <w:t xml:space="preserve"> </w:t>
            </w:r>
            <w:r>
              <w:rPr>
                <w:sz w:val="20"/>
                <w:szCs w:val="20"/>
                <w:spacing w:val="2"/>
              </w:rPr>
              <w:t>污染。</w:t>
            </w:r>
          </w:p>
        </w:tc>
        <w:tc>
          <w:tcPr>
            <w:tcW w:w="659" w:type="dxa"/>
            <w:vAlign w:val="top"/>
            <w:tcBorders>
              <w:right w:val="single" w:color="000000" w:sz="10" w:space="0"/>
            </w:tcBorders>
          </w:tcPr>
          <w:p>
            <w:pPr>
              <w:pStyle w:val="TableText"/>
              <w:ind w:left="130"/>
              <w:spacing w:before="116" w:line="228" w:lineRule="auto"/>
              <w:rPr>
                <w:sz w:val="20"/>
                <w:szCs w:val="20"/>
              </w:rPr>
            </w:pPr>
            <w:r>
              <w:rPr>
                <w:sz w:val="20"/>
                <w:szCs w:val="20"/>
                <w:spacing w:val="3"/>
              </w:rPr>
              <w:t>符合</w:t>
            </w:r>
          </w:p>
        </w:tc>
      </w:tr>
      <w:tr>
        <w:trPr>
          <w:trHeight w:val="3289" w:hRule="atLeast"/>
        </w:trPr>
        <w:tc>
          <w:tcPr>
            <w:tcW w:w="580" w:type="dxa"/>
            <w:vAlign w:val="top"/>
            <w:tcBorders>
              <w:left w:val="single" w:color="000000" w:sz="10" w:space="0"/>
              <w:bottom w:val="single" w:color="000000" w:sz="10" w:space="0"/>
            </w:tcBorders>
          </w:tcPr>
          <w:p>
            <w:pPr>
              <w:ind w:left="228"/>
              <w:spacing w:before="16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4141" w:type="dxa"/>
            <w:vAlign w:val="top"/>
            <w:tcBorders>
              <w:bottom w:val="single" w:color="000000" w:sz="10" w:space="0"/>
            </w:tcBorders>
          </w:tcPr>
          <w:p>
            <w:pPr>
              <w:pStyle w:val="TableText"/>
              <w:ind w:left="103" w:right="101"/>
              <w:spacing w:before="122" w:line="321" w:lineRule="auto"/>
              <w:jc w:val="both"/>
              <w:rPr>
                <w:sz w:val="20"/>
                <w:szCs w:val="20"/>
              </w:rPr>
            </w:pPr>
            <w:r>
              <w:rPr>
                <w:sz w:val="20"/>
                <w:szCs w:val="20"/>
                <w:spacing w:val="6"/>
              </w:rPr>
              <w:t>加强一般固体废弃物处置。以准东为重点，</w:t>
            </w:r>
            <w:r>
              <w:rPr>
                <w:sz w:val="20"/>
                <w:szCs w:val="20"/>
                <w:spacing w:val="14"/>
              </w:rPr>
              <w:t xml:space="preserve"> </w:t>
            </w:r>
            <w:r>
              <w:rPr>
                <w:sz w:val="20"/>
                <w:szCs w:val="20"/>
                <w:spacing w:val="6"/>
              </w:rPr>
              <w:t>统筹推动各县（市）及高新区、农业园区持</w:t>
            </w:r>
            <w:r>
              <w:rPr>
                <w:sz w:val="20"/>
                <w:szCs w:val="20"/>
                <w:spacing w:val="13"/>
              </w:rPr>
              <w:t xml:space="preserve"> </w:t>
            </w:r>
            <w:r>
              <w:rPr>
                <w:sz w:val="20"/>
                <w:szCs w:val="20"/>
                <w:spacing w:val="6"/>
              </w:rPr>
              <w:t>续开展固体废物规范化管理督查考核、固体</w:t>
            </w:r>
            <w:r>
              <w:rPr>
                <w:sz w:val="20"/>
                <w:szCs w:val="20"/>
                <w:spacing w:val="11"/>
              </w:rPr>
              <w:t xml:space="preserve"> </w:t>
            </w:r>
            <w:r>
              <w:rPr>
                <w:sz w:val="20"/>
                <w:szCs w:val="20"/>
                <w:spacing w:val="6"/>
              </w:rPr>
              <w:t>废物非法转移和倾倒排查整治，坚决禁止洋</w:t>
            </w:r>
            <w:r>
              <w:rPr>
                <w:sz w:val="20"/>
                <w:szCs w:val="20"/>
                <w:spacing w:val="13"/>
              </w:rPr>
              <w:t xml:space="preserve"> </w:t>
            </w:r>
            <w:r>
              <w:rPr>
                <w:sz w:val="20"/>
                <w:szCs w:val="20"/>
                <w:spacing w:val="6"/>
              </w:rPr>
              <w:t>垃圾入境，推动开展塑料垃圾专项清理，持</w:t>
            </w:r>
            <w:r>
              <w:rPr>
                <w:sz w:val="20"/>
                <w:szCs w:val="20"/>
                <w:spacing w:val="13"/>
              </w:rPr>
              <w:t xml:space="preserve"> </w:t>
            </w:r>
            <w:r>
              <w:rPr>
                <w:sz w:val="20"/>
                <w:szCs w:val="20"/>
                <w:spacing w:val="6"/>
              </w:rPr>
              <w:t>续推进废塑料加工利用行业的整治，加强废</w:t>
            </w:r>
            <w:r>
              <w:rPr>
                <w:sz w:val="20"/>
                <w:szCs w:val="20"/>
                <w:spacing w:val="13"/>
              </w:rPr>
              <w:t xml:space="preserve"> </w:t>
            </w:r>
            <w:r>
              <w:rPr>
                <w:sz w:val="20"/>
                <w:szCs w:val="20"/>
                <w:spacing w:val="6"/>
              </w:rPr>
              <w:t>塑料回收、利用、处置等环节的环境监管，</w:t>
            </w:r>
            <w:r>
              <w:rPr>
                <w:sz w:val="20"/>
                <w:szCs w:val="20"/>
                <w:spacing w:val="15"/>
              </w:rPr>
              <w:t xml:space="preserve"> </w:t>
            </w:r>
            <w:r>
              <w:rPr>
                <w:sz w:val="20"/>
                <w:szCs w:val="20"/>
                <w:spacing w:val="6"/>
              </w:rPr>
              <w:t>降低污染风险。加强工业固体废物堆存场所</w:t>
            </w:r>
            <w:r>
              <w:rPr>
                <w:sz w:val="20"/>
                <w:szCs w:val="20"/>
                <w:spacing w:val="11"/>
              </w:rPr>
              <w:t xml:space="preserve"> </w:t>
            </w:r>
            <w:r>
              <w:rPr>
                <w:sz w:val="20"/>
                <w:szCs w:val="20"/>
                <w:spacing w:val="6"/>
              </w:rPr>
              <w:t>环境整治。针对沿河、沿湖、沿水库和饮用</w:t>
            </w:r>
          </w:p>
        </w:tc>
        <w:tc>
          <w:tcPr>
            <w:tcW w:w="3145" w:type="dxa"/>
            <w:vAlign w:val="top"/>
            <w:tcBorders>
              <w:bottom w:val="single" w:color="000000" w:sz="10" w:space="0"/>
            </w:tcBorders>
          </w:tcPr>
          <w:p>
            <w:pPr>
              <w:pStyle w:val="TableText"/>
              <w:ind w:left="114" w:right="26" w:firstLine="104"/>
              <w:spacing w:before="126" w:line="297" w:lineRule="auto"/>
              <w:rPr>
                <w:sz w:val="20"/>
                <w:szCs w:val="20"/>
              </w:rPr>
            </w:pPr>
            <w:r>
              <w:rPr>
                <w:sz w:val="20"/>
                <w:szCs w:val="20"/>
                <w:spacing w:val="7"/>
              </w:rPr>
              <w:t>本项目固体废物主要有一般固  </w:t>
            </w:r>
            <w:r>
              <w:rPr>
                <w:sz w:val="20"/>
                <w:szCs w:val="20"/>
                <w:spacing w:val="7"/>
              </w:rPr>
              <w:t>废不合格品、废包装袋；危险废 </w:t>
            </w:r>
            <w:r>
              <w:rPr>
                <w:sz w:val="20"/>
                <w:szCs w:val="20"/>
                <w:spacing w:val="-1"/>
              </w:rPr>
              <w:t>物废催化剂、废活性炭、废机油。</w:t>
            </w:r>
          </w:p>
          <w:p>
            <w:pPr>
              <w:pStyle w:val="TableText"/>
              <w:ind w:left="114" w:right="95" w:firstLine="107"/>
              <w:spacing w:before="112" w:line="315" w:lineRule="auto"/>
              <w:rPr>
                <w:sz w:val="20"/>
                <w:szCs w:val="20"/>
              </w:rPr>
            </w:pPr>
            <w:r>
              <w:rPr>
                <w:sz w:val="20"/>
                <w:szCs w:val="20"/>
                <w:spacing w:val="9"/>
              </w:rPr>
              <w:t>不合格品集中收集作为原料回</w:t>
            </w:r>
            <w:r>
              <w:rPr>
                <w:sz w:val="20"/>
                <w:szCs w:val="20"/>
              </w:rPr>
              <w:t xml:space="preserve">  </w:t>
            </w:r>
            <w:r>
              <w:rPr>
                <w:sz w:val="20"/>
                <w:szCs w:val="20"/>
                <w:spacing w:val="9"/>
              </w:rPr>
              <w:t>用生产；废包装袋集中收集外售</w:t>
            </w:r>
            <w:r>
              <w:rPr>
                <w:sz w:val="20"/>
                <w:szCs w:val="20"/>
                <w:spacing w:val="1"/>
              </w:rPr>
              <w:t xml:space="preserve"> </w:t>
            </w:r>
            <w:r>
              <w:rPr>
                <w:sz w:val="20"/>
                <w:szCs w:val="20"/>
                <w:spacing w:val="9"/>
              </w:rPr>
              <w:t>回收单位；危险废物集中收集暂</w:t>
            </w:r>
            <w:r>
              <w:rPr>
                <w:sz w:val="20"/>
                <w:szCs w:val="20"/>
                <w:spacing w:val="3"/>
              </w:rPr>
              <w:t xml:space="preserve"> </w:t>
            </w:r>
            <w:r>
              <w:rPr>
                <w:sz w:val="20"/>
                <w:szCs w:val="20"/>
                <w:spacing w:val="9"/>
              </w:rPr>
              <w:t>存危废库，定期交由有资质单位</w:t>
            </w:r>
            <w:r>
              <w:rPr>
                <w:sz w:val="20"/>
                <w:szCs w:val="20"/>
                <w:spacing w:val="3"/>
              </w:rPr>
              <w:t xml:space="preserve"> </w:t>
            </w:r>
            <w:r>
              <w:rPr>
                <w:sz w:val="20"/>
                <w:szCs w:val="20"/>
                <w:spacing w:val="9"/>
              </w:rPr>
              <w:t>处置。本项目不属于废塑料加工</w:t>
            </w:r>
            <w:r>
              <w:rPr>
                <w:sz w:val="20"/>
                <w:szCs w:val="20"/>
                <w:spacing w:val="3"/>
              </w:rPr>
              <w:t xml:space="preserve"> </w:t>
            </w:r>
            <w:r>
              <w:rPr>
                <w:sz w:val="20"/>
                <w:szCs w:val="20"/>
                <w:spacing w:val="9"/>
              </w:rPr>
              <w:t>利用行业。厂区采取工业固体废</w:t>
            </w:r>
          </w:p>
        </w:tc>
        <w:tc>
          <w:tcPr>
            <w:tcW w:w="659" w:type="dxa"/>
            <w:vAlign w:val="top"/>
            <w:tcBorders>
              <w:bottom w:val="single" w:color="000000" w:sz="10" w:space="0"/>
              <w:right w:val="single" w:color="000000" w:sz="10" w:space="0"/>
            </w:tcBorders>
          </w:tcPr>
          <w:p>
            <w:pPr>
              <w:pStyle w:val="TableText"/>
              <w:ind w:left="130"/>
              <w:spacing w:before="125" w:line="228" w:lineRule="auto"/>
              <w:rPr>
                <w:sz w:val="20"/>
                <w:szCs w:val="20"/>
              </w:rPr>
            </w:pPr>
            <w:r>
              <w:rPr>
                <w:sz w:val="20"/>
                <w:szCs w:val="20"/>
                <w:spacing w:val="3"/>
              </w:rPr>
              <w:t>符合</w:t>
            </w:r>
          </w:p>
        </w:tc>
      </w:tr>
    </w:tbl>
    <w:p>
      <w:pPr>
        <w:pStyle w:val="BodyText"/>
        <w:rPr/>
      </w:pPr>
      <w:r/>
    </w:p>
    <w:p>
      <w:pPr>
        <w:sectPr>
          <w:footerReference w:type="default" r:id="rId28"/>
          <w:pgSz w:w="11906" w:h="16839"/>
          <w:pgMar w:top="400" w:right="1677" w:bottom="1211" w:left="1677" w:header="0" w:footer="1049" w:gutter="0"/>
        </w:sectPr>
        <w:rPr/>
      </w:pPr>
    </w:p>
    <w:p>
      <w:pPr>
        <w:spacing w:before="19"/>
        <w:rPr/>
      </w:pPr>
      <w:r/>
    </w:p>
    <w:p>
      <w:pPr>
        <w:spacing w:before="19"/>
        <w:rPr/>
      </w:pPr>
      <w:r/>
    </w:p>
    <w:p>
      <w:pPr>
        <w:spacing w:before="18"/>
        <w:rPr/>
      </w:pPr>
      <w:r/>
    </w:p>
    <w:p>
      <w:pPr>
        <w:spacing w:before="18"/>
        <w:rPr/>
      </w:pPr>
      <w:r/>
    </w:p>
    <w:tbl>
      <w:tblPr>
        <w:tblStyle w:val="TableNormal"/>
        <w:tblW w:w="8525"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580"/>
        <w:gridCol w:w="4141"/>
        <w:gridCol w:w="3145"/>
        <w:gridCol w:w="659"/>
      </w:tblGrid>
      <w:tr>
        <w:trPr>
          <w:trHeight w:val="1788" w:hRule="atLeast"/>
        </w:trPr>
        <w:tc>
          <w:tcPr>
            <w:tcW w:w="580" w:type="dxa"/>
            <w:vAlign w:val="top"/>
            <w:tcBorders>
              <w:right w:val="single" w:color="000000" w:sz="2" w:space="0"/>
            </w:tcBorders>
          </w:tcPr>
          <w:p>
            <w:pPr>
              <w:rPr>
                <w:rFonts w:ascii="Arial"/>
                <w:sz w:val="21"/>
              </w:rPr>
            </w:pPr>
            <w:r/>
          </w:p>
        </w:tc>
        <w:tc>
          <w:tcPr>
            <w:tcW w:w="4141" w:type="dxa"/>
            <w:vAlign w:val="top"/>
            <w:tcBorders>
              <w:left w:val="single" w:color="000000" w:sz="2" w:space="0"/>
              <w:right w:val="single" w:color="000000" w:sz="2" w:space="0"/>
            </w:tcBorders>
          </w:tcPr>
          <w:p>
            <w:pPr>
              <w:pStyle w:val="TableText"/>
              <w:ind w:left="104" w:right="103" w:firstLine="2"/>
              <w:spacing w:before="94" w:line="280" w:lineRule="auto"/>
              <w:rPr>
                <w:sz w:val="20"/>
                <w:szCs w:val="20"/>
              </w:rPr>
            </w:pPr>
            <w:r>
              <w:rPr>
                <w:sz w:val="20"/>
                <w:szCs w:val="20"/>
                <w:spacing w:val="6"/>
              </w:rPr>
              <w:t>水水源地周边等重点区域，持续开展固体废</w:t>
            </w:r>
            <w:r>
              <w:rPr>
                <w:sz w:val="20"/>
                <w:szCs w:val="20"/>
                <w:spacing w:val="10"/>
              </w:rPr>
              <w:t xml:space="preserve"> </w:t>
            </w:r>
            <w:r>
              <w:rPr>
                <w:sz w:val="20"/>
                <w:szCs w:val="20"/>
                <w:spacing w:val="6"/>
              </w:rPr>
              <w:t>物非法贮存、倾倒和填埋情况专项排查。持</w:t>
            </w:r>
          </w:p>
          <w:p>
            <w:pPr>
              <w:pStyle w:val="TableText"/>
              <w:ind w:left="106"/>
              <w:spacing w:before="113" w:line="228" w:lineRule="auto"/>
              <w:rPr>
                <w:sz w:val="20"/>
                <w:szCs w:val="20"/>
              </w:rPr>
            </w:pPr>
            <w:r>
              <w:rPr>
                <w:sz w:val="20"/>
                <w:szCs w:val="20"/>
                <w:spacing w:val="8"/>
              </w:rPr>
              <w:t>续推进工业固体废物综合利用和环境整治，</w:t>
            </w:r>
          </w:p>
          <w:p>
            <w:pPr>
              <w:pStyle w:val="TableText"/>
              <w:ind w:left="184"/>
              <w:spacing w:before="112" w:line="228" w:lineRule="auto"/>
              <w:rPr>
                <w:sz w:val="20"/>
                <w:szCs w:val="20"/>
              </w:rPr>
            </w:pPr>
            <w:r>
              <w:rPr>
                <w:sz w:val="20"/>
                <w:szCs w:val="20"/>
                <w:spacing w:val="9"/>
              </w:rPr>
              <w:t>不断提高大宗工业固体废物资源化利用水</w:t>
            </w:r>
          </w:p>
          <w:p>
            <w:pPr>
              <w:pStyle w:val="TableText"/>
              <w:ind w:left="1860"/>
              <w:spacing w:before="113" w:line="225" w:lineRule="auto"/>
              <w:rPr>
                <w:sz w:val="20"/>
                <w:szCs w:val="20"/>
              </w:rPr>
            </w:pPr>
            <w:r>
              <w:rPr>
                <w:sz w:val="20"/>
                <w:szCs w:val="20"/>
              </w:rPr>
              <w:t>平。</w:t>
            </w:r>
          </w:p>
        </w:tc>
        <w:tc>
          <w:tcPr>
            <w:tcW w:w="3145" w:type="dxa"/>
            <w:vAlign w:val="top"/>
            <w:tcBorders>
              <w:left w:val="single" w:color="000000" w:sz="2" w:space="0"/>
              <w:right w:val="single" w:color="000000" w:sz="2" w:space="0"/>
            </w:tcBorders>
          </w:tcPr>
          <w:p>
            <w:pPr>
              <w:pStyle w:val="TableText"/>
              <w:ind w:left="115"/>
              <w:spacing w:before="93" w:line="228" w:lineRule="auto"/>
              <w:rPr>
                <w:sz w:val="20"/>
                <w:szCs w:val="20"/>
              </w:rPr>
            </w:pPr>
            <w:r>
              <w:rPr>
                <w:sz w:val="20"/>
                <w:szCs w:val="20"/>
                <w:spacing w:val="9"/>
              </w:rPr>
              <w:t>物堆存场整治，不涉及固体废物</w:t>
            </w:r>
          </w:p>
          <w:p>
            <w:pPr>
              <w:pStyle w:val="TableText"/>
              <w:ind w:left="221"/>
              <w:spacing w:before="113" w:line="228" w:lineRule="auto"/>
              <w:rPr>
                <w:sz w:val="20"/>
                <w:szCs w:val="20"/>
              </w:rPr>
            </w:pPr>
            <w:r>
              <w:rPr>
                <w:sz w:val="20"/>
                <w:szCs w:val="20"/>
                <w:spacing w:val="8"/>
              </w:rPr>
              <w:t>非法贮存、倾倒和填埋情况。</w:t>
            </w:r>
          </w:p>
        </w:tc>
        <w:tc>
          <w:tcPr>
            <w:tcW w:w="659" w:type="dxa"/>
            <w:vAlign w:val="top"/>
            <w:tcBorders>
              <w:left w:val="single" w:color="000000" w:sz="2" w:space="0"/>
            </w:tcBorders>
          </w:tcPr>
          <w:p>
            <w:pPr>
              <w:rPr>
                <w:rFonts w:ascii="Arial"/>
                <w:sz w:val="21"/>
              </w:rPr>
            </w:pPr>
            <w:r/>
          </w:p>
        </w:tc>
      </w:tr>
    </w:tbl>
    <w:p>
      <w:pPr>
        <w:pStyle w:val="BodyText"/>
        <w:spacing w:line="307" w:lineRule="auto"/>
        <w:rPr/>
      </w:pPr>
      <w:r/>
    </w:p>
    <w:p>
      <w:pPr>
        <w:pStyle w:val="BodyText"/>
        <w:spacing w:line="308" w:lineRule="auto"/>
        <w:rPr/>
      </w:pPr>
      <w:r/>
    </w:p>
    <w:p>
      <w:pPr>
        <w:ind w:left="129"/>
        <w:spacing w:before="91" w:line="219" w:lineRule="auto"/>
        <w:outlineLvl w:val="0"/>
        <w:rPr>
          <w:rFonts w:ascii="SimSun" w:hAnsi="SimSun" w:eastAsia="SimSun" w:cs="SimSun"/>
          <w:sz w:val="28"/>
          <w:szCs w:val="28"/>
        </w:rPr>
      </w:pPr>
      <w:r>
        <w:rPr>
          <w:rFonts w:ascii="Times New Roman" w:hAnsi="Times New Roman" w:eastAsia="Times New Roman" w:cs="Times New Roman"/>
          <w:sz w:val="28"/>
          <w:szCs w:val="28"/>
          <w:b/>
          <w:bCs/>
        </w:rPr>
        <w:t>2</w:t>
      </w:r>
      <w:r>
        <w:rPr>
          <w:rFonts w:ascii="Times New Roman" w:hAnsi="Times New Roman" w:eastAsia="Times New Roman" w:cs="Times New Roman"/>
          <w:sz w:val="28"/>
          <w:szCs w:val="28"/>
          <w:b/>
          <w:bCs/>
          <w:spacing w:val="-41"/>
        </w:rPr>
        <w:t xml:space="preserve"> </w:t>
      </w:r>
      <w:r>
        <w:rPr>
          <w:rFonts w:ascii="SimSun" w:hAnsi="SimSun" w:eastAsia="SimSun" w:cs="SimSun"/>
          <w:sz w:val="28"/>
          <w:szCs w:val="28"/>
          <w14:textOutline w14:w="5103" w14:cap="sq" w14:cmpd="sng">
            <w14:solidFill>
              <w14:srgbClr w14:val="000000"/>
            </w14:solidFill>
            <w14:prstDash w14:val="solid"/>
            <w14:bevel/>
          </w14:textOutline>
        </w:rPr>
        <w:t>、结合生产周期完善说明项目冬季供暖情况，补</w:t>
      </w:r>
      <w:r>
        <w:rPr>
          <w:rFonts w:ascii="SimSun" w:hAnsi="SimSun" w:eastAsia="SimSun" w:cs="SimSun"/>
          <w:sz w:val="28"/>
          <w:szCs w:val="28"/>
          <w14:textOutline w14:w="5103" w14:cap="sq" w14:cmpd="sng">
            <w14:solidFill>
              <w14:srgbClr w14:val="000000"/>
            </w14:solidFill>
            <w14:prstDash w14:val="solid"/>
            <w14:bevel/>
          </w14:textOutline>
          <w:spacing w:val="-1"/>
        </w:rPr>
        <w:t>充说明原辅料及产</w:t>
      </w:r>
    </w:p>
    <w:p>
      <w:pPr>
        <w:ind w:left="133" w:right="121" w:firstLine="23"/>
        <w:spacing w:before="227" w:line="369" w:lineRule="auto"/>
        <w:jc w:val="both"/>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4"/>
        </w:rPr>
        <w:t>品变化情况；完善厂区平面布置图及论证项</w:t>
      </w:r>
      <w:r>
        <w:rPr>
          <w:rFonts w:ascii="SimSun" w:hAnsi="SimSun" w:eastAsia="SimSun" w:cs="SimSun"/>
          <w:sz w:val="28"/>
          <w:szCs w:val="28"/>
          <w14:textOutline w14:w="5103" w14:cap="sq" w14:cmpd="sng">
            <w14:solidFill>
              <w14:srgbClr w14:val="000000"/>
            </w14:solidFill>
            <w14:prstDash w14:val="solid"/>
            <w14:bevel/>
          </w14:textOutline>
          <w:spacing w:val="-5"/>
        </w:rPr>
        <w:t>目平面布置合理性；完善</w:t>
      </w:r>
      <w:r>
        <w:rPr>
          <w:rFonts w:ascii="SimSun" w:hAnsi="SimSun" w:eastAsia="SimSun" w:cs="SimSun"/>
          <w:sz w:val="28"/>
          <w:szCs w:val="28"/>
        </w:rPr>
        <w:t xml:space="preserve"> </w:t>
      </w:r>
      <w:r>
        <w:rPr>
          <w:rFonts w:ascii="SimSun" w:hAnsi="SimSun" w:eastAsia="SimSun" w:cs="SimSun"/>
          <w:sz w:val="28"/>
          <w:szCs w:val="28"/>
          <w14:textOutline w14:w="5103" w14:cap="sq" w14:cmpd="sng">
            <w14:solidFill>
              <w14:srgbClr w14:val="000000"/>
            </w14:solidFill>
            <w14:prstDash w14:val="solid"/>
            <w14:bevel/>
          </w14:textOutline>
          <w:spacing w:val="-4"/>
        </w:rPr>
        <w:t>环境保护目标调查；核实并完善现有工程废气污染治理设施情况及合</w:t>
      </w:r>
      <w:r>
        <w:rPr>
          <w:rFonts w:ascii="SimSun" w:hAnsi="SimSun" w:eastAsia="SimSun" w:cs="SimSun"/>
          <w:sz w:val="28"/>
          <w:szCs w:val="28"/>
          <w:spacing w:val="12"/>
        </w:rPr>
        <w:t xml:space="preserve"> </w:t>
      </w:r>
      <w:r>
        <w:rPr>
          <w:rFonts w:ascii="SimSun" w:hAnsi="SimSun" w:eastAsia="SimSun" w:cs="SimSun"/>
          <w:sz w:val="28"/>
          <w:szCs w:val="28"/>
          <w14:textOutline w14:w="5103" w14:cap="sq" w14:cmpd="sng">
            <w14:solidFill>
              <w14:srgbClr w14:val="000000"/>
            </w14:solidFill>
            <w14:prstDash w14:val="solid"/>
            <w14:bevel/>
          </w14:textOutline>
          <w:spacing w:val="-4"/>
        </w:rPr>
        <w:t>规性分析，完善现有工程环境问题调查及整改措施；完善大气环境质</w:t>
      </w:r>
    </w:p>
    <w:p>
      <w:pPr>
        <w:ind w:left="133"/>
        <w:spacing w:before="1" w:line="219"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量现状调查，完善废气污染物排放控制标准。</w:t>
      </w:r>
    </w:p>
    <w:p>
      <w:pPr>
        <w:ind w:left="637"/>
        <w:spacing w:before="212" w:line="502" w:lineRule="exact"/>
        <w:rPr>
          <w:rFonts w:ascii="Times New Roman" w:hAnsi="Times New Roman" w:eastAsia="Times New Roman" w:cs="Times New Roman"/>
          <w:sz w:val="24"/>
          <w:szCs w:val="24"/>
        </w:rPr>
      </w:pPr>
      <w:r>
        <w:rPr>
          <w:rFonts w:ascii="SimSun" w:hAnsi="SimSun" w:eastAsia="SimSun" w:cs="SimSun"/>
          <w:sz w:val="24"/>
          <w:szCs w:val="24"/>
          <w:spacing w:val="-2"/>
          <w:position w:val="20"/>
        </w:rPr>
        <w:t>已修改，“</w:t>
      </w:r>
      <w:r>
        <w:rPr>
          <w:rFonts w:ascii="SimSun" w:hAnsi="SimSun" w:eastAsia="SimSun" w:cs="SimSun"/>
          <w:sz w:val="24"/>
          <w:szCs w:val="24"/>
          <w14:textOutline w14:w="4358" w14:cap="sq" w14:cmpd="sng">
            <w14:solidFill>
              <w14:srgbClr w14:val="000000"/>
            </w14:solidFill>
            <w14:prstDash w14:val="solid"/>
            <w14:bevel/>
          </w14:textOutline>
          <w:spacing w:val="-2"/>
          <w:position w:val="20"/>
        </w:rPr>
        <w:t>结合生产周期完善说明项目冬季供暖情况</w:t>
      </w:r>
      <w:r>
        <w:rPr>
          <w:rFonts w:ascii="SimSun" w:hAnsi="SimSun" w:eastAsia="SimSun" w:cs="SimSun"/>
          <w:sz w:val="24"/>
          <w:szCs w:val="24"/>
          <w:spacing w:val="-79"/>
          <w:position w:val="20"/>
        </w:rPr>
        <w:t xml:space="preserve"> </w:t>
      </w:r>
      <w:r>
        <w:rPr>
          <w:rFonts w:ascii="SimSun" w:hAnsi="SimSun" w:eastAsia="SimSun" w:cs="SimSun"/>
          <w:sz w:val="24"/>
          <w:szCs w:val="24"/>
          <w:spacing w:val="-2"/>
          <w:position w:val="20"/>
        </w:rPr>
        <w:t>”修改见</w:t>
      </w:r>
      <w:r>
        <w:rPr>
          <w:rFonts w:ascii="Times New Roman" w:hAnsi="Times New Roman" w:eastAsia="Times New Roman" w:cs="Times New Roman"/>
          <w:sz w:val="24"/>
          <w:szCs w:val="24"/>
          <w:spacing w:val="-2"/>
          <w:position w:val="20"/>
        </w:rPr>
        <w:t>P22</w:t>
      </w:r>
    </w:p>
    <w:p>
      <w:pPr>
        <w:ind w:left="623"/>
        <w:spacing w:line="218"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3</w:t>
      </w:r>
      <w:r>
        <w:rPr>
          <w:rFonts w:ascii="SimSun" w:hAnsi="SimSun" w:eastAsia="SimSun" w:cs="SimSun"/>
          <w:sz w:val="24"/>
          <w:szCs w:val="24"/>
          <w:spacing w:val="-5"/>
        </w:rPr>
        <w:t>）供热</w:t>
      </w:r>
    </w:p>
    <w:p>
      <w:pPr>
        <w:ind w:left="130" w:right="122" w:firstLine="481"/>
        <w:spacing w:before="214" w:line="385" w:lineRule="auto"/>
        <w:jc w:val="both"/>
        <w:rPr>
          <w:rFonts w:ascii="SimSun" w:hAnsi="SimSun" w:eastAsia="SimSun" w:cs="SimSun"/>
          <w:sz w:val="24"/>
          <w:szCs w:val="24"/>
        </w:rPr>
      </w:pPr>
      <w:r>
        <w:rPr>
          <w:rFonts w:ascii="SimSun" w:hAnsi="SimSun" w:eastAsia="SimSun" w:cs="SimSun"/>
          <w:sz w:val="24"/>
          <w:szCs w:val="24"/>
          <w:spacing w:val="-3"/>
        </w:rPr>
        <w:t>本项目生产用热采用电能。主要用热设备为螺杆塑料挤出机，</w:t>
      </w:r>
      <w:r>
        <w:rPr>
          <w:rFonts w:ascii="SimSun" w:hAnsi="SimSun" w:eastAsia="SimSun" w:cs="SimSun"/>
          <w:sz w:val="24"/>
          <w:szCs w:val="24"/>
          <w:spacing w:val="-4"/>
        </w:rPr>
        <w:t>加热温度控制</w:t>
      </w:r>
      <w:r>
        <w:rPr>
          <w:rFonts w:ascii="SimSun" w:hAnsi="SimSun" w:eastAsia="SimSun" w:cs="SimSun"/>
          <w:sz w:val="24"/>
          <w:szCs w:val="24"/>
        </w:rPr>
        <w:t xml:space="preserve"> </w:t>
      </w:r>
      <w:r>
        <w:rPr>
          <w:rFonts w:ascii="SimSun" w:hAnsi="SimSun" w:eastAsia="SimSun" w:cs="SimSun"/>
          <w:sz w:val="24"/>
          <w:szCs w:val="24"/>
        </w:rPr>
        <w:t>在</w:t>
      </w:r>
      <w:r>
        <w:rPr>
          <w:rFonts w:ascii="Times New Roman" w:hAnsi="Times New Roman" w:eastAsia="Times New Roman" w:cs="Times New Roman"/>
          <w:sz w:val="24"/>
          <w:szCs w:val="24"/>
        </w:rPr>
        <w:t>160</w:t>
      </w:r>
      <w:r>
        <w:rPr>
          <w:rFonts w:ascii="SimSun" w:hAnsi="SimSun" w:eastAsia="SimSun" w:cs="SimSun"/>
          <w:sz w:val="24"/>
          <w:szCs w:val="24"/>
        </w:rPr>
        <w:t>℃~</w:t>
      </w:r>
      <w:r>
        <w:rPr>
          <w:rFonts w:ascii="Times New Roman" w:hAnsi="Times New Roman" w:eastAsia="Times New Roman" w:cs="Times New Roman"/>
          <w:sz w:val="24"/>
          <w:szCs w:val="24"/>
        </w:rPr>
        <w:t>170</w:t>
      </w:r>
      <w:r>
        <w:rPr>
          <w:rFonts w:ascii="SimSun" w:hAnsi="SimSun" w:eastAsia="SimSun" w:cs="SimSun"/>
          <w:sz w:val="24"/>
          <w:szCs w:val="24"/>
        </w:rPr>
        <w:t>℃之间，且为恒温状态。生产设备除用于原料熔融外，设备会损失</w:t>
      </w:r>
      <w:r>
        <w:rPr>
          <w:rFonts w:ascii="SimSun" w:hAnsi="SimSun" w:eastAsia="SimSun" w:cs="SimSun"/>
          <w:sz w:val="24"/>
          <w:szCs w:val="24"/>
          <w:spacing w:val="16"/>
        </w:rPr>
        <w:t xml:space="preserve"> </w:t>
      </w:r>
      <w:r>
        <w:rPr>
          <w:rFonts w:ascii="SimSun" w:hAnsi="SimSun" w:eastAsia="SimSun" w:cs="SimSun"/>
          <w:sz w:val="24"/>
          <w:szCs w:val="24"/>
          <w:spacing w:val="-3"/>
        </w:rPr>
        <w:t>一部分热量，这部分热量在密闭车间内供应员工冬季用热。因此，本项目可充分</w:t>
      </w:r>
    </w:p>
    <w:p>
      <w:pPr>
        <w:ind w:left="132"/>
        <w:spacing w:line="218" w:lineRule="auto"/>
        <w:rPr>
          <w:rFonts w:ascii="SimSun" w:hAnsi="SimSun" w:eastAsia="SimSun" w:cs="SimSun"/>
          <w:sz w:val="24"/>
          <w:szCs w:val="24"/>
        </w:rPr>
      </w:pPr>
      <w:r>
        <w:rPr>
          <w:rFonts w:ascii="SimSun" w:hAnsi="SimSun" w:eastAsia="SimSun" w:cs="SimSun"/>
          <w:sz w:val="24"/>
          <w:szCs w:val="24"/>
          <w:spacing w:val="-1"/>
        </w:rPr>
        <w:t>利用机械设备散热保暖运行，无需进行员工供热设施建设。</w:t>
      </w:r>
    </w:p>
    <w:p>
      <w:pPr>
        <w:ind w:left="599"/>
        <w:spacing w:before="215" w:line="502" w:lineRule="exact"/>
        <w:rPr>
          <w:rFonts w:ascii="Times New Roman" w:hAnsi="Times New Roman" w:eastAsia="Times New Roman" w:cs="Times New Roman"/>
          <w:sz w:val="24"/>
          <w:szCs w:val="24"/>
        </w:rPr>
      </w:pPr>
      <w:r>
        <w:rPr>
          <w:rFonts w:ascii="SimSun" w:hAnsi="SimSun" w:eastAsia="SimSun" w:cs="SimSun"/>
          <w:sz w:val="24"/>
          <w:szCs w:val="24"/>
          <w:spacing w:val="-1"/>
          <w:position w:val="19"/>
        </w:rPr>
        <w:t>“</w:t>
      </w:r>
      <w:r>
        <w:rPr>
          <w:rFonts w:ascii="SimSun" w:hAnsi="SimSun" w:eastAsia="SimSun" w:cs="SimSun"/>
          <w:sz w:val="24"/>
          <w:szCs w:val="24"/>
          <w14:textOutline w14:w="4358" w14:cap="sq" w14:cmpd="sng">
            <w14:solidFill>
              <w14:srgbClr w14:val="000000"/>
            </w14:solidFill>
            <w14:prstDash w14:val="solid"/>
            <w14:bevel/>
          </w14:textOutline>
          <w:spacing w:val="-1"/>
          <w:position w:val="19"/>
        </w:rPr>
        <w:t>补充说明原辅料及产品变化情况</w:t>
      </w:r>
      <w:r>
        <w:rPr>
          <w:rFonts w:ascii="SimSun" w:hAnsi="SimSun" w:eastAsia="SimSun" w:cs="SimSun"/>
          <w:sz w:val="24"/>
          <w:szCs w:val="24"/>
          <w:spacing w:val="-84"/>
          <w:position w:val="19"/>
        </w:rPr>
        <w:t xml:space="preserve"> </w:t>
      </w:r>
      <w:r>
        <w:rPr>
          <w:rFonts w:ascii="SimSun" w:hAnsi="SimSun" w:eastAsia="SimSun" w:cs="SimSun"/>
          <w:sz w:val="24"/>
          <w:szCs w:val="24"/>
          <w:spacing w:val="-1"/>
          <w:position w:val="19"/>
        </w:rPr>
        <w:t>”修改见</w:t>
      </w:r>
      <w:r>
        <w:rPr>
          <w:rFonts w:ascii="Times New Roman" w:hAnsi="Times New Roman" w:eastAsia="Times New Roman" w:cs="Times New Roman"/>
          <w:sz w:val="24"/>
          <w:szCs w:val="24"/>
          <w:spacing w:val="-1"/>
          <w:position w:val="19"/>
        </w:rPr>
        <w:t>P21</w:t>
      </w:r>
    </w:p>
    <w:p>
      <w:pPr>
        <w:ind w:left="623"/>
        <w:spacing w:before="1" w:line="218"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3</w:t>
      </w:r>
      <w:r>
        <w:rPr>
          <w:rFonts w:ascii="SimSun" w:hAnsi="SimSun" w:eastAsia="SimSun" w:cs="SimSun"/>
          <w:sz w:val="24"/>
          <w:szCs w:val="24"/>
          <w:spacing w:val="-1"/>
        </w:rPr>
        <w:t>）本项目建设完成后全厂原料和产品变化情况</w:t>
      </w:r>
    </w:p>
    <w:p>
      <w:pPr>
        <w:ind w:left="612"/>
        <w:spacing w:before="214" w:line="219" w:lineRule="auto"/>
        <w:rPr>
          <w:rFonts w:ascii="SimSun" w:hAnsi="SimSun" w:eastAsia="SimSun" w:cs="SimSun"/>
          <w:sz w:val="24"/>
          <w:szCs w:val="24"/>
        </w:rPr>
      </w:pPr>
      <w:r>
        <w:rPr>
          <w:rFonts w:ascii="SimSun" w:hAnsi="SimSun" w:eastAsia="SimSun" w:cs="SimSun"/>
          <w:sz w:val="24"/>
          <w:szCs w:val="24"/>
          <w:spacing w:val="-1"/>
        </w:rPr>
        <w:t>本项目建设完成后原辅料变化情况见表</w:t>
      </w:r>
      <w:r>
        <w:rPr>
          <w:rFonts w:ascii="Times New Roman" w:hAnsi="Times New Roman" w:eastAsia="Times New Roman" w:cs="Times New Roman"/>
          <w:sz w:val="24"/>
          <w:szCs w:val="24"/>
          <w:spacing w:val="-1"/>
        </w:rPr>
        <w:t>2.4-4</w:t>
      </w:r>
      <w:r>
        <w:rPr>
          <w:rFonts w:ascii="SimSun" w:hAnsi="SimSun" w:eastAsia="SimSun" w:cs="SimSun"/>
          <w:sz w:val="24"/>
          <w:szCs w:val="24"/>
          <w:spacing w:val="-1"/>
        </w:rPr>
        <w:t>。</w:t>
      </w:r>
    </w:p>
    <w:p>
      <w:pPr>
        <w:ind w:left="3013"/>
        <w:spacing w:before="137" w:line="219" w:lineRule="auto"/>
        <w:rPr>
          <w:rFonts w:ascii="SimSun" w:hAnsi="SimSun" w:eastAsia="SimSun" w:cs="SimSun"/>
          <w:sz w:val="24"/>
          <w:szCs w:val="24"/>
        </w:rPr>
      </w:pPr>
      <w:r>
        <w:rPr>
          <w:rFonts w:ascii="SimSun" w:hAnsi="SimSun" w:eastAsia="SimSun" w:cs="SimSun"/>
          <w:sz w:val="24"/>
          <w:szCs w:val="24"/>
          <w:spacing w:val="-1"/>
        </w:rPr>
        <w:t>表</w:t>
      </w:r>
      <w:r>
        <w:rPr>
          <w:rFonts w:ascii="Times New Roman" w:hAnsi="Times New Roman" w:eastAsia="Times New Roman" w:cs="Times New Roman"/>
          <w:sz w:val="24"/>
          <w:szCs w:val="24"/>
          <w:spacing w:val="-1"/>
        </w:rPr>
        <w:t>2.4-4  </w:t>
      </w:r>
      <w:r>
        <w:rPr>
          <w:rFonts w:ascii="SimSun" w:hAnsi="SimSun" w:eastAsia="SimSun" w:cs="SimSun"/>
          <w:sz w:val="24"/>
          <w:szCs w:val="24"/>
          <w:spacing w:val="-1"/>
        </w:rPr>
        <w:t>原辅料变化情况</w:t>
      </w:r>
    </w:p>
    <w:tbl>
      <w:tblPr>
        <w:tblStyle w:val="TableNormal"/>
        <w:tblW w:w="8519" w:type="dxa"/>
        <w:tblInd w:w="1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0"/>
        <w:gridCol w:w="1701"/>
        <w:gridCol w:w="1776"/>
        <w:gridCol w:w="2000"/>
        <w:gridCol w:w="1345"/>
        <w:gridCol w:w="967"/>
      </w:tblGrid>
      <w:tr>
        <w:trPr>
          <w:trHeight w:val="365" w:hRule="atLeast"/>
        </w:trPr>
        <w:tc>
          <w:tcPr>
            <w:tcW w:w="730" w:type="dxa"/>
            <w:vAlign w:val="top"/>
            <w:tcBorders>
              <w:left w:val="nil"/>
              <w:top w:val="single" w:color="000000" w:sz="10" w:space="0"/>
            </w:tcBorders>
          </w:tcPr>
          <w:p>
            <w:pPr>
              <w:pStyle w:val="TableText"/>
              <w:ind w:left="163"/>
              <w:spacing w:before="112" w:line="224" w:lineRule="auto"/>
              <w:rPr>
                <w:sz w:val="20"/>
                <w:szCs w:val="20"/>
              </w:rPr>
            </w:pPr>
            <w:r>
              <w:rPr>
                <w:sz w:val="20"/>
                <w:szCs w:val="20"/>
                <w:spacing w:val="5"/>
              </w:rPr>
              <w:t>序号</w:t>
            </w:r>
          </w:p>
        </w:tc>
        <w:tc>
          <w:tcPr>
            <w:tcW w:w="1701" w:type="dxa"/>
            <w:vAlign w:val="top"/>
            <w:tcBorders>
              <w:top w:val="single" w:color="000000" w:sz="10" w:space="0"/>
            </w:tcBorders>
          </w:tcPr>
          <w:p>
            <w:pPr>
              <w:pStyle w:val="TableText"/>
              <w:ind w:left="336"/>
              <w:spacing w:before="112" w:line="224" w:lineRule="auto"/>
              <w:rPr>
                <w:sz w:val="20"/>
                <w:szCs w:val="20"/>
              </w:rPr>
            </w:pPr>
            <w:r>
              <w:rPr>
                <w:sz w:val="20"/>
                <w:szCs w:val="20"/>
                <w:spacing w:val="7"/>
              </w:rPr>
              <w:t>原辅料名称</w:t>
            </w:r>
          </w:p>
        </w:tc>
        <w:tc>
          <w:tcPr>
            <w:tcW w:w="1776" w:type="dxa"/>
            <w:vAlign w:val="top"/>
            <w:tcBorders>
              <w:top w:val="single" w:color="000000" w:sz="10" w:space="0"/>
            </w:tcBorders>
          </w:tcPr>
          <w:p>
            <w:pPr>
              <w:pStyle w:val="TableText"/>
              <w:ind w:left="264"/>
              <w:spacing w:before="112" w:line="224" w:lineRule="auto"/>
              <w:rPr>
                <w:sz w:val="20"/>
                <w:szCs w:val="20"/>
              </w:rPr>
            </w:pPr>
            <w:r>
              <w:rPr>
                <w:sz w:val="20"/>
                <w:szCs w:val="20"/>
                <w:spacing w:val="7"/>
              </w:rPr>
              <w:t>现有工程用量</w:t>
            </w:r>
          </w:p>
        </w:tc>
        <w:tc>
          <w:tcPr>
            <w:tcW w:w="2000" w:type="dxa"/>
            <w:vAlign w:val="top"/>
            <w:tcBorders>
              <w:top w:val="single" w:color="000000" w:sz="10" w:space="0"/>
            </w:tcBorders>
          </w:tcPr>
          <w:p>
            <w:pPr>
              <w:pStyle w:val="TableText"/>
              <w:ind w:left="270"/>
              <w:spacing w:before="112" w:line="224" w:lineRule="auto"/>
              <w:rPr>
                <w:sz w:val="20"/>
                <w:szCs w:val="20"/>
              </w:rPr>
            </w:pPr>
            <w:r>
              <w:rPr>
                <w:sz w:val="20"/>
                <w:szCs w:val="20"/>
                <w:spacing w:val="8"/>
              </w:rPr>
              <w:t>本项目新增用量</w:t>
            </w:r>
          </w:p>
        </w:tc>
        <w:tc>
          <w:tcPr>
            <w:tcW w:w="1345" w:type="dxa"/>
            <w:vAlign w:val="top"/>
            <w:tcBorders>
              <w:top w:val="single" w:color="000000" w:sz="10" w:space="0"/>
            </w:tcBorders>
          </w:tcPr>
          <w:p>
            <w:pPr>
              <w:pStyle w:val="TableText"/>
              <w:ind w:left="257"/>
              <w:spacing w:before="112" w:line="224" w:lineRule="auto"/>
              <w:rPr>
                <w:sz w:val="20"/>
                <w:szCs w:val="20"/>
              </w:rPr>
            </w:pPr>
            <w:r>
              <w:rPr>
                <w:sz w:val="20"/>
                <w:szCs w:val="20"/>
                <w:spacing w:val="7"/>
              </w:rPr>
              <w:t>全厂总量</w:t>
            </w:r>
          </w:p>
        </w:tc>
        <w:tc>
          <w:tcPr>
            <w:tcW w:w="967" w:type="dxa"/>
            <w:vAlign w:val="top"/>
            <w:tcBorders>
              <w:right w:val="nil"/>
              <w:top w:val="single" w:color="000000" w:sz="10" w:space="0"/>
            </w:tcBorders>
          </w:tcPr>
          <w:p>
            <w:pPr>
              <w:pStyle w:val="TableText"/>
              <w:ind w:left="280"/>
              <w:spacing w:before="112" w:line="224" w:lineRule="auto"/>
              <w:rPr>
                <w:sz w:val="20"/>
                <w:szCs w:val="20"/>
              </w:rPr>
            </w:pPr>
            <w:r>
              <w:rPr>
                <w:sz w:val="20"/>
                <w:szCs w:val="20"/>
                <w:spacing w:val="3"/>
              </w:rPr>
              <w:t>备注</w:t>
            </w:r>
          </w:p>
        </w:tc>
      </w:tr>
      <w:tr>
        <w:trPr>
          <w:trHeight w:val="361" w:hRule="atLeast"/>
        </w:trPr>
        <w:tc>
          <w:tcPr>
            <w:tcW w:w="730" w:type="dxa"/>
            <w:vAlign w:val="top"/>
            <w:tcBorders>
              <w:left w:val="nil"/>
            </w:tcBorders>
          </w:tcPr>
          <w:p>
            <w:pPr>
              <w:ind w:left="336"/>
              <w:spacing w:before="15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01" w:type="dxa"/>
            <w:vAlign w:val="top"/>
          </w:tcPr>
          <w:p>
            <w:pPr>
              <w:pStyle w:val="TableText"/>
              <w:ind w:left="339"/>
              <w:spacing w:before="114" w:line="218" w:lineRule="auto"/>
              <w:rPr>
                <w:sz w:val="20"/>
                <w:szCs w:val="20"/>
              </w:rPr>
            </w:pPr>
            <w:r>
              <w:rPr>
                <w:sz w:val="20"/>
                <w:szCs w:val="20"/>
                <w:spacing w:val="6"/>
              </w:rPr>
              <w:t>聚乙烯颗粒</w:t>
            </w:r>
          </w:p>
        </w:tc>
        <w:tc>
          <w:tcPr>
            <w:tcW w:w="1776" w:type="dxa"/>
            <w:vAlign w:val="top"/>
          </w:tcPr>
          <w:p>
            <w:pPr>
              <w:ind w:left="646"/>
              <w:spacing w:before="14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100t/a</w:t>
            </w:r>
          </w:p>
        </w:tc>
        <w:tc>
          <w:tcPr>
            <w:tcW w:w="2000" w:type="dxa"/>
            <w:vAlign w:val="top"/>
          </w:tcPr>
          <w:p>
            <w:pPr>
              <w:ind w:left="744"/>
              <w:spacing w:before="14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510t/a</w:t>
            </w:r>
          </w:p>
        </w:tc>
        <w:tc>
          <w:tcPr>
            <w:tcW w:w="1345" w:type="dxa"/>
            <w:vAlign w:val="top"/>
          </w:tcPr>
          <w:p>
            <w:pPr>
              <w:ind w:left="416"/>
              <w:spacing w:before="14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610t/a</w:t>
            </w:r>
          </w:p>
        </w:tc>
        <w:tc>
          <w:tcPr>
            <w:tcW w:w="967" w:type="dxa"/>
            <w:vAlign w:val="top"/>
            <w:tcBorders>
              <w:right w:val="nil"/>
            </w:tcBorders>
          </w:tcPr>
          <w:p>
            <w:pPr>
              <w:ind w:left="452"/>
              <w:spacing w:before="14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61" w:hRule="atLeast"/>
        </w:trPr>
        <w:tc>
          <w:tcPr>
            <w:tcW w:w="730" w:type="dxa"/>
            <w:vAlign w:val="top"/>
            <w:tcBorders>
              <w:left w:val="nil"/>
            </w:tcBorders>
          </w:tcPr>
          <w:p>
            <w:pPr>
              <w:ind w:left="316"/>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701" w:type="dxa"/>
            <w:vAlign w:val="top"/>
          </w:tcPr>
          <w:p>
            <w:pPr>
              <w:pStyle w:val="TableText"/>
              <w:ind w:left="434"/>
              <w:spacing w:before="118" w:line="215" w:lineRule="auto"/>
              <w:rPr>
                <w:sz w:val="20"/>
                <w:szCs w:val="20"/>
              </w:rPr>
            </w:pPr>
            <w:r>
              <w:rPr>
                <w:sz w:val="20"/>
                <w:szCs w:val="20"/>
                <w:spacing w:val="7"/>
              </w:rPr>
              <w:t>抗老化剂</w:t>
            </w:r>
          </w:p>
        </w:tc>
        <w:tc>
          <w:tcPr>
            <w:tcW w:w="1776" w:type="dxa"/>
            <w:vAlign w:val="top"/>
          </w:tcPr>
          <w:p>
            <w:pPr>
              <w:ind w:left="737"/>
              <w:spacing w:before="15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5t/a</w:t>
            </w:r>
          </w:p>
        </w:tc>
        <w:tc>
          <w:tcPr>
            <w:tcW w:w="2000" w:type="dxa"/>
            <w:vAlign w:val="top"/>
          </w:tcPr>
          <w:p>
            <w:pPr>
              <w:ind w:left="850"/>
              <w:spacing w:before="15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5t/a</w:t>
            </w:r>
          </w:p>
        </w:tc>
        <w:tc>
          <w:tcPr>
            <w:tcW w:w="1345" w:type="dxa"/>
            <w:vAlign w:val="top"/>
          </w:tcPr>
          <w:p>
            <w:pPr>
              <w:ind w:left="484"/>
              <w:spacing w:before="15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10t/a</w:t>
            </w:r>
          </w:p>
        </w:tc>
        <w:tc>
          <w:tcPr>
            <w:tcW w:w="967" w:type="dxa"/>
            <w:vAlign w:val="top"/>
            <w:tcBorders>
              <w:right w:val="nil"/>
            </w:tcBorders>
          </w:tcPr>
          <w:p>
            <w:pPr>
              <w:ind w:left="452"/>
              <w:spacing w:before="15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61" w:hRule="atLeast"/>
        </w:trPr>
        <w:tc>
          <w:tcPr>
            <w:tcW w:w="730" w:type="dxa"/>
            <w:vAlign w:val="top"/>
            <w:tcBorders>
              <w:left w:val="nil"/>
            </w:tcBorders>
          </w:tcPr>
          <w:p>
            <w:pPr>
              <w:ind w:left="320"/>
              <w:spacing w:before="1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701" w:type="dxa"/>
            <w:vAlign w:val="top"/>
          </w:tcPr>
          <w:p>
            <w:pPr>
              <w:pStyle w:val="TableText"/>
              <w:ind w:left="330"/>
              <w:spacing w:before="121" w:line="212" w:lineRule="auto"/>
              <w:rPr>
                <w:sz w:val="20"/>
                <w:szCs w:val="20"/>
              </w:rPr>
            </w:pPr>
            <w:r>
              <w:rPr>
                <w:sz w:val="20"/>
                <w:szCs w:val="20"/>
                <w:spacing w:val="8"/>
              </w:rPr>
              <w:t>废旧滴灌带</w:t>
            </w:r>
          </w:p>
        </w:tc>
        <w:tc>
          <w:tcPr>
            <w:tcW w:w="1776" w:type="dxa"/>
            <w:vAlign w:val="top"/>
          </w:tcPr>
          <w:p>
            <w:pPr>
              <w:ind w:left="630"/>
              <w:spacing w:before="15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600t/a</w:t>
            </w:r>
          </w:p>
        </w:tc>
        <w:tc>
          <w:tcPr>
            <w:tcW w:w="2000" w:type="dxa"/>
            <w:vAlign w:val="top"/>
          </w:tcPr>
          <w:p>
            <w:pPr>
              <w:ind w:left="847"/>
              <w:spacing w:before="15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0t/a</w:t>
            </w:r>
          </w:p>
        </w:tc>
        <w:tc>
          <w:tcPr>
            <w:tcW w:w="1345" w:type="dxa"/>
            <w:vAlign w:val="top"/>
          </w:tcPr>
          <w:p>
            <w:pPr>
              <w:ind w:left="416"/>
              <w:spacing w:before="15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600t/a</w:t>
            </w:r>
          </w:p>
        </w:tc>
        <w:tc>
          <w:tcPr>
            <w:tcW w:w="967" w:type="dxa"/>
            <w:vAlign w:val="top"/>
            <w:tcBorders>
              <w:right w:val="nil"/>
            </w:tcBorders>
          </w:tcPr>
          <w:p>
            <w:pPr>
              <w:ind w:left="452"/>
              <w:spacing w:before="15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61" w:hRule="atLeast"/>
        </w:trPr>
        <w:tc>
          <w:tcPr>
            <w:tcW w:w="730" w:type="dxa"/>
            <w:vAlign w:val="top"/>
            <w:tcBorders>
              <w:left w:val="nil"/>
            </w:tcBorders>
          </w:tcPr>
          <w:p>
            <w:pPr>
              <w:ind w:left="315"/>
              <w:spacing w:before="16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701" w:type="dxa"/>
            <w:vAlign w:val="top"/>
          </w:tcPr>
          <w:p>
            <w:pPr>
              <w:pStyle w:val="TableText"/>
              <w:ind w:left="542"/>
              <w:spacing w:before="125" w:line="208" w:lineRule="auto"/>
              <w:rPr>
                <w:sz w:val="20"/>
                <w:szCs w:val="20"/>
              </w:rPr>
            </w:pPr>
            <w:r>
              <w:rPr>
                <w:sz w:val="20"/>
                <w:szCs w:val="20"/>
                <w:spacing w:val="6"/>
              </w:rPr>
              <w:t>纸芯桶</w:t>
            </w:r>
          </w:p>
        </w:tc>
        <w:tc>
          <w:tcPr>
            <w:tcW w:w="1776" w:type="dxa"/>
            <w:vAlign w:val="top"/>
          </w:tcPr>
          <w:p>
            <w:pPr>
              <w:ind w:left="698"/>
              <w:spacing w:before="1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10t/a</w:t>
            </w:r>
          </w:p>
        </w:tc>
        <w:tc>
          <w:tcPr>
            <w:tcW w:w="2000" w:type="dxa"/>
            <w:vAlign w:val="top"/>
          </w:tcPr>
          <w:p>
            <w:pPr>
              <w:ind w:left="811"/>
              <w:spacing w:before="1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10t/a</w:t>
            </w:r>
          </w:p>
        </w:tc>
        <w:tc>
          <w:tcPr>
            <w:tcW w:w="1345" w:type="dxa"/>
            <w:vAlign w:val="top"/>
          </w:tcPr>
          <w:p>
            <w:pPr>
              <w:ind w:left="464"/>
              <w:spacing w:before="1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20t/a</w:t>
            </w:r>
          </w:p>
        </w:tc>
        <w:tc>
          <w:tcPr>
            <w:tcW w:w="967" w:type="dxa"/>
            <w:vAlign w:val="top"/>
            <w:tcBorders>
              <w:right w:val="nil"/>
            </w:tcBorders>
          </w:tcPr>
          <w:p>
            <w:pPr>
              <w:ind w:left="452"/>
              <w:spacing w:before="1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84" w:hRule="atLeast"/>
        </w:trPr>
        <w:tc>
          <w:tcPr>
            <w:tcW w:w="730" w:type="dxa"/>
            <w:vAlign w:val="top"/>
            <w:tcBorders>
              <w:left w:val="nil"/>
              <w:bottom w:val="single" w:color="000000" w:sz="10" w:space="0"/>
            </w:tcBorders>
          </w:tcPr>
          <w:p>
            <w:pPr>
              <w:ind w:left="322"/>
              <w:spacing w:before="16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701" w:type="dxa"/>
            <w:vAlign w:val="top"/>
            <w:tcBorders>
              <w:bottom w:val="single" w:color="000000" w:sz="10" w:space="0"/>
            </w:tcBorders>
          </w:tcPr>
          <w:p>
            <w:pPr>
              <w:pStyle w:val="TableText"/>
              <w:ind w:left="540"/>
              <w:spacing w:before="129" w:line="226" w:lineRule="auto"/>
              <w:rPr>
                <w:sz w:val="20"/>
                <w:szCs w:val="20"/>
              </w:rPr>
            </w:pPr>
            <w:r>
              <w:rPr>
                <w:sz w:val="20"/>
                <w:szCs w:val="20"/>
                <w:spacing w:val="6"/>
              </w:rPr>
              <w:t>包装袋</w:t>
            </w:r>
          </w:p>
        </w:tc>
        <w:tc>
          <w:tcPr>
            <w:tcW w:w="1776" w:type="dxa"/>
            <w:vAlign w:val="top"/>
            <w:tcBorders>
              <w:bottom w:val="single" w:color="000000" w:sz="10" w:space="0"/>
            </w:tcBorders>
          </w:tcPr>
          <w:p>
            <w:pPr>
              <w:ind w:left="740"/>
              <w:spacing w:before="16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8t/a</w:t>
            </w:r>
          </w:p>
        </w:tc>
        <w:tc>
          <w:tcPr>
            <w:tcW w:w="2000" w:type="dxa"/>
            <w:vAlign w:val="top"/>
            <w:tcBorders>
              <w:bottom w:val="single" w:color="000000" w:sz="10" w:space="0"/>
            </w:tcBorders>
          </w:tcPr>
          <w:p>
            <w:pPr>
              <w:ind w:left="852"/>
              <w:spacing w:before="16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8t/a</w:t>
            </w:r>
          </w:p>
        </w:tc>
        <w:tc>
          <w:tcPr>
            <w:tcW w:w="1345" w:type="dxa"/>
            <w:vAlign w:val="top"/>
            <w:tcBorders>
              <w:bottom w:val="single" w:color="000000" w:sz="10" w:space="0"/>
            </w:tcBorders>
          </w:tcPr>
          <w:p>
            <w:pPr>
              <w:ind w:left="484"/>
              <w:spacing w:before="16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16t/a</w:t>
            </w:r>
          </w:p>
        </w:tc>
        <w:tc>
          <w:tcPr>
            <w:tcW w:w="967" w:type="dxa"/>
            <w:vAlign w:val="top"/>
            <w:tcBorders>
              <w:right w:val="nil"/>
              <w:bottom w:val="single" w:color="000000" w:sz="10" w:space="0"/>
            </w:tcBorders>
          </w:tcPr>
          <w:p>
            <w:pPr>
              <w:ind w:left="452"/>
              <w:spacing w:before="16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bl>
    <w:p>
      <w:pPr>
        <w:ind w:left="612"/>
        <w:spacing w:before="196" w:line="219" w:lineRule="auto"/>
        <w:rPr>
          <w:rFonts w:ascii="SimSun" w:hAnsi="SimSun" w:eastAsia="SimSun" w:cs="SimSun"/>
          <w:sz w:val="24"/>
          <w:szCs w:val="24"/>
        </w:rPr>
      </w:pPr>
      <w:r>
        <w:rPr>
          <w:rFonts w:ascii="SimSun" w:hAnsi="SimSun" w:eastAsia="SimSun" w:cs="SimSun"/>
          <w:sz w:val="24"/>
          <w:szCs w:val="24"/>
          <w:spacing w:val="-1"/>
        </w:rPr>
        <w:t>本项目建设完成后产品变化情况见表</w:t>
      </w:r>
      <w:r>
        <w:rPr>
          <w:rFonts w:ascii="Times New Roman" w:hAnsi="Times New Roman" w:eastAsia="Times New Roman" w:cs="Times New Roman"/>
          <w:sz w:val="24"/>
          <w:szCs w:val="24"/>
          <w:spacing w:val="-1"/>
        </w:rPr>
        <w:t>2.4-5</w:t>
      </w:r>
      <w:r>
        <w:rPr>
          <w:rFonts w:ascii="SimSun" w:hAnsi="SimSun" w:eastAsia="SimSun" w:cs="SimSun"/>
          <w:sz w:val="24"/>
          <w:szCs w:val="24"/>
          <w:spacing w:val="-1"/>
        </w:rPr>
        <w:t>。</w:t>
      </w:r>
    </w:p>
    <w:p>
      <w:pPr>
        <w:ind w:left="2293"/>
        <w:spacing w:before="135" w:line="219" w:lineRule="auto"/>
        <w:rPr>
          <w:rFonts w:ascii="SimSun" w:hAnsi="SimSun" w:eastAsia="SimSun" w:cs="SimSun"/>
          <w:sz w:val="24"/>
          <w:szCs w:val="24"/>
        </w:rPr>
      </w:pPr>
      <w:r>
        <w:rPr>
          <w:rFonts w:ascii="SimSun" w:hAnsi="SimSun" w:eastAsia="SimSun" w:cs="SimSun"/>
          <w:sz w:val="24"/>
          <w:szCs w:val="24"/>
          <w:spacing w:val="-1"/>
        </w:rPr>
        <w:t>表</w:t>
      </w:r>
      <w:r>
        <w:rPr>
          <w:rFonts w:ascii="Times New Roman" w:hAnsi="Times New Roman" w:eastAsia="Times New Roman" w:cs="Times New Roman"/>
          <w:sz w:val="24"/>
          <w:szCs w:val="24"/>
          <w:spacing w:val="-1"/>
        </w:rPr>
        <w:t>2.4-5  </w:t>
      </w:r>
      <w:r>
        <w:rPr>
          <w:rFonts w:ascii="SimSun" w:hAnsi="SimSun" w:eastAsia="SimSun" w:cs="SimSun"/>
          <w:sz w:val="24"/>
          <w:szCs w:val="24"/>
          <w:spacing w:val="-1"/>
        </w:rPr>
        <w:t>本项目建设前后产品变化情况</w:t>
      </w:r>
    </w:p>
    <w:tbl>
      <w:tblPr>
        <w:tblStyle w:val="TableNormal"/>
        <w:tblW w:w="8518" w:type="dxa"/>
        <w:tblInd w:w="14"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774"/>
        <w:gridCol w:w="1642"/>
        <w:gridCol w:w="2163"/>
        <w:gridCol w:w="1983"/>
        <w:gridCol w:w="1242"/>
        <w:gridCol w:w="714"/>
      </w:tblGrid>
      <w:tr>
        <w:trPr>
          <w:trHeight w:val="366" w:hRule="atLeast"/>
        </w:trPr>
        <w:tc>
          <w:tcPr>
            <w:tcW w:w="774" w:type="dxa"/>
            <w:vAlign w:val="top"/>
            <w:tcBorders>
              <w:right w:val="single" w:color="000000" w:sz="2" w:space="0"/>
              <w:left w:val="nil"/>
            </w:tcBorders>
          </w:tcPr>
          <w:p>
            <w:pPr>
              <w:pStyle w:val="TableText"/>
              <w:ind w:left="184"/>
              <w:spacing w:before="113" w:line="224" w:lineRule="auto"/>
              <w:rPr>
                <w:sz w:val="20"/>
                <w:szCs w:val="20"/>
              </w:rPr>
            </w:pPr>
            <w:r>
              <w:rPr>
                <w:sz w:val="20"/>
                <w:szCs w:val="20"/>
                <w:spacing w:val="5"/>
              </w:rPr>
              <w:t>序号</w:t>
            </w:r>
          </w:p>
        </w:tc>
        <w:tc>
          <w:tcPr>
            <w:tcW w:w="1642" w:type="dxa"/>
            <w:vAlign w:val="top"/>
            <w:tcBorders>
              <w:left w:val="single" w:color="000000" w:sz="2" w:space="0"/>
              <w:right w:val="single" w:color="000000" w:sz="2" w:space="0"/>
            </w:tcBorders>
          </w:tcPr>
          <w:p>
            <w:pPr>
              <w:pStyle w:val="TableText"/>
              <w:ind w:left="407"/>
              <w:spacing w:before="113" w:line="224" w:lineRule="auto"/>
              <w:rPr>
                <w:sz w:val="20"/>
                <w:szCs w:val="20"/>
              </w:rPr>
            </w:pPr>
            <w:r>
              <w:rPr>
                <w:sz w:val="20"/>
                <w:szCs w:val="20"/>
                <w:spacing w:val="7"/>
              </w:rPr>
              <w:t>产品名称</w:t>
            </w:r>
          </w:p>
        </w:tc>
        <w:tc>
          <w:tcPr>
            <w:tcW w:w="2163" w:type="dxa"/>
            <w:vAlign w:val="top"/>
            <w:tcBorders>
              <w:left w:val="single" w:color="000000" w:sz="2" w:space="0"/>
              <w:right w:val="single" w:color="000000" w:sz="2" w:space="0"/>
            </w:tcBorders>
          </w:tcPr>
          <w:p>
            <w:pPr>
              <w:pStyle w:val="TableText"/>
              <w:ind w:left="248"/>
              <w:spacing w:before="113" w:line="224" w:lineRule="auto"/>
              <w:rPr>
                <w:sz w:val="20"/>
                <w:szCs w:val="20"/>
              </w:rPr>
            </w:pPr>
            <w:r>
              <w:rPr>
                <w:sz w:val="20"/>
                <w:szCs w:val="20"/>
                <w:spacing w:val="8"/>
              </w:rPr>
              <w:t>现有工程产品产量</w:t>
            </w:r>
          </w:p>
        </w:tc>
        <w:tc>
          <w:tcPr>
            <w:tcW w:w="1983" w:type="dxa"/>
            <w:vAlign w:val="top"/>
            <w:tcBorders>
              <w:left w:val="single" w:color="000000" w:sz="2" w:space="0"/>
              <w:right w:val="single" w:color="000000" w:sz="2" w:space="0"/>
            </w:tcBorders>
          </w:tcPr>
          <w:p>
            <w:pPr>
              <w:pStyle w:val="TableText"/>
              <w:ind w:left="263"/>
              <w:spacing w:before="113" w:line="224" w:lineRule="auto"/>
              <w:rPr>
                <w:sz w:val="20"/>
                <w:szCs w:val="20"/>
              </w:rPr>
            </w:pPr>
            <w:r>
              <w:rPr>
                <w:sz w:val="20"/>
                <w:szCs w:val="20"/>
                <w:spacing w:val="8"/>
              </w:rPr>
              <w:t>本项目新增用量</w:t>
            </w:r>
          </w:p>
        </w:tc>
        <w:tc>
          <w:tcPr>
            <w:tcW w:w="1242" w:type="dxa"/>
            <w:vAlign w:val="top"/>
            <w:tcBorders>
              <w:left w:val="single" w:color="000000" w:sz="2" w:space="0"/>
              <w:right w:val="single" w:color="000000" w:sz="2" w:space="0"/>
            </w:tcBorders>
          </w:tcPr>
          <w:p>
            <w:pPr>
              <w:pStyle w:val="TableText"/>
              <w:ind w:left="206"/>
              <w:spacing w:before="113" w:line="224" w:lineRule="auto"/>
              <w:rPr>
                <w:sz w:val="20"/>
                <w:szCs w:val="20"/>
              </w:rPr>
            </w:pPr>
            <w:r>
              <w:rPr>
                <w:sz w:val="20"/>
                <w:szCs w:val="20"/>
                <w:spacing w:val="7"/>
              </w:rPr>
              <w:t>全厂总量</w:t>
            </w:r>
          </w:p>
        </w:tc>
        <w:tc>
          <w:tcPr>
            <w:tcW w:w="714" w:type="dxa"/>
            <w:vAlign w:val="top"/>
            <w:tcBorders>
              <w:left w:val="single" w:color="000000" w:sz="2" w:space="0"/>
              <w:right w:val="nil"/>
            </w:tcBorders>
          </w:tcPr>
          <w:p>
            <w:pPr>
              <w:pStyle w:val="TableText"/>
              <w:ind w:left="155"/>
              <w:spacing w:before="113" w:line="224" w:lineRule="auto"/>
              <w:rPr>
                <w:sz w:val="20"/>
                <w:szCs w:val="20"/>
              </w:rPr>
            </w:pPr>
            <w:r>
              <w:rPr>
                <w:sz w:val="20"/>
                <w:szCs w:val="20"/>
                <w:spacing w:val="3"/>
              </w:rPr>
              <w:t>备注</w:t>
            </w:r>
          </w:p>
        </w:tc>
      </w:tr>
    </w:tbl>
    <w:p>
      <w:pPr>
        <w:pStyle w:val="BodyText"/>
        <w:rPr/>
      </w:pPr>
      <w:r/>
    </w:p>
    <w:p>
      <w:pPr>
        <w:sectPr>
          <w:footerReference w:type="default" r:id="rId29"/>
          <w:pgSz w:w="11906" w:h="16839"/>
          <w:pgMar w:top="400" w:right="1677" w:bottom="1209" w:left="1677" w:header="0" w:footer="1049" w:gutter="0"/>
        </w:sectPr>
        <w:rPr/>
      </w:pPr>
    </w:p>
    <w:p>
      <w:pPr>
        <w:spacing w:before="19"/>
        <w:rPr/>
      </w:pPr>
      <w:r/>
    </w:p>
    <w:p>
      <w:pPr>
        <w:spacing w:before="19"/>
        <w:rPr/>
      </w:pPr>
      <w:r/>
    </w:p>
    <w:p>
      <w:pPr>
        <w:spacing w:before="18"/>
        <w:rPr/>
      </w:pPr>
      <w:r/>
    </w:p>
    <w:p>
      <w:pPr>
        <w:spacing w:before="18"/>
        <w:rPr/>
      </w:pPr>
      <w:r/>
    </w:p>
    <w:tbl>
      <w:tblPr>
        <w:tblStyle w:val="TableNormal"/>
        <w:tblW w:w="8518"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4"/>
        <w:gridCol w:w="1642"/>
        <w:gridCol w:w="2163"/>
        <w:gridCol w:w="1983"/>
        <w:gridCol w:w="1242"/>
        <w:gridCol w:w="714"/>
      </w:tblGrid>
      <w:tr>
        <w:trPr>
          <w:trHeight w:val="363" w:hRule="atLeast"/>
        </w:trPr>
        <w:tc>
          <w:tcPr>
            <w:tcW w:w="774" w:type="dxa"/>
            <w:vAlign w:val="top"/>
            <w:tcBorders>
              <w:top w:val="single" w:color="000000" w:sz="10" w:space="0"/>
              <w:left w:val="nil"/>
            </w:tcBorders>
          </w:tcPr>
          <w:p>
            <w:pPr>
              <w:ind w:left="358"/>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42" w:type="dxa"/>
            <w:vAlign w:val="top"/>
            <w:tcBorders>
              <w:top w:val="single" w:color="000000" w:sz="10" w:space="0"/>
            </w:tcBorders>
          </w:tcPr>
          <w:p>
            <w:pPr>
              <w:pStyle w:val="TableText"/>
              <w:ind w:left="198"/>
              <w:spacing w:before="113" w:line="221" w:lineRule="auto"/>
              <w:rPr>
                <w:sz w:val="20"/>
                <w:szCs w:val="20"/>
              </w:rPr>
            </w:pPr>
            <w:r>
              <w:rPr>
                <w:sz w:val="20"/>
                <w:szCs w:val="20"/>
                <w:spacing w:val="7"/>
              </w:rPr>
              <w:t>再生塑料颗粒</w:t>
            </w:r>
          </w:p>
        </w:tc>
        <w:tc>
          <w:tcPr>
            <w:tcW w:w="2163" w:type="dxa"/>
            <w:vAlign w:val="top"/>
            <w:tcBorders>
              <w:top w:val="single" w:color="000000" w:sz="10" w:space="0"/>
            </w:tcBorders>
          </w:tcPr>
          <w:p>
            <w:pPr>
              <w:ind w:left="824"/>
              <w:spacing w:before="14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700t/a</w:t>
            </w:r>
          </w:p>
        </w:tc>
        <w:tc>
          <w:tcPr>
            <w:tcW w:w="1983" w:type="dxa"/>
            <w:vAlign w:val="top"/>
            <w:tcBorders>
              <w:top w:val="single" w:color="000000" w:sz="10" w:space="0"/>
            </w:tcBorders>
          </w:tcPr>
          <w:p>
            <w:pPr>
              <w:ind w:left="838"/>
              <w:spacing w:before="14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0t/a</w:t>
            </w:r>
          </w:p>
        </w:tc>
        <w:tc>
          <w:tcPr>
            <w:tcW w:w="1242" w:type="dxa"/>
            <w:vAlign w:val="top"/>
            <w:tcBorders>
              <w:top w:val="single" w:color="000000" w:sz="10" w:space="0"/>
            </w:tcBorders>
          </w:tcPr>
          <w:p>
            <w:pPr>
              <w:ind w:left="364"/>
              <w:spacing w:before="14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700t/a</w:t>
            </w:r>
          </w:p>
        </w:tc>
        <w:tc>
          <w:tcPr>
            <w:tcW w:w="714" w:type="dxa"/>
            <w:vAlign w:val="top"/>
            <w:tcBorders>
              <w:top w:val="single" w:color="000000" w:sz="10" w:space="0"/>
              <w:right w:val="nil"/>
            </w:tcBorders>
          </w:tcPr>
          <w:p>
            <w:pPr>
              <w:ind w:left="327"/>
              <w:spacing w:before="14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59" w:hRule="atLeast"/>
        </w:trPr>
        <w:tc>
          <w:tcPr>
            <w:tcW w:w="774" w:type="dxa"/>
            <w:vAlign w:val="top"/>
            <w:tcBorders>
              <w:left w:val="nil"/>
            </w:tcBorders>
          </w:tcPr>
          <w:p>
            <w:pPr>
              <w:ind w:left="337"/>
              <w:spacing w:before="15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642" w:type="dxa"/>
            <w:vAlign w:val="top"/>
          </w:tcPr>
          <w:p>
            <w:pPr>
              <w:pStyle w:val="TableText"/>
              <w:ind w:left="512"/>
              <w:spacing w:before="115" w:line="216" w:lineRule="auto"/>
              <w:rPr>
                <w:sz w:val="20"/>
                <w:szCs w:val="20"/>
              </w:rPr>
            </w:pPr>
            <w:r>
              <w:rPr>
                <w:sz w:val="20"/>
                <w:szCs w:val="20"/>
                <w:spacing w:val="6"/>
              </w:rPr>
              <w:t>滴灌带</w:t>
            </w:r>
          </w:p>
        </w:tc>
        <w:tc>
          <w:tcPr>
            <w:tcW w:w="2163" w:type="dxa"/>
            <w:vAlign w:val="top"/>
          </w:tcPr>
          <w:p>
            <w:pPr>
              <w:ind w:left="825"/>
              <w:spacing w:before="14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600t/a</w:t>
            </w:r>
          </w:p>
        </w:tc>
        <w:tc>
          <w:tcPr>
            <w:tcW w:w="1983" w:type="dxa"/>
            <w:vAlign w:val="top"/>
          </w:tcPr>
          <w:p>
            <w:pPr>
              <w:ind w:left="838"/>
              <w:spacing w:before="14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0t/a</w:t>
            </w:r>
          </w:p>
        </w:tc>
        <w:tc>
          <w:tcPr>
            <w:tcW w:w="1242" w:type="dxa"/>
            <w:vAlign w:val="top"/>
          </w:tcPr>
          <w:p>
            <w:pPr>
              <w:ind w:left="366"/>
              <w:spacing w:before="14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600t/a</w:t>
            </w:r>
          </w:p>
        </w:tc>
        <w:tc>
          <w:tcPr>
            <w:tcW w:w="714" w:type="dxa"/>
            <w:vAlign w:val="top"/>
            <w:tcBorders>
              <w:right w:val="nil"/>
            </w:tcBorders>
          </w:tcPr>
          <w:p>
            <w:pPr>
              <w:ind w:left="327"/>
              <w:spacing w:before="14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59" w:hRule="atLeast"/>
        </w:trPr>
        <w:tc>
          <w:tcPr>
            <w:tcW w:w="774" w:type="dxa"/>
            <w:vAlign w:val="top"/>
            <w:tcBorders>
              <w:left w:val="nil"/>
            </w:tcBorders>
          </w:tcPr>
          <w:p>
            <w:pPr>
              <w:ind w:left="342"/>
              <w:spacing w:before="15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642" w:type="dxa"/>
            <w:vAlign w:val="top"/>
          </w:tcPr>
          <w:p>
            <w:pPr>
              <w:pStyle w:val="TableText"/>
              <w:ind w:left="489"/>
              <w:spacing w:before="120" w:line="211" w:lineRule="auto"/>
              <w:rPr>
                <w:sz w:val="20"/>
                <w:szCs w:val="20"/>
              </w:rPr>
            </w:pPr>
            <w:r>
              <w:rPr>
                <w:rFonts w:ascii="Times New Roman" w:hAnsi="Times New Roman" w:eastAsia="Times New Roman" w:cs="Times New Roman"/>
                <w:sz w:val="20"/>
                <w:szCs w:val="20"/>
              </w:rPr>
              <w:t>PE</w:t>
            </w:r>
            <w:r>
              <w:rPr>
                <w:sz w:val="20"/>
                <w:szCs w:val="20"/>
                <w:spacing w:val="12"/>
              </w:rPr>
              <w:t>水带</w:t>
            </w:r>
          </w:p>
        </w:tc>
        <w:tc>
          <w:tcPr>
            <w:tcW w:w="2163" w:type="dxa"/>
            <w:vAlign w:val="top"/>
          </w:tcPr>
          <w:p>
            <w:pPr>
              <w:ind w:left="841"/>
              <w:spacing w:before="15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100t/a</w:t>
            </w:r>
          </w:p>
        </w:tc>
        <w:tc>
          <w:tcPr>
            <w:tcW w:w="1983" w:type="dxa"/>
            <w:vAlign w:val="top"/>
          </w:tcPr>
          <w:p>
            <w:pPr>
              <w:ind w:left="838"/>
              <w:spacing w:before="15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0t/a</w:t>
            </w:r>
          </w:p>
        </w:tc>
        <w:tc>
          <w:tcPr>
            <w:tcW w:w="1242" w:type="dxa"/>
            <w:vAlign w:val="top"/>
          </w:tcPr>
          <w:p>
            <w:pPr>
              <w:ind w:left="381"/>
              <w:spacing w:before="15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100t/a</w:t>
            </w:r>
          </w:p>
        </w:tc>
        <w:tc>
          <w:tcPr>
            <w:tcW w:w="714" w:type="dxa"/>
            <w:vAlign w:val="top"/>
            <w:tcBorders>
              <w:right w:val="nil"/>
            </w:tcBorders>
          </w:tcPr>
          <w:p>
            <w:pPr>
              <w:ind w:left="327"/>
              <w:spacing w:before="15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82" w:hRule="atLeast"/>
        </w:trPr>
        <w:tc>
          <w:tcPr>
            <w:tcW w:w="774" w:type="dxa"/>
            <w:vAlign w:val="top"/>
            <w:tcBorders>
              <w:bottom w:val="single" w:color="000000" w:sz="10" w:space="0"/>
              <w:left w:val="nil"/>
            </w:tcBorders>
          </w:tcPr>
          <w:p>
            <w:pPr>
              <w:ind w:left="336"/>
              <w:spacing w:before="16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642" w:type="dxa"/>
            <w:vAlign w:val="top"/>
            <w:tcBorders>
              <w:bottom w:val="single" w:color="000000" w:sz="10" w:space="0"/>
            </w:tcBorders>
          </w:tcPr>
          <w:p>
            <w:pPr>
              <w:pStyle w:val="TableText"/>
              <w:ind w:left="407"/>
              <w:spacing w:before="128" w:line="225" w:lineRule="auto"/>
              <w:rPr>
                <w:sz w:val="20"/>
                <w:szCs w:val="20"/>
              </w:rPr>
            </w:pPr>
            <w:r>
              <w:rPr>
                <w:sz w:val="20"/>
                <w:szCs w:val="20"/>
                <w:spacing w:val="7"/>
              </w:rPr>
              <w:t>农用地膜</w:t>
            </w:r>
          </w:p>
        </w:tc>
        <w:tc>
          <w:tcPr>
            <w:tcW w:w="2163" w:type="dxa"/>
            <w:vAlign w:val="top"/>
            <w:tcBorders>
              <w:bottom w:val="single" w:color="000000" w:sz="10" w:space="0"/>
            </w:tcBorders>
          </w:tcPr>
          <w:p>
            <w:pPr>
              <w:ind w:left="929"/>
              <w:spacing w:before="16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0t/a</w:t>
            </w:r>
          </w:p>
        </w:tc>
        <w:tc>
          <w:tcPr>
            <w:tcW w:w="1983" w:type="dxa"/>
            <w:vAlign w:val="top"/>
            <w:tcBorders>
              <w:bottom w:val="single" w:color="000000" w:sz="10" w:space="0"/>
            </w:tcBorders>
          </w:tcPr>
          <w:p>
            <w:pPr>
              <w:ind w:left="737"/>
              <w:spacing w:before="16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500t/a</w:t>
            </w:r>
          </w:p>
        </w:tc>
        <w:tc>
          <w:tcPr>
            <w:tcW w:w="1242" w:type="dxa"/>
            <w:vAlign w:val="top"/>
            <w:tcBorders>
              <w:bottom w:val="single" w:color="000000" w:sz="10" w:space="0"/>
            </w:tcBorders>
          </w:tcPr>
          <w:p>
            <w:pPr>
              <w:ind w:left="367"/>
              <w:spacing w:before="16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500t/a</w:t>
            </w:r>
          </w:p>
        </w:tc>
        <w:tc>
          <w:tcPr>
            <w:tcW w:w="714" w:type="dxa"/>
            <w:vAlign w:val="top"/>
            <w:tcBorders>
              <w:bottom w:val="single" w:color="000000" w:sz="10" w:space="0"/>
              <w:right w:val="nil"/>
            </w:tcBorders>
          </w:tcPr>
          <w:p>
            <w:pPr>
              <w:ind w:left="327"/>
              <w:spacing w:before="16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bl>
    <w:p>
      <w:pPr>
        <w:ind w:left="585"/>
        <w:spacing w:before="195" w:line="219" w:lineRule="auto"/>
        <w:rPr>
          <w:rFonts w:ascii="Times New Roman" w:hAnsi="Times New Roman" w:eastAsia="Times New Roman" w:cs="Times New Roman"/>
          <w:sz w:val="24"/>
          <w:szCs w:val="24"/>
        </w:rPr>
      </w:pPr>
      <w:r>
        <w:rPr>
          <w:rFonts w:ascii="SimSun" w:hAnsi="SimSun" w:eastAsia="SimSun" w:cs="SimSun"/>
          <w:sz w:val="24"/>
          <w:szCs w:val="24"/>
          <w:spacing w:val="-1"/>
        </w:rPr>
        <w:t>“</w:t>
      </w:r>
      <w:r>
        <w:rPr>
          <w:rFonts w:ascii="SimSun" w:hAnsi="SimSun" w:eastAsia="SimSun" w:cs="SimSun"/>
          <w:sz w:val="24"/>
          <w:szCs w:val="24"/>
          <w14:textOutline w14:w="4358" w14:cap="sq" w14:cmpd="sng">
            <w14:solidFill>
              <w14:srgbClr w14:val="000000"/>
            </w14:solidFill>
            <w14:prstDash w14:val="solid"/>
            <w14:bevel/>
          </w14:textOutline>
          <w:spacing w:val="-1"/>
        </w:rPr>
        <w:t>完善厂区平面布置图及论证项目平面布置合理性</w:t>
      </w:r>
      <w:r>
        <w:rPr>
          <w:rFonts w:ascii="SimSun" w:hAnsi="SimSun" w:eastAsia="SimSun" w:cs="SimSun"/>
          <w:sz w:val="24"/>
          <w:szCs w:val="24"/>
          <w:spacing w:val="-70"/>
        </w:rPr>
        <w:t xml:space="preserve"> </w:t>
      </w:r>
      <w:r>
        <w:rPr>
          <w:rFonts w:ascii="SimSun" w:hAnsi="SimSun" w:eastAsia="SimSun" w:cs="SimSun"/>
          <w:sz w:val="24"/>
          <w:szCs w:val="24"/>
          <w:spacing w:val="-1"/>
        </w:rPr>
        <w:t>”修改见</w:t>
      </w:r>
      <w:r>
        <w:rPr>
          <w:rFonts w:ascii="Times New Roman" w:hAnsi="Times New Roman" w:eastAsia="Times New Roman" w:cs="Times New Roman"/>
          <w:sz w:val="24"/>
          <w:szCs w:val="24"/>
          <w:spacing w:val="-1"/>
        </w:rPr>
        <w:t>P22</w:t>
      </w:r>
    </w:p>
    <w:p>
      <w:pPr>
        <w:ind w:left="593"/>
        <w:spacing w:before="214" w:line="219" w:lineRule="auto"/>
        <w:rPr>
          <w:rFonts w:ascii="SimSun" w:hAnsi="SimSun" w:eastAsia="SimSun" w:cs="SimSun"/>
          <w:sz w:val="24"/>
          <w:szCs w:val="24"/>
        </w:rPr>
      </w:pPr>
      <w:r>
        <w:rPr>
          <w:rFonts w:ascii="Times New Roman" w:hAnsi="Times New Roman" w:eastAsia="Times New Roman" w:cs="Times New Roman"/>
          <w:sz w:val="24"/>
          <w:szCs w:val="24"/>
          <w:spacing w:val="-1"/>
        </w:rPr>
        <w:t>2.8  </w:t>
      </w:r>
      <w:r>
        <w:rPr>
          <w:rFonts w:ascii="SimSun" w:hAnsi="SimSun" w:eastAsia="SimSun" w:cs="SimSun"/>
          <w:sz w:val="24"/>
          <w:szCs w:val="24"/>
          <w:spacing w:val="-1"/>
        </w:rPr>
        <w:t>厂区平面布置</w:t>
      </w:r>
    </w:p>
    <w:p>
      <w:pPr>
        <w:ind w:left="117" w:right="79" w:firstLine="483"/>
        <w:spacing w:before="217" w:line="384" w:lineRule="auto"/>
        <w:rPr>
          <w:rFonts w:ascii="SimSun" w:hAnsi="SimSun" w:eastAsia="SimSun" w:cs="SimSun"/>
          <w:sz w:val="24"/>
          <w:szCs w:val="24"/>
        </w:rPr>
      </w:pPr>
      <w:r>
        <w:rPr>
          <w:rFonts w:ascii="SimSun" w:hAnsi="SimSun" w:eastAsia="SimSun" w:cs="SimSun"/>
          <w:sz w:val="24"/>
          <w:szCs w:val="24"/>
          <w:spacing w:val="-2"/>
        </w:rPr>
        <w:t>企业厂区分为办公生活区和生产区。办公生活区独立成区，</w:t>
      </w:r>
      <w:r>
        <w:rPr>
          <w:rFonts w:ascii="SimSun" w:hAnsi="SimSun" w:eastAsia="SimSun" w:cs="SimSun"/>
          <w:sz w:val="24"/>
          <w:szCs w:val="24"/>
          <w:spacing w:val="-3"/>
        </w:rPr>
        <w:t>与生产区隔离，</w:t>
      </w:r>
      <w:r>
        <w:rPr>
          <w:rFonts w:ascii="SimSun" w:hAnsi="SimSun" w:eastAsia="SimSun" w:cs="SimSun"/>
          <w:sz w:val="24"/>
          <w:szCs w:val="24"/>
        </w:rPr>
        <w:t xml:space="preserve"> </w:t>
      </w:r>
      <w:r>
        <w:rPr>
          <w:rFonts w:ascii="SimSun" w:hAnsi="SimSun" w:eastAsia="SimSun" w:cs="SimSun"/>
          <w:sz w:val="24"/>
          <w:szCs w:val="24"/>
          <w:spacing w:val="-3"/>
        </w:rPr>
        <w:t>且靠近厂区主入口和主要道路，便于人员出入。办公生活区位于厂区北侧。位于</w:t>
      </w:r>
    </w:p>
    <w:p>
      <w:pPr>
        <w:spacing w:line="218" w:lineRule="auto"/>
        <w:jc w:val="right"/>
        <w:rPr>
          <w:rFonts w:ascii="SimSun" w:hAnsi="SimSun" w:eastAsia="SimSun" w:cs="SimSun"/>
          <w:sz w:val="24"/>
          <w:szCs w:val="24"/>
        </w:rPr>
      </w:pPr>
      <w:r>
        <w:rPr>
          <w:rFonts w:ascii="SimSun" w:hAnsi="SimSun" w:eastAsia="SimSun" w:cs="SimSun"/>
          <w:sz w:val="24"/>
          <w:szCs w:val="24"/>
          <w:spacing w:val="-7"/>
        </w:rPr>
        <w:t>主导风向侧风向。本项目不新增工作人员，已建办</w:t>
      </w:r>
      <w:r>
        <w:rPr>
          <w:rFonts w:ascii="SimSun" w:hAnsi="SimSun" w:eastAsia="SimSun" w:cs="SimSun"/>
          <w:sz w:val="24"/>
          <w:szCs w:val="24"/>
          <w:spacing w:val="-8"/>
        </w:rPr>
        <w:t>公生活区可满足员工办公生活。</w:t>
      </w:r>
    </w:p>
    <w:p>
      <w:pPr>
        <w:ind w:left="117" w:firstLine="482"/>
        <w:spacing w:before="219" w:line="384" w:lineRule="auto"/>
        <w:rPr>
          <w:rFonts w:ascii="SimSun" w:hAnsi="SimSun" w:eastAsia="SimSun" w:cs="SimSun"/>
          <w:sz w:val="24"/>
          <w:szCs w:val="24"/>
        </w:rPr>
      </w:pPr>
      <w:r>
        <w:rPr>
          <w:rFonts w:ascii="SimSun" w:hAnsi="SimSun" w:eastAsia="SimSun" w:cs="SimSun"/>
          <w:sz w:val="24"/>
          <w:szCs w:val="24"/>
          <w:spacing w:val="2"/>
        </w:rPr>
        <w:t>厂区内道路均为混凝土地面，生产区位于厂区南侧，生产车间为联合“</w:t>
      </w:r>
      <w:r>
        <w:rPr>
          <w:rFonts w:ascii="Times New Roman" w:hAnsi="Times New Roman" w:eastAsia="Times New Roman" w:cs="Times New Roman"/>
          <w:sz w:val="24"/>
          <w:szCs w:val="24"/>
          <w:spacing w:val="2"/>
        </w:rPr>
        <w:t>L</w:t>
      </w:r>
      <w:r>
        <w:rPr>
          <w:rFonts w:ascii="Times New Roman" w:hAnsi="Times New Roman" w:eastAsia="Times New Roman" w:cs="Times New Roman"/>
          <w:sz w:val="24"/>
          <w:szCs w:val="24"/>
          <w:spacing w:val="-25"/>
        </w:rPr>
        <w:t xml:space="preserve"> </w:t>
      </w:r>
      <w:r>
        <w:rPr>
          <w:rFonts w:ascii="SimSun" w:hAnsi="SimSun" w:eastAsia="SimSun" w:cs="SimSun"/>
          <w:sz w:val="24"/>
          <w:szCs w:val="24"/>
          <w:spacing w:val="2"/>
        </w:rPr>
        <w:t>”</w:t>
      </w:r>
      <w:r>
        <w:rPr>
          <w:rFonts w:ascii="SimSun" w:hAnsi="SimSun" w:eastAsia="SimSun" w:cs="SimSun"/>
          <w:sz w:val="24"/>
          <w:szCs w:val="24"/>
        </w:rPr>
        <w:t xml:space="preserve"> </w:t>
      </w:r>
      <w:r>
        <w:rPr>
          <w:rFonts w:ascii="SimSun" w:hAnsi="SimSun" w:eastAsia="SimSun" w:cs="SimSun"/>
          <w:sz w:val="24"/>
          <w:szCs w:val="24"/>
          <w:spacing w:val="-3"/>
        </w:rPr>
        <w:t>型。企业现有项目生产车间布设在厂区南侧，厂区东侧为原料库房。本项目在原</w:t>
      </w:r>
      <w:r>
        <w:rPr>
          <w:rFonts w:ascii="SimSun" w:hAnsi="SimSun" w:eastAsia="SimSun" w:cs="SimSun"/>
          <w:sz w:val="24"/>
          <w:szCs w:val="24"/>
        </w:rPr>
        <w:t xml:space="preserve">  </w:t>
      </w:r>
      <w:r>
        <w:rPr>
          <w:rFonts w:ascii="SimSun" w:hAnsi="SimSun" w:eastAsia="SimSun" w:cs="SimSun"/>
          <w:sz w:val="24"/>
          <w:szCs w:val="24"/>
        </w:rPr>
        <w:t>料库房内布设</w:t>
      </w:r>
      <w:r>
        <w:rPr>
          <w:rFonts w:ascii="Times New Roman" w:hAnsi="Times New Roman" w:eastAsia="Times New Roman" w:cs="Times New Roman"/>
          <w:sz w:val="24"/>
          <w:szCs w:val="24"/>
        </w:rPr>
        <w:t>2</w:t>
      </w:r>
      <w:r>
        <w:rPr>
          <w:rFonts w:ascii="SimSun" w:hAnsi="SimSun" w:eastAsia="SimSun" w:cs="SimSun"/>
          <w:sz w:val="24"/>
          <w:szCs w:val="24"/>
        </w:rPr>
        <w:t>条地膜生产线。本项目原料堆放在厂区</w:t>
      </w:r>
      <w:r>
        <w:rPr>
          <w:rFonts w:ascii="SimSun" w:hAnsi="SimSun" w:eastAsia="SimSun" w:cs="SimSun"/>
          <w:sz w:val="24"/>
          <w:szCs w:val="24"/>
          <w:spacing w:val="-1"/>
        </w:rPr>
        <w:t>西北侧，依托企业已建原</w:t>
      </w:r>
      <w:r>
        <w:rPr>
          <w:rFonts w:ascii="SimSun" w:hAnsi="SimSun" w:eastAsia="SimSun" w:cs="SimSun"/>
          <w:sz w:val="24"/>
          <w:szCs w:val="24"/>
        </w:rPr>
        <w:t xml:space="preserve">  </w:t>
      </w:r>
      <w:r>
        <w:rPr>
          <w:rFonts w:ascii="SimSun" w:hAnsi="SimSun" w:eastAsia="SimSun" w:cs="SimSun"/>
          <w:sz w:val="24"/>
          <w:szCs w:val="24"/>
          <w:spacing w:val="-3"/>
        </w:rPr>
        <w:t>料堆场；产品堆放在厂区西北侧，与原料堆场采用围挡隔开。原料堆场与产品堆</w:t>
      </w:r>
    </w:p>
    <w:p>
      <w:pPr>
        <w:ind w:left="116"/>
        <w:spacing w:before="1" w:line="218" w:lineRule="auto"/>
        <w:rPr>
          <w:rFonts w:ascii="SimSun" w:hAnsi="SimSun" w:eastAsia="SimSun" w:cs="SimSun"/>
          <w:sz w:val="24"/>
          <w:szCs w:val="24"/>
        </w:rPr>
      </w:pPr>
      <w:r>
        <w:rPr>
          <w:rFonts w:ascii="SimSun" w:hAnsi="SimSun" w:eastAsia="SimSun" w:cs="SimSun"/>
          <w:sz w:val="24"/>
          <w:szCs w:val="24"/>
          <w:spacing w:val="-1"/>
        </w:rPr>
        <w:t>场均采取半封闭式，减少日照和易燃设备点燃。</w:t>
      </w:r>
    </w:p>
    <w:p>
      <w:pPr>
        <w:ind w:left="597"/>
        <w:spacing w:before="215" w:line="502" w:lineRule="exact"/>
        <w:rPr>
          <w:rFonts w:ascii="SimSun" w:hAnsi="SimSun" w:eastAsia="SimSun" w:cs="SimSun"/>
          <w:sz w:val="24"/>
          <w:szCs w:val="24"/>
        </w:rPr>
      </w:pPr>
      <w:r>
        <w:rPr>
          <w:rFonts w:ascii="SimSun" w:hAnsi="SimSun" w:eastAsia="SimSun" w:cs="SimSun"/>
          <w:sz w:val="24"/>
          <w:szCs w:val="24"/>
          <w:spacing w:val="-3"/>
          <w:position w:val="20"/>
        </w:rPr>
        <w:t>根据本产品的工艺、运输、消防、安全的要求，结合地形等因素</w:t>
      </w:r>
      <w:r>
        <w:rPr>
          <w:rFonts w:ascii="SimSun" w:hAnsi="SimSun" w:eastAsia="SimSun" w:cs="SimSun"/>
          <w:sz w:val="24"/>
          <w:szCs w:val="24"/>
          <w:spacing w:val="-4"/>
          <w:position w:val="20"/>
        </w:rPr>
        <w:t>，按照国家</w:t>
      </w:r>
    </w:p>
    <w:p>
      <w:pPr>
        <w:ind w:left="118"/>
        <w:spacing w:line="218" w:lineRule="auto"/>
        <w:rPr>
          <w:rFonts w:ascii="SimSun" w:hAnsi="SimSun" w:eastAsia="SimSun" w:cs="SimSun"/>
          <w:sz w:val="24"/>
          <w:szCs w:val="24"/>
        </w:rPr>
      </w:pPr>
      <w:r>
        <w:rPr>
          <w:rFonts w:ascii="SimSun" w:hAnsi="SimSun" w:eastAsia="SimSun" w:cs="SimSun"/>
          <w:sz w:val="24"/>
          <w:szCs w:val="24"/>
        </w:rPr>
        <w:t>有关标准和规定，对生产、运输进行了优化，并供有</w:t>
      </w:r>
      <w:r>
        <w:rPr>
          <w:rFonts w:ascii="SimSun" w:hAnsi="SimSun" w:eastAsia="SimSun" w:cs="SimSun"/>
          <w:sz w:val="24"/>
          <w:szCs w:val="24"/>
          <w:spacing w:val="-1"/>
        </w:rPr>
        <w:t>完善的供电、排热等设施。</w:t>
      </w:r>
    </w:p>
    <w:p>
      <w:pPr>
        <w:ind w:left="598"/>
        <w:spacing w:before="215" w:line="500" w:lineRule="exact"/>
        <w:rPr>
          <w:rFonts w:ascii="SimSun" w:hAnsi="SimSun" w:eastAsia="SimSun" w:cs="SimSun"/>
          <w:sz w:val="24"/>
          <w:szCs w:val="24"/>
        </w:rPr>
      </w:pPr>
      <w:r>
        <w:rPr>
          <w:rFonts w:ascii="SimSun" w:hAnsi="SimSun" w:eastAsia="SimSun" w:cs="SimSun"/>
          <w:sz w:val="24"/>
          <w:szCs w:val="24"/>
          <w:spacing w:val="-3"/>
          <w:position w:val="19"/>
        </w:rPr>
        <w:t>整个建筑空间利用和布局合理，功能分区明确，组织协作良好</w:t>
      </w:r>
      <w:r>
        <w:rPr>
          <w:rFonts w:ascii="SimSun" w:hAnsi="SimSun" w:eastAsia="SimSun" w:cs="SimSun"/>
          <w:sz w:val="24"/>
          <w:szCs w:val="24"/>
          <w:spacing w:val="-4"/>
          <w:position w:val="19"/>
        </w:rPr>
        <w:t>。厂区内道路</w:t>
      </w:r>
    </w:p>
    <w:p>
      <w:pPr>
        <w:ind w:left="120"/>
        <w:spacing w:line="218" w:lineRule="auto"/>
        <w:rPr>
          <w:rFonts w:ascii="SimSun" w:hAnsi="SimSun" w:eastAsia="SimSun" w:cs="SimSun"/>
          <w:sz w:val="24"/>
          <w:szCs w:val="24"/>
        </w:rPr>
      </w:pPr>
      <w:r>
        <w:rPr>
          <w:rFonts w:ascii="SimSun" w:hAnsi="SimSun" w:eastAsia="SimSun" w:cs="SimSun"/>
          <w:sz w:val="24"/>
          <w:szCs w:val="24"/>
          <w:spacing w:val="-1"/>
        </w:rPr>
        <w:t>为混凝土地面，道路环状布置。可以满足消防车辆及其它车辆通行要求。</w:t>
      </w:r>
    </w:p>
    <w:p>
      <w:pPr>
        <w:ind w:left="117" w:right="114" w:firstLine="482"/>
        <w:spacing w:before="216" w:line="385" w:lineRule="auto"/>
        <w:rPr>
          <w:rFonts w:ascii="SimSun" w:hAnsi="SimSun" w:eastAsia="SimSun" w:cs="SimSun"/>
          <w:sz w:val="24"/>
          <w:szCs w:val="24"/>
        </w:rPr>
      </w:pPr>
      <w:r>
        <w:rPr>
          <w:rFonts w:ascii="SimSun" w:hAnsi="SimSun" w:eastAsia="SimSun" w:cs="SimSun"/>
          <w:sz w:val="24"/>
          <w:szCs w:val="24"/>
          <w:spacing w:val="-3"/>
        </w:rPr>
        <w:t>厂区划出车辆行驶路线、严禁烟火标志等并严格执行；厂</w:t>
      </w:r>
      <w:r>
        <w:rPr>
          <w:rFonts w:ascii="SimSun" w:hAnsi="SimSun" w:eastAsia="SimSun" w:cs="SimSun"/>
          <w:sz w:val="24"/>
          <w:szCs w:val="24"/>
          <w:spacing w:val="-4"/>
        </w:rPr>
        <w:t>区配套建设应急救</w:t>
      </w:r>
      <w:r>
        <w:rPr>
          <w:rFonts w:ascii="SimSun" w:hAnsi="SimSun" w:eastAsia="SimSun" w:cs="SimSun"/>
          <w:sz w:val="24"/>
          <w:szCs w:val="24"/>
        </w:rPr>
        <w:t xml:space="preserve"> </w:t>
      </w:r>
      <w:r>
        <w:rPr>
          <w:rFonts w:ascii="SimSun" w:hAnsi="SimSun" w:eastAsia="SimSun" w:cs="SimSun"/>
          <w:sz w:val="24"/>
          <w:szCs w:val="24"/>
          <w:spacing w:val="-3"/>
        </w:rPr>
        <w:t>援设施、救援通道、应急疏散避难所等防护设施。按《安全标志》规定在装置区</w:t>
      </w:r>
      <w:r>
        <w:rPr>
          <w:rFonts w:ascii="SimSun" w:hAnsi="SimSun" w:eastAsia="SimSun" w:cs="SimSun"/>
          <w:sz w:val="24"/>
          <w:szCs w:val="24"/>
          <w:spacing w:val="1"/>
        </w:rPr>
        <w:t xml:space="preserve"> </w:t>
      </w:r>
      <w:r>
        <w:rPr>
          <w:rFonts w:ascii="SimSun" w:hAnsi="SimSun" w:eastAsia="SimSun" w:cs="SimSun"/>
          <w:sz w:val="24"/>
          <w:szCs w:val="24"/>
          <w:spacing w:val="-3"/>
        </w:rPr>
        <w:t>设置有关的安全标志。厂区内道路形成环状，建筑间距符合要求，设置大门，将</w:t>
      </w:r>
    </w:p>
    <w:p>
      <w:pPr>
        <w:ind w:left="120"/>
        <w:spacing w:line="220" w:lineRule="auto"/>
        <w:rPr>
          <w:rFonts w:ascii="SimSun" w:hAnsi="SimSun" w:eastAsia="SimSun" w:cs="SimSun"/>
          <w:sz w:val="24"/>
          <w:szCs w:val="24"/>
        </w:rPr>
      </w:pPr>
      <w:r>
        <w:rPr>
          <w:rFonts w:ascii="SimSun" w:hAnsi="SimSun" w:eastAsia="SimSun" w:cs="SimSun"/>
          <w:sz w:val="24"/>
          <w:szCs w:val="24"/>
          <w:spacing w:val="-2"/>
        </w:rPr>
        <w:t>厂前区和人流、物流分开。</w:t>
      </w:r>
    </w:p>
    <w:p>
      <w:pPr>
        <w:ind w:left="117" w:right="114" w:firstLine="480"/>
        <w:spacing w:before="212" w:line="385" w:lineRule="auto"/>
        <w:rPr>
          <w:rFonts w:ascii="SimSun" w:hAnsi="SimSun" w:eastAsia="SimSun" w:cs="SimSun"/>
          <w:sz w:val="24"/>
          <w:szCs w:val="24"/>
        </w:rPr>
      </w:pPr>
      <w:r>
        <w:rPr>
          <w:rFonts w:ascii="SimSun" w:hAnsi="SimSun" w:eastAsia="SimSun" w:cs="SimSun"/>
          <w:sz w:val="24"/>
          <w:szCs w:val="24"/>
          <w:spacing w:val="-3"/>
        </w:rPr>
        <w:t>根据火灾危险性等级和防火要求，建筑物的防火等级均采用国家</w:t>
      </w:r>
      <w:r>
        <w:rPr>
          <w:rFonts w:ascii="SimSun" w:hAnsi="SimSun" w:eastAsia="SimSun" w:cs="SimSun"/>
          <w:sz w:val="24"/>
          <w:szCs w:val="24"/>
          <w:spacing w:val="-4"/>
        </w:rPr>
        <w:t>现行规范要</w:t>
      </w:r>
      <w:r>
        <w:rPr>
          <w:rFonts w:ascii="SimSun" w:hAnsi="SimSun" w:eastAsia="SimSun" w:cs="SimSun"/>
          <w:sz w:val="24"/>
          <w:szCs w:val="24"/>
        </w:rPr>
        <w:t xml:space="preserve"> </w:t>
      </w:r>
      <w:r>
        <w:rPr>
          <w:rFonts w:ascii="SimSun" w:hAnsi="SimSun" w:eastAsia="SimSun" w:cs="SimSun"/>
          <w:sz w:val="24"/>
          <w:szCs w:val="24"/>
          <w:spacing w:val="-3"/>
        </w:rPr>
        <w:t>求的耐火等级设计，满足建筑防火要求。凡禁火区均设置明显标志牌。各种易燃</w:t>
      </w:r>
      <w:r>
        <w:rPr>
          <w:rFonts w:ascii="SimSun" w:hAnsi="SimSun" w:eastAsia="SimSun" w:cs="SimSun"/>
          <w:sz w:val="24"/>
          <w:szCs w:val="24"/>
          <w:spacing w:val="1"/>
        </w:rPr>
        <w:t xml:space="preserve"> </w:t>
      </w:r>
      <w:r>
        <w:rPr>
          <w:rFonts w:ascii="SimSun" w:hAnsi="SimSun" w:eastAsia="SimSun" w:cs="SimSun"/>
          <w:sz w:val="24"/>
          <w:szCs w:val="24"/>
          <w:spacing w:val="-3"/>
        </w:rPr>
        <w:t>物料均储存在阴凉、通风处，远离火源；危险废物暂存间不允许任何人员随便入</w:t>
      </w:r>
    </w:p>
    <w:p>
      <w:pPr>
        <w:ind w:left="146"/>
        <w:spacing w:line="219" w:lineRule="auto"/>
        <w:rPr>
          <w:rFonts w:ascii="SimSun" w:hAnsi="SimSun" w:eastAsia="SimSun" w:cs="SimSun"/>
          <w:sz w:val="24"/>
          <w:szCs w:val="24"/>
        </w:rPr>
      </w:pPr>
      <w:r>
        <w:rPr>
          <w:rFonts w:ascii="SimSun" w:hAnsi="SimSun" w:eastAsia="SimSun" w:cs="SimSun"/>
          <w:sz w:val="24"/>
          <w:szCs w:val="24"/>
          <w:spacing w:val="-1"/>
        </w:rPr>
        <w:t>内。安全出口及安全疏散距离应符合《建筑设计防火规范》（</w:t>
      </w:r>
      <w:r>
        <w:rPr>
          <w:rFonts w:ascii="Times New Roman" w:hAnsi="Times New Roman" w:eastAsia="Times New Roman" w:cs="Times New Roman"/>
          <w:sz w:val="24"/>
          <w:szCs w:val="24"/>
          <w:spacing w:val="-1"/>
        </w:rPr>
        <w:t>GB50016-2006</w:t>
      </w:r>
      <w:r>
        <w:rPr>
          <w:rFonts w:ascii="SimSun" w:hAnsi="SimSun" w:eastAsia="SimSun" w:cs="SimSun"/>
          <w:sz w:val="24"/>
          <w:szCs w:val="24"/>
          <w:spacing w:val="-1"/>
        </w:rPr>
        <w:t>）</w:t>
      </w:r>
    </w:p>
    <w:p>
      <w:pPr>
        <w:ind w:left="137"/>
        <w:spacing w:before="214" w:line="221" w:lineRule="auto"/>
        <w:rPr>
          <w:rFonts w:ascii="SimSun" w:hAnsi="SimSun" w:eastAsia="SimSun" w:cs="SimSun"/>
          <w:sz w:val="24"/>
          <w:szCs w:val="24"/>
        </w:rPr>
      </w:pPr>
      <w:r>
        <w:rPr>
          <w:rFonts w:ascii="SimSun" w:hAnsi="SimSun" w:eastAsia="SimSun" w:cs="SimSun"/>
          <w:sz w:val="24"/>
          <w:szCs w:val="24"/>
          <w:spacing w:val="-8"/>
        </w:rPr>
        <w:t>的要求。</w:t>
      </w:r>
    </w:p>
    <w:p>
      <w:pPr>
        <w:ind w:right="21"/>
        <w:spacing w:before="215" w:line="219" w:lineRule="auto"/>
        <w:jc w:val="right"/>
        <w:rPr>
          <w:rFonts w:ascii="SimSun" w:hAnsi="SimSun" w:eastAsia="SimSun" w:cs="SimSun"/>
          <w:sz w:val="24"/>
          <w:szCs w:val="24"/>
        </w:rPr>
      </w:pPr>
      <w:r>
        <w:rPr>
          <w:rFonts w:ascii="SimSun" w:hAnsi="SimSun" w:eastAsia="SimSun" w:cs="SimSun"/>
          <w:sz w:val="24"/>
          <w:szCs w:val="24"/>
        </w:rPr>
        <w:t>厂区为硬化地面，以满足消防运输要求。同</w:t>
      </w:r>
      <w:r>
        <w:rPr>
          <w:rFonts w:ascii="SimSun" w:hAnsi="SimSun" w:eastAsia="SimSun" w:cs="SimSun"/>
          <w:sz w:val="24"/>
          <w:szCs w:val="24"/>
          <w:spacing w:val="-1"/>
        </w:rPr>
        <w:t>时装置区为耐腐蚀的硬化地面，</w:t>
      </w:r>
    </w:p>
    <w:p>
      <w:pPr>
        <w:spacing w:line="219" w:lineRule="auto"/>
        <w:sectPr>
          <w:footerReference w:type="default" r:id="rId30"/>
          <w:pgSz w:w="11906" w:h="16839"/>
          <w:pgMar w:top="400" w:right="1684" w:bottom="1211" w:left="1691" w:header="0" w:footer="1049" w:gutter="0"/>
        </w:sectPr>
        <w:rPr>
          <w:rFonts w:ascii="SimSun" w:hAnsi="SimSun" w:eastAsia="SimSun" w:cs="SimSun"/>
          <w:sz w:val="24"/>
          <w:szCs w:val="24"/>
        </w:rPr>
      </w:pPr>
    </w:p>
    <w:p>
      <w:pPr>
        <w:pStyle w:val="BodyText"/>
        <w:spacing w:line="287" w:lineRule="auto"/>
        <w:rPr/>
      </w:pPr>
      <w:r/>
    </w:p>
    <w:p>
      <w:pPr>
        <w:pStyle w:val="BodyText"/>
        <w:spacing w:line="287" w:lineRule="auto"/>
        <w:rPr/>
      </w:pPr>
      <w:r/>
    </w:p>
    <w:p>
      <w:pPr>
        <w:pStyle w:val="BodyText"/>
        <w:spacing w:line="288" w:lineRule="auto"/>
        <w:rPr/>
      </w:pPr>
      <w:r/>
    </w:p>
    <w:p>
      <w:pPr>
        <w:pStyle w:val="BodyText"/>
        <w:spacing w:line="288" w:lineRule="auto"/>
        <w:rPr/>
      </w:pPr>
      <w:r/>
    </w:p>
    <w:p>
      <w:pPr>
        <w:ind w:left="116" w:right="5" w:hanging="1"/>
        <w:spacing w:before="78" w:line="384" w:lineRule="auto"/>
        <w:jc w:val="both"/>
        <w:rPr>
          <w:rFonts w:ascii="SimSun" w:hAnsi="SimSun" w:eastAsia="SimSun" w:cs="SimSun"/>
          <w:sz w:val="24"/>
          <w:szCs w:val="24"/>
        </w:rPr>
      </w:pPr>
      <w:r>
        <w:rPr>
          <w:rFonts w:ascii="SimSun" w:hAnsi="SimSun" w:eastAsia="SimSun" w:cs="SimSun"/>
          <w:sz w:val="24"/>
          <w:szCs w:val="24"/>
          <w:spacing w:val="-3"/>
        </w:rPr>
        <w:t>且表面无裂隙，进行防渗、防风、防雨、防晒措施。厂区布置满足《建筑设计防</w:t>
      </w:r>
      <w:r>
        <w:rPr>
          <w:rFonts w:ascii="SimSun" w:hAnsi="SimSun" w:eastAsia="SimSun" w:cs="SimSun"/>
          <w:sz w:val="24"/>
          <w:szCs w:val="24"/>
          <w:spacing w:val="1"/>
        </w:rPr>
        <w:t xml:space="preserve"> </w:t>
      </w:r>
      <w:r>
        <w:rPr>
          <w:rFonts w:ascii="SimSun" w:hAnsi="SimSun" w:eastAsia="SimSun" w:cs="SimSun"/>
          <w:sz w:val="24"/>
          <w:szCs w:val="24"/>
          <w:spacing w:val="-4"/>
        </w:rPr>
        <w:t>火规范》（</w:t>
      </w:r>
      <w:r>
        <w:rPr>
          <w:rFonts w:ascii="Times New Roman" w:hAnsi="Times New Roman" w:eastAsia="Times New Roman" w:cs="Times New Roman"/>
          <w:sz w:val="24"/>
          <w:szCs w:val="24"/>
          <w:spacing w:val="-4"/>
        </w:rPr>
        <w:t>GB50016-2014</w:t>
      </w:r>
      <w:r>
        <w:rPr>
          <w:rFonts w:ascii="SimSun" w:hAnsi="SimSun" w:eastAsia="SimSun" w:cs="SimSun"/>
          <w:sz w:val="24"/>
          <w:szCs w:val="24"/>
          <w:spacing w:val="-4"/>
        </w:rPr>
        <w:t>）和《石油化工企业设计防火规范》（</w:t>
      </w:r>
      <w:r>
        <w:rPr>
          <w:rFonts w:ascii="Times New Roman" w:hAnsi="Times New Roman" w:eastAsia="Times New Roman" w:cs="Times New Roman"/>
          <w:sz w:val="24"/>
          <w:szCs w:val="24"/>
          <w:spacing w:val="-4"/>
        </w:rPr>
        <w:t>GB 50160-2008</w:t>
      </w:r>
      <w:r>
        <w:rPr>
          <w:rFonts w:ascii="SimSun" w:hAnsi="SimSun" w:eastAsia="SimSun" w:cs="SimSun"/>
          <w:sz w:val="24"/>
          <w:szCs w:val="24"/>
          <w:spacing w:val="-4"/>
        </w:rPr>
        <w:t>）</w:t>
      </w:r>
    </w:p>
    <w:p>
      <w:pPr>
        <w:ind w:left="116"/>
        <w:spacing w:before="1" w:line="220" w:lineRule="auto"/>
        <w:rPr>
          <w:rFonts w:ascii="SimSun" w:hAnsi="SimSun" w:eastAsia="SimSun" w:cs="SimSun"/>
          <w:sz w:val="24"/>
          <w:szCs w:val="24"/>
        </w:rPr>
      </w:pPr>
      <w:r>
        <w:rPr>
          <w:rFonts w:ascii="SimSun" w:hAnsi="SimSun" w:eastAsia="SimSun" w:cs="SimSun"/>
          <w:sz w:val="24"/>
          <w:szCs w:val="24"/>
          <w:spacing w:val="-4"/>
        </w:rPr>
        <w:t>要求。</w:t>
      </w:r>
    </w:p>
    <w:p>
      <w:pPr>
        <w:ind w:left="116" w:right="104" w:firstLine="482"/>
        <w:spacing w:before="214" w:line="384" w:lineRule="auto"/>
        <w:rPr>
          <w:rFonts w:ascii="SimSun" w:hAnsi="SimSun" w:eastAsia="SimSun" w:cs="SimSun"/>
          <w:sz w:val="24"/>
          <w:szCs w:val="24"/>
        </w:rPr>
      </w:pPr>
      <w:r>
        <w:rPr>
          <w:rFonts w:ascii="SimSun" w:hAnsi="SimSun" w:eastAsia="SimSun" w:cs="SimSun"/>
          <w:sz w:val="24"/>
          <w:szCs w:val="24"/>
          <w:spacing w:val="-3"/>
        </w:rPr>
        <w:t>项目所处位置地势平坦，根据本产品的工艺、运输、消</w:t>
      </w:r>
      <w:r>
        <w:rPr>
          <w:rFonts w:ascii="SimSun" w:hAnsi="SimSun" w:eastAsia="SimSun" w:cs="SimSun"/>
          <w:sz w:val="24"/>
          <w:szCs w:val="24"/>
          <w:spacing w:val="-4"/>
        </w:rPr>
        <w:t>防、安全的要求，结</w:t>
      </w:r>
      <w:r>
        <w:rPr>
          <w:rFonts w:ascii="SimSun" w:hAnsi="SimSun" w:eastAsia="SimSun" w:cs="SimSun"/>
          <w:sz w:val="24"/>
          <w:szCs w:val="24"/>
        </w:rPr>
        <w:t xml:space="preserve"> </w:t>
      </w:r>
      <w:r>
        <w:rPr>
          <w:rFonts w:ascii="SimSun" w:hAnsi="SimSun" w:eastAsia="SimSun" w:cs="SimSun"/>
          <w:sz w:val="24"/>
          <w:szCs w:val="24"/>
          <w:spacing w:val="-3"/>
        </w:rPr>
        <w:t>合地形等因素，按照国家有关标准和规定，对生产、运输、绿化进行了优化，并</w:t>
      </w:r>
    </w:p>
    <w:p>
      <w:pPr>
        <w:ind w:left="115"/>
        <w:spacing w:line="218" w:lineRule="auto"/>
        <w:rPr>
          <w:rFonts w:ascii="SimSun" w:hAnsi="SimSun" w:eastAsia="SimSun" w:cs="SimSun"/>
          <w:sz w:val="24"/>
          <w:szCs w:val="24"/>
        </w:rPr>
      </w:pPr>
      <w:r>
        <w:rPr>
          <w:rFonts w:ascii="SimSun" w:hAnsi="SimSun" w:eastAsia="SimSun" w:cs="SimSun"/>
          <w:sz w:val="24"/>
          <w:szCs w:val="24"/>
          <w:spacing w:val="-1"/>
        </w:rPr>
        <w:t>供有完善的供水、供电、排水等设施。</w:t>
      </w:r>
    </w:p>
    <w:p>
      <w:pPr>
        <w:spacing w:before="217" w:line="499" w:lineRule="exact"/>
        <w:jc w:val="right"/>
        <w:rPr>
          <w:rFonts w:ascii="SimSun" w:hAnsi="SimSun" w:eastAsia="SimSun" w:cs="SimSun"/>
          <w:sz w:val="24"/>
          <w:szCs w:val="24"/>
        </w:rPr>
      </w:pPr>
      <w:r>
        <w:rPr>
          <w:rFonts w:ascii="SimSun" w:hAnsi="SimSun" w:eastAsia="SimSun" w:cs="SimSun"/>
          <w:sz w:val="24"/>
          <w:szCs w:val="24"/>
          <w:spacing w:val="-8"/>
          <w:position w:val="19"/>
        </w:rPr>
        <w:t>综上所述，该项目的建设符合国家产业政策，</w:t>
      </w:r>
      <w:r>
        <w:rPr>
          <w:rFonts w:ascii="SimSun" w:hAnsi="SimSun" w:eastAsia="SimSun" w:cs="SimSun"/>
          <w:sz w:val="24"/>
          <w:szCs w:val="24"/>
          <w:spacing w:val="-9"/>
          <w:position w:val="19"/>
        </w:rPr>
        <w:t>工程选址合理，平面布置合理，</w:t>
      </w:r>
    </w:p>
    <w:p>
      <w:pPr>
        <w:ind w:left="120"/>
        <w:spacing w:before="1" w:line="218" w:lineRule="auto"/>
        <w:rPr>
          <w:rFonts w:ascii="SimSun" w:hAnsi="SimSun" w:eastAsia="SimSun" w:cs="SimSun"/>
          <w:sz w:val="24"/>
          <w:szCs w:val="24"/>
        </w:rPr>
      </w:pPr>
      <w:r>
        <w:rPr>
          <w:rFonts w:ascii="SimSun" w:hAnsi="SimSun" w:eastAsia="SimSun" w:cs="SimSun"/>
          <w:sz w:val="24"/>
          <w:szCs w:val="24"/>
          <w:spacing w:val="-1"/>
        </w:rPr>
        <w:t>具有环境可行性。本项目在厂区内位置图见图</w:t>
      </w:r>
      <w:r>
        <w:rPr>
          <w:rFonts w:ascii="Times New Roman" w:hAnsi="Times New Roman" w:eastAsia="Times New Roman" w:cs="Times New Roman"/>
          <w:sz w:val="24"/>
          <w:szCs w:val="24"/>
          <w:spacing w:val="-1"/>
        </w:rPr>
        <w:t>4</w:t>
      </w:r>
      <w:r>
        <w:rPr>
          <w:rFonts w:ascii="SimSun" w:hAnsi="SimSun" w:eastAsia="SimSun" w:cs="SimSun"/>
          <w:sz w:val="24"/>
          <w:szCs w:val="24"/>
          <w:spacing w:val="-1"/>
        </w:rPr>
        <w:t>。</w:t>
      </w:r>
    </w:p>
    <w:p>
      <w:pPr>
        <w:ind w:left="583"/>
        <w:spacing w:before="215" w:line="219" w:lineRule="auto"/>
        <w:rPr>
          <w:rFonts w:ascii="Times New Roman" w:hAnsi="Times New Roman" w:eastAsia="Times New Roman" w:cs="Times New Roman"/>
          <w:sz w:val="24"/>
          <w:szCs w:val="24"/>
        </w:rPr>
      </w:pPr>
      <w:r>
        <w:rPr>
          <w:rFonts w:ascii="SimSun" w:hAnsi="SimSun" w:eastAsia="SimSun" w:cs="SimSun"/>
          <w:sz w:val="24"/>
          <w:szCs w:val="24"/>
          <w:spacing w:val="-2"/>
        </w:rPr>
        <w:t>“</w:t>
      </w:r>
      <w:r>
        <w:rPr>
          <w:rFonts w:ascii="SimSun" w:hAnsi="SimSun" w:eastAsia="SimSun" w:cs="SimSun"/>
          <w:sz w:val="24"/>
          <w:szCs w:val="24"/>
          <w14:textOutline w14:w="4358" w14:cap="sq" w14:cmpd="sng">
            <w14:solidFill>
              <w14:srgbClr w14:val="000000"/>
            </w14:solidFill>
            <w14:prstDash w14:val="solid"/>
            <w14:bevel/>
          </w14:textOutline>
          <w:spacing w:val="-2"/>
        </w:rPr>
        <w:t>完善环境保护目标调查</w:t>
      </w:r>
      <w:r>
        <w:rPr>
          <w:rFonts w:ascii="SimSun" w:hAnsi="SimSun" w:eastAsia="SimSun" w:cs="SimSun"/>
          <w:sz w:val="24"/>
          <w:szCs w:val="24"/>
          <w:spacing w:val="-73"/>
        </w:rPr>
        <w:t xml:space="preserve"> </w:t>
      </w:r>
      <w:r>
        <w:rPr>
          <w:rFonts w:ascii="SimSun" w:hAnsi="SimSun" w:eastAsia="SimSun" w:cs="SimSun"/>
          <w:sz w:val="24"/>
          <w:szCs w:val="24"/>
          <w:spacing w:val="-2"/>
        </w:rPr>
        <w:t>”修改见</w:t>
      </w:r>
      <w:r>
        <w:rPr>
          <w:rFonts w:ascii="Times New Roman" w:hAnsi="Times New Roman" w:eastAsia="Times New Roman" w:cs="Times New Roman"/>
          <w:sz w:val="24"/>
          <w:szCs w:val="24"/>
          <w:spacing w:val="-2"/>
        </w:rPr>
        <w:t>P35</w:t>
      </w:r>
    </w:p>
    <w:p>
      <w:pPr>
        <w:ind w:left="2886"/>
        <w:spacing w:before="66" w:line="212" w:lineRule="auto"/>
        <w:rPr>
          <w:rFonts w:ascii="SimSun" w:hAnsi="SimSun" w:eastAsia="SimSun" w:cs="SimSun"/>
          <w:sz w:val="24"/>
          <w:szCs w:val="24"/>
        </w:rPr>
      </w:pPr>
      <w:r>
        <w:rPr>
          <w:rFonts w:ascii="SimSun" w:hAnsi="SimSun" w:eastAsia="SimSun" w:cs="SimSun"/>
          <w:sz w:val="24"/>
          <w:szCs w:val="24"/>
          <w:spacing w:val="-1"/>
        </w:rPr>
        <w:t>表3.7-1  环境保护目标一览表</w:t>
      </w:r>
    </w:p>
    <w:tbl>
      <w:tblPr>
        <w:tblStyle w:val="TableNormal"/>
        <w:tblW w:w="8516" w:type="dxa"/>
        <w:tblInd w:w="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88"/>
        <w:gridCol w:w="783"/>
        <w:gridCol w:w="1237"/>
        <w:gridCol w:w="750"/>
        <w:gridCol w:w="1002"/>
        <w:gridCol w:w="1298"/>
        <w:gridCol w:w="2958"/>
      </w:tblGrid>
      <w:tr>
        <w:trPr>
          <w:trHeight w:val="824" w:hRule="atLeast"/>
        </w:trPr>
        <w:tc>
          <w:tcPr>
            <w:tcW w:w="488" w:type="dxa"/>
            <w:vAlign w:val="top"/>
            <w:textDirection w:val="tbRlV"/>
            <w:tcBorders>
              <w:top w:val="single" w:color="000000" w:sz="10" w:space="0"/>
              <w:left w:val="nil"/>
            </w:tcBorders>
          </w:tcPr>
          <w:p>
            <w:pPr>
              <w:pStyle w:val="TableText"/>
              <w:ind w:left="172"/>
              <w:spacing w:before="134" w:line="218" w:lineRule="auto"/>
              <w:rPr>
                <w:sz w:val="20"/>
                <w:szCs w:val="20"/>
              </w:rPr>
            </w:pPr>
            <w:r>
              <w:rPr>
                <w:sz w:val="20"/>
                <w:szCs w:val="20"/>
                <w:spacing w:val="8"/>
              </w:rPr>
              <w:t>序</w:t>
            </w:r>
            <w:r>
              <w:rPr>
                <w:sz w:val="20"/>
                <w:szCs w:val="20"/>
                <w:spacing w:val="-38"/>
              </w:rPr>
              <w:t xml:space="preserve"> </w:t>
            </w:r>
            <w:r>
              <w:rPr>
                <w:sz w:val="20"/>
                <w:szCs w:val="20"/>
                <w:spacing w:val="8"/>
              </w:rPr>
              <w:t>号</w:t>
            </w:r>
          </w:p>
        </w:tc>
        <w:tc>
          <w:tcPr>
            <w:tcW w:w="783" w:type="dxa"/>
            <w:vAlign w:val="top"/>
            <w:tcBorders>
              <w:top w:val="single" w:color="000000" w:sz="10" w:space="0"/>
            </w:tcBorders>
          </w:tcPr>
          <w:p>
            <w:pPr>
              <w:pStyle w:val="TableText"/>
              <w:ind w:left="185"/>
              <w:spacing w:before="35" w:line="274" w:lineRule="exact"/>
              <w:rPr>
                <w:sz w:val="20"/>
                <w:szCs w:val="20"/>
              </w:rPr>
            </w:pPr>
            <w:r>
              <w:rPr>
                <w:sz w:val="20"/>
                <w:szCs w:val="20"/>
                <w:spacing w:val="4"/>
                <w:position w:val="4"/>
              </w:rPr>
              <w:t>环境</w:t>
            </w:r>
          </w:p>
          <w:p>
            <w:pPr>
              <w:pStyle w:val="TableText"/>
              <w:ind w:left="185"/>
              <w:spacing w:line="227" w:lineRule="auto"/>
              <w:rPr>
                <w:sz w:val="20"/>
                <w:szCs w:val="20"/>
              </w:rPr>
            </w:pPr>
            <w:r>
              <w:rPr>
                <w:sz w:val="20"/>
                <w:szCs w:val="20"/>
                <w:spacing w:val="4"/>
              </w:rPr>
              <w:t>要素</w:t>
            </w:r>
          </w:p>
          <w:p>
            <w:pPr>
              <w:pStyle w:val="TableText"/>
              <w:ind w:left="187"/>
              <w:spacing w:before="24" w:line="216" w:lineRule="auto"/>
              <w:rPr>
                <w:sz w:val="20"/>
                <w:szCs w:val="20"/>
              </w:rPr>
            </w:pPr>
            <w:r>
              <w:rPr>
                <w:sz w:val="20"/>
                <w:szCs w:val="20"/>
                <w:spacing w:val="3"/>
              </w:rPr>
              <w:t>名称</w:t>
            </w:r>
          </w:p>
        </w:tc>
        <w:tc>
          <w:tcPr>
            <w:tcW w:w="1237" w:type="dxa"/>
            <w:vAlign w:val="top"/>
            <w:tcBorders>
              <w:top w:val="single" w:color="000000" w:sz="10" w:space="0"/>
            </w:tcBorders>
          </w:tcPr>
          <w:p>
            <w:pPr>
              <w:spacing w:line="242" w:lineRule="auto"/>
              <w:rPr>
                <w:rFonts w:ascii="Arial"/>
                <w:sz w:val="21"/>
              </w:rPr>
            </w:pPr>
            <w:r/>
          </w:p>
          <w:p>
            <w:pPr>
              <w:pStyle w:val="TableText"/>
              <w:ind w:left="202"/>
              <w:spacing w:before="65" w:line="228" w:lineRule="auto"/>
              <w:rPr>
                <w:sz w:val="20"/>
                <w:szCs w:val="20"/>
              </w:rPr>
            </w:pPr>
            <w:r>
              <w:rPr>
                <w:sz w:val="20"/>
                <w:szCs w:val="20"/>
                <w:spacing w:val="7"/>
              </w:rPr>
              <w:t>保护对象</w:t>
            </w:r>
          </w:p>
        </w:tc>
        <w:tc>
          <w:tcPr>
            <w:tcW w:w="750" w:type="dxa"/>
            <w:vAlign w:val="top"/>
            <w:tcBorders>
              <w:top w:val="single" w:color="000000" w:sz="10" w:space="0"/>
            </w:tcBorders>
          </w:tcPr>
          <w:p>
            <w:pPr>
              <w:pStyle w:val="TableText"/>
              <w:ind w:left="169"/>
              <w:spacing w:before="172" w:line="271" w:lineRule="exact"/>
              <w:rPr>
                <w:sz w:val="20"/>
                <w:szCs w:val="20"/>
              </w:rPr>
            </w:pPr>
            <w:r>
              <w:rPr>
                <w:sz w:val="20"/>
                <w:szCs w:val="20"/>
                <w:spacing w:val="4"/>
                <w:position w:val="4"/>
              </w:rPr>
              <w:t>保护</w:t>
            </w:r>
          </w:p>
          <w:p>
            <w:pPr>
              <w:pStyle w:val="TableText"/>
              <w:ind w:left="194"/>
              <w:spacing w:line="227" w:lineRule="auto"/>
              <w:rPr>
                <w:sz w:val="20"/>
                <w:szCs w:val="20"/>
              </w:rPr>
            </w:pPr>
            <w:r>
              <w:rPr>
                <w:sz w:val="20"/>
                <w:szCs w:val="20"/>
                <w:spacing w:val="-8"/>
              </w:rPr>
              <w:t>内容</w:t>
            </w:r>
          </w:p>
        </w:tc>
        <w:tc>
          <w:tcPr>
            <w:tcW w:w="1002" w:type="dxa"/>
            <w:vAlign w:val="top"/>
            <w:tcBorders>
              <w:top w:val="single" w:color="000000" w:sz="10" w:space="0"/>
            </w:tcBorders>
          </w:tcPr>
          <w:p>
            <w:pPr>
              <w:pStyle w:val="TableText"/>
              <w:ind w:left="189" w:right="181"/>
              <w:spacing w:before="171"/>
              <w:rPr>
                <w:sz w:val="20"/>
                <w:szCs w:val="20"/>
              </w:rPr>
            </w:pPr>
            <w:r>
              <w:rPr>
                <w:sz w:val="20"/>
                <w:szCs w:val="20"/>
                <w:spacing w:val="6"/>
              </w:rPr>
              <w:t>相对厂</w:t>
            </w:r>
            <w:r>
              <w:rPr>
                <w:sz w:val="20"/>
                <w:szCs w:val="20"/>
                <w:spacing w:val="1"/>
              </w:rPr>
              <w:t xml:space="preserve"> </w:t>
            </w:r>
            <w:r>
              <w:rPr>
                <w:sz w:val="20"/>
                <w:szCs w:val="20"/>
                <w:spacing w:val="6"/>
              </w:rPr>
              <w:t>址方位</w:t>
            </w:r>
          </w:p>
        </w:tc>
        <w:tc>
          <w:tcPr>
            <w:tcW w:w="1298" w:type="dxa"/>
            <w:vAlign w:val="top"/>
            <w:tcBorders>
              <w:top w:val="single" w:color="000000" w:sz="10" w:space="0"/>
            </w:tcBorders>
          </w:tcPr>
          <w:p>
            <w:pPr>
              <w:pStyle w:val="TableText"/>
              <w:ind w:left="317" w:right="226" w:hanging="86"/>
              <w:spacing w:before="172" w:line="245" w:lineRule="auto"/>
              <w:rPr>
                <w:sz w:val="20"/>
                <w:szCs w:val="20"/>
              </w:rPr>
            </w:pPr>
            <w:r>
              <w:rPr>
                <w:sz w:val="20"/>
                <w:szCs w:val="20"/>
                <w:spacing w:val="7"/>
              </w:rPr>
              <w:t>相对距离</w:t>
            </w:r>
            <w:r>
              <w:rPr>
                <w:sz w:val="20"/>
                <w:szCs w:val="20"/>
              </w:rPr>
              <w:t xml:space="preserve"> </w:t>
            </w:r>
            <w:r>
              <w:rPr>
                <w:sz w:val="20"/>
                <w:szCs w:val="20"/>
                <w:spacing w:val="1"/>
              </w:rPr>
              <w:t>（</w:t>
            </w:r>
            <w:r>
              <w:rPr>
                <w:rFonts w:ascii="Times New Roman" w:hAnsi="Times New Roman" w:eastAsia="Times New Roman" w:cs="Times New Roman"/>
                <w:sz w:val="20"/>
                <w:szCs w:val="20"/>
              </w:rPr>
              <w:t>km</w:t>
            </w:r>
            <w:r>
              <w:rPr>
                <w:sz w:val="20"/>
                <w:szCs w:val="20"/>
                <w:spacing w:val="1"/>
              </w:rPr>
              <w:t>）</w:t>
            </w:r>
          </w:p>
        </w:tc>
        <w:tc>
          <w:tcPr>
            <w:tcW w:w="2958" w:type="dxa"/>
            <w:vAlign w:val="top"/>
            <w:tcBorders>
              <w:top w:val="single" w:color="000000" w:sz="10" w:space="0"/>
              <w:right w:val="nil"/>
            </w:tcBorders>
          </w:tcPr>
          <w:p>
            <w:pPr>
              <w:spacing w:line="242" w:lineRule="auto"/>
              <w:rPr>
                <w:rFonts w:ascii="Arial"/>
                <w:sz w:val="21"/>
              </w:rPr>
            </w:pPr>
            <w:r/>
          </w:p>
          <w:p>
            <w:pPr>
              <w:pStyle w:val="TableText"/>
              <w:ind w:left="1062"/>
              <w:spacing w:before="65" w:line="228" w:lineRule="auto"/>
              <w:rPr>
                <w:sz w:val="20"/>
                <w:szCs w:val="20"/>
              </w:rPr>
            </w:pPr>
            <w:r>
              <w:rPr>
                <w:sz w:val="20"/>
                <w:szCs w:val="20"/>
                <w:spacing w:val="7"/>
              </w:rPr>
              <w:t>执行标准</w:t>
            </w:r>
          </w:p>
        </w:tc>
      </w:tr>
      <w:tr>
        <w:trPr>
          <w:trHeight w:val="817" w:hRule="atLeast"/>
        </w:trPr>
        <w:tc>
          <w:tcPr>
            <w:tcW w:w="488" w:type="dxa"/>
            <w:vAlign w:val="top"/>
            <w:tcBorders>
              <w:left w:val="nil"/>
            </w:tcBorders>
          </w:tcPr>
          <w:p>
            <w:pPr>
              <w:spacing w:line="282" w:lineRule="auto"/>
              <w:rPr>
                <w:rFonts w:ascii="Arial"/>
                <w:sz w:val="21"/>
              </w:rPr>
            </w:pPr>
            <w:r/>
          </w:p>
          <w:p>
            <w:pPr>
              <w:ind w:left="214"/>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83" w:type="dxa"/>
            <w:vAlign w:val="top"/>
          </w:tcPr>
          <w:p>
            <w:pPr>
              <w:pStyle w:val="TableText"/>
              <w:ind w:left="185"/>
              <w:spacing w:before="171" w:line="271" w:lineRule="exact"/>
              <w:rPr>
                <w:sz w:val="20"/>
                <w:szCs w:val="20"/>
              </w:rPr>
            </w:pPr>
            <w:r>
              <w:rPr>
                <w:sz w:val="20"/>
                <w:szCs w:val="20"/>
                <w:spacing w:val="4"/>
                <w:position w:val="4"/>
              </w:rPr>
              <w:t>环境</w:t>
            </w:r>
          </w:p>
          <w:p>
            <w:pPr>
              <w:pStyle w:val="TableText"/>
              <w:ind w:left="191"/>
              <w:spacing w:line="229" w:lineRule="auto"/>
              <w:rPr>
                <w:sz w:val="20"/>
                <w:szCs w:val="20"/>
              </w:rPr>
            </w:pPr>
            <w:r>
              <w:rPr>
                <w:sz w:val="20"/>
                <w:szCs w:val="20"/>
                <w:spacing w:val="1"/>
              </w:rPr>
              <w:t>空气</w:t>
            </w:r>
          </w:p>
        </w:tc>
        <w:tc>
          <w:tcPr>
            <w:tcW w:w="1237" w:type="dxa"/>
            <w:vAlign w:val="top"/>
          </w:tcPr>
          <w:p>
            <w:pPr>
              <w:pStyle w:val="TableText"/>
              <w:ind w:left="212"/>
              <w:spacing w:before="34" w:line="229" w:lineRule="auto"/>
              <w:rPr>
                <w:sz w:val="20"/>
                <w:szCs w:val="20"/>
              </w:rPr>
            </w:pPr>
            <w:r>
              <w:rPr>
                <w:sz w:val="20"/>
                <w:szCs w:val="20"/>
                <w:spacing w:val="4"/>
              </w:rPr>
              <w:t>呼图壁县</w:t>
            </w:r>
          </w:p>
          <w:p>
            <w:pPr>
              <w:pStyle w:val="TableText"/>
              <w:ind w:left="201"/>
              <w:spacing w:before="23" w:line="228" w:lineRule="auto"/>
              <w:rPr>
                <w:sz w:val="20"/>
                <w:szCs w:val="20"/>
              </w:rPr>
            </w:pPr>
            <w:r>
              <w:rPr>
                <w:sz w:val="20"/>
                <w:szCs w:val="20"/>
                <w:spacing w:val="7"/>
              </w:rPr>
              <w:t>种牛场居</w:t>
            </w:r>
          </w:p>
          <w:p>
            <w:pPr>
              <w:pStyle w:val="TableText"/>
              <w:ind w:left="430"/>
              <w:spacing w:before="26" w:line="210" w:lineRule="auto"/>
              <w:rPr>
                <w:sz w:val="20"/>
                <w:szCs w:val="20"/>
              </w:rPr>
            </w:pPr>
            <w:r>
              <w:rPr>
                <w:sz w:val="20"/>
                <w:szCs w:val="20"/>
                <w:spacing w:val="-6"/>
              </w:rPr>
              <w:t>民区</w:t>
            </w:r>
          </w:p>
        </w:tc>
        <w:tc>
          <w:tcPr>
            <w:tcW w:w="750" w:type="dxa"/>
            <w:vAlign w:val="top"/>
          </w:tcPr>
          <w:p>
            <w:pPr>
              <w:pStyle w:val="TableText"/>
              <w:ind w:left="170"/>
              <w:spacing w:before="306" w:line="228" w:lineRule="auto"/>
              <w:rPr>
                <w:sz w:val="20"/>
                <w:szCs w:val="20"/>
              </w:rPr>
            </w:pPr>
            <w:r>
              <w:rPr>
                <w:sz w:val="20"/>
                <w:szCs w:val="20"/>
                <w:spacing w:val="3"/>
              </w:rPr>
              <w:t>居民</w:t>
            </w:r>
          </w:p>
        </w:tc>
        <w:tc>
          <w:tcPr>
            <w:tcW w:w="1002" w:type="dxa"/>
            <w:vAlign w:val="top"/>
          </w:tcPr>
          <w:p>
            <w:pPr>
              <w:pStyle w:val="TableText"/>
              <w:ind w:left="300"/>
              <w:spacing w:before="305" w:line="228" w:lineRule="auto"/>
              <w:rPr>
                <w:sz w:val="20"/>
                <w:szCs w:val="20"/>
              </w:rPr>
            </w:pPr>
            <w:r>
              <w:rPr>
                <w:sz w:val="20"/>
                <w:szCs w:val="20"/>
                <w:spacing w:val="2"/>
              </w:rPr>
              <w:t>西侧</w:t>
            </w:r>
          </w:p>
        </w:tc>
        <w:tc>
          <w:tcPr>
            <w:tcW w:w="1298" w:type="dxa"/>
            <w:vAlign w:val="top"/>
          </w:tcPr>
          <w:p>
            <w:pPr>
              <w:spacing w:line="282" w:lineRule="auto"/>
              <w:rPr>
                <w:rFonts w:ascii="Arial"/>
                <w:sz w:val="21"/>
              </w:rPr>
            </w:pPr>
            <w:r/>
          </w:p>
          <w:p>
            <w:pPr>
              <w:ind w:left="468"/>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0.45</w:t>
            </w:r>
          </w:p>
        </w:tc>
        <w:tc>
          <w:tcPr>
            <w:tcW w:w="2958" w:type="dxa"/>
            <w:vAlign w:val="top"/>
            <w:tcBorders>
              <w:right w:val="nil"/>
            </w:tcBorders>
          </w:tcPr>
          <w:p>
            <w:pPr>
              <w:pStyle w:val="TableText"/>
              <w:ind w:left="438"/>
              <w:spacing w:before="171" w:line="228" w:lineRule="auto"/>
              <w:rPr>
                <w:sz w:val="20"/>
                <w:szCs w:val="20"/>
              </w:rPr>
            </w:pPr>
            <w:r>
              <w:rPr>
                <w:sz w:val="20"/>
                <w:szCs w:val="20"/>
                <w:spacing w:val="7"/>
              </w:rPr>
              <w:t>《环境空气质量标准》</w:t>
            </w:r>
          </w:p>
          <w:p>
            <w:pPr>
              <w:pStyle w:val="TableText"/>
              <w:ind w:left="261"/>
              <w:spacing w:before="24" w:line="228" w:lineRule="auto"/>
              <w:rPr>
                <w:sz w:val="20"/>
                <w:szCs w:val="20"/>
              </w:rPr>
            </w:pPr>
            <w:r>
              <w:rPr>
                <w:sz w:val="20"/>
                <w:szCs w:val="20"/>
                <w:spacing w:val="6"/>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3095-2012</w:t>
            </w:r>
            <w:r>
              <w:rPr>
                <w:sz w:val="20"/>
                <w:szCs w:val="20"/>
                <w:spacing w:val="6"/>
              </w:rPr>
              <w:t>）二级标准</w:t>
            </w:r>
          </w:p>
        </w:tc>
      </w:tr>
      <w:tr>
        <w:trPr>
          <w:trHeight w:val="546" w:hRule="atLeast"/>
        </w:trPr>
        <w:tc>
          <w:tcPr>
            <w:tcW w:w="488" w:type="dxa"/>
            <w:vAlign w:val="top"/>
            <w:tcBorders>
              <w:left w:val="nil"/>
            </w:tcBorders>
          </w:tcPr>
          <w:p>
            <w:pPr>
              <w:ind w:left="194"/>
              <w:spacing w:before="2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83" w:type="dxa"/>
            <w:vAlign w:val="top"/>
          </w:tcPr>
          <w:p>
            <w:pPr>
              <w:pStyle w:val="TableText"/>
              <w:ind w:left="189"/>
              <w:spacing w:before="40" w:line="271" w:lineRule="exact"/>
              <w:rPr>
                <w:sz w:val="20"/>
                <w:szCs w:val="20"/>
              </w:rPr>
            </w:pPr>
            <w:r>
              <w:rPr>
                <w:sz w:val="20"/>
                <w:szCs w:val="20"/>
                <w:spacing w:val="2"/>
                <w:position w:val="4"/>
              </w:rPr>
              <w:t>声环</w:t>
            </w:r>
          </w:p>
          <w:p>
            <w:pPr>
              <w:pStyle w:val="TableText"/>
              <w:ind w:left="289"/>
              <w:spacing w:line="207" w:lineRule="auto"/>
              <w:rPr>
                <w:sz w:val="20"/>
                <w:szCs w:val="20"/>
              </w:rPr>
            </w:pPr>
            <w:r>
              <w:rPr>
                <w:sz w:val="20"/>
                <w:szCs w:val="20"/>
              </w:rPr>
              <w:t>境</w:t>
            </w:r>
          </w:p>
        </w:tc>
        <w:tc>
          <w:tcPr>
            <w:tcW w:w="4287" w:type="dxa"/>
            <w:vAlign w:val="top"/>
            <w:gridSpan w:val="4"/>
          </w:tcPr>
          <w:p>
            <w:pPr>
              <w:pStyle w:val="TableText"/>
              <w:ind w:left="1413"/>
              <w:spacing w:before="175" w:line="228" w:lineRule="auto"/>
              <w:rPr>
                <w:sz w:val="20"/>
                <w:szCs w:val="20"/>
              </w:rPr>
            </w:pPr>
            <w:r>
              <w:rPr>
                <w:sz w:val="20"/>
                <w:szCs w:val="20"/>
                <w:spacing w:val="8"/>
              </w:rPr>
              <w:t>厂址区域声环境</w:t>
            </w:r>
          </w:p>
        </w:tc>
        <w:tc>
          <w:tcPr>
            <w:tcW w:w="2958" w:type="dxa"/>
            <w:vAlign w:val="top"/>
            <w:tcBorders>
              <w:right w:val="nil"/>
            </w:tcBorders>
          </w:tcPr>
          <w:p>
            <w:pPr>
              <w:pStyle w:val="TableText"/>
              <w:ind w:left="544"/>
              <w:spacing w:before="40" w:line="228" w:lineRule="auto"/>
              <w:rPr>
                <w:sz w:val="20"/>
                <w:szCs w:val="20"/>
              </w:rPr>
            </w:pPr>
            <w:r>
              <w:rPr>
                <w:sz w:val="20"/>
                <w:szCs w:val="20"/>
                <w:spacing w:val="7"/>
              </w:rPr>
              <w:t>《声环境质量标准》</w:t>
            </w:r>
          </w:p>
          <w:p>
            <w:pPr>
              <w:pStyle w:val="TableText"/>
              <w:ind w:left="419"/>
              <w:spacing w:before="24" w:line="207" w:lineRule="auto"/>
              <w:rPr>
                <w:sz w:val="20"/>
                <w:szCs w:val="20"/>
              </w:rPr>
            </w:pPr>
            <w:r>
              <w:rPr>
                <w:sz w:val="20"/>
                <w:szCs w:val="20"/>
                <w:spacing w:val="5"/>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5"/>
              </w:rPr>
              <w:t>3096-2008</w:t>
            </w:r>
            <w:r>
              <w:rPr>
                <w:sz w:val="20"/>
                <w:szCs w:val="20"/>
                <w:spacing w:val="5"/>
              </w:rPr>
              <w:t>）</w:t>
            </w:r>
            <w:r>
              <w:rPr>
                <w:rFonts w:ascii="Times New Roman" w:hAnsi="Times New Roman" w:eastAsia="Times New Roman" w:cs="Times New Roman"/>
                <w:sz w:val="20"/>
                <w:szCs w:val="20"/>
                <w:spacing w:val="5"/>
              </w:rPr>
              <w:t>2</w:t>
            </w:r>
            <w:r>
              <w:rPr>
                <w:sz w:val="20"/>
                <w:szCs w:val="20"/>
                <w:spacing w:val="5"/>
              </w:rPr>
              <w:t>类区</w:t>
            </w:r>
          </w:p>
        </w:tc>
      </w:tr>
      <w:tr>
        <w:trPr>
          <w:trHeight w:val="546" w:hRule="atLeast"/>
        </w:trPr>
        <w:tc>
          <w:tcPr>
            <w:tcW w:w="488" w:type="dxa"/>
            <w:vAlign w:val="top"/>
            <w:tcBorders>
              <w:left w:val="nil"/>
            </w:tcBorders>
          </w:tcPr>
          <w:p>
            <w:pPr>
              <w:ind w:left="198"/>
              <w:spacing w:before="2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783" w:type="dxa"/>
            <w:vAlign w:val="top"/>
          </w:tcPr>
          <w:p>
            <w:pPr>
              <w:pStyle w:val="TableText"/>
              <w:ind w:left="185"/>
              <w:spacing w:before="43" w:line="229" w:lineRule="auto"/>
              <w:rPr>
                <w:sz w:val="20"/>
                <w:szCs w:val="20"/>
              </w:rPr>
            </w:pPr>
            <w:r>
              <w:rPr>
                <w:sz w:val="20"/>
                <w:szCs w:val="20"/>
                <w:spacing w:val="4"/>
              </w:rPr>
              <w:t>地下</w:t>
            </w:r>
          </w:p>
          <w:p>
            <w:pPr>
              <w:pStyle w:val="TableText"/>
              <w:ind w:left="290"/>
              <w:spacing w:before="23" w:line="204" w:lineRule="auto"/>
              <w:rPr>
                <w:sz w:val="20"/>
                <w:szCs w:val="20"/>
              </w:rPr>
            </w:pPr>
            <w:r>
              <w:rPr>
                <w:sz w:val="20"/>
                <w:szCs w:val="20"/>
              </w:rPr>
              <w:t>水</w:t>
            </w:r>
          </w:p>
        </w:tc>
        <w:tc>
          <w:tcPr>
            <w:tcW w:w="4287" w:type="dxa"/>
            <w:vAlign w:val="top"/>
            <w:gridSpan w:val="4"/>
          </w:tcPr>
          <w:p>
            <w:pPr>
              <w:pStyle w:val="TableText"/>
              <w:ind w:left="1413"/>
              <w:spacing w:before="177" w:line="228" w:lineRule="auto"/>
              <w:rPr>
                <w:sz w:val="20"/>
                <w:szCs w:val="20"/>
              </w:rPr>
            </w:pPr>
            <w:r>
              <w:rPr>
                <w:sz w:val="20"/>
                <w:szCs w:val="20"/>
                <w:spacing w:val="8"/>
              </w:rPr>
              <w:t>厂址区域地下水</w:t>
            </w:r>
          </w:p>
        </w:tc>
        <w:tc>
          <w:tcPr>
            <w:tcW w:w="2958" w:type="dxa"/>
            <w:vAlign w:val="top"/>
            <w:tcBorders>
              <w:right w:val="nil"/>
            </w:tcBorders>
          </w:tcPr>
          <w:p>
            <w:pPr>
              <w:pStyle w:val="TableText"/>
              <w:ind w:left="544"/>
              <w:spacing w:before="43" w:line="228" w:lineRule="auto"/>
              <w:rPr>
                <w:sz w:val="20"/>
                <w:szCs w:val="20"/>
              </w:rPr>
            </w:pPr>
            <w:r>
              <w:rPr>
                <w:sz w:val="20"/>
                <w:szCs w:val="20"/>
                <w:spacing w:val="7"/>
              </w:rPr>
              <w:t>《地下水质量标准》</w:t>
            </w:r>
          </w:p>
          <w:p>
            <w:pPr>
              <w:pStyle w:val="TableText"/>
              <w:ind w:left="330"/>
              <w:spacing w:before="24" w:line="204" w:lineRule="auto"/>
              <w:rPr>
                <w:sz w:val="20"/>
                <w:szCs w:val="20"/>
              </w:rPr>
            </w:pPr>
            <w:r>
              <w:rPr>
                <w:sz w:val="20"/>
                <w:szCs w:val="20"/>
                <w:spacing w:val="5"/>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5"/>
              </w:rPr>
              <w:t>/T14848-2017</w:t>
            </w:r>
            <w:r>
              <w:rPr>
                <w:sz w:val="20"/>
                <w:szCs w:val="20"/>
                <w:spacing w:val="5"/>
              </w:rPr>
              <w:t>）</w:t>
            </w:r>
            <w:r>
              <w:rPr>
                <w:rFonts w:ascii="Times New Roman" w:hAnsi="Times New Roman" w:eastAsia="Times New Roman" w:cs="Times New Roman"/>
                <w:sz w:val="20"/>
                <w:szCs w:val="20"/>
                <w:spacing w:val="5"/>
              </w:rPr>
              <w:t>Ⅲ</w:t>
            </w:r>
            <w:r>
              <w:rPr>
                <w:sz w:val="20"/>
                <w:szCs w:val="20"/>
                <w:spacing w:val="5"/>
              </w:rPr>
              <w:t>类</w:t>
            </w:r>
          </w:p>
        </w:tc>
      </w:tr>
      <w:tr>
        <w:trPr>
          <w:trHeight w:val="547" w:hRule="atLeast"/>
        </w:trPr>
        <w:tc>
          <w:tcPr>
            <w:tcW w:w="488" w:type="dxa"/>
            <w:vAlign w:val="top"/>
            <w:tcBorders>
              <w:left w:val="nil"/>
            </w:tcBorders>
          </w:tcPr>
          <w:p>
            <w:pPr>
              <w:ind w:left="193"/>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783" w:type="dxa"/>
            <w:vAlign w:val="top"/>
          </w:tcPr>
          <w:p>
            <w:pPr>
              <w:pStyle w:val="TableText"/>
              <w:ind w:left="185"/>
              <w:spacing w:before="46" w:line="229" w:lineRule="auto"/>
              <w:rPr>
                <w:sz w:val="20"/>
                <w:szCs w:val="20"/>
              </w:rPr>
            </w:pPr>
            <w:r>
              <w:rPr>
                <w:sz w:val="20"/>
                <w:szCs w:val="20"/>
                <w:spacing w:val="4"/>
              </w:rPr>
              <w:t>地表</w:t>
            </w:r>
          </w:p>
          <w:p>
            <w:pPr>
              <w:pStyle w:val="TableText"/>
              <w:ind w:left="290"/>
              <w:spacing w:before="23" w:line="202" w:lineRule="auto"/>
              <w:rPr>
                <w:sz w:val="20"/>
                <w:szCs w:val="20"/>
              </w:rPr>
            </w:pPr>
            <w:r>
              <w:rPr>
                <w:sz w:val="20"/>
                <w:szCs w:val="20"/>
              </w:rPr>
              <w:t>水</w:t>
            </w:r>
          </w:p>
        </w:tc>
        <w:tc>
          <w:tcPr>
            <w:tcW w:w="4287" w:type="dxa"/>
            <w:vAlign w:val="top"/>
            <w:gridSpan w:val="4"/>
          </w:tcPr>
          <w:p>
            <w:pPr>
              <w:pStyle w:val="TableText"/>
              <w:ind w:left="1413"/>
              <w:spacing w:before="180" w:line="228" w:lineRule="auto"/>
              <w:rPr>
                <w:sz w:val="20"/>
                <w:szCs w:val="20"/>
              </w:rPr>
            </w:pPr>
            <w:r>
              <w:rPr>
                <w:sz w:val="20"/>
                <w:szCs w:val="20"/>
                <w:spacing w:val="8"/>
              </w:rPr>
              <w:t>厂址周边地表水</w:t>
            </w:r>
          </w:p>
        </w:tc>
        <w:tc>
          <w:tcPr>
            <w:tcW w:w="2958" w:type="dxa"/>
            <w:vAlign w:val="top"/>
            <w:tcBorders>
              <w:right w:val="nil"/>
            </w:tcBorders>
          </w:tcPr>
          <w:p>
            <w:pPr>
              <w:pStyle w:val="TableText"/>
              <w:ind w:left="266" w:right="252" w:firstLine="67"/>
              <w:spacing w:before="47" w:line="226" w:lineRule="auto"/>
              <w:rPr>
                <w:sz w:val="20"/>
                <w:szCs w:val="20"/>
              </w:rPr>
            </w:pPr>
            <w:r>
              <w:rPr>
                <w:sz w:val="20"/>
                <w:szCs w:val="20"/>
                <w:spacing w:val="7"/>
              </w:rPr>
              <w:t>《地表水环境质量标准》</w:t>
            </w:r>
            <w:r>
              <w:rPr>
                <w:sz w:val="20"/>
                <w:szCs w:val="20"/>
                <w:spacing w:val="2"/>
              </w:rPr>
              <w:t xml:space="preserve">  </w:t>
            </w:r>
            <w:r>
              <w:rPr>
                <w:sz w:val="20"/>
                <w:szCs w:val="20"/>
                <w:spacing w:val="6"/>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3838-2002</w:t>
            </w:r>
            <w:r>
              <w:rPr>
                <w:sz w:val="20"/>
                <w:szCs w:val="20"/>
                <w:spacing w:val="6"/>
              </w:rPr>
              <w:t>）</w:t>
            </w:r>
            <w:r>
              <w:rPr>
                <w:rFonts w:ascii="Times New Roman" w:hAnsi="Times New Roman" w:eastAsia="Times New Roman" w:cs="Times New Roman"/>
                <w:sz w:val="20"/>
                <w:szCs w:val="20"/>
                <w:spacing w:val="6"/>
              </w:rPr>
              <w:t>Ⅲ</w:t>
            </w:r>
            <w:r>
              <w:rPr>
                <w:sz w:val="20"/>
                <w:szCs w:val="20"/>
                <w:spacing w:val="6"/>
              </w:rPr>
              <w:t>类标准</w:t>
            </w:r>
          </w:p>
        </w:tc>
      </w:tr>
      <w:tr>
        <w:trPr>
          <w:trHeight w:val="838" w:hRule="atLeast"/>
        </w:trPr>
        <w:tc>
          <w:tcPr>
            <w:tcW w:w="488" w:type="dxa"/>
            <w:vAlign w:val="top"/>
            <w:tcBorders>
              <w:bottom w:val="single" w:color="000000" w:sz="10" w:space="0"/>
              <w:left w:val="nil"/>
            </w:tcBorders>
          </w:tcPr>
          <w:p>
            <w:pPr>
              <w:spacing w:line="301" w:lineRule="auto"/>
              <w:rPr>
                <w:rFonts w:ascii="Arial"/>
                <w:sz w:val="21"/>
              </w:rPr>
            </w:pPr>
            <w:r/>
          </w:p>
          <w:p>
            <w:pPr>
              <w:ind w:left="200"/>
              <w:spacing w:before="5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83" w:type="dxa"/>
            <w:vAlign w:val="top"/>
            <w:tcBorders>
              <w:bottom w:val="single" w:color="000000" w:sz="10" w:space="0"/>
            </w:tcBorders>
          </w:tcPr>
          <w:p>
            <w:pPr>
              <w:spacing w:line="255" w:lineRule="auto"/>
              <w:rPr>
                <w:rFonts w:ascii="Arial"/>
                <w:sz w:val="21"/>
              </w:rPr>
            </w:pPr>
            <w:r/>
          </w:p>
          <w:p>
            <w:pPr>
              <w:pStyle w:val="TableText"/>
              <w:ind w:left="186"/>
              <w:spacing w:before="65" w:line="233" w:lineRule="auto"/>
              <w:rPr>
                <w:sz w:val="20"/>
                <w:szCs w:val="20"/>
              </w:rPr>
            </w:pPr>
            <w:r>
              <w:rPr>
                <w:sz w:val="20"/>
                <w:szCs w:val="20"/>
                <w:spacing w:val="3"/>
              </w:rPr>
              <w:t>生态</w:t>
            </w:r>
          </w:p>
        </w:tc>
        <w:tc>
          <w:tcPr>
            <w:tcW w:w="1237" w:type="dxa"/>
            <w:vAlign w:val="top"/>
            <w:tcBorders>
              <w:bottom w:val="single" w:color="000000" w:sz="10" w:space="0"/>
            </w:tcBorders>
          </w:tcPr>
          <w:p>
            <w:pPr>
              <w:spacing w:line="255" w:lineRule="auto"/>
              <w:rPr>
                <w:rFonts w:ascii="Arial"/>
                <w:sz w:val="21"/>
              </w:rPr>
            </w:pPr>
            <w:r/>
          </w:p>
          <w:p>
            <w:pPr>
              <w:pStyle w:val="TableText"/>
              <w:ind w:left="410"/>
              <w:spacing w:before="65" w:line="230" w:lineRule="auto"/>
              <w:rPr>
                <w:sz w:val="20"/>
                <w:szCs w:val="20"/>
              </w:rPr>
            </w:pPr>
            <w:r>
              <w:rPr>
                <w:sz w:val="20"/>
                <w:szCs w:val="20"/>
                <w:spacing w:val="4"/>
              </w:rPr>
              <w:t>农田</w:t>
            </w:r>
          </w:p>
        </w:tc>
        <w:tc>
          <w:tcPr>
            <w:tcW w:w="750" w:type="dxa"/>
            <w:vAlign w:val="top"/>
            <w:tcBorders>
              <w:bottom w:val="single" w:color="000000" w:sz="10" w:space="0"/>
            </w:tcBorders>
          </w:tcPr>
          <w:p>
            <w:pPr>
              <w:spacing w:line="255" w:lineRule="auto"/>
              <w:rPr>
                <w:rFonts w:ascii="Arial"/>
                <w:sz w:val="21"/>
              </w:rPr>
            </w:pPr>
            <w:r/>
          </w:p>
          <w:p>
            <w:pPr>
              <w:pStyle w:val="TableText"/>
              <w:ind w:left="169"/>
              <w:spacing w:before="65" w:line="230" w:lineRule="auto"/>
              <w:rPr>
                <w:sz w:val="20"/>
                <w:szCs w:val="20"/>
              </w:rPr>
            </w:pPr>
            <w:r>
              <w:rPr>
                <w:sz w:val="20"/>
                <w:szCs w:val="20"/>
                <w:spacing w:val="4"/>
              </w:rPr>
              <w:t>农田</w:t>
            </w:r>
          </w:p>
        </w:tc>
        <w:tc>
          <w:tcPr>
            <w:tcW w:w="1002" w:type="dxa"/>
            <w:vAlign w:val="top"/>
            <w:tcBorders>
              <w:bottom w:val="single" w:color="000000" w:sz="10" w:space="0"/>
            </w:tcBorders>
          </w:tcPr>
          <w:p>
            <w:pPr>
              <w:pStyle w:val="TableText"/>
              <w:ind w:left="299" w:right="84" w:hanging="182"/>
              <w:spacing w:before="185" w:line="239" w:lineRule="auto"/>
              <w:rPr>
                <w:sz w:val="20"/>
                <w:szCs w:val="20"/>
              </w:rPr>
            </w:pPr>
            <w:r>
              <w:rPr>
                <w:sz w:val="20"/>
                <w:szCs w:val="20"/>
                <w:spacing w:val="-3"/>
              </w:rPr>
              <w:t>东、南、</w:t>
            </w:r>
            <w:r>
              <w:rPr>
                <w:sz w:val="20"/>
                <w:szCs w:val="20"/>
              </w:rPr>
              <w:t xml:space="preserve"> </w:t>
            </w:r>
            <w:r>
              <w:rPr>
                <w:sz w:val="20"/>
                <w:szCs w:val="20"/>
                <w:spacing w:val="2"/>
              </w:rPr>
              <w:t>西侧</w:t>
            </w:r>
          </w:p>
        </w:tc>
        <w:tc>
          <w:tcPr>
            <w:tcW w:w="1298" w:type="dxa"/>
            <w:vAlign w:val="top"/>
            <w:tcBorders>
              <w:bottom w:val="single" w:color="000000" w:sz="10" w:space="0"/>
            </w:tcBorders>
          </w:tcPr>
          <w:p>
            <w:pPr>
              <w:pStyle w:val="TableText"/>
              <w:ind w:left="152" w:right="194" w:firstLine="4"/>
              <w:spacing w:before="47"/>
              <w:jc w:val="both"/>
              <w:rPr>
                <w:rFonts w:ascii="Times New Roman" w:hAnsi="Times New Roman" w:eastAsia="Times New Roman" w:cs="Times New Roman"/>
                <w:sz w:val="20"/>
                <w:szCs w:val="20"/>
              </w:rPr>
            </w:pPr>
            <w:r>
              <w:rPr>
                <w:sz w:val="20"/>
                <w:szCs w:val="20"/>
                <w:spacing w:val="-4"/>
              </w:rPr>
              <w:t>东侧</w:t>
            </w:r>
            <w:r>
              <w:rPr>
                <w:rFonts w:ascii="Times New Roman" w:hAnsi="Times New Roman" w:eastAsia="Times New Roman" w:cs="Times New Roman"/>
                <w:sz w:val="20"/>
                <w:szCs w:val="20"/>
                <w:spacing w:val="-4"/>
              </w:rPr>
              <w:t>20m</w:t>
            </w:r>
            <w:r>
              <w:rPr>
                <w:sz w:val="20"/>
                <w:szCs w:val="20"/>
                <w:spacing w:val="-4"/>
              </w:rPr>
              <w:t>；</w:t>
            </w:r>
            <w:r>
              <w:rPr>
                <w:sz w:val="20"/>
                <w:szCs w:val="20"/>
                <w:spacing w:val="3"/>
              </w:rPr>
              <w:t xml:space="preserve"> </w:t>
            </w:r>
            <w:r>
              <w:rPr>
                <w:sz w:val="20"/>
                <w:szCs w:val="20"/>
                <w:spacing w:val="-3"/>
              </w:rPr>
              <w:t>南侧</w:t>
            </w:r>
            <w:r>
              <w:rPr>
                <w:rFonts w:ascii="Times New Roman" w:hAnsi="Times New Roman" w:eastAsia="Times New Roman" w:cs="Times New Roman"/>
                <w:sz w:val="20"/>
                <w:szCs w:val="20"/>
                <w:spacing w:val="-3"/>
              </w:rPr>
              <w:t>10m</w:t>
            </w:r>
            <w:r>
              <w:rPr>
                <w:sz w:val="20"/>
                <w:szCs w:val="20"/>
                <w:spacing w:val="-3"/>
              </w:rPr>
              <w:t>；</w:t>
            </w:r>
            <w:r>
              <w:rPr>
                <w:sz w:val="20"/>
                <w:szCs w:val="20"/>
                <w:spacing w:val="2"/>
              </w:rPr>
              <w:t xml:space="preserve"> </w:t>
            </w:r>
            <w:r>
              <w:rPr>
                <w:sz w:val="20"/>
                <w:szCs w:val="20"/>
                <w:spacing w:val="14"/>
              </w:rPr>
              <w:t>西侧</w:t>
            </w:r>
            <w:r>
              <w:rPr>
                <w:rFonts w:ascii="Times New Roman" w:hAnsi="Times New Roman" w:eastAsia="Times New Roman" w:cs="Times New Roman"/>
                <w:sz w:val="20"/>
                <w:szCs w:val="20"/>
                <w:spacing w:val="14"/>
              </w:rPr>
              <w:t>159m</w:t>
            </w:r>
          </w:p>
        </w:tc>
        <w:tc>
          <w:tcPr>
            <w:tcW w:w="2958" w:type="dxa"/>
            <w:vAlign w:val="top"/>
            <w:tcBorders>
              <w:bottom w:val="single" w:color="000000" w:sz="10" w:space="0"/>
              <w:right w:val="nil"/>
            </w:tcBorders>
          </w:tcPr>
          <w:p>
            <w:pPr>
              <w:pStyle w:val="TableText"/>
              <w:ind w:left="174"/>
              <w:spacing w:before="49" w:line="228" w:lineRule="auto"/>
              <w:rPr>
                <w:sz w:val="20"/>
                <w:szCs w:val="20"/>
              </w:rPr>
            </w:pPr>
            <w:r>
              <w:rPr>
                <w:sz w:val="20"/>
                <w:szCs w:val="20"/>
                <w:spacing w:val="8"/>
              </w:rPr>
              <w:t>《土壤环境质量 农用地土壤</w:t>
            </w:r>
          </w:p>
          <w:p>
            <w:pPr>
              <w:pStyle w:val="TableText"/>
              <w:ind w:left="120"/>
              <w:spacing w:before="25" w:line="228" w:lineRule="auto"/>
              <w:rPr>
                <w:sz w:val="20"/>
                <w:szCs w:val="20"/>
              </w:rPr>
            </w:pPr>
            <w:r>
              <w:rPr>
                <w:sz w:val="20"/>
                <w:szCs w:val="20"/>
                <w:spacing w:val="9"/>
              </w:rPr>
              <w:t>污染风险管控标准（试行）》</w:t>
            </w:r>
          </w:p>
          <w:p>
            <w:pPr>
              <w:pStyle w:val="TableText"/>
              <w:ind w:left="525"/>
              <w:spacing w:before="24" w:line="216" w:lineRule="auto"/>
              <w:rPr>
                <w:sz w:val="20"/>
                <w:szCs w:val="20"/>
              </w:rPr>
            </w:pPr>
            <w:r>
              <w:rPr>
                <w:sz w:val="20"/>
                <w:szCs w:val="20"/>
                <w:spacing w:val="4"/>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4"/>
              </w:rPr>
              <w:t>15618-2018</w:t>
            </w:r>
            <w:r>
              <w:rPr>
                <w:sz w:val="20"/>
                <w:szCs w:val="20"/>
                <w:spacing w:val="4"/>
              </w:rPr>
              <w:t>）。</w:t>
            </w:r>
          </w:p>
        </w:tc>
      </w:tr>
    </w:tbl>
    <w:p>
      <w:pPr>
        <w:ind w:left="583"/>
        <w:spacing w:before="195" w:line="219" w:lineRule="auto"/>
        <w:rPr>
          <w:rFonts w:ascii="Times New Roman" w:hAnsi="Times New Roman" w:eastAsia="Times New Roman" w:cs="Times New Roman"/>
          <w:sz w:val="24"/>
          <w:szCs w:val="24"/>
        </w:rPr>
      </w:pPr>
      <w:r>
        <w:rPr>
          <w:rFonts w:ascii="SimSun" w:hAnsi="SimSun" w:eastAsia="SimSun" w:cs="SimSun"/>
          <w:sz w:val="24"/>
          <w:szCs w:val="24"/>
        </w:rPr>
        <w:t>“</w:t>
      </w:r>
      <w:r>
        <w:rPr>
          <w:rFonts w:ascii="SimSun" w:hAnsi="SimSun" w:eastAsia="SimSun" w:cs="SimSun"/>
          <w:sz w:val="24"/>
          <w:szCs w:val="24"/>
          <w14:textOutline w14:w="4358" w14:cap="sq" w14:cmpd="sng">
            <w14:solidFill>
              <w14:srgbClr w14:val="000000"/>
            </w14:solidFill>
            <w14:prstDash w14:val="solid"/>
            <w14:bevel/>
          </w14:textOutline>
        </w:rPr>
        <w:t>核实并完善现有工程废气污染治理设施情况及合规性</w:t>
      </w:r>
      <w:r>
        <w:rPr>
          <w:rFonts w:ascii="SimSun" w:hAnsi="SimSun" w:eastAsia="SimSun" w:cs="SimSun"/>
          <w:sz w:val="24"/>
          <w:szCs w:val="24"/>
          <w14:textOutline w14:w="4358" w14:cap="sq" w14:cmpd="sng">
            <w14:solidFill>
              <w14:srgbClr w14:val="000000"/>
            </w14:solidFill>
            <w14:prstDash w14:val="solid"/>
            <w14:bevel/>
          </w14:textOutline>
          <w:spacing w:val="-1"/>
        </w:rPr>
        <w:t>分析</w:t>
      </w:r>
      <w:r>
        <w:rPr>
          <w:rFonts w:ascii="SimSun" w:hAnsi="SimSun" w:eastAsia="SimSun" w:cs="SimSun"/>
          <w:sz w:val="24"/>
          <w:szCs w:val="24"/>
          <w:spacing w:val="-85"/>
        </w:rPr>
        <w:t xml:space="preserve"> </w:t>
      </w:r>
      <w:r>
        <w:rPr>
          <w:rFonts w:ascii="SimSun" w:hAnsi="SimSun" w:eastAsia="SimSun" w:cs="SimSun"/>
          <w:sz w:val="24"/>
          <w:szCs w:val="24"/>
          <w:spacing w:val="-1"/>
        </w:rPr>
        <w:t>”修改见</w:t>
      </w:r>
      <w:r>
        <w:rPr>
          <w:rFonts w:ascii="Times New Roman" w:hAnsi="Times New Roman" w:eastAsia="Times New Roman" w:cs="Times New Roman"/>
          <w:sz w:val="24"/>
          <w:szCs w:val="24"/>
          <w:spacing w:val="-1"/>
        </w:rPr>
        <w:t>P28</w:t>
      </w:r>
    </w:p>
    <w:p>
      <w:pPr>
        <w:ind w:left="591"/>
        <w:spacing w:before="217" w:line="220" w:lineRule="auto"/>
        <w:rPr>
          <w:rFonts w:ascii="SimSun" w:hAnsi="SimSun" w:eastAsia="SimSun" w:cs="SimSun"/>
          <w:sz w:val="24"/>
          <w:szCs w:val="24"/>
        </w:rPr>
      </w:pPr>
      <w:r>
        <w:rPr>
          <w:rFonts w:ascii="Times New Roman" w:hAnsi="Times New Roman" w:eastAsia="Times New Roman" w:cs="Times New Roman"/>
          <w:sz w:val="24"/>
          <w:szCs w:val="24"/>
          <w:spacing w:val="-1"/>
        </w:rPr>
        <w:t>2.11.4  </w:t>
      </w:r>
      <w:r>
        <w:rPr>
          <w:rFonts w:ascii="SimSun" w:hAnsi="SimSun" w:eastAsia="SimSun" w:cs="SimSun"/>
          <w:sz w:val="24"/>
          <w:szCs w:val="24"/>
          <w:spacing w:val="-1"/>
        </w:rPr>
        <w:t>现有工程废气污染治理设施情况及合规性分析</w:t>
      </w:r>
    </w:p>
    <w:p>
      <w:pPr>
        <w:ind w:left="116" w:right="104" w:firstLine="482"/>
        <w:spacing w:before="215" w:line="384" w:lineRule="auto"/>
        <w:rPr>
          <w:rFonts w:ascii="SimSun" w:hAnsi="SimSun" w:eastAsia="SimSun" w:cs="SimSun"/>
          <w:sz w:val="24"/>
          <w:szCs w:val="24"/>
        </w:rPr>
      </w:pPr>
      <w:r>
        <w:rPr>
          <w:rFonts w:ascii="SimSun" w:hAnsi="SimSun" w:eastAsia="SimSun" w:cs="SimSun"/>
          <w:sz w:val="24"/>
          <w:szCs w:val="24"/>
          <w:spacing w:val="-2"/>
        </w:rPr>
        <w:t>企业现有废气治理设施采取“两级</w:t>
      </w:r>
      <w:r>
        <w:rPr>
          <w:rFonts w:ascii="Times New Roman" w:hAnsi="Times New Roman" w:eastAsia="Times New Roman" w:cs="Times New Roman"/>
          <w:sz w:val="24"/>
          <w:szCs w:val="24"/>
          <w:spacing w:val="-2"/>
        </w:rPr>
        <w:t>UV</w:t>
      </w:r>
      <w:r>
        <w:rPr>
          <w:rFonts w:ascii="SimSun" w:hAnsi="SimSun" w:eastAsia="SimSun" w:cs="SimSun"/>
          <w:sz w:val="24"/>
          <w:szCs w:val="24"/>
          <w:spacing w:val="-2"/>
        </w:rPr>
        <w:t>光氧净化装置</w:t>
      </w:r>
      <w:r>
        <w:rPr>
          <w:rFonts w:ascii="SimSun" w:hAnsi="SimSun" w:eastAsia="SimSun" w:cs="SimSun"/>
          <w:sz w:val="24"/>
          <w:szCs w:val="24"/>
          <w:spacing w:val="-70"/>
        </w:rPr>
        <w:t xml:space="preserve"> </w:t>
      </w:r>
      <w:r>
        <w:rPr>
          <w:rFonts w:ascii="SimSun" w:hAnsi="SimSun" w:eastAsia="SimSun" w:cs="SimSun"/>
          <w:sz w:val="24"/>
          <w:szCs w:val="24"/>
          <w:spacing w:val="-2"/>
        </w:rPr>
        <w:t>”处理，根据《排污许</w:t>
      </w:r>
      <w:r>
        <w:rPr>
          <w:rFonts w:ascii="SimSun" w:hAnsi="SimSun" w:eastAsia="SimSun" w:cs="SimSun"/>
          <w:sz w:val="24"/>
          <w:szCs w:val="24"/>
        </w:rPr>
        <w:t xml:space="preserve"> </w:t>
      </w:r>
      <w:r>
        <w:rPr>
          <w:rFonts w:ascii="SimSun" w:hAnsi="SimSun" w:eastAsia="SimSun" w:cs="SimSun"/>
          <w:sz w:val="24"/>
          <w:szCs w:val="24"/>
          <w:spacing w:val="-2"/>
        </w:rPr>
        <w:t>可证申请与核发技术规范 橡胶和塑料制品工业》（</w:t>
      </w:r>
      <w:r>
        <w:rPr>
          <w:rFonts w:ascii="Times New Roman" w:hAnsi="Times New Roman" w:eastAsia="Times New Roman" w:cs="Times New Roman"/>
          <w:sz w:val="24"/>
          <w:szCs w:val="24"/>
          <w:spacing w:val="-2"/>
        </w:rPr>
        <w:t>HJ1122-2</w:t>
      </w:r>
      <w:r>
        <w:rPr>
          <w:rFonts w:ascii="Times New Roman" w:hAnsi="Times New Roman" w:eastAsia="Times New Roman" w:cs="Times New Roman"/>
          <w:sz w:val="24"/>
          <w:szCs w:val="24"/>
          <w:spacing w:val="-3"/>
        </w:rPr>
        <w:t>020</w:t>
      </w:r>
      <w:r>
        <w:rPr>
          <w:rFonts w:ascii="SimSun" w:hAnsi="SimSun" w:eastAsia="SimSun" w:cs="SimSun"/>
          <w:sz w:val="24"/>
          <w:szCs w:val="24"/>
          <w:spacing w:val="-3"/>
        </w:rPr>
        <w:t>）可行性技术方</w:t>
      </w:r>
      <w:r>
        <w:rPr>
          <w:rFonts w:ascii="SimSun" w:hAnsi="SimSun" w:eastAsia="SimSun" w:cs="SimSun"/>
          <w:sz w:val="24"/>
          <w:szCs w:val="24"/>
        </w:rPr>
        <w:t xml:space="preserve"> </w:t>
      </w:r>
      <w:r>
        <w:rPr>
          <w:rFonts w:ascii="SimSun" w:hAnsi="SimSun" w:eastAsia="SimSun" w:cs="SimSun"/>
          <w:sz w:val="24"/>
          <w:szCs w:val="24"/>
        </w:rPr>
        <w:t>案判断，</w:t>
      </w:r>
      <w:r>
        <w:rPr>
          <w:rFonts w:ascii="Times New Roman" w:hAnsi="Times New Roman" w:eastAsia="Times New Roman" w:cs="Times New Roman"/>
          <w:sz w:val="24"/>
          <w:szCs w:val="24"/>
        </w:rPr>
        <w:t>UV</w:t>
      </w:r>
      <w:r>
        <w:rPr>
          <w:rFonts w:ascii="SimSun" w:hAnsi="SimSun" w:eastAsia="SimSun" w:cs="SimSun"/>
          <w:sz w:val="24"/>
          <w:szCs w:val="24"/>
        </w:rPr>
        <w:t>光氧属于可行性技术方案。根据企业</w:t>
      </w:r>
      <w:r>
        <w:rPr>
          <w:rFonts w:ascii="SimSun" w:hAnsi="SimSun" w:eastAsia="SimSun" w:cs="SimSun"/>
          <w:sz w:val="24"/>
          <w:szCs w:val="24"/>
          <w:spacing w:val="-1"/>
        </w:rPr>
        <w:t>现有项目竣工验收检测数据显</w:t>
      </w:r>
      <w:r>
        <w:rPr>
          <w:rFonts w:ascii="SimSun" w:hAnsi="SimSun" w:eastAsia="SimSun" w:cs="SimSun"/>
          <w:sz w:val="24"/>
          <w:szCs w:val="24"/>
        </w:rPr>
        <w:t xml:space="preserve"> </w:t>
      </w:r>
      <w:r>
        <w:rPr>
          <w:rFonts w:ascii="SimSun" w:hAnsi="SimSun" w:eastAsia="SimSun" w:cs="SimSun"/>
          <w:sz w:val="24"/>
          <w:szCs w:val="24"/>
          <w:spacing w:val="-3"/>
        </w:rPr>
        <w:t>示，经现有废气治理措施净化处理后的废气可满足《合成树脂工业污染物排放标</w:t>
      </w:r>
    </w:p>
    <w:p>
      <w:pPr>
        <w:ind w:left="117"/>
        <w:spacing w:before="1" w:line="219" w:lineRule="auto"/>
        <w:rPr>
          <w:rFonts w:ascii="SimSun" w:hAnsi="SimSun" w:eastAsia="SimSun" w:cs="SimSun"/>
          <w:sz w:val="24"/>
          <w:szCs w:val="24"/>
        </w:rPr>
      </w:pPr>
      <w:r>
        <w:rPr>
          <w:rFonts w:ascii="SimSun" w:hAnsi="SimSun" w:eastAsia="SimSun" w:cs="SimSun"/>
          <w:sz w:val="24"/>
          <w:szCs w:val="24"/>
          <w:spacing w:val="-1"/>
        </w:rPr>
        <w:t>准》（</w:t>
      </w:r>
      <w:r>
        <w:rPr>
          <w:rFonts w:ascii="Times New Roman" w:hAnsi="Times New Roman" w:eastAsia="Times New Roman" w:cs="Times New Roman"/>
          <w:sz w:val="24"/>
          <w:szCs w:val="24"/>
          <w:spacing w:val="-1"/>
        </w:rPr>
        <w:t>GB31572-2015</w:t>
      </w:r>
      <w:r>
        <w:rPr>
          <w:rFonts w:ascii="SimSun" w:hAnsi="SimSun" w:eastAsia="SimSun" w:cs="SimSun"/>
          <w:sz w:val="24"/>
          <w:szCs w:val="24"/>
          <w:spacing w:val="-1"/>
        </w:rPr>
        <w:t>）中表</w:t>
      </w:r>
      <w:r>
        <w:rPr>
          <w:rFonts w:ascii="Times New Roman" w:hAnsi="Times New Roman" w:eastAsia="Times New Roman" w:cs="Times New Roman"/>
          <w:sz w:val="24"/>
          <w:szCs w:val="24"/>
          <w:spacing w:val="-1"/>
        </w:rPr>
        <w:t>5</w:t>
      </w:r>
      <w:r>
        <w:rPr>
          <w:rFonts w:ascii="SimSun" w:hAnsi="SimSun" w:eastAsia="SimSun" w:cs="SimSun"/>
          <w:sz w:val="24"/>
          <w:szCs w:val="24"/>
          <w:spacing w:val="-1"/>
        </w:rPr>
        <w:t>大气污染物特别排放限值。</w:t>
      </w:r>
    </w:p>
    <w:p>
      <w:pPr>
        <w:ind w:left="595"/>
        <w:spacing w:before="216" w:line="499" w:lineRule="exact"/>
        <w:rPr>
          <w:rFonts w:ascii="SimSun" w:hAnsi="SimSun" w:eastAsia="SimSun" w:cs="SimSun"/>
          <w:sz w:val="24"/>
          <w:szCs w:val="24"/>
        </w:rPr>
      </w:pPr>
      <w:r>
        <w:rPr>
          <w:rFonts w:ascii="SimSun" w:hAnsi="SimSun" w:eastAsia="SimSun" w:cs="SimSun"/>
          <w:sz w:val="24"/>
          <w:szCs w:val="24"/>
          <w:spacing w:val="-3"/>
          <w:position w:val="19"/>
        </w:rPr>
        <w:t>根据《关于加快解决当前挥发性有机物治理突出问题的通知》，</w:t>
      </w:r>
      <w:r>
        <w:rPr>
          <w:rFonts w:ascii="SimSun" w:hAnsi="SimSun" w:eastAsia="SimSun" w:cs="SimSun"/>
          <w:sz w:val="24"/>
          <w:szCs w:val="24"/>
          <w:spacing w:val="-4"/>
          <w:position w:val="19"/>
        </w:rPr>
        <w:t>不建议使用</w:t>
      </w:r>
    </w:p>
    <w:p>
      <w:pPr>
        <w:ind w:left="107"/>
        <w:spacing w:before="1" w:line="218" w:lineRule="auto"/>
        <w:rPr>
          <w:rFonts w:ascii="SimSun" w:hAnsi="SimSun" w:eastAsia="SimSun" w:cs="SimSun"/>
          <w:sz w:val="24"/>
          <w:szCs w:val="24"/>
        </w:rPr>
      </w:pPr>
      <w:r>
        <w:rPr>
          <w:rFonts w:ascii="Times New Roman" w:hAnsi="Times New Roman" w:eastAsia="Times New Roman" w:cs="Times New Roman"/>
          <w:sz w:val="24"/>
          <w:szCs w:val="24"/>
          <w:spacing w:val="-6"/>
        </w:rPr>
        <w:t>UV</w:t>
      </w:r>
      <w:r>
        <w:rPr>
          <w:rFonts w:ascii="SimSun" w:hAnsi="SimSun" w:eastAsia="SimSun" w:cs="SimSun"/>
          <w:sz w:val="24"/>
          <w:szCs w:val="24"/>
          <w:spacing w:val="-6"/>
        </w:rPr>
        <w:t>光氧净化装置处理除恶臭气体以外废气。因此，现有废气处理装置不满足《关</w:t>
      </w:r>
    </w:p>
    <w:p>
      <w:pPr>
        <w:spacing w:line="218" w:lineRule="auto"/>
        <w:sectPr>
          <w:footerReference w:type="default" r:id="rId31"/>
          <w:pgSz w:w="11906" w:h="16839"/>
          <w:pgMar w:top="400" w:right="1695" w:bottom="1211" w:left="1693" w:header="0" w:footer="1049" w:gutter="0"/>
        </w:sectPr>
        <w:rPr>
          <w:rFonts w:ascii="SimSun" w:hAnsi="SimSun" w:eastAsia="SimSun" w:cs="SimSun"/>
          <w:sz w:val="24"/>
          <w:szCs w:val="24"/>
        </w:rPr>
      </w:pPr>
    </w:p>
    <w:p>
      <w:pPr>
        <w:pStyle w:val="BodyText"/>
        <w:spacing w:line="287" w:lineRule="auto"/>
        <w:rPr/>
      </w:pPr>
      <w:r/>
    </w:p>
    <w:p>
      <w:pPr>
        <w:pStyle w:val="BodyText"/>
        <w:spacing w:line="287" w:lineRule="auto"/>
        <w:rPr/>
      </w:pPr>
      <w:r/>
    </w:p>
    <w:p>
      <w:pPr>
        <w:pStyle w:val="BodyText"/>
        <w:spacing w:line="288" w:lineRule="auto"/>
        <w:rPr/>
      </w:pPr>
      <w:r/>
    </w:p>
    <w:p>
      <w:pPr>
        <w:pStyle w:val="BodyText"/>
        <w:spacing w:line="288" w:lineRule="auto"/>
        <w:rPr/>
      </w:pPr>
      <w:r/>
    </w:p>
    <w:p>
      <w:pPr>
        <w:ind w:left="27"/>
        <w:spacing w:before="78" w:line="499" w:lineRule="exact"/>
        <w:rPr>
          <w:rFonts w:ascii="SimSun" w:hAnsi="SimSun" w:eastAsia="SimSun" w:cs="SimSun"/>
          <w:sz w:val="24"/>
          <w:szCs w:val="24"/>
        </w:rPr>
      </w:pPr>
      <w:r>
        <w:rPr>
          <w:rFonts w:ascii="SimSun" w:hAnsi="SimSun" w:eastAsia="SimSun" w:cs="SimSun"/>
          <w:sz w:val="24"/>
          <w:szCs w:val="24"/>
          <w:position w:val="19"/>
        </w:rPr>
        <w:t>于加快解决当前挥发性有机物治理突出问题的</w:t>
      </w:r>
      <w:r>
        <w:rPr>
          <w:rFonts w:ascii="SimSun" w:hAnsi="SimSun" w:eastAsia="SimSun" w:cs="SimSun"/>
          <w:sz w:val="24"/>
          <w:szCs w:val="24"/>
          <w:spacing w:val="-1"/>
          <w:position w:val="19"/>
        </w:rPr>
        <w:t>通知》相关要求，建议进行整改。</w:t>
      </w:r>
    </w:p>
    <w:p>
      <w:pPr>
        <w:ind w:left="491"/>
        <w:spacing w:line="219" w:lineRule="auto"/>
        <w:rPr>
          <w:rFonts w:ascii="Times New Roman" w:hAnsi="Times New Roman" w:eastAsia="Times New Roman" w:cs="Times New Roman"/>
          <w:sz w:val="24"/>
          <w:szCs w:val="24"/>
        </w:rPr>
      </w:pPr>
      <w:r>
        <w:rPr>
          <w:rFonts w:ascii="SimSun" w:hAnsi="SimSun" w:eastAsia="SimSun" w:cs="SimSun"/>
          <w:sz w:val="24"/>
          <w:szCs w:val="24"/>
          <w:spacing w:val="-1"/>
        </w:rPr>
        <w:t>“</w:t>
      </w:r>
      <w:r>
        <w:rPr>
          <w:rFonts w:ascii="SimSun" w:hAnsi="SimSun" w:eastAsia="SimSun" w:cs="SimSun"/>
          <w:sz w:val="24"/>
          <w:szCs w:val="24"/>
          <w14:textOutline w14:w="4358" w14:cap="sq" w14:cmpd="sng">
            <w14:solidFill>
              <w14:srgbClr w14:val="000000"/>
            </w14:solidFill>
            <w14:prstDash w14:val="solid"/>
            <w14:bevel/>
          </w14:textOutline>
          <w:spacing w:val="-1"/>
        </w:rPr>
        <w:t>完善现有工程环境问题调查及整改措施</w:t>
      </w:r>
      <w:r>
        <w:rPr>
          <w:rFonts w:ascii="SimSun" w:hAnsi="SimSun" w:eastAsia="SimSun" w:cs="SimSun"/>
          <w:sz w:val="24"/>
          <w:szCs w:val="24"/>
          <w:spacing w:val="-79"/>
        </w:rPr>
        <w:t xml:space="preserve"> </w:t>
      </w:r>
      <w:r>
        <w:rPr>
          <w:rFonts w:ascii="SimSun" w:hAnsi="SimSun" w:eastAsia="SimSun" w:cs="SimSun"/>
          <w:sz w:val="24"/>
          <w:szCs w:val="24"/>
          <w:spacing w:val="-1"/>
        </w:rPr>
        <w:t>”修改见</w:t>
      </w:r>
      <w:r>
        <w:rPr>
          <w:rFonts w:ascii="Times New Roman" w:hAnsi="Times New Roman" w:eastAsia="Times New Roman" w:cs="Times New Roman"/>
          <w:sz w:val="24"/>
          <w:szCs w:val="24"/>
          <w:spacing w:val="-1"/>
        </w:rPr>
        <w:t>P29</w:t>
      </w:r>
    </w:p>
    <w:p>
      <w:pPr>
        <w:ind w:left="499"/>
        <w:spacing w:before="214" w:line="501" w:lineRule="exact"/>
        <w:rPr>
          <w:rFonts w:ascii="SimSun" w:hAnsi="SimSun" w:eastAsia="SimSun" w:cs="SimSun"/>
          <w:sz w:val="24"/>
          <w:szCs w:val="24"/>
        </w:rPr>
      </w:pPr>
      <w:r>
        <w:rPr>
          <w:rFonts w:ascii="Times New Roman" w:hAnsi="Times New Roman" w:eastAsia="Times New Roman" w:cs="Times New Roman"/>
          <w:sz w:val="24"/>
          <w:szCs w:val="24"/>
          <w:spacing w:val="-1"/>
          <w:position w:val="19"/>
        </w:rPr>
        <w:t>2.11.6  </w:t>
      </w:r>
      <w:r>
        <w:rPr>
          <w:rFonts w:ascii="SimSun" w:hAnsi="SimSun" w:eastAsia="SimSun" w:cs="SimSun"/>
          <w:sz w:val="24"/>
          <w:szCs w:val="24"/>
          <w:spacing w:val="-1"/>
          <w:position w:val="19"/>
        </w:rPr>
        <w:t>现有工程存在的问题及整改措施</w:t>
      </w:r>
    </w:p>
    <w:p>
      <w:pPr>
        <w:ind w:left="514"/>
        <w:spacing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）现有项目废气处理装置效率低</w:t>
      </w:r>
    </w:p>
    <w:p>
      <w:pPr>
        <w:ind w:left="23" w:right="37" w:firstLine="483"/>
        <w:spacing w:before="211" w:line="385" w:lineRule="auto"/>
        <w:rPr>
          <w:rFonts w:ascii="SimSun" w:hAnsi="SimSun" w:eastAsia="SimSun" w:cs="SimSun"/>
          <w:sz w:val="24"/>
          <w:szCs w:val="24"/>
        </w:rPr>
      </w:pPr>
      <w:r>
        <w:rPr>
          <w:rFonts w:ascii="SimSun" w:hAnsi="SimSun" w:eastAsia="SimSun" w:cs="SimSun"/>
          <w:sz w:val="24"/>
          <w:szCs w:val="24"/>
          <w:spacing w:val="-1"/>
        </w:rPr>
        <w:t>企业现有项目废气采取两级</w:t>
      </w:r>
      <w:r>
        <w:rPr>
          <w:rFonts w:ascii="Times New Roman" w:hAnsi="Times New Roman" w:eastAsia="Times New Roman" w:cs="Times New Roman"/>
          <w:sz w:val="24"/>
          <w:szCs w:val="24"/>
          <w:spacing w:val="-1"/>
        </w:rPr>
        <w:t>UV</w:t>
      </w:r>
      <w:r>
        <w:rPr>
          <w:rFonts w:ascii="SimSun" w:hAnsi="SimSun" w:eastAsia="SimSun" w:cs="SimSun"/>
          <w:sz w:val="24"/>
          <w:szCs w:val="24"/>
          <w:spacing w:val="-1"/>
        </w:rPr>
        <w:t>光氧净化装置。根据《关于加快解决当前挥</w:t>
      </w:r>
      <w:r>
        <w:rPr>
          <w:rFonts w:ascii="SimSun" w:hAnsi="SimSun" w:eastAsia="SimSun" w:cs="SimSun"/>
          <w:sz w:val="24"/>
          <w:szCs w:val="24"/>
          <w:spacing w:val="8"/>
        </w:rPr>
        <w:t xml:space="preserve">  </w:t>
      </w:r>
      <w:r>
        <w:rPr>
          <w:rFonts w:ascii="SimSun" w:hAnsi="SimSun" w:eastAsia="SimSun" w:cs="SimSun"/>
          <w:sz w:val="24"/>
          <w:szCs w:val="24"/>
          <w:spacing w:val="-8"/>
        </w:rPr>
        <w:t>发性有机物治理突出问题的通知》，“新建治理设施或对现有治理设施实施改造，</w:t>
      </w:r>
      <w:r>
        <w:rPr>
          <w:rFonts w:ascii="SimSun" w:hAnsi="SimSun" w:eastAsia="SimSun" w:cs="SimSun"/>
          <w:sz w:val="24"/>
          <w:szCs w:val="24"/>
          <w:spacing w:val="5"/>
        </w:rPr>
        <w:t xml:space="preserve"> </w:t>
      </w:r>
      <w:r>
        <w:rPr>
          <w:rFonts w:ascii="SimSun" w:hAnsi="SimSun" w:eastAsia="SimSun" w:cs="SimSun"/>
          <w:sz w:val="24"/>
          <w:szCs w:val="24"/>
          <w:spacing w:val="-1"/>
        </w:rPr>
        <w:t>应依据排放废气特征、</w:t>
      </w:r>
      <w:r>
        <w:rPr>
          <w:rFonts w:ascii="Times New Roman" w:hAnsi="Times New Roman" w:eastAsia="Times New Roman" w:cs="Times New Roman"/>
          <w:sz w:val="24"/>
          <w:szCs w:val="24"/>
          <w:spacing w:val="-1"/>
        </w:rPr>
        <w:t>VOCs</w:t>
      </w:r>
      <w:r>
        <w:rPr>
          <w:rFonts w:ascii="SimSun" w:hAnsi="SimSun" w:eastAsia="SimSun" w:cs="SimSun"/>
          <w:sz w:val="24"/>
          <w:szCs w:val="24"/>
          <w:spacing w:val="-1"/>
        </w:rPr>
        <w:t>组分及浓度、生产工况等，合理选择治理技术；对 </w:t>
      </w:r>
      <w:r>
        <w:rPr>
          <w:rFonts w:ascii="SimSun" w:hAnsi="SimSun" w:eastAsia="SimSun" w:cs="SimSun"/>
          <w:sz w:val="24"/>
          <w:szCs w:val="24"/>
          <w:spacing w:val="-3"/>
        </w:rPr>
        <w:t>治理难度大、单一治理工艺难以稳定达标的，宜采用多种技术的组合工艺；除恶</w:t>
      </w:r>
      <w:r>
        <w:rPr>
          <w:rFonts w:ascii="SimSun" w:hAnsi="SimSun" w:eastAsia="SimSun" w:cs="SimSun"/>
          <w:sz w:val="24"/>
          <w:szCs w:val="24"/>
          <w:spacing w:val="1"/>
        </w:rPr>
        <w:t xml:space="preserve"> </w:t>
      </w:r>
      <w:r>
        <w:rPr>
          <w:rFonts w:ascii="SimSun" w:hAnsi="SimSun" w:eastAsia="SimSun" w:cs="SimSun"/>
          <w:sz w:val="24"/>
          <w:szCs w:val="24"/>
          <w:spacing w:val="-4"/>
        </w:rPr>
        <w:t>臭异味治理外，一般不使用低温等离子、光催化、光氧化等技术</w:t>
      </w:r>
      <w:r>
        <w:rPr>
          <w:rFonts w:ascii="SimSun" w:hAnsi="SimSun" w:eastAsia="SimSun" w:cs="SimSun"/>
          <w:sz w:val="24"/>
          <w:szCs w:val="24"/>
          <w:spacing w:val="-84"/>
        </w:rPr>
        <w:t xml:space="preserve"> </w:t>
      </w:r>
      <w:r>
        <w:rPr>
          <w:rFonts w:ascii="SimSun" w:hAnsi="SimSun" w:eastAsia="SimSun" w:cs="SimSun"/>
          <w:sz w:val="24"/>
          <w:szCs w:val="24"/>
          <w:spacing w:val="-4"/>
        </w:rPr>
        <w:t>”。企业现有废</w:t>
      </w:r>
      <w:r>
        <w:rPr>
          <w:rFonts w:ascii="SimSun" w:hAnsi="SimSun" w:eastAsia="SimSun" w:cs="SimSun"/>
          <w:sz w:val="24"/>
          <w:szCs w:val="24"/>
        </w:rPr>
        <w:t xml:space="preserve"> </w:t>
      </w:r>
      <w:r>
        <w:rPr>
          <w:rFonts w:ascii="SimSun" w:hAnsi="SimSun" w:eastAsia="SimSun" w:cs="SimSun"/>
          <w:sz w:val="24"/>
          <w:szCs w:val="24"/>
          <w:spacing w:val="-3"/>
        </w:rPr>
        <w:t>气治理装置不符合《关于加快解决当前挥发性有机物治理突出问题的通知》文件</w:t>
      </w:r>
    </w:p>
    <w:p>
      <w:pPr>
        <w:ind w:left="23"/>
        <w:spacing w:line="220" w:lineRule="auto"/>
        <w:rPr>
          <w:rFonts w:ascii="SimSun" w:hAnsi="SimSun" w:eastAsia="SimSun" w:cs="SimSun"/>
          <w:sz w:val="24"/>
          <w:szCs w:val="24"/>
        </w:rPr>
      </w:pPr>
      <w:r>
        <w:rPr>
          <w:rFonts w:ascii="SimSun" w:hAnsi="SimSun" w:eastAsia="SimSun" w:cs="SimSun"/>
          <w:sz w:val="24"/>
          <w:szCs w:val="24"/>
          <w:spacing w:val="-2"/>
        </w:rPr>
        <w:t>相关要求。</w:t>
      </w:r>
    </w:p>
    <w:p>
      <w:pPr>
        <w:ind w:left="23" w:right="99" w:firstLine="480"/>
        <w:spacing w:before="213" w:line="385" w:lineRule="auto"/>
        <w:rPr>
          <w:rFonts w:ascii="SimSun" w:hAnsi="SimSun" w:eastAsia="SimSun" w:cs="SimSun"/>
          <w:sz w:val="24"/>
          <w:szCs w:val="24"/>
        </w:rPr>
      </w:pPr>
      <w:r>
        <w:rPr>
          <w:rFonts w:ascii="SimSun" w:hAnsi="SimSun" w:eastAsia="SimSun" w:cs="SimSun"/>
          <w:sz w:val="24"/>
          <w:szCs w:val="24"/>
          <w:spacing w:val="-3"/>
        </w:rPr>
        <w:t>整改措施：本项目建设完成后，建议企业将现有项目生产过程</w:t>
      </w:r>
      <w:r>
        <w:rPr>
          <w:rFonts w:ascii="SimSun" w:hAnsi="SimSun" w:eastAsia="SimSun" w:cs="SimSun"/>
          <w:sz w:val="24"/>
          <w:szCs w:val="24"/>
          <w:spacing w:val="-4"/>
        </w:rPr>
        <w:t>中产生的废气</w:t>
      </w:r>
      <w:r>
        <w:rPr>
          <w:rFonts w:ascii="SimSun" w:hAnsi="SimSun" w:eastAsia="SimSun" w:cs="SimSun"/>
          <w:sz w:val="24"/>
          <w:szCs w:val="24"/>
        </w:rPr>
        <w:t xml:space="preserve"> </w:t>
      </w:r>
      <w:r>
        <w:rPr>
          <w:rFonts w:ascii="SimSun" w:hAnsi="SimSun" w:eastAsia="SimSun" w:cs="SimSun"/>
          <w:sz w:val="24"/>
          <w:szCs w:val="24"/>
        </w:rPr>
        <w:t>集中收集，通入本项目废气治理装置处理。本项目采</w:t>
      </w:r>
      <w:r>
        <w:rPr>
          <w:rFonts w:ascii="SimSun" w:hAnsi="SimSun" w:eastAsia="SimSun" w:cs="SimSun"/>
          <w:sz w:val="24"/>
          <w:szCs w:val="24"/>
          <w:spacing w:val="-1"/>
        </w:rPr>
        <w:t>用“活性炭吸附</w:t>
      </w:r>
      <w:r>
        <w:rPr>
          <w:rFonts w:ascii="Times New Roman" w:hAnsi="Times New Roman" w:eastAsia="Times New Roman" w:cs="Times New Roman"/>
          <w:sz w:val="24"/>
          <w:szCs w:val="24"/>
          <w:spacing w:val="-1"/>
        </w:rPr>
        <w:t>+</w:t>
      </w:r>
      <w:r>
        <w:rPr>
          <w:rFonts w:ascii="SimSun" w:hAnsi="SimSun" w:eastAsia="SimSun" w:cs="SimSun"/>
          <w:sz w:val="24"/>
          <w:szCs w:val="24"/>
          <w:spacing w:val="-1"/>
        </w:rPr>
        <w:t>催化燃烧</w:t>
      </w:r>
      <w:r>
        <w:rPr>
          <w:rFonts w:ascii="SimSun" w:hAnsi="SimSun" w:eastAsia="SimSun" w:cs="SimSun"/>
          <w:sz w:val="24"/>
          <w:szCs w:val="24"/>
        </w:rPr>
        <w:t xml:space="preserve"> </w:t>
      </w:r>
      <w:r>
        <w:rPr>
          <w:rFonts w:ascii="SimSun" w:hAnsi="SimSun" w:eastAsia="SimSun" w:cs="SimSun"/>
          <w:sz w:val="24"/>
          <w:szCs w:val="24"/>
          <w:spacing w:val="-4"/>
        </w:rPr>
        <w:t>装置</w:t>
      </w:r>
      <w:r>
        <w:rPr>
          <w:rFonts w:ascii="SimSun" w:hAnsi="SimSun" w:eastAsia="SimSun" w:cs="SimSun"/>
          <w:sz w:val="24"/>
          <w:szCs w:val="24"/>
          <w:spacing w:val="-84"/>
        </w:rPr>
        <w:t xml:space="preserve"> </w:t>
      </w:r>
      <w:r>
        <w:rPr>
          <w:rFonts w:ascii="SimSun" w:hAnsi="SimSun" w:eastAsia="SimSun" w:cs="SimSun"/>
          <w:sz w:val="24"/>
          <w:szCs w:val="24"/>
          <w:spacing w:val="-4"/>
        </w:rPr>
        <w:t>”处理，采取的废气治理措施符合《关于加快解决当前挥发性有机物治理突</w:t>
      </w:r>
      <w:r>
        <w:rPr>
          <w:rFonts w:ascii="SimSun" w:hAnsi="SimSun" w:eastAsia="SimSun" w:cs="SimSun"/>
          <w:sz w:val="24"/>
          <w:szCs w:val="24"/>
        </w:rPr>
        <w:t xml:space="preserve"> </w:t>
      </w:r>
      <w:r>
        <w:rPr>
          <w:rFonts w:ascii="SimSun" w:hAnsi="SimSun" w:eastAsia="SimSun" w:cs="SimSun"/>
          <w:sz w:val="24"/>
          <w:szCs w:val="24"/>
        </w:rPr>
        <w:t>出问题的通知》要求，属于《排污许可证申请与核发技</w:t>
      </w:r>
      <w:r>
        <w:rPr>
          <w:rFonts w:ascii="SimSun" w:hAnsi="SimSun" w:eastAsia="SimSun" w:cs="SimSun"/>
          <w:sz w:val="24"/>
          <w:szCs w:val="24"/>
          <w:spacing w:val="-1"/>
        </w:rPr>
        <w:t>术规范 橡胶和塑料制品</w:t>
      </w:r>
    </w:p>
    <w:p>
      <w:pPr>
        <w:ind w:left="26"/>
        <w:spacing w:line="219" w:lineRule="auto"/>
        <w:rPr>
          <w:rFonts w:ascii="SimSun" w:hAnsi="SimSun" w:eastAsia="SimSun" w:cs="SimSun"/>
          <w:sz w:val="24"/>
          <w:szCs w:val="24"/>
        </w:rPr>
      </w:pPr>
      <w:r>
        <w:rPr>
          <w:rFonts w:ascii="SimSun" w:hAnsi="SimSun" w:eastAsia="SimSun" w:cs="SimSun"/>
          <w:sz w:val="24"/>
          <w:szCs w:val="24"/>
          <w:spacing w:val="-1"/>
        </w:rPr>
        <w:t>工业》（</w:t>
      </w:r>
      <w:r>
        <w:rPr>
          <w:rFonts w:ascii="Times New Roman" w:hAnsi="Times New Roman" w:eastAsia="Times New Roman" w:cs="Times New Roman"/>
          <w:sz w:val="24"/>
          <w:szCs w:val="24"/>
          <w:spacing w:val="-1"/>
        </w:rPr>
        <w:t>HJ1122-2020</w:t>
      </w:r>
      <w:r>
        <w:rPr>
          <w:rFonts w:ascii="SimSun" w:hAnsi="SimSun" w:eastAsia="SimSun" w:cs="SimSun"/>
          <w:sz w:val="24"/>
          <w:szCs w:val="24"/>
          <w:spacing w:val="-1"/>
        </w:rPr>
        <w:t>）可行性技</w:t>
      </w:r>
      <w:r>
        <w:rPr>
          <w:rFonts w:ascii="SimSun" w:hAnsi="SimSun" w:eastAsia="SimSun" w:cs="SimSun"/>
          <w:sz w:val="24"/>
          <w:szCs w:val="24"/>
          <w:spacing w:val="-2"/>
        </w:rPr>
        <w:t>术。</w:t>
      </w:r>
    </w:p>
    <w:p>
      <w:pPr>
        <w:ind w:left="514"/>
        <w:spacing w:before="215"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）危险废物标识牌错误</w:t>
      </w:r>
    </w:p>
    <w:p>
      <w:pPr>
        <w:spacing w:before="214" w:line="501" w:lineRule="exact"/>
        <w:jc w:val="right"/>
        <w:rPr>
          <w:rFonts w:ascii="SimSun" w:hAnsi="SimSun" w:eastAsia="SimSun" w:cs="SimSun"/>
          <w:sz w:val="24"/>
          <w:szCs w:val="24"/>
        </w:rPr>
      </w:pPr>
      <w:r>
        <w:rPr>
          <w:rFonts w:ascii="SimSun" w:hAnsi="SimSun" w:eastAsia="SimSun" w:cs="SimSun"/>
          <w:sz w:val="24"/>
          <w:szCs w:val="24"/>
          <w:spacing w:val="-9"/>
          <w:position w:val="19"/>
        </w:rPr>
        <w:t>企业危险废物标识未按照《危险废物识别标志设施技术规范》（</w:t>
      </w:r>
      <w:r>
        <w:rPr>
          <w:rFonts w:ascii="Times New Roman" w:hAnsi="Times New Roman" w:eastAsia="Times New Roman" w:cs="Times New Roman"/>
          <w:sz w:val="24"/>
          <w:szCs w:val="24"/>
          <w:spacing w:val="-9"/>
          <w:position w:val="19"/>
        </w:rPr>
        <w:t>HJ1276-2022</w:t>
      </w:r>
      <w:r>
        <w:rPr>
          <w:rFonts w:ascii="SimSun" w:hAnsi="SimSun" w:eastAsia="SimSun" w:cs="SimSun"/>
          <w:sz w:val="24"/>
          <w:szCs w:val="24"/>
          <w:spacing w:val="-9"/>
          <w:position w:val="19"/>
        </w:rPr>
        <w:t>）</w:t>
      </w:r>
    </w:p>
    <w:p>
      <w:pPr>
        <w:ind w:left="24"/>
        <w:spacing w:before="1" w:line="219" w:lineRule="auto"/>
        <w:rPr>
          <w:rFonts w:ascii="SimSun" w:hAnsi="SimSun" w:eastAsia="SimSun" w:cs="SimSun"/>
          <w:sz w:val="24"/>
          <w:szCs w:val="24"/>
        </w:rPr>
      </w:pPr>
      <w:r>
        <w:rPr>
          <w:rFonts w:ascii="SimSun" w:hAnsi="SimSun" w:eastAsia="SimSun" w:cs="SimSun"/>
          <w:sz w:val="24"/>
          <w:szCs w:val="24"/>
          <w:spacing w:val="-1"/>
        </w:rPr>
        <w:t>要求进行整改，危险废物标识不满足规范要求。</w:t>
      </w:r>
    </w:p>
    <w:p>
      <w:pPr>
        <w:ind w:left="504"/>
        <w:spacing w:before="214" w:line="499" w:lineRule="exact"/>
        <w:rPr>
          <w:rFonts w:ascii="SimSun" w:hAnsi="SimSun" w:eastAsia="SimSun" w:cs="SimSun"/>
          <w:sz w:val="24"/>
          <w:szCs w:val="24"/>
        </w:rPr>
      </w:pPr>
      <w:r>
        <w:rPr>
          <w:rFonts w:ascii="SimSun" w:hAnsi="SimSun" w:eastAsia="SimSun" w:cs="SimSun"/>
          <w:sz w:val="24"/>
          <w:szCs w:val="24"/>
          <w:spacing w:val="-3"/>
          <w:position w:val="19"/>
        </w:rPr>
        <w:t>整改措施：项目建设过程中，企业对危险废物收集设施设计并</w:t>
      </w:r>
      <w:r>
        <w:rPr>
          <w:rFonts w:ascii="SimSun" w:hAnsi="SimSun" w:eastAsia="SimSun" w:cs="SimSun"/>
          <w:sz w:val="24"/>
          <w:szCs w:val="24"/>
          <w:spacing w:val="-4"/>
          <w:position w:val="19"/>
        </w:rPr>
        <w:t>张贴危险废物</w:t>
      </w:r>
    </w:p>
    <w:p>
      <w:pPr>
        <w:ind w:left="24"/>
        <w:spacing w:line="220" w:lineRule="auto"/>
        <w:rPr>
          <w:rFonts w:ascii="SimSun" w:hAnsi="SimSun" w:eastAsia="SimSun" w:cs="SimSun"/>
          <w:sz w:val="24"/>
          <w:szCs w:val="24"/>
        </w:rPr>
      </w:pPr>
      <w:r>
        <w:rPr>
          <w:rFonts w:ascii="SimSun" w:hAnsi="SimSun" w:eastAsia="SimSun" w:cs="SimSun"/>
          <w:sz w:val="24"/>
          <w:szCs w:val="24"/>
          <w:spacing w:val="-4"/>
        </w:rPr>
        <w:t>标签。</w:t>
      </w:r>
    </w:p>
    <w:p>
      <w:pPr>
        <w:pStyle w:val="BodyText"/>
        <w:spacing w:line="375" w:lineRule="auto"/>
        <w:rPr/>
      </w:pPr>
      <w:r/>
    </w:p>
    <w:p>
      <w:pPr>
        <w:ind w:left="491"/>
        <w:spacing w:before="78" w:line="499" w:lineRule="exact"/>
        <w:rPr>
          <w:rFonts w:ascii="Times New Roman" w:hAnsi="Times New Roman" w:eastAsia="Times New Roman" w:cs="Times New Roman"/>
          <w:sz w:val="24"/>
          <w:szCs w:val="24"/>
        </w:rPr>
      </w:pPr>
      <w:r>
        <w:rPr>
          <w:rFonts w:ascii="SimSun" w:hAnsi="SimSun" w:eastAsia="SimSun" w:cs="SimSun"/>
          <w:sz w:val="24"/>
          <w:szCs w:val="24"/>
          <w:spacing w:val="-1"/>
          <w:position w:val="19"/>
        </w:rPr>
        <w:t>“</w:t>
      </w:r>
      <w:r>
        <w:rPr>
          <w:rFonts w:ascii="SimSun" w:hAnsi="SimSun" w:eastAsia="SimSun" w:cs="SimSun"/>
          <w:sz w:val="24"/>
          <w:szCs w:val="24"/>
          <w14:textOutline w14:w="4358" w14:cap="sq" w14:cmpd="sng">
            <w14:solidFill>
              <w14:srgbClr w14:val="000000"/>
            </w14:solidFill>
            <w14:prstDash w14:val="solid"/>
            <w14:bevel/>
          </w14:textOutline>
          <w:spacing w:val="-1"/>
          <w:position w:val="19"/>
        </w:rPr>
        <w:t>完善大气环境质量现状调查</w:t>
      </w:r>
      <w:r>
        <w:rPr>
          <w:rFonts w:ascii="SimSun" w:hAnsi="SimSun" w:eastAsia="SimSun" w:cs="SimSun"/>
          <w:sz w:val="24"/>
          <w:szCs w:val="24"/>
          <w:spacing w:val="-86"/>
          <w:position w:val="19"/>
        </w:rPr>
        <w:t xml:space="preserve"> </w:t>
      </w:r>
      <w:r>
        <w:rPr>
          <w:rFonts w:ascii="SimSun" w:hAnsi="SimSun" w:eastAsia="SimSun" w:cs="SimSun"/>
          <w:sz w:val="24"/>
          <w:szCs w:val="24"/>
          <w:spacing w:val="-1"/>
          <w:position w:val="19"/>
        </w:rPr>
        <w:t>”修改见</w:t>
      </w:r>
      <w:r>
        <w:rPr>
          <w:rFonts w:ascii="Times New Roman" w:hAnsi="Times New Roman" w:eastAsia="Times New Roman" w:cs="Times New Roman"/>
          <w:sz w:val="24"/>
          <w:szCs w:val="24"/>
          <w:spacing w:val="-1"/>
          <w:position w:val="19"/>
        </w:rPr>
        <w:t>P33</w:t>
      </w:r>
    </w:p>
    <w:p>
      <w:pPr>
        <w:ind w:left="503"/>
        <w:spacing w:before="1" w:line="219" w:lineRule="auto"/>
        <w:rPr>
          <w:rFonts w:ascii="SimSun" w:hAnsi="SimSun" w:eastAsia="SimSun" w:cs="SimSun"/>
          <w:sz w:val="24"/>
          <w:szCs w:val="24"/>
        </w:rPr>
      </w:pPr>
      <w:r>
        <w:rPr>
          <w:rFonts w:ascii="Times New Roman" w:hAnsi="Times New Roman" w:eastAsia="Times New Roman" w:cs="Times New Roman"/>
          <w:sz w:val="24"/>
          <w:szCs w:val="24"/>
          <w:spacing w:val="-3"/>
        </w:rPr>
        <w:t>3.</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3"/>
        </w:rPr>
        <w:t>1  </w:t>
      </w:r>
      <w:r>
        <w:rPr>
          <w:rFonts w:ascii="SimSun" w:hAnsi="SimSun" w:eastAsia="SimSun" w:cs="SimSun"/>
          <w:sz w:val="24"/>
          <w:szCs w:val="24"/>
          <w:spacing w:val="-3"/>
        </w:rPr>
        <w:t>大气环境质量现状</w:t>
      </w:r>
    </w:p>
    <w:p>
      <w:pPr>
        <w:ind w:left="24" w:right="99" w:firstLine="485"/>
        <w:spacing w:before="212" w:line="385" w:lineRule="auto"/>
        <w:jc w:val="both"/>
        <w:rPr>
          <w:rFonts w:ascii="SimSun" w:hAnsi="SimSun" w:eastAsia="SimSun" w:cs="SimSun"/>
          <w:sz w:val="24"/>
          <w:szCs w:val="24"/>
        </w:rPr>
      </w:pPr>
      <w:r>
        <w:rPr>
          <w:rFonts w:ascii="SimSun" w:hAnsi="SimSun" w:eastAsia="SimSun" w:cs="SimSun"/>
          <w:sz w:val="24"/>
          <w:szCs w:val="24"/>
        </w:rPr>
        <w:t>《环境影响评价技术导则 大气环境》（</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1"/>
        </w:rPr>
        <w:t>2.2-2018</w:t>
      </w:r>
      <w:r>
        <w:rPr>
          <w:rFonts w:ascii="SimSun" w:hAnsi="SimSun" w:eastAsia="SimSun" w:cs="SimSun"/>
          <w:sz w:val="24"/>
          <w:szCs w:val="24"/>
          <w:spacing w:val="-1"/>
        </w:rPr>
        <w:t>）要求，评价范围内没</w:t>
      </w:r>
      <w:r>
        <w:rPr>
          <w:rFonts w:ascii="SimSun" w:hAnsi="SimSun" w:eastAsia="SimSun" w:cs="SimSun"/>
          <w:sz w:val="24"/>
          <w:szCs w:val="24"/>
        </w:rPr>
        <w:t xml:space="preserve">  </w:t>
      </w:r>
      <w:r>
        <w:rPr>
          <w:rFonts w:ascii="SimSun" w:hAnsi="SimSun" w:eastAsia="SimSun" w:cs="SimSun"/>
          <w:sz w:val="24"/>
          <w:szCs w:val="24"/>
          <w:spacing w:val="-3"/>
        </w:rPr>
        <w:t>有环境空气质量监测网数据或公开发布的环境空气质量现状数据的选取满足《环</w:t>
      </w:r>
      <w:r>
        <w:rPr>
          <w:rFonts w:ascii="SimSun" w:hAnsi="SimSun" w:eastAsia="SimSun" w:cs="SimSun"/>
          <w:sz w:val="24"/>
          <w:szCs w:val="24"/>
        </w:rPr>
        <w:t xml:space="preserve"> </w:t>
      </w:r>
      <w:r>
        <w:rPr>
          <w:rFonts w:ascii="SimSun" w:hAnsi="SimSun" w:eastAsia="SimSun" w:cs="SimSun"/>
          <w:sz w:val="24"/>
          <w:szCs w:val="24"/>
          <w:spacing w:val="-2"/>
        </w:rPr>
        <w:t>境空气质量监测点位布设技术规范（试行）》（</w:t>
      </w:r>
      <w:r>
        <w:rPr>
          <w:rFonts w:ascii="Times New Roman" w:hAnsi="Times New Roman" w:eastAsia="Times New Roman" w:cs="Times New Roman"/>
          <w:sz w:val="24"/>
          <w:szCs w:val="24"/>
          <w:spacing w:val="-2"/>
        </w:rPr>
        <w:t>HJ 664</w:t>
      </w:r>
      <w:r>
        <w:rPr>
          <w:rFonts w:ascii="SimSun" w:hAnsi="SimSun" w:eastAsia="SimSun" w:cs="SimSun"/>
          <w:sz w:val="24"/>
          <w:szCs w:val="24"/>
          <w:spacing w:val="-2"/>
        </w:rPr>
        <w:t>—</w:t>
      </w:r>
      <w:r>
        <w:rPr>
          <w:rFonts w:ascii="Times New Roman" w:hAnsi="Times New Roman" w:eastAsia="Times New Roman" w:cs="Times New Roman"/>
          <w:sz w:val="24"/>
          <w:szCs w:val="24"/>
          <w:spacing w:val="-2"/>
        </w:rPr>
        <w:t>2013</w:t>
      </w:r>
      <w:r>
        <w:rPr>
          <w:rFonts w:ascii="SimSun" w:hAnsi="SimSun" w:eastAsia="SimSun" w:cs="SimSun"/>
          <w:sz w:val="24"/>
          <w:szCs w:val="24"/>
          <w:spacing w:val="-2"/>
        </w:rPr>
        <w:t>）规定，并且与评</w:t>
      </w:r>
    </w:p>
    <w:p>
      <w:pPr>
        <w:ind w:left="24"/>
        <w:spacing w:before="2" w:line="217" w:lineRule="auto"/>
        <w:rPr>
          <w:rFonts w:ascii="SimSun" w:hAnsi="SimSun" w:eastAsia="SimSun" w:cs="SimSun"/>
          <w:sz w:val="24"/>
          <w:szCs w:val="24"/>
        </w:rPr>
      </w:pPr>
      <w:r>
        <w:rPr>
          <w:rFonts w:ascii="SimSun" w:hAnsi="SimSun" w:eastAsia="SimSun" w:cs="SimSun"/>
          <w:sz w:val="24"/>
          <w:szCs w:val="24"/>
          <w:spacing w:val="-3"/>
        </w:rPr>
        <w:t>价范围地理位置邻近，地形、气候条件相近的环境空气质量城市点或区域点监测</w:t>
      </w:r>
    </w:p>
    <w:p>
      <w:pPr>
        <w:spacing w:line="217" w:lineRule="auto"/>
        <w:sectPr>
          <w:footerReference w:type="default" r:id="rId32"/>
          <w:pgSz w:w="11906" w:h="16839"/>
          <w:pgMar w:top="400" w:right="1700" w:bottom="1211" w:left="1785" w:header="0" w:footer="1049" w:gutter="0"/>
        </w:sectPr>
        <w:rPr>
          <w:rFonts w:ascii="SimSun" w:hAnsi="SimSun" w:eastAsia="SimSun" w:cs="SimSun"/>
          <w:sz w:val="24"/>
          <w:szCs w:val="24"/>
        </w:rPr>
      </w:pPr>
    </w:p>
    <w:p>
      <w:pPr>
        <w:pStyle w:val="BodyText"/>
        <w:spacing w:line="287" w:lineRule="auto"/>
        <w:rPr/>
      </w:pPr>
      <w:r/>
    </w:p>
    <w:p>
      <w:pPr>
        <w:pStyle w:val="BodyText"/>
        <w:spacing w:line="287" w:lineRule="auto"/>
        <w:rPr/>
      </w:pPr>
      <w:r/>
    </w:p>
    <w:p>
      <w:pPr>
        <w:pStyle w:val="BodyText"/>
        <w:spacing w:line="288" w:lineRule="auto"/>
        <w:rPr/>
      </w:pPr>
      <w:r/>
    </w:p>
    <w:p>
      <w:pPr>
        <w:pStyle w:val="BodyText"/>
        <w:spacing w:line="288" w:lineRule="auto"/>
        <w:rPr/>
      </w:pPr>
      <w:r/>
    </w:p>
    <w:p>
      <w:pPr>
        <w:ind w:left="117" w:right="81"/>
        <w:spacing w:before="78" w:line="384" w:lineRule="auto"/>
        <w:jc w:val="both"/>
        <w:rPr>
          <w:rFonts w:ascii="SimSun" w:hAnsi="SimSun" w:eastAsia="SimSun" w:cs="SimSun"/>
          <w:sz w:val="24"/>
          <w:szCs w:val="24"/>
        </w:rPr>
      </w:pPr>
      <w:r>
        <w:rPr>
          <w:rFonts w:ascii="SimSun" w:hAnsi="SimSun" w:eastAsia="SimSun" w:cs="SimSun"/>
          <w:sz w:val="24"/>
          <w:szCs w:val="24"/>
          <w:spacing w:val="-3"/>
        </w:rPr>
        <w:t>数据。本项目位于呼图壁县，选取距离本项目最近的呼图壁县监测站点</w:t>
      </w:r>
      <w:r>
        <w:rPr>
          <w:rFonts w:ascii="Times New Roman" w:hAnsi="Times New Roman" w:eastAsia="Times New Roman" w:cs="Times New Roman"/>
          <w:sz w:val="24"/>
          <w:szCs w:val="24"/>
          <w:spacing w:val="-3"/>
        </w:rPr>
        <w:t>2021</w:t>
      </w:r>
      <w:r>
        <w:rPr>
          <w:rFonts w:ascii="SimSun" w:hAnsi="SimSun" w:eastAsia="SimSun" w:cs="SimSun"/>
          <w:sz w:val="24"/>
          <w:szCs w:val="24"/>
          <w:spacing w:val="-3"/>
        </w:rPr>
        <w:t>年基</w:t>
      </w:r>
      <w:r>
        <w:rPr>
          <w:rFonts w:ascii="SimSun" w:hAnsi="SimSun" w:eastAsia="SimSun" w:cs="SimSun"/>
          <w:sz w:val="24"/>
          <w:szCs w:val="24"/>
          <w:spacing w:val="5"/>
        </w:rPr>
        <w:t xml:space="preserve"> </w:t>
      </w:r>
      <w:r>
        <w:rPr>
          <w:rFonts w:ascii="SimSun" w:hAnsi="SimSun" w:eastAsia="SimSun" w:cs="SimSun"/>
          <w:sz w:val="24"/>
          <w:szCs w:val="24"/>
          <w:spacing w:val="-2"/>
        </w:rPr>
        <w:t>准年连续</w:t>
      </w:r>
      <w:r>
        <w:rPr>
          <w:rFonts w:ascii="Times New Roman" w:hAnsi="Times New Roman" w:eastAsia="Times New Roman" w:cs="Times New Roman"/>
          <w:sz w:val="24"/>
          <w:szCs w:val="24"/>
          <w:spacing w:val="-2"/>
        </w:rPr>
        <w:t>1</w:t>
      </w:r>
      <w:r>
        <w:rPr>
          <w:rFonts w:ascii="SimSun" w:hAnsi="SimSun" w:eastAsia="SimSun" w:cs="SimSun"/>
          <w:sz w:val="24"/>
          <w:szCs w:val="24"/>
          <w:spacing w:val="-2"/>
        </w:rPr>
        <w:t>年的监测数据，作为本项目环境空气现状评价基本污染物</w:t>
      </w:r>
      <w:r>
        <w:rPr>
          <w:rFonts w:ascii="Times New Roman" w:hAnsi="Times New Roman" w:eastAsia="Times New Roman" w:cs="Times New Roman"/>
          <w:sz w:val="24"/>
          <w:szCs w:val="24"/>
          <w:spacing w:val="-2"/>
        </w:rPr>
        <w:t>SO</w:t>
      </w:r>
      <w:r>
        <w:rPr>
          <w:rFonts w:ascii="Times New Roman" w:hAnsi="Times New Roman" w:eastAsia="Times New Roman" w:cs="Times New Roman"/>
          <w:sz w:val="15"/>
          <w:szCs w:val="15"/>
          <w:spacing w:val="-2"/>
          <w:position w:val="-1"/>
        </w:rPr>
        <w:t>2</w:t>
      </w:r>
      <w:r>
        <w:rPr>
          <w:rFonts w:ascii="Times New Roman" w:hAnsi="Times New Roman" w:eastAsia="Times New Roman" w:cs="Times New Roman"/>
          <w:sz w:val="15"/>
          <w:szCs w:val="15"/>
          <w:spacing w:val="-9"/>
          <w:position w:val="-1"/>
        </w:rPr>
        <w:t xml:space="preserve"> </w:t>
      </w:r>
      <w:r>
        <w:rPr>
          <w:rFonts w:ascii="SimSun" w:hAnsi="SimSun" w:eastAsia="SimSun" w:cs="SimSun"/>
          <w:sz w:val="24"/>
          <w:szCs w:val="24"/>
          <w:spacing w:val="-2"/>
        </w:rPr>
        <w:t>、</w:t>
      </w:r>
      <w:r>
        <w:rPr>
          <w:rFonts w:ascii="Times New Roman" w:hAnsi="Times New Roman" w:eastAsia="Times New Roman" w:cs="Times New Roman"/>
          <w:sz w:val="24"/>
          <w:szCs w:val="24"/>
          <w:spacing w:val="-2"/>
        </w:rPr>
        <w:t>NO</w:t>
      </w:r>
      <w:r>
        <w:rPr>
          <w:rFonts w:ascii="Times New Roman" w:hAnsi="Times New Roman" w:eastAsia="Times New Roman" w:cs="Times New Roman"/>
          <w:sz w:val="15"/>
          <w:szCs w:val="15"/>
          <w:spacing w:val="-2"/>
          <w:position w:val="-1"/>
        </w:rPr>
        <w:t>2</w:t>
      </w:r>
      <w:r>
        <w:rPr>
          <w:rFonts w:ascii="SimSun" w:hAnsi="SimSun" w:eastAsia="SimSun" w:cs="SimSun"/>
          <w:sz w:val="24"/>
          <w:szCs w:val="24"/>
          <w:spacing w:val="-2"/>
        </w:rPr>
        <w:t>、</w:t>
      </w:r>
    </w:p>
    <w:p>
      <w:pPr>
        <w:ind w:left="110"/>
        <w:spacing w:line="219" w:lineRule="auto"/>
        <w:rPr>
          <w:rFonts w:ascii="SimSun" w:hAnsi="SimSun" w:eastAsia="SimSun" w:cs="SimSun"/>
          <w:sz w:val="24"/>
          <w:szCs w:val="24"/>
        </w:rPr>
      </w:pPr>
      <w:r>
        <w:rPr>
          <w:rFonts w:ascii="Times New Roman" w:hAnsi="Times New Roman" w:eastAsia="Times New Roman" w:cs="Times New Roman"/>
          <w:sz w:val="24"/>
          <w:szCs w:val="24"/>
          <w:spacing w:val="-4"/>
        </w:rPr>
        <w:t>PM</w:t>
      </w:r>
      <w:r>
        <w:rPr>
          <w:rFonts w:ascii="Times New Roman" w:hAnsi="Times New Roman" w:eastAsia="Times New Roman" w:cs="Times New Roman"/>
          <w:sz w:val="15"/>
          <w:szCs w:val="15"/>
          <w:spacing w:val="-4"/>
          <w:position w:val="-1"/>
        </w:rPr>
        <w:t>10</w:t>
      </w:r>
      <w:r>
        <w:rPr>
          <w:rFonts w:ascii="Times New Roman" w:hAnsi="Times New Roman" w:eastAsia="Times New Roman" w:cs="Times New Roman"/>
          <w:sz w:val="15"/>
          <w:szCs w:val="15"/>
          <w:spacing w:val="4"/>
          <w:position w:val="-1"/>
        </w:rPr>
        <w:t xml:space="preserve"> </w:t>
      </w:r>
      <w:r>
        <w:rPr>
          <w:rFonts w:ascii="SimSun" w:hAnsi="SimSun" w:eastAsia="SimSun" w:cs="SimSun"/>
          <w:sz w:val="24"/>
          <w:szCs w:val="24"/>
          <w:spacing w:val="-4"/>
        </w:rPr>
        <w:t>、</w:t>
      </w:r>
      <w:r>
        <w:rPr>
          <w:rFonts w:ascii="Times New Roman" w:hAnsi="Times New Roman" w:eastAsia="Times New Roman" w:cs="Times New Roman"/>
          <w:sz w:val="24"/>
          <w:szCs w:val="24"/>
          <w:spacing w:val="-4"/>
        </w:rPr>
        <w:t>PM</w:t>
      </w:r>
      <w:r>
        <w:rPr>
          <w:rFonts w:ascii="Times New Roman" w:hAnsi="Times New Roman" w:eastAsia="Times New Roman" w:cs="Times New Roman"/>
          <w:sz w:val="15"/>
          <w:szCs w:val="15"/>
          <w:spacing w:val="-4"/>
          <w:position w:val="-1"/>
        </w:rPr>
        <w:t>2.5</w:t>
      </w:r>
      <w:r>
        <w:rPr>
          <w:rFonts w:ascii="Times New Roman" w:hAnsi="Times New Roman" w:eastAsia="Times New Roman" w:cs="Times New Roman"/>
          <w:sz w:val="15"/>
          <w:szCs w:val="15"/>
          <w:spacing w:val="-13"/>
          <w:position w:val="-1"/>
        </w:rPr>
        <w:t xml:space="preserve"> </w:t>
      </w:r>
      <w:r>
        <w:rPr>
          <w:rFonts w:ascii="SimSun" w:hAnsi="SimSun" w:eastAsia="SimSun" w:cs="SimSun"/>
          <w:sz w:val="24"/>
          <w:szCs w:val="24"/>
          <w:spacing w:val="-4"/>
        </w:rPr>
        <w:t>、</w:t>
      </w:r>
      <w:r>
        <w:rPr>
          <w:rFonts w:ascii="Times New Roman" w:hAnsi="Times New Roman" w:eastAsia="Times New Roman" w:cs="Times New Roman"/>
          <w:sz w:val="24"/>
          <w:szCs w:val="24"/>
          <w:spacing w:val="-4"/>
        </w:rPr>
        <w:t>CO</w:t>
      </w:r>
      <w:r>
        <w:rPr>
          <w:rFonts w:ascii="SimSun" w:hAnsi="SimSun" w:eastAsia="SimSun" w:cs="SimSun"/>
          <w:sz w:val="24"/>
          <w:szCs w:val="24"/>
          <w:spacing w:val="-4"/>
        </w:rPr>
        <w:t>和</w:t>
      </w:r>
      <w:r>
        <w:rPr>
          <w:rFonts w:ascii="Times New Roman" w:hAnsi="Times New Roman" w:eastAsia="Times New Roman" w:cs="Times New Roman"/>
          <w:sz w:val="24"/>
          <w:szCs w:val="24"/>
          <w:spacing w:val="-4"/>
        </w:rPr>
        <w:t>O</w:t>
      </w:r>
      <w:r>
        <w:rPr>
          <w:rFonts w:ascii="Times New Roman" w:hAnsi="Times New Roman" w:eastAsia="Times New Roman" w:cs="Times New Roman"/>
          <w:sz w:val="15"/>
          <w:szCs w:val="15"/>
          <w:spacing w:val="-4"/>
          <w:position w:val="-1"/>
        </w:rPr>
        <w:t>3</w:t>
      </w:r>
      <w:r>
        <w:rPr>
          <w:rFonts w:ascii="Times New Roman" w:hAnsi="Times New Roman" w:eastAsia="Times New Roman" w:cs="Times New Roman"/>
          <w:sz w:val="15"/>
          <w:szCs w:val="15"/>
          <w:spacing w:val="-9"/>
          <w:position w:val="-1"/>
        </w:rPr>
        <w:t xml:space="preserve"> </w:t>
      </w:r>
      <w:r>
        <w:rPr>
          <w:rFonts w:ascii="SimSun" w:hAnsi="SimSun" w:eastAsia="SimSun" w:cs="SimSun"/>
          <w:sz w:val="24"/>
          <w:szCs w:val="24"/>
          <w:spacing w:val="-4"/>
        </w:rPr>
        <w:t>的数据来源。</w:t>
      </w:r>
    </w:p>
    <w:p>
      <w:pPr>
        <w:ind w:left="595"/>
        <w:spacing w:before="216" w:line="499" w:lineRule="exact"/>
        <w:rPr>
          <w:rFonts w:ascii="SimSun" w:hAnsi="SimSun" w:eastAsia="SimSun" w:cs="SimSun"/>
          <w:sz w:val="24"/>
          <w:szCs w:val="24"/>
        </w:rPr>
      </w:pPr>
      <w:r>
        <w:rPr>
          <w:rFonts w:ascii="Times New Roman" w:hAnsi="Times New Roman" w:eastAsia="Times New Roman" w:cs="Times New Roman"/>
          <w:sz w:val="24"/>
          <w:szCs w:val="24"/>
          <w:spacing w:val="-2"/>
          <w:position w:val="19"/>
        </w:rPr>
        <w:t>3.1.</w:t>
      </w:r>
      <w:r>
        <w:rPr>
          <w:rFonts w:ascii="Times New Roman" w:hAnsi="Times New Roman" w:eastAsia="Times New Roman" w:cs="Times New Roman"/>
          <w:sz w:val="24"/>
          <w:szCs w:val="24"/>
          <w:spacing w:val="-32"/>
          <w:position w:val="19"/>
        </w:rPr>
        <w:t xml:space="preserve"> </w:t>
      </w:r>
      <w:r>
        <w:rPr>
          <w:rFonts w:ascii="Times New Roman" w:hAnsi="Times New Roman" w:eastAsia="Times New Roman" w:cs="Times New Roman"/>
          <w:sz w:val="24"/>
          <w:szCs w:val="24"/>
          <w:spacing w:val="-2"/>
          <w:position w:val="19"/>
        </w:rPr>
        <w:t>1</w:t>
      </w:r>
      <w:r>
        <w:rPr>
          <w:rFonts w:ascii="SimSun" w:hAnsi="SimSun" w:eastAsia="SimSun" w:cs="SimSun"/>
          <w:sz w:val="24"/>
          <w:szCs w:val="24"/>
          <w:spacing w:val="-2"/>
          <w:position w:val="19"/>
        </w:rPr>
        <w:t>项目所在预期环境质量达标情况</w:t>
      </w:r>
    </w:p>
    <w:p>
      <w:pPr>
        <w:ind w:left="606"/>
        <w:spacing w:before="1" w:line="217"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）评价标准</w:t>
      </w:r>
    </w:p>
    <w:p>
      <w:pPr>
        <w:ind w:left="595"/>
        <w:spacing w:before="215" w:line="502" w:lineRule="exact"/>
        <w:rPr>
          <w:rFonts w:ascii="SimSun" w:hAnsi="SimSun" w:eastAsia="SimSun" w:cs="SimSun"/>
          <w:sz w:val="24"/>
          <w:szCs w:val="24"/>
        </w:rPr>
      </w:pPr>
      <w:r>
        <w:rPr>
          <w:rFonts w:ascii="SimSun" w:hAnsi="SimSun" w:eastAsia="SimSun" w:cs="SimSun"/>
          <w:sz w:val="24"/>
          <w:szCs w:val="24"/>
          <w:spacing w:val="-2"/>
          <w:position w:val="20"/>
        </w:rPr>
        <w:t>根据本项目所在区域的环境功能区划，基本因子</w:t>
      </w:r>
      <w:r>
        <w:rPr>
          <w:rFonts w:ascii="Times New Roman" w:hAnsi="Times New Roman" w:eastAsia="Times New Roman" w:cs="Times New Roman"/>
          <w:sz w:val="24"/>
          <w:szCs w:val="24"/>
          <w:spacing w:val="-2"/>
          <w:position w:val="20"/>
        </w:rPr>
        <w:t>SO</w:t>
      </w:r>
      <w:r>
        <w:rPr>
          <w:rFonts w:ascii="Times New Roman" w:hAnsi="Times New Roman" w:eastAsia="Times New Roman" w:cs="Times New Roman"/>
          <w:sz w:val="15"/>
          <w:szCs w:val="15"/>
          <w:spacing w:val="-2"/>
          <w:position w:val="19"/>
        </w:rPr>
        <w:t>2</w:t>
      </w:r>
      <w:r>
        <w:rPr>
          <w:rFonts w:ascii="Times New Roman" w:hAnsi="Times New Roman" w:eastAsia="Times New Roman" w:cs="Times New Roman"/>
          <w:sz w:val="15"/>
          <w:szCs w:val="15"/>
          <w:spacing w:val="-4"/>
          <w:position w:val="19"/>
        </w:rPr>
        <w:t xml:space="preserve"> </w:t>
      </w:r>
      <w:r>
        <w:rPr>
          <w:rFonts w:ascii="SimSun" w:hAnsi="SimSun" w:eastAsia="SimSun" w:cs="SimSun"/>
          <w:sz w:val="24"/>
          <w:szCs w:val="24"/>
          <w:spacing w:val="-2"/>
          <w:position w:val="20"/>
        </w:rPr>
        <w:t>、</w:t>
      </w:r>
      <w:r>
        <w:rPr>
          <w:rFonts w:ascii="Times New Roman" w:hAnsi="Times New Roman" w:eastAsia="Times New Roman" w:cs="Times New Roman"/>
          <w:sz w:val="24"/>
          <w:szCs w:val="24"/>
          <w:spacing w:val="-2"/>
          <w:position w:val="20"/>
        </w:rPr>
        <w:t>NO</w:t>
      </w:r>
      <w:r>
        <w:rPr>
          <w:rFonts w:ascii="Times New Roman" w:hAnsi="Times New Roman" w:eastAsia="Times New Roman" w:cs="Times New Roman"/>
          <w:sz w:val="15"/>
          <w:szCs w:val="15"/>
          <w:spacing w:val="-2"/>
          <w:position w:val="19"/>
        </w:rPr>
        <w:t>2</w:t>
      </w:r>
      <w:r>
        <w:rPr>
          <w:rFonts w:ascii="Times New Roman" w:hAnsi="Times New Roman" w:eastAsia="Times New Roman" w:cs="Times New Roman"/>
          <w:sz w:val="15"/>
          <w:szCs w:val="15"/>
          <w:spacing w:val="-10"/>
          <w:position w:val="19"/>
        </w:rPr>
        <w:t xml:space="preserve"> </w:t>
      </w:r>
      <w:r>
        <w:rPr>
          <w:rFonts w:ascii="SimSun" w:hAnsi="SimSun" w:eastAsia="SimSun" w:cs="SimSun"/>
          <w:sz w:val="24"/>
          <w:szCs w:val="24"/>
          <w:spacing w:val="-2"/>
          <w:position w:val="20"/>
        </w:rPr>
        <w:t>、</w:t>
      </w:r>
      <w:r>
        <w:rPr>
          <w:rFonts w:ascii="Times New Roman" w:hAnsi="Times New Roman" w:eastAsia="Times New Roman" w:cs="Times New Roman"/>
          <w:sz w:val="24"/>
          <w:szCs w:val="24"/>
          <w:spacing w:val="-2"/>
          <w:position w:val="20"/>
        </w:rPr>
        <w:t>PM</w:t>
      </w:r>
      <w:r>
        <w:rPr>
          <w:rFonts w:ascii="Times New Roman" w:hAnsi="Times New Roman" w:eastAsia="Times New Roman" w:cs="Times New Roman"/>
          <w:sz w:val="15"/>
          <w:szCs w:val="15"/>
          <w:spacing w:val="-2"/>
          <w:position w:val="19"/>
        </w:rPr>
        <w:t>10</w:t>
      </w:r>
      <w:r>
        <w:rPr>
          <w:rFonts w:ascii="Times New Roman" w:hAnsi="Times New Roman" w:eastAsia="Times New Roman" w:cs="Times New Roman"/>
          <w:sz w:val="15"/>
          <w:szCs w:val="15"/>
          <w:spacing w:val="-12"/>
          <w:position w:val="19"/>
        </w:rPr>
        <w:t xml:space="preserve"> </w:t>
      </w:r>
      <w:r>
        <w:rPr>
          <w:rFonts w:ascii="SimSun" w:hAnsi="SimSun" w:eastAsia="SimSun" w:cs="SimSun"/>
          <w:sz w:val="24"/>
          <w:szCs w:val="24"/>
          <w:spacing w:val="-2"/>
          <w:position w:val="20"/>
        </w:rPr>
        <w:t>、</w:t>
      </w:r>
      <w:r>
        <w:rPr>
          <w:rFonts w:ascii="Times New Roman" w:hAnsi="Times New Roman" w:eastAsia="Times New Roman" w:cs="Times New Roman"/>
          <w:sz w:val="24"/>
          <w:szCs w:val="24"/>
          <w:spacing w:val="-2"/>
          <w:position w:val="20"/>
        </w:rPr>
        <w:t>PM</w:t>
      </w:r>
      <w:r>
        <w:rPr>
          <w:rFonts w:ascii="Times New Roman" w:hAnsi="Times New Roman" w:eastAsia="Times New Roman" w:cs="Times New Roman"/>
          <w:sz w:val="15"/>
          <w:szCs w:val="15"/>
          <w:spacing w:val="-2"/>
          <w:position w:val="19"/>
        </w:rPr>
        <w:t>2.5</w:t>
      </w:r>
      <w:r>
        <w:rPr>
          <w:rFonts w:ascii="SimSun" w:hAnsi="SimSun" w:eastAsia="SimSun" w:cs="SimSun"/>
          <w:sz w:val="24"/>
          <w:szCs w:val="24"/>
          <w:spacing w:val="-2"/>
          <w:position w:val="20"/>
        </w:rPr>
        <w:t>、</w:t>
      </w:r>
    </w:p>
    <w:p>
      <w:pPr>
        <w:ind w:left="114"/>
        <w:spacing w:line="219" w:lineRule="auto"/>
        <w:rPr>
          <w:rFonts w:ascii="SimSun" w:hAnsi="SimSun" w:eastAsia="SimSun" w:cs="SimSun"/>
          <w:sz w:val="24"/>
          <w:szCs w:val="24"/>
        </w:rPr>
      </w:pPr>
      <w:r>
        <w:rPr>
          <w:rFonts w:ascii="Times New Roman" w:hAnsi="Times New Roman" w:eastAsia="Times New Roman" w:cs="Times New Roman"/>
          <w:sz w:val="24"/>
          <w:szCs w:val="24"/>
        </w:rPr>
        <w:t>CO</w:t>
      </w:r>
      <w:r>
        <w:rPr>
          <w:rFonts w:ascii="SimSun" w:hAnsi="SimSun" w:eastAsia="SimSun" w:cs="SimSun"/>
          <w:sz w:val="24"/>
          <w:szCs w:val="24"/>
        </w:rPr>
        <w:t>和</w:t>
      </w:r>
      <w:r>
        <w:rPr>
          <w:rFonts w:ascii="Times New Roman" w:hAnsi="Times New Roman" w:eastAsia="Times New Roman" w:cs="Times New Roman"/>
          <w:sz w:val="24"/>
          <w:szCs w:val="24"/>
        </w:rPr>
        <w:t>O</w:t>
      </w:r>
      <w:r>
        <w:rPr>
          <w:rFonts w:ascii="Times New Roman" w:hAnsi="Times New Roman" w:eastAsia="Times New Roman" w:cs="Times New Roman"/>
          <w:sz w:val="15"/>
          <w:szCs w:val="15"/>
          <w:position w:val="-1"/>
        </w:rPr>
        <w:t>3</w:t>
      </w:r>
      <w:r>
        <w:rPr>
          <w:rFonts w:ascii="SimSun" w:hAnsi="SimSun" w:eastAsia="SimSun" w:cs="SimSun"/>
          <w:sz w:val="24"/>
          <w:szCs w:val="24"/>
        </w:rPr>
        <w:t>执行《环境空气质量标准》（</w:t>
      </w:r>
      <w:r>
        <w:rPr>
          <w:rFonts w:ascii="Times New Roman" w:hAnsi="Times New Roman" w:eastAsia="Times New Roman" w:cs="Times New Roman"/>
          <w:sz w:val="24"/>
          <w:szCs w:val="24"/>
        </w:rPr>
        <w:t>GB3095-20</w:t>
      </w:r>
      <w:r>
        <w:rPr>
          <w:rFonts w:ascii="Times New Roman" w:hAnsi="Times New Roman" w:eastAsia="Times New Roman" w:cs="Times New Roman"/>
          <w:sz w:val="24"/>
          <w:szCs w:val="24"/>
          <w:spacing w:val="-1"/>
        </w:rPr>
        <w:t>12</w:t>
      </w:r>
      <w:r>
        <w:rPr>
          <w:rFonts w:ascii="SimSun" w:hAnsi="SimSun" w:eastAsia="SimSun" w:cs="SimSun"/>
          <w:sz w:val="24"/>
          <w:szCs w:val="24"/>
          <w:spacing w:val="-1"/>
        </w:rPr>
        <w:t>）中二级标准。</w:t>
      </w:r>
    </w:p>
    <w:p>
      <w:pPr>
        <w:ind w:left="606"/>
        <w:spacing w:before="214" w:line="218"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）评价方法</w:t>
      </w:r>
    </w:p>
    <w:p>
      <w:pPr>
        <w:ind w:left="116" w:right="104" w:firstLine="479"/>
        <w:spacing w:before="215" w:line="385" w:lineRule="auto"/>
        <w:rPr>
          <w:rFonts w:ascii="SimSun" w:hAnsi="SimSun" w:eastAsia="SimSun" w:cs="SimSun"/>
          <w:sz w:val="24"/>
          <w:szCs w:val="24"/>
        </w:rPr>
      </w:pPr>
      <w:r>
        <w:rPr>
          <w:rFonts w:ascii="SimSun" w:hAnsi="SimSun" w:eastAsia="SimSun" w:cs="SimSun"/>
          <w:sz w:val="24"/>
          <w:szCs w:val="24"/>
          <w:spacing w:val="-2"/>
        </w:rPr>
        <w:t>基本污染物按照《环境空气质量评价技术规范（试行</w:t>
      </w:r>
      <w:r>
        <w:rPr>
          <w:rFonts w:ascii="SimSun" w:hAnsi="SimSun" w:eastAsia="SimSun" w:cs="SimSun"/>
          <w:sz w:val="24"/>
          <w:szCs w:val="24"/>
          <w:spacing w:val="-3"/>
        </w:rPr>
        <w:t>）》</w:t>
      </w:r>
      <w:r>
        <w:rPr>
          <w:rFonts w:ascii="Times New Roman" w:hAnsi="Times New Roman" w:eastAsia="Times New Roman" w:cs="Times New Roman"/>
          <w:sz w:val="24"/>
          <w:szCs w:val="24"/>
          <w:spacing w:val="-3"/>
        </w:rPr>
        <w:t>HJ663-2013</w:t>
      </w:r>
      <w:r>
        <w:rPr>
          <w:rFonts w:ascii="SimSun" w:hAnsi="SimSun" w:eastAsia="SimSun" w:cs="SimSun"/>
          <w:sz w:val="24"/>
          <w:szCs w:val="24"/>
          <w:spacing w:val="-3"/>
        </w:rPr>
        <w:t>中各评</w:t>
      </w:r>
      <w:r>
        <w:rPr>
          <w:rFonts w:ascii="SimSun" w:hAnsi="SimSun" w:eastAsia="SimSun" w:cs="SimSun"/>
          <w:sz w:val="24"/>
          <w:szCs w:val="24"/>
        </w:rPr>
        <w:t xml:space="preserve"> </w:t>
      </w:r>
      <w:r>
        <w:rPr>
          <w:rFonts w:ascii="SimSun" w:hAnsi="SimSun" w:eastAsia="SimSun" w:cs="SimSun"/>
          <w:sz w:val="24"/>
          <w:szCs w:val="24"/>
        </w:rPr>
        <w:t>价项目的年评价指标进行判定。年评价指标中的年均浓</w:t>
      </w:r>
      <w:r>
        <w:rPr>
          <w:rFonts w:ascii="SimSun" w:hAnsi="SimSun" w:eastAsia="SimSun" w:cs="SimSun"/>
          <w:sz w:val="24"/>
          <w:szCs w:val="24"/>
          <w:spacing w:val="-1"/>
        </w:rPr>
        <w:t>度和相应百分位数</w:t>
      </w:r>
      <w:r>
        <w:rPr>
          <w:rFonts w:ascii="Times New Roman" w:hAnsi="Times New Roman" w:eastAsia="Times New Roman" w:cs="Times New Roman"/>
          <w:sz w:val="24"/>
          <w:szCs w:val="24"/>
          <w:spacing w:val="-1"/>
        </w:rPr>
        <w:t>24h</w:t>
      </w:r>
      <w:r>
        <w:rPr>
          <w:rFonts w:ascii="SimSun" w:hAnsi="SimSun" w:eastAsia="SimSun" w:cs="SimSun"/>
          <w:sz w:val="24"/>
          <w:szCs w:val="24"/>
          <w:spacing w:val="-1"/>
        </w:rPr>
        <w:t>平</w:t>
      </w:r>
      <w:r>
        <w:rPr>
          <w:rFonts w:ascii="SimSun" w:hAnsi="SimSun" w:eastAsia="SimSun" w:cs="SimSun"/>
          <w:sz w:val="24"/>
          <w:szCs w:val="24"/>
        </w:rPr>
        <w:t xml:space="preserve"> </w:t>
      </w:r>
      <w:r>
        <w:rPr>
          <w:rFonts w:ascii="SimSun" w:hAnsi="SimSun" w:eastAsia="SimSun" w:cs="SimSun"/>
          <w:sz w:val="24"/>
          <w:szCs w:val="24"/>
        </w:rPr>
        <w:t>均或</w:t>
      </w:r>
      <w:r>
        <w:rPr>
          <w:rFonts w:ascii="Times New Roman" w:hAnsi="Times New Roman" w:eastAsia="Times New Roman" w:cs="Times New Roman"/>
          <w:sz w:val="24"/>
          <w:szCs w:val="24"/>
        </w:rPr>
        <w:t>8h</w:t>
      </w:r>
      <w:r>
        <w:rPr>
          <w:rFonts w:ascii="SimSun" w:hAnsi="SimSun" w:eastAsia="SimSun" w:cs="SimSun"/>
          <w:sz w:val="24"/>
          <w:szCs w:val="24"/>
        </w:rPr>
        <w:t>平均质量浓度满足</w:t>
      </w:r>
      <w:r>
        <w:rPr>
          <w:rFonts w:ascii="Times New Roman" w:hAnsi="Times New Roman" w:eastAsia="Times New Roman" w:cs="Times New Roman"/>
          <w:sz w:val="24"/>
          <w:szCs w:val="24"/>
        </w:rPr>
        <w:t>GB3095</w:t>
      </w:r>
      <w:r>
        <w:rPr>
          <w:rFonts w:ascii="SimSun" w:hAnsi="SimSun" w:eastAsia="SimSun" w:cs="SimSun"/>
          <w:sz w:val="24"/>
          <w:szCs w:val="24"/>
        </w:rPr>
        <w:t>中浓度限值要求的</w:t>
      </w:r>
      <w:r>
        <w:rPr>
          <w:rFonts w:ascii="SimSun" w:hAnsi="SimSun" w:eastAsia="SimSun" w:cs="SimSun"/>
          <w:sz w:val="24"/>
          <w:szCs w:val="24"/>
          <w:spacing w:val="-1"/>
        </w:rPr>
        <w:t>即为达标。对于超标的污染</w:t>
      </w:r>
    </w:p>
    <w:p>
      <w:pPr>
        <w:ind w:left="115"/>
        <w:spacing w:line="219" w:lineRule="auto"/>
        <w:rPr>
          <w:rFonts w:ascii="SimSun" w:hAnsi="SimSun" w:eastAsia="SimSun" w:cs="SimSun"/>
          <w:sz w:val="24"/>
          <w:szCs w:val="24"/>
        </w:rPr>
      </w:pPr>
      <w:r>
        <w:rPr>
          <w:rFonts w:ascii="SimSun" w:hAnsi="SimSun" w:eastAsia="SimSun" w:cs="SimSun"/>
          <w:sz w:val="24"/>
          <w:szCs w:val="24"/>
          <w:spacing w:val="-1"/>
        </w:rPr>
        <w:t>物，计算其超标倍数和超标率。</w:t>
      </w:r>
    </w:p>
    <w:p>
      <w:pPr>
        <w:ind w:left="602"/>
        <w:spacing w:before="217" w:line="219" w:lineRule="auto"/>
        <w:rPr>
          <w:rFonts w:ascii="SimSun" w:hAnsi="SimSun" w:eastAsia="SimSun" w:cs="SimSun"/>
          <w:sz w:val="24"/>
          <w:szCs w:val="24"/>
        </w:rPr>
      </w:pPr>
      <w:r>
        <w:rPr>
          <w:rFonts w:ascii="SimSun" w:hAnsi="SimSun" w:eastAsia="SimSun" w:cs="SimSun"/>
          <w:sz w:val="24"/>
          <w:szCs w:val="24"/>
          <w:spacing w:val="-3"/>
        </w:rPr>
        <w:t>空气质量达标区判定结果见表</w:t>
      </w:r>
      <w:r>
        <w:rPr>
          <w:rFonts w:ascii="Times New Roman" w:hAnsi="Times New Roman" w:eastAsia="Times New Roman" w:cs="Times New Roman"/>
          <w:sz w:val="24"/>
          <w:szCs w:val="24"/>
          <w:spacing w:val="-3"/>
        </w:rPr>
        <w:t>3.1-</w:t>
      </w:r>
      <w:r>
        <w:rPr>
          <w:rFonts w:ascii="Times New Roman" w:hAnsi="Times New Roman" w:eastAsia="Times New Roman" w:cs="Times New Roman"/>
          <w:sz w:val="24"/>
          <w:szCs w:val="24"/>
          <w:spacing w:val="-22"/>
        </w:rPr>
        <w:t xml:space="preserve"> </w:t>
      </w:r>
      <w:r>
        <w:rPr>
          <w:rFonts w:ascii="Times New Roman" w:hAnsi="Times New Roman" w:eastAsia="Times New Roman" w:cs="Times New Roman"/>
          <w:sz w:val="24"/>
          <w:szCs w:val="24"/>
          <w:spacing w:val="-3"/>
        </w:rPr>
        <w:t>1</w:t>
      </w:r>
      <w:r>
        <w:rPr>
          <w:rFonts w:ascii="SimSun" w:hAnsi="SimSun" w:eastAsia="SimSun" w:cs="SimSun"/>
          <w:sz w:val="24"/>
          <w:szCs w:val="24"/>
          <w:spacing w:val="-3"/>
        </w:rPr>
        <w:t>。</w:t>
      </w:r>
    </w:p>
    <w:p>
      <w:pPr>
        <w:ind w:left="2336"/>
        <w:spacing w:before="135" w:line="218" w:lineRule="auto"/>
        <w:rPr>
          <w:rFonts w:ascii="SimSun" w:hAnsi="SimSun" w:eastAsia="SimSun" w:cs="SimSun"/>
          <w:sz w:val="24"/>
          <w:szCs w:val="24"/>
        </w:rPr>
      </w:pPr>
      <w:r>
        <w:rPr>
          <w:rFonts w:ascii="SimSun" w:hAnsi="SimSun" w:eastAsia="SimSun" w:cs="SimSun"/>
          <w:sz w:val="24"/>
          <w:szCs w:val="24"/>
          <w:spacing w:val="-4"/>
        </w:rPr>
        <w:t>表</w:t>
      </w:r>
      <w:r>
        <w:rPr>
          <w:rFonts w:ascii="Times New Roman" w:hAnsi="Times New Roman" w:eastAsia="Times New Roman" w:cs="Times New Roman"/>
          <w:sz w:val="24"/>
          <w:szCs w:val="24"/>
          <w:spacing w:val="-4"/>
        </w:rPr>
        <w:t>3.1-</w:t>
      </w:r>
      <w:r>
        <w:rPr>
          <w:rFonts w:ascii="Times New Roman" w:hAnsi="Times New Roman" w:eastAsia="Times New Roman" w:cs="Times New Roman"/>
          <w:sz w:val="24"/>
          <w:szCs w:val="24"/>
          <w:spacing w:val="-30"/>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3"/>
        </w:rPr>
        <w:t xml:space="preserve">        </w:t>
      </w:r>
      <w:r>
        <w:rPr>
          <w:rFonts w:ascii="SimSun" w:hAnsi="SimSun" w:eastAsia="SimSun" w:cs="SimSun"/>
          <w:sz w:val="24"/>
          <w:szCs w:val="24"/>
          <w:spacing w:val="-4"/>
        </w:rPr>
        <w:t>区域空气质量现状评价表</w:t>
      </w:r>
    </w:p>
    <w:tbl>
      <w:tblPr>
        <w:tblStyle w:val="TableNormal"/>
        <w:tblW w:w="8516"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80"/>
        <w:gridCol w:w="863"/>
        <w:gridCol w:w="2441"/>
        <w:gridCol w:w="1033"/>
        <w:gridCol w:w="1033"/>
        <w:gridCol w:w="1532"/>
        <w:gridCol w:w="834"/>
      </w:tblGrid>
      <w:tr>
        <w:trPr>
          <w:trHeight w:val="724" w:hRule="atLeast"/>
        </w:trPr>
        <w:tc>
          <w:tcPr>
            <w:tcW w:w="780" w:type="dxa"/>
            <w:vAlign w:val="top"/>
            <w:tcBorders>
              <w:left w:val="nil"/>
              <w:top w:val="single" w:color="000000" w:sz="10" w:space="0"/>
            </w:tcBorders>
          </w:tcPr>
          <w:p>
            <w:pPr>
              <w:pStyle w:val="TableText"/>
              <w:ind w:left="187"/>
              <w:spacing w:before="293" w:line="229" w:lineRule="auto"/>
              <w:rPr>
                <w:sz w:val="20"/>
                <w:szCs w:val="20"/>
              </w:rPr>
            </w:pPr>
            <w:r>
              <w:rPr>
                <w:sz w:val="20"/>
                <w:szCs w:val="20"/>
                <w:spacing w:val="5"/>
              </w:rPr>
              <w:t>序号</w:t>
            </w:r>
          </w:p>
        </w:tc>
        <w:tc>
          <w:tcPr>
            <w:tcW w:w="863" w:type="dxa"/>
            <w:vAlign w:val="top"/>
            <w:tcBorders>
              <w:top w:val="single" w:color="000000" w:sz="10" w:space="0"/>
            </w:tcBorders>
          </w:tcPr>
          <w:p>
            <w:pPr>
              <w:pStyle w:val="TableText"/>
              <w:ind w:left="230"/>
              <w:spacing w:before="293" w:line="228" w:lineRule="auto"/>
              <w:rPr>
                <w:sz w:val="20"/>
                <w:szCs w:val="20"/>
              </w:rPr>
            </w:pPr>
            <w:r>
              <w:rPr>
                <w:sz w:val="20"/>
                <w:szCs w:val="20"/>
                <w:spacing w:val="3"/>
              </w:rPr>
              <w:t>项目</w:t>
            </w:r>
          </w:p>
        </w:tc>
        <w:tc>
          <w:tcPr>
            <w:tcW w:w="2441" w:type="dxa"/>
            <w:vAlign w:val="top"/>
            <w:tcBorders>
              <w:top w:val="single" w:color="000000" w:sz="10" w:space="0"/>
            </w:tcBorders>
          </w:tcPr>
          <w:p>
            <w:pPr>
              <w:pStyle w:val="TableText"/>
              <w:ind w:left="805"/>
              <w:spacing w:before="293" w:line="228" w:lineRule="auto"/>
              <w:rPr>
                <w:sz w:val="20"/>
                <w:szCs w:val="20"/>
              </w:rPr>
            </w:pPr>
            <w:r>
              <w:rPr>
                <w:sz w:val="20"/>
                <w:szCs w:val="20"/>
                <w:spacing w:val="7"/>
              </w:rPr>
              <w:t>平均时间</w:t>
            </w:r>
          </w:p>
        </w:tc>
        <w:tc>
          <w:tcPr>
            <w:tcW w:w="1033" w:type="dxa"/>
            <w:vAlign w:val="top"/>
            <w:tcBorders>
              <w:top w:val="single" w:color="000000" w:sz="10" w:space="0"/>
            </w:tcBorders>
          </w:tcPr>
          <w:p>
            <w:pPr>
              <w:pStyle w:val="TableText"/>
              <w:ind w:left="206"/>
              <w:spacing w:before="292" w:line="228" w:lineRule="auto"/>
              <w:rPr>
                <w:sz w:val="20"/>
                <w:szCs w:val="20"/>
              </w:rPr>
            </w:pPr>
            <w:r>
              <w:rPr>
                <w:sz w:val="20"/>
                <w:szCs w:val="20"/>
                <w:spacing w:val="6"/>
              </w:rPr>
              <w:t>标准值</w:t>
            </w:r>
          </w:p>
        </w:tc>
        <w:tc>
          <w:tcPr>
            <w:tcW w:w="1033" w:type="dxa"/>
            <w:vAlign w:val="top"/>
            <w:tcBorders>
              <w:top w:val="single" w:color="000000" w:sz="10" w:space="0"/>
            </w:tcBorders>
          </w:tcPr>
          <w:p>
            <w:pPr>
              <w:pStyle w:val="TableText"/>
              <w:ind w:left="209"/>
              <w:spacing w:before="292" w:line="228" w:lineRule="auto"/>
              <w:rPr>
                <w:sz w:val="20"/>
                <w:szCs w:val="20"/>
              </w:rPr>
            </w:pPr>
            <w:r>
              <w:rPr>
                <w:sz w:val="20"/>
                <w:szCs w:val="20"/>
                <w:spacing w:val="6"/>
              </w:rPr>
              <w:t>现状值</w:t>
            </w:r>
          </w:p>
        </w:tc>
        <w:tc>
          <w:tcPr>
            <w:tcW w:w="1532" w:type="dxa"/>
            <w:vAlign w:val="top"/>
            <w:tcBorders>
              <w:top w:val="single" w:color="000000" w:sz="10" w:space="0"/>
            </w:tcBorders>
          </w:tcPr>
          <w:p>
            <w:pPr>
              <w:pStyle w:val="TableText"/>
              <w:ind w:left="403"/>
              <w:spacing w:before="292" w:line="228" w:lineRule="auto"/>
              <w:rPr>
                <w:rFonts w:ascii="Times New Roman" w:hAnsi="Times New Roman" w:eastAsia="Times New Roman" w:cs="Times New Roman"/>
                <w:sz w:val="20"/>
                <w:szCs w:val="20"/>
              </w:rPr>
            </w:pPr>
            <w:r>
              <w:rPr>
                <w:sz w:val="20"/>
                <w:szCs w:val="20"/>
                <w:spacing w:val="-2"/>
              </w:rPr>
              <w:t>占标率</w:t>
            </w:r>
            <w:r>
              <w:rPr>
                <w:rFonts w:ascii="Times New Roman" w:hAnsi="Times New Roman" w:eastAsia="Times New Roman" w:cs="Times New Roman"/>
                <w:sz w:val="20"/>
                <w:szCs w:val="20"/>
                <w:spacing w:val="-2"/>
              </w:rPr>
              <w:t>%</w:t>
            </w:r>
          </w:p>
        </w:tc>
        <w:tc>
          <w:tcPr>
            <w:tcW w:w="834" w:type="dxa"/>
            <w:vAlign w:val="top"/>
            <w:tcBorders>
              <w:right w:val="nil"/>
              <w:top w:val="single" w:color="000000" w:sz="10" w:space="0"/>
            </w:tcBorders>
          </w:tcPr>
          <w:p>
            <w:pPr>
              <w:pStyle w:val="TableText"/>
              <w:ind w:left="211"/>
              <w:spacing w:before="113" w:line="360" w:lineRule="exact"/>
              <w:rPr>
                <w:sz w:val="20"/>
                <w:szCs w:val="20"/>
              </w:rPr>
            </w:pPr>
            <w:r>
              <w:rPr>
                <w:sz w:val="20"/>
                <w:szCs w:val="20"/>
                <w:spacing w:val="5"/>
                <w:position w:val="11"/>
              </w:rPr>
              <w:t>达标</w:t>
            </w:r>
          </w:p>
          <w:p>
            <w:pPr>
              <w:pStyle w:val="TableText"/>
              <w:ind w:left="213"/>
              <w:spacing w:line="222" w:lineRule="auto"/>
              <w:rPr>
                <w:sz w:val="20"/>
                <w:szCs w:val="20"/>
              </w:rPr>
            </w:pPr>
            <w:r>
              <w:rPr>
                <w:sz w:val="20"/>
                <w:szCs w:val="20"/>
                <w:spacing w:val="4"/>
              </w:rPr>
              <w:t>情况</w:t>
            </w:r>
          </w:p>
        </w:tc>
      </w:tr>
      <w:tr>
        <w:trPr>
          <w:trHeight w:val="362" w:hRule="atLeast"/>
        </w:trPr>
        <w:tc>
          <w:tcPr>
            <w:tcW w:w="780" w:type="dxa"/>
            <w:vAlign w:val="top"/>
            <w:tcBorders>
              <w:left w:val="nil"/>
            </w:tcBorders>
          </w:tcPr>
          <w:p>
            <w:pPr>
              <w:ind w:left="360"/>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63" w:type="dxa"/>
            <w:vAlign w:val="top"/>
          </w:tcPr>
          <w:p>
            <w:pPr>
              <w:ind w:left="272"/>
              <w:spacing w:before="149"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z w:val="13"/>
                <w:szCs w:val="13"/>
                <w:spacing w:val="3"/>
                <w:position w:val="-1"/>
              </w:rPr>
              <w:t>2</w:t>
            </w:r>
          </w:p>
        </w:tc>
        <w:tc>
          <w:tcPr>
            <w:tcW w:w="2441" w:type="dxa"/>
            <w:vAlign w:val="top"/>
          </w:tcPr>
          <w:p>
            <w:pPr>
              <w:pStyle w:val="TableText"/>
              <w:ind w:left="910"/>
              <w:spacing w:before="113" w:line="220" w:lineRule="auto"/>
              <w:rPr>
                <w:sz w:val="20"/>
                <w:szCs w:val="20"/>
              </w:rPr>
            </w:pPr>
            <w:r>
              <w:rPr>
                <w:sz w:val="20"/>
                <w:szCs w:val="20"/>
                <w:spacing w:val="6"/>
              </w:rPr>
              <w:t>年平均</w:t>
            </w:r>
          </w:p>
        </w:tc>
        <w:tc>
          <w:tcPr>
            <w:tcW w:w="1033" w:type="dxa"/>
            <w:vAlign w:val="top"/>
          </w:tcPr>
          <w:p>
            <w:pPr>
              <w:ind w:left="418"/>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033" w:type="dxa"/>
            <w:vAlign w:val="top"/>
          </w:tcPr>
          <w:p>
            <w:pPr>
              <w:ind w:left="432"/>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1532" w:type="dxa"/>
            <w:vAlign w:val="top"/>
          </w:tcPr>
          <w:p>
            <w:pPr>
              <w:ind w:left="551"/>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16.67</w:t>
            </w:r>
          </w:p>
        </w:tc>
        <w:tc>
          <w:tcPr>
            <w:tcW w:w="834" w:type="dxa"/>
            <w:vAlign w:val="top"/>
            <w:tcBorders>
              <w:right w:val="nil"/>
            </w:tcBorders>
          </w:tcPr>
          <w:p>
            <w:pPr>
              <w:pStyle w:val="TableText"/>
              <w:ind w:left="211"/>
              <w:spacing w:before="113" w:line="220" w:lineRule="auto"/>
              <w:rPr>
                <w:sz w:val="20"/>
                <w:szCs w:val="20"/>
              </w:rPr>
            </w:pPr>
            <w:r>
              <w:rPr>
                <w:sz w:val="20"/>
                <w:szCs w:val="20"/>
                <w:spacing w:val="5"/>
              </w:rPr>
              <w:t>达标</w:t>
            </w:r>
          </w:p>
        </w:tc>
      </w:tr>
      <w:tr>
        <w:trPr>
          <w:trHeight w:val="455" w:hRule="atLeast"/>
        </w:trPr>
        <w:tc>
          <w:tcPr>
            <w:tcW w:w="780" w:type="dxa"/>
            <w:vAlign w:val="top"/>
            <w:tcBorders>
              <w:left w:val="nil"/>
            </w:tcBorders>
          </w:tcPr>
          <w:p>
            <w:pPr>
              <w:ind w:left="340"/>
              <w:spacing w:before="2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63" w:type="dxa"/>
            <w:vAlign w:val="top"/>
          </w:tcPr>
          <w:p>
            <w:pPr>
              <w:ind w:left="240"/>
              <w:spacing w:before="200"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7"/>
              </w:rPr>
              <w:t>NO</w:t>
            </w:r>
            <w:r>
              <w:rPr>
                <w:rFonts w:ascii="Times New Roman" w:hAnsi="Times New Roman" w:eastAsia="Times New Roman" w:cs="Times New Roman"/>
                <w:sz w:val="13"/>
                <w:szCs w:val="13"/>
                <w:spacing w:val="7"/>
                <w:position w:val="-1"/>
              </w:rPr>
              <w:t>2</w:t>
            </w:r>
          </w:p>
        </w:tc>
        <w:tc>
          <w:tcPr>
            <w:tcW w:w="2441" w:type="dxa"/>
            <w:vAlign w:val="top"/>
          </w:tcPr>
          <w:p>
            <w:pPr>
              <w:pStyle w:val="TableText"/>
              <w:ind w:left="910"/>
              <w:spacing w:before="164" w:line="228" w:lineRule="auto"/>
              <w:rPr>
                <w:sz w:val="20"/>
                <w:szCs w:val="20"/>
              </w:rPr>
            </w:pPr>
            <w:r>
              <w:rPr>
                <w:sz w:val="20"/>
                <w:szCs w:val="20"/>
                <w:spacing w:val="6"/>
              </w:rPr>
              <w:t>年平均</w:t>
            </w:r>
          </w:p>
        </w:tc>
        <w:tc>
          <w:tcPr>
            <w:tcW w:w="1033" w:type="dxa"/>
            <w:vAlign w:val="top"/>
          </w:tcPr>
          <w:p>
            <w:pPr>
              <w:ind w:left="412"/>
              <w:spacing w:before="2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w:t>
            </w:r>
          </w:p>
        </w:tc>
        <w:tc>
          <w:tcPr>
            <w:tcW w:w="1033" w:type="dxa"/>
            <w:vAlign w:val="top"/>
          </w:tcPr>
          <w:p>
            <w:pPr>
              <w:ind w:left="412"/>
              <w:spacing w:before="2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25</w:t>
            </w:r>
          </w:p>
        </w:tc>
        <w:tc>
          <w:tcPr>
            <w:tcW w:w="1532" w:type="dxa"/>
            <w:vAlign w:val="top"/>
          </w:tcPr>
          <w:p>
            <w:pPr>
              <w:ind w:left="536"/>
              <w:spacing w:before="2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62.50</w:t>
            </w:r>
          </w:p>
        </w:tc>
        <w:tc>
          <w:tcPr>
            <w:tcW w:w="834" w:type="dxa"/>
            <w:vAlign w:val="top"/>
            <w:tcBorders>
              <w:right w:val="nil"/>
            </w:tcBorders>
          </w:tcPr>
          <w:p>
            <w:pPr>
              <w:pStyle w:val="TableText"/>
              <w:ind w:left="211"/>
              <w:spacing w:before="164" w:line="228" w:lineRule="auto"/>
              <w:rPr>
                <w:sz w:val="20"/>
                <w:szCs w:val="20"/>
              </w:rPr>
            </w:pPr>
            <w:r>
              <w:rPr>
                <w:sz w:val="20"/>
                <w:szCs w:val="20"/>
                <w:spacing w:val="5"/>
              </w:rPr>
              <w:t>达标</w:t>
            </w:r>
          </w:p>
        </w:tc>
      </w:tr>
      <w:tr>
        <w:trPr>
          <w:trHeight w:val="362" w:hRule="atLeast"/>
        </w:trPr>
        <w:tc>
          <w:tcPr>
            <w:tcW w:w="780" w:type="dxa"/>
            <w:vAlign w:val="top"/>
            <w:tcBorders>
              <w:left w:val="nil"/>
            </w:tcBorders>
          </w:tcPr>
          <w:p>
            <w:pPr>
              <w:ind w:left="344"/>
              <w:spacing w:before="1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63" w:type="dxa"/>
            <w:vAlign w:val="top"/>
          </w:tcPr>
          <w:p>
            <w:pPr>
              <w:ind w:left="212"/>
              <w:spacing w:before="160" w:line="199"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z w:val="13"/>
                <w:szCs w:val="13"/>
                <w:spacing w:val="8"/>
                <w:position w:val="-1"/>
              </w:rPr>
              <w:t>10</w:t>
            </w:r>
          </w:p>
        </w:tc>
        <w:tc>
          <w:tcPr>
            <w:tcW w:w="2441" w:type="dxa"/>
            <w:vAlign w:val="top"/>
          </w:tcPr>
          <w:p>
            <w:pPr>
              <w:pStyle w:val="TableText"/>
              <w:ind w:left="910"/>
              <w:spacing w:before="122" w:line="212" w:lineRule="auto"/>
              <w:rPr>
                <w:sz w:val="20"/>
                <w:szCs w:val="20"/>
              </w:rPr>
            </w:pPr>
            <w:r>
              <w:rPr>
                <w:sz w:val="20"/>
                <w:szCs w:val="20"/>
                <w:spacing w:val="6"/>
              </w:rPr>
              <w:t>年平均</w:t>
            </w:r>
          </w:p>
        </w:tc>
        <w:tc>
          <w:tcPr>
            <w:tcW w:w="1033" w:type="dxa"/>
            <w:vAlign w:val="top"/>
          </w:tcPr>
          <w:p>
            <w:pPr>
              <w:ind w:left="416"/>
              <w:spacing w:before="1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70</w:t>
            </w:r>
          </w:p>
        </w:tc>
        <w:tc>
          <w:tcPr>
            <w:tcW w:w="1033" w:type="dxa"/>
            <w:vAlign w:val="top"/>
          </w:tcPr>
          <w:p>
            <w:pPr>
              <w:ind w:left="417"/>
              <w:spacing w:before="1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c>
          <w:tcPr>
            <w:tcW w:w="1532" w:type="dxa"/>
            <w:vAlign w:val="top"/>
          </w:tcPr>
          <w:p>
            <w:pPr>
              <w:ind w:left="535"/>
              <w:spacing w:before="1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98.57</w:t>
            </w:r>
          </w:p>
        </w:tc>
        <w:tc>
          <w:tcPr>
            <w:tcW w:w="834" w:type="dxa"/>
            <w:vAlign w:val="top"/>
            <w:tcBorders>
              <w:right w:val="nil"/>
            </w:tcBorders>
          </w:tcPr>
          <w:p>
            <w:pPr>
              <w:pStyle w:val="TableText"/>
              <w:ind w:left="211"/>
              <w:spacing w:before="122" w:line="212" w:lineRule="auto"/>
              <w:rPr>
                <w:sz w:val="20"/>
                <w:szCs w:val="20"/>
              </w:rPr>
            </w:pPr>
            <w:r>
              <w:rPr>
                <w:sz w:val="20"/>
                <w:szCs w:val="20"/>
                <w:spacing w:val="5"/>
              </w:rPr>
              <w:t>达标</w:t>
            </w:r>
          </w:p>
        </w:tc>
      </w:tr>
      <w:tr>
        <w:trPr>
          <w:trHeight w:val="401" w:hRule="atLeast"/>
        </w:trPr>
        <w:tc>
          <w:tcPr>
            <w:tcW w:w="780" w:type="dxa"/>
            <w:vAlign w:val="top"/>
            <w:tcBorders>
              <w:left w:val="nil"/>
            </w:tcBorders>
          </w:tcPr>
          <w:p>
            <w:pPr>
              <w:ind w:left="339"/>
              <w:spacing w:before="1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863" w:type="dxa"/>
            <w:vAlign w:val="top"/>
          </w:tcPr>
          <w:p>
            <w:pPr>
              <w:ind w:left="195"/>
              <w:spacing w:before="182" w:line="199"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z w:val="13"/>
                <w:szCs w:val="13"/>
                <w:spacing w:val="6"/>
                <w:position w:val="-1"/>
              </w:rPr>
              <w:t>2.5</w:t>
            </w:r>
          </w:p>
        </w:tc>
        <w:tc>
          <w:tcPr>
            <w:tcW w:w="2441" w:type="dxa"/>
            <w:vAlign w:val="top"/>
          </w:tcPr>
          <w:p>
            <w:pPr>
              <w:pStyle w:val="TableText"/>
              <w:ind w:left="910"/>
              <w:spacing w:before="143" w:line="228" w:lineRule="auto"/>
              <w:rPr>
                <w:sz w:val="20"/>
                <w:szCs w:val="20"/>
              </w:rPr>
            </w:pPr>
            <w:r>
              <w:rPr>
                <w:sz w:val="20"/>
                <w:szCs w:val="20"/>
                <w:spacing w:val="6"/>
              </w:rPr>
              <w:t>年平均</w:t>
            </w:r>
          </w:p>
        </w:tc>
        <w:tc>
          <w:tcPr>
            <w:tcW w:w="1033" w:type="dxa"/>
            <w:vAlign w:val="top"/>
          </w:tcPr>
          <w:p>
            <w:pPr>
              <w:ind w:left="417"/>
              <w:spacing w:before="1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1033" w:type="dxa"/>
            <w:vAlign w:val="top"/>
          </w:tcPr>
          <w:p>
            <w:pPr>
              <w:ind w:left="416"/>
              <w:spacing w:before="1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1532" w:type="dxa"/>
            <w:vAlign w:val="top"/>
          </w:tcPr>
          <w:p>
            <w:pPr>
              <w:ind w:left="498"/>
              <w:spacing w:before="1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105.71</w:t>
            </w:r>
          </w:p>
        </w:tc>
        <w:tc>
          <w:tcPr>
            <w:tcW w:w="834" w:type="dxa"/>
            <w:vAlign w:val="top"/>
            <w:tcBorders>
              <w:right w:val="nil"/>
            </w:tcBorders>
          </w:tcPr>
          <w:p>
            <w:pPr>
              <w:pStyle w:val="TableText"/>
              <w:ind w:left="211"/>
              <w:spacing w:before="143" w:line="228" w:lineRule="auto"/>
              <w:rPr>
                <w:sz w:val="20"/>
                <w:szCs w:val="20"/>
              </w:rPr>
            </w:pPr>
            <w:r>
              <w:rPr>
                <w:sz w:val="20"/>
                <w:szCs w:val="20"/>
                <w:spacing w:val="5"/>
              </w:rPr>
              <w:t>超标</w:t>
            </w:r>
          </w:p>
        </w:tc>
      </w:tr>
      <w:tr>
        <w:trPr>
          <w:trHeight w:val="362" w:hRule="atLeast"/>
        </w:trPr>
        <w:tc>
          <w:tcPr>
            <w:tcW w:w="780" w:type="dxa"/>
            <w:vAlign w:val="top"/>
            <w:tcBorders>
              <w:left w:val="nil"/>
            </w:tcBorders>
          </w:tcPr>
          <w:p>
            <w:pPr>
              <w:ind w:left="346"/>
              <w:spacing w:before="16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63" w:type="dxa"/>
            <w:vAlign w:val="top"/>
          </w:tcPr>
          <w:p>
            <w:pPr>
              <w:ind w:left="291"/>
              <w:spacing w:before="16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CO</w:t>
            </w:r>
          </w:p>
        </w:tc>
        <w:tc>
          <w:tcPr>
            <w:tcW w:w="2441" w:type="dxa"/>
            <w:vAlign w:val="top"/>
          </w:tcPr>
          <w:p>
            <w:pPr>
              <w:pStyle w:val="TableText"/>
              <w:ind w:left="280"/>
              <w:spacing w:before="128" w:line="206" w:lineRule="auto"/>
              <w:rPr>
                <w:sz w:val="20"/>
                <w:szCs w:val="20"/>
              </w:rPr>
            </w:pPr>
            <w:r>
              <w:rPr>
                <w:rFonts w:ascii="Times New Roman" w:hAnsi="Times New Roman" w:eastAsia="Times New Roman" w:cs="Times New Roman"/>
                <w:sz w:val="20"/>
                <w:szCs w:val="20"/>
                <w:spacing w:val="7"/>
              </w:rPr>
              <w:t>95</w:t>
            </w:r>
            <w:r>
              <w:rPr>
                <w:sz w:val="20"/>
                <w:szCs w:val="20"/>
                <w:spacing w:val="7"/>
              </w:rPr>
              <w:t>百分位</w:t>
            </w:r>
            <w:r>
              <w:rPr>
                <w:rFonts w:ascii="Times New Roman" w:hAnsi="Times New Roman" w:eastAsia="Times New Roman" w:cs="Times New Roman"/>
                <w:sz w:val="20"/>
                <w:szCs w:val="20"/>
                <w:spacing w:val="7"/>
              </w:rPr>
              <w:t>24</w:t>
            </w:r>
            <w:r>
              <w:rPr>
                <w:sz w:val="20"/>
                <w:szCs w:val="20"/>
                <w:spacing w:val="7"/>
              </w:rPr>
              <w:t>小时平均</w:t>
            </w:r>
          </w:p>
        </w:tc>
        <w:tc>
          <w:tcPr>
            <w:tcW w:w="1033" w:type="dxa"/>
            <w:vAlign w:val="top"/>
          </w:tcPr>
          <w:p>
            <w:pPr>
              <w:ind w:left="306"/>
              <w:spacing w:before="16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4000</w:t>
            </w:r>
          </w:p>
        </w:tc>
        <w:tc>
          <w:tcPr>
            <w:tcW w:w="1033" w:type="dxa"/>
            <w:vAlign w:val="top"/>
          </w:tcPr>
          <w:p>
            <w:pPr>
              <w:ind w:left="363"/>
              <w:spacing w:before="16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900</w:t>
            </w:r>
          </w:p>
        </w:tc>
        <w:tc>
          <w:tcPr>
            <w:tcW w:w="1532" w:type="dxa"/>
            <w:vAlign w:val="top"/>
          </w:tcPr>
          <w:p>
            <w:pPr>
              <w:ind w:left="531"/>
              <w:spacing w:before="16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22.50</w:t>
            </w:r>
          </w:p>
        </w:tc>
        <w:tc>
          <w:tcPr>
            <w:tcW w:w="834" w:type="dxa"/>
            <w:vAlign w:val="top"/>
            <w:tcBorders>
              <w:right w:val="nil"/>
            </w:tcBorders>
          </w:tcPr>
          <w:p>
            <w:pPr>
              <w:pStyle w:val="TableText"/>
              <w:ind w:left="211"/>
              <w:spacing w:before="128" w:line="206" w:lineRule="auto"/>
              <w:rPr>
                <w:sz w:val="20"/>
                <w:szCs w:val="20"/>
              </w:rPr>
            </w:pPr>
            <w:r>
              <w:rPr>
                <w:sz w:val="20"/>
                <w:szCs w:val="20"/>
                <w:spacing w:val="5"/>
              </w:rPr>
              <w:t>达标</w:t>
            </w:r>
          </w:p>
        </w:tc>
      </w:tr>
      <w:tr>
        <w:trPr>
          <w:trHeight w:val="386" w:hRule="atLeast"/>
        </w:trPr>
        <w:tc>
          <w:tcPr>
            <w:tcW w:w="780" w:type="dxa"/>
            <w:vAlign w:val="top"/>
            <w:tcBorders>
              <w:left w:val="nil"/>
              <w:bottom w:val="single" w:color="000000" w:sz="10" w:space="0"/>
            </w:tcBorders>
          </w:tcPr>
          <w:p>
            <w:pPr>
              <w:ind w:left="345"/>
              <w:spacing w:before="1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863" w:type="dxa"/>
            <w:vAlign w:val="top"/>
            <w:tcBorders>
              <w:bottom w:val="single" w:color="000000" w:sz="10" w:space="0"/>
            </w:tcBorders>
          </w:tcPr>
          <w:p>
            <w:pPr>
              <w:ind w:left="326"/>
              <w:spacing w:before="167"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O</w:t>
            </w:r>
            <w:r>
              <w:rPr>
                <w:rFonts w:ascii="Times New Roman" w:hAnsi="Times New Roman" w:eastAsia="Times New Roman" w:cs="Times New Roman"/>
                <w:sz w:val="13"/>
                <w:szCs w:val="13"/>
                <w:position w:val="-1"/>
              </w:rPr>
              <w:t>3</w:t>
            </w:r>
          </w:p>
        </w:tc>
        <w:tc>
          <w:tcPr>
            <w:tcW w:w="2441" w:type="dxa"/>
            <w:vAlign w:val="top"/>
            <w:tcBorders>
              <w:bottom w:val="single" w:color="000000" w:sz="10" w:space="0"/>
            </w:tcBorders>
          </w:tcPr>
          <w:p>
            <w:pPr>
              <w:pStyle w:val="TableText"/>
              <w:ind w:left="333"/>
              <w:spacing w:before="131" w:line="226" w:lineRule="auto"/>
              <w:rPr>
                <w:sz w:val="20"/>
                <w:szCs w:val="20"/>
              </w:rPr>
            </w:pPr>
            <w:r>
              <w:rPr>
                <w:rFonts w:ascii="Times New Roman" w:hAnsi="Times New Roman" w:eastAsia="Times New Roman" w:cs="Times New Roman"/>
                <w:sz w:val="20"/>
                <w:szCs w:val="20"/>
                <w:spacing w:val="7"/>
              </w:rPr>
              <w:t>90</w:t>
            </w:r>
            <w:r>
              <w:rPr>
                <w:sz w:val="20"/>
                <w:szCs w:val="20"/>
                <w:spacing w:val="7"/>
              </w:rPr>
              <w:t>百分位</w:t>
            </w:r>
            <w:r>
              <w:rPr>
                <w:rFonts w:ascii="Times New Roman" w:hAnsi="Times New Roman" w:eastAsia="Times New Roman" w:cs="Times New Roman"/>
                <w:sz w:val="20"/>
                <w:szCs w:val="20"/>
                <w:spacing w:val="7"/>
              </w:rPr>
              <w:t>8</w:t>
            </w:r>
            <w:r>
              <w:rPr>
                <w:sz w:val="20"/>
                <w:szCs w:val="20"/>
                <w:spacing w:val="7"/>
              </w:rPr>
              <w:t>小时平均</w:t>
            </w:r>
          </w:p>
        </w:tc>
        <w:tc>
          <w:tcPr>
            <w:tcW w:w="1033" w:type="dxa"/>
            <w:vAlign w:val="top"/>
            <w:tcBorders>
              <w:bottom w:val="single" w:color="000000" w:sz="10" w:space="0"/>
            </w:tcBorders>
          </w:tcPr>
          <w:p>
            <w:pPr>
              <w:ind w:left="380"/>
              <w:spacing w:before="1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160</w:t>
            </w:r>
          </w:p>
        </w:tc>
        <w:tc>
          <w:tcPr>
            <w:tcW w:w="1033" w:type="dxa"/>
            <w:vAlign w:val="top"/>
            <w:tcBorders>
              <w:bottom w:val="single" w:color="000000" w:sz="10" w:space="0"/>
            </w:tcBorders>
          </w:tcPr>
          <w:p>
            <w:pPr>
              <w:ind w:left="420"/>
              <w:spacing w:before="1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88</w:t>
            </w:r>
          </w:p>
        </w:tc>
        <w:tc>
          <w:tcPr>
            <w:tcW w:w="1532" w:type="dxa"/>
            <w:vAlign w:val="top"/>
            <w:tcBorders>
              <w:bottom w:val="single" w:color="000000" w:sz="10" w:space="0"/>
            </w:tcBorders>
          </w:tcPr>
          <w:p>
            <w:pPr>
              <w:ind w:left="537"/>
              <w:spacing w:before="1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55.00</w:t>
            </w:r>
          </w:p>
        </w:tc>
        <w:tc>
          <w:tcPr>
            <w:tcW w:w="834" w:type="dxa"/>
            <w:vAlign w:val="top"/>
            <w:tcBorders>
              <w:right w:val="nil"/>
              <w:bottom w:val="single" w:color="000000" w:sz="10" w:space="0"/>
            </w:tcBorders>
          </w:tcPr>
          <w:p>
            <w:pPr>
              <w:pStyle w:val="TableText"/>
              <w:ind w:left="211"/>
              <w:spacing w:before="131" w:line="226" w:lineRule="auto"/>
              <w:rPr>
                <w:sz w:val="20"/>
                <w:szCs w:val="20"/>
              </w:rPr>
            </w:pPr>
            <w:r>
              <w:rPr>
                <w:sz w:val="20"/>
                <w:szCs w:val="20"/>
                <w:spacing w:val="5"/>
              </w:rPr>
              <w:t>达标</w:t>
            </w:r>
          </w:p>
        </w:tc>
      </w:tr>
    </w:tbl>
    <w:p>
      <w:pPr>
        <w:ind w:left="103" w:right="104" w:firstLine="492"/>
        <w:spacing w:before="195" w:line="385" w:lineRule="auto"/>
        <w:rPr>
          <w:rFonts w:ascii="SimSun" w:hAnsi="SimSun" w:eastAsia="SimSun" w:cs="SimSun"/>
          <w:sz w:val="24"/>
          <w:szCs w:val="24"/>
        </w:rPr>
      </w:pPr>
      <w:r>
        <w:rPr>
          <w:rFonts w:ascii="SimSun" w:hAnsi="SimSun" w:eastAsia="SimSun" w:cs="SimSun"/>
          <w:sz w:val="24"/>
          <w:szCs w:val="24"/>
          <w:spacing w:val="-1"/>
        </w:rPr>
        <w:t>根据表</w:t>
      </w:r>
      <w:r>
        <w:rPr>
          <w:rFonts w:ascii="Times New Roman" w:hAnsi="Times New Roman" w:eastAsia="Times New Roman" w:cs="Times New Roman"/>
          <w:sz w:val="24"/>
          <w:szCs w:val="24"/>
          <w:spacing w:val="-1"/>
        </w:rPr>
        <w:t>3.1-</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1"/>
        </w:rPr>
        <w:t>1</w:t>
      </w:r>
      <w:r>
        <w:rPr>
          <w:rFonts w:ascii="SimSun" w:hAnsi="SimSun" w:eastAsia="SimSun" w:cs="SimSun"/>
          <w:sz w:val="24"/>
          <w:szCs w:val="24"/>
          <w:spacing w:val="-1"/>
        </w:rPr>
        <w:t>对基本污染物的年评价指标</w:t>
      </w:r>
      <w:r>
        <w:rPr>
          <w:rFonts w:ascii="SimSun" w:hAnsi="SimSun" w:eastAsia="SimSun" w:cs="SimSun"/>
          <w:sz w:val="24"/>
          <w:szCs w:val="24"/>
          <w:spacing w:val="-2"/>
        </w:rPr>
        <w:t>的分析结果，本项目所在区域</w:t>
      </w:r>
      <w:r>
        <w:rPr>
          <w:rFonts w:ascii="Times New Roman" w:hAnsi="Times New Roman" w:eastAsia="Times New Roman" w:cs="Times New Roman"/>
          <w:sz w:val="24"/>
          <w:szCs w:val="24"/>
          <w:spacing w:val="-2"/>
        </w:rPr>
        <w:t>SO</w:t>
      </w:r>
      <w:r>
        <w:rPr>
          <w:rFonts w:ascii="Times New Roman" w:hAnsi="Times New Roman" w:eastAsia="Times New Roman" w:cs="Times New Roman"/>
          <w:sz w:val="15"/>
          <w:szCs w:val="15"/>
          <w:spacing w:val="-2"/>
          <w:position w:val="-1"/>
        </w:rPr>
        <w:t>2</w:t>
      </w:r>
      <w:r>
        <w:rPr>
          <w:rFonts w:ascii="SimSun" w:hAnsi="SimSun" w:eastAsia="SimSun" w:cs="SimSun"/>
          <w:sz w:val="24"/>
          <w:szCs w:val="24"/>
          <w:spacing w:val="-2"/>
        </w:rPr>
        <w:t>、</w:t>
      </w:r>
      <w:r>
        <w:rPr>
          <w:rFonts w:ascii="SimSun" w:hAnsi="SimSun" w:eastAsia="SimSun" w:cs="SimSun"/>
          <w:sz w:val="24"/>
          <w:szCs w:val="24"/>
        </w:rPr>
        <w:t xml:space="preserve"> </w:t>
      </w:r>
      <w:r>
        <w:rPr>
          <w:rFonts w:ascii="Times New Roman" w:hAnsi="Times New Roman" w:eastAsia="Times New Roman" w:cs="Times New Roman"/>
          <w:sz w:val="24"/>
          <w:szCs w:val="24"/>
          <w:spacing w:val="-3"/>
        </w:rPr>
        <w:t>NO</w:t>
      </w:r>
      <w:r>
        <w:rPr>
          <w:rFonts w:ascii="Times New Roman" w:hAnsi="Times New Roman" w:eastAsia="Times New Roman" w:cs="Times New Roman"/>
          <w:sz w:val="15"/>
          <w:szCs w:val="15"/>
          <w:spacing w:val="-3"/>
          <w:position w:val="-1"/>
        </w:rPr>
        <w:t>2</w:t>
      </w:r>
      <w:r>
        <w:rPr>
          <w:rFonts w:ascii="SimSun" w:hAnsi="SimSun" w:eastAsia="SimSun" w:cs="SimSun"/>
          <w:sz w:val="24"/>
          <w:szCs w:val="24"/>
          <w:spacing w:val="-3"/>
        </w:rPr>
        <w:t>、</w:t>
      </w:r>
      <w:r>
        <w:rPr>
          <w:rFonts w:ascii="Times New Roman" w:hAnsi="Times New Roman" w:eastAsia="Times New Roman" w:cs="Times New Roman"/>
          <w:sz w:val="24"/>
          <w:szCs w:val="24"/>
          <w:spacing w:val="-3"/>
        </w:rPr>
        <w:t>CO</w:t>
      </w:r>
      <w:r>
        <w:rPr>
          <w:rFonts w:ascii="SimSun" w:hAnsi="SimSun" w:eastAsia="SimSun" w:cs="SimSun"/>
          <w:sz w:val="24"/>
          <w:szCs w:val="24"/>
          <w:spacing w:val="-3"/>
        </w:rPr>
        <w:t>年评价和</w:t>
      </w:r>
      <w:r>
        <w:rPr>
          <w:rFonts w:ascii="Times New Roman" w:hAnsi="Times New Roman" w:eastAsia="Times New Roman" w:cs="Times New Roman"/>
          <w:sz w:val="24"/>
          <w:szCs w:val="24"/>
          <w:spacing w:val="-3"/>
        </w:rPr>
        <w:t>O</w:t>
      </w:r>
      <w:r>
        <w:rPr>
          <w:rFonts w:ascii="Times New Roman" w:hAnsi="Times New Roman" w:eastAsia="Times New Roman" w:cs="Times New Roman"/>
          <w:sz w:val="15"/>
          <w:szCs w:val="15"/>
          <w:spacing w:val="-3"/>
          <w:position w:val="-1"/>
        </w:rPr>
        <w:t>3</w:t>
      </w:r>
      <w:r>
        <w:rPr>
          <w:rFonts w:ascii="Times New Roman" w:hAnsi="Times New Roman" w:eastAsia="Times New Roman" w:cs="Times New Roman"/>
          <w:sz w:val="15"/>
          <w:szCs w:val="15"/>
          <w:spacing w:val="12"/>
          <w:position w:val="-1"/>
        </w:rPr>
        <w:t xml:space="preserve"> </w:t>
      </w:r>
      <w:r>
        <w:rPr>
          <w:rFonts w:ascii="SimSun" w:hAnsi="SimSun" w:eastAsia="SimSun" w:cs="SimSun"/>
          <w:sz w:val="24"/>
          <w:szCs w:val="24"/>
          <w:spacing w:val="-3"/>
        </w:rPr>
        <w:t>日最大</w:t>
      </w:r>
      <w:r>
        <w:rPr>
          <w:rFonts w:ascii="Times New Roman" w:hAnsi="Times New Roman" w:eastAsia="Times New Roman" w:cs="Times New Roman"/>
          <w:sz w:val="24"/>
          <w:szCs w:val="24"/>
          <w:spacing w:val="-3"/>
        </w:rPr>
        <w:t>8</w:t>
      </w:r>
      <w:r>
        <w:rPr>
          <w:rFonts w:ascii="SimSun" w:hAnsi="SimSun" w:eastAsia="SimSun" w:cs="SimSun"/>
          <w:sz w:val="24"/>
          <w:szCs w:val="24"/>
          <w:spacing w:val="-3"/>
        </w:rPr>
        <w:t>小时平均的指标为达标；</w:t>
      </w:r>
      <w:r>
        <w:rPr>
          <w:rFonts w:ascii="Times New Roman" w:hAnsi="Times New Roman" w:eastAsia="Times New Roman" w:cs="Times New Roman"/>
          <w:sz w:val="24"/>
          <w:szCs w:val="24"/>
          <w:spacing w:val="-3"/>
        </w:rPr>
        <w:t>PM</w:t>
      </w:r>
      <w:r>
        <w:rPr>
          <w:rFonts w:ascii="Times New Roman" w:hAnsi="Times New Roman" w:eastAsia="Times New Roman" w:cs="Times New Roman"/>
          <w:sz w:val="15"/>
          <w:szCs w:val="15"/>
          <w:spacing w:val="-3"/>
          <w:position w:val="-1"/>
        </w:rPr>
        <w:t>2.5</w:t>
      </w:r>
      <w:r>
        <w:rPr>
          <w:rFonts w:ascii="SimSun" w:hAnsi="SimSun" w:eastAsia="SimSun" w:cs="SimSun"/>
          <w:sz w:val="24"/>
          <w:szCs w:val="24"/>
          <w:spacing w:val="-3"/>
        </w:rPr>
        <w:t>、</w:t>
      </w:r>
      <w:r>
        <w:rPr>
          <w:rFonts w:ascii="Times New Roman" w:hAnsi="Times New Roman" w:eastAsia="Times New Roman" w:cs="Times New Roman"/>
          <w:sz w:val="24"/>
          <w:szCs w:val="24"/>
          <w:spacing w:val="-3"/>
        </w:rPr>
        <w:t>PM</w:t>
      </w:r>
      <w:r>
        <w:rPr>
          <w:rFonts w:ascii="Times New Roman" w:hAnsi="Times New Roman" w:eastAsia="Times New Roman" w:cs="Times New Roman"/>
          <w:sz w:val="15"/>
          <w:szCs w:val="15"/>
          <w:spacing w:val="-3"/>
          <w:position w:val="-1"/>
        </w:rPr>
        <w:t>1</w:t>
      </w:r>
      <w:r>
        <w:rPr>
          <w:rFonts w:ascii="Times New Roman" w:hAnsi="Times New Roman" w:eastAsia="Times New Roman" w:cs="Times New Roman"/>
          <w:sz w:val="15"/>
          <w:szCs w:val="15"/>
          <w:spacing w:val="-4"/>
          <w:position w:val="-1"/>
        </w:rPr>
        <w:t>0</w:t>
      </w:r>
      <w:r>
        <w:rPr>
          <w:rFonts w:ascii="SimSun" w:hAnsi="SimSun" w:eastAsia="SimSun" w:cs="SimSun"/>
          <w:sz w:val="24"/>
          <w:szCs w:val="24"/>
          <w:spacing w:val="-4"/>
        </w:rPr>
        <w:t>的年评价指标</w:t>
      </w:r>
    </w:p>
    <w:p>
      <w:pPr>
        <w:ind w:left="116"/>
        <w:spacing w:before="1" w:line="220" w:lineRule="auto"/>
        <w:rPr>
          <w:rFonts w:ascii="SimSun" w:hAnsi="SimSun" w:eastAsia="SimSun" w:cs="SimSun"/>
          <w:sz w:val="24"/>
          <w:szCs w:val="24"/>
        </w:rPr>
      </w:pPr>
      <w:r>
        <w:rPr>
          <w:rFonts w:ascii="SimSun" w:hAnsi="SimSun" w:eastAsia="SimSun" w:cs="SimSun"/>
          <w:sz w:val="24"/>
          <w:szCs w:val="24"/>
          <w:spacing w:val="-1"/>
        </w:rPr>
        <w:t>均为超标。判定项目所在区域为非达标区。</w:t>
      </w:r>
    </w:p>
    <w:p>
      <w:pPr>
        <w:ind w:left="129" w:right="104" w:firstLine="464"/>
        <w:spacing w:before="212" w:line="385" w:lineRule="auto"/>
        <w:rPr>
          <w:rFonts w:ascii="SimSun" w:hAnsi="SimSun" w:eastAsia="SimSun" w:cs="SimSun"/>
          <w:sz w:val="24"/>
          <w:szCs w:val="24"/>
        </w:rPr>
      </w:pPr>
      <w:r>
        <w:rPr>
          <w:rFonts w:ascii="SimSun" w:hAnsi="SimSun" w:eastAsia="SimSun" w:cs="SimSun"/>
          <w:sz w:val="24"/>
          <w:szCs w:val="24"/>
          <w:spacing w:val="-3"/>
        </w:rPr>
        <w:t>评价结果表明：本项目区域为非达标区，评价区域监测点环境空</w:t>
      </w:r>
      <w:r>
        <w:rPr>
          <w:rFonts w:ascii="SimSun" w:hAnsi="SimSun" w:eastAsia="SimSun" w:cs="SimSun"/>
          <w:sz w:val="24"/>
          <w:szCs w:val="24"/>
          <w:spacing w:val="-4"/>
        </w:rPr>
        <w:t>气质量指标</w:t>
      </w:r>
      <w:r>
        <w:rPr>
          <w:rFonts w:ascii="SimSun" w:hAnsi="SimSun" w:eastAsia="SimSun" w:cs="SimSun"/>
          <w:sz w:val="24"/>
          <w:szCs w:val="24"/>
        </w:rPr>
        <w:t xml:space="preserve"> </w:t>
      </w:r>
      <w:r>
        <w:rPr>
          <w:rFonts w:ascii="SimSun" w:hAnsi="SimSun" w:eastAsia="SimSun" w:cs="SimSun"/>
          <w:sz w:val="24"/>
          <w:szCs w:val="24"/>
          <w:spacing w:val="-3"/>
        </w:rPr>
        <w:t>除</w:t>
      </w:r>
      <w:r>
        <w:rPr>
          <w:rFonts w:ascii="Times New Roman" w:hAnsi="Times New Roman" w:eastAsia="Times New Roman" w:cs="Times New Roman"/>
          <w:sz w:val="24"/>
          <w:szCs w:val="24"/>
          <w:spacing w:val="-3"/>
        </w:rPr>
        <w:t>PM</w:t>
      </w:r>
      <w:r>
        <w:rPr>
          <w:rFonts w:ascii="Times New Roman" w:hAnsi="Times New Roman" w:eastAsia="Times New Roman" w:cs="Times New Roman"/>
          <w:sz w:val="15"/>
          <w:szCs w:val="15"/>
          <w:spacing w:val="-3"/>
          <w:position w:val="-1"/>
        </w:rPr>
        <w:t>2.5</w:t>
      </w:r>
      <w:r>
        <w:rPr>
          <w:rFonts w:ascii="SimSun" w:hAnsi="SimSun" w:eastAsia="SimSun" w:cs="SimSun"/>
          <w:sz w:val="24"/>
          <w:szCs w:val="24"/>
          <w:spacing w:val="-3"/>
        </w:rPr>
        <w:t>、</w:t>
      </w:r>
      <w:r>
        <w:rPr>
          <w:rFonts w:ascii="Times New Roman" w:hAnsi="Times New Roman" w:eastAsia="Times New Roman" w:cs="Times New Roman"/>
          <w:sz w:val="24"/>
          <w:szCs w:val="24"/>
          <w:spacing w:val="-3"/>
        </w:rPr>
        <w:t>PM</w:t>
      </w:r>
      <w:r>
        <w:rPr>
          <w:rFonts w:ascii="Times New Roman" w:hAnsi="Times New Roman" w:eastAsia="Times New Roman" w:cs="Times New Roman"/>
          <w:sz w:val="15"/>
          <w:szCs w:val="15"/>
          <w:spacing w:val="-3"/>
          <w:position w:val="-1"/>
        </w:rPr>
        <w:t>10</w:t>
      </w:r>
      <w:r>
        <w:rPr>
          <w:rFonts w:ascii="SimSun" w:hAnsi="SimSun" w:eastAsia="SimSun" w:cs="SimSun"/>
          <w:sz w:val="24"/>
          <w:szCs w:val="24"/>
          <w:spacing w:val="-3"/>
        </w:rPr>
        <w:t>外，基本污染物均符合《环境空气质量标准》（</w:t>
      </w:r>
      <w:r>
        <w:rPr>
          <w:rFonts w:ascii="Times New Roman" w:hAnsi="Times New Roman" w:eastAsia="Times New Roman" w:cs="Times New Roman"/>
          <w:sz w:val="24"/>
          <w:szCs w:val="24"/>
          <w:spacing w:val="-3"/>
        </w:rPr>
        <w:t>GB3095-2012</w:t>
      </w:r>
      <w:r>
        <w:rPr>
          <w:rFonts w:ascii="SimSun" w:hAnsi="SimSun" w:eastAsia="SimSun" w:cs="SimSun"/>
          <w:sz w:val="24"/>
          <w:szCs w:val="24"/>
          <w:spacing w:val="-3"/>
        </w:rPr>
        <w:t>）的</w:t>
      </w:r>
    </w:p>
    <w:p>
      <w:pPr>
        <w:ind w:left="119"/>
        <w:spacing w:before="1" w:line="220" w:lineRule="auto"/>
        <w:rPr>
          <w:rFonts w:ascii="SimSun" w:hAnsi="SimSun" w:eastAsia="SimSun" w:cs="SimSun"/>
          <w:sz w:val="24"/>
          <w:szCs w:val="24"/>
        </w:rPr>
      </w:pPr>
      <w:r>
        <w:rPr>
          <w:rFonts w:ascii="SimSun" w:hAnsi="SimSun" w:eastAsia="SimSun" w:cs="SimSun"/>
          <w:sz w:val="24"/>
          <w:szCs w:val="24"/>
          <w:spacing w:val="-3"/>
        </w:rPr>
        <w:t>二级标准。</w:t>
      </w:r>
    </w:p>
    <w:p>
      <w:pPr>
        <w:ind w:left="595"/>
        <w:spacing w:before="213" w:line="219" w:lineRule="auto"/>
        <w:rPr>
          <w:rFonts w:ascii="SimSun" w:hAnsi="SimSun" w:eastAsia="SimSun" w:cs="SimSun"/>
          <w:sz w:val="24"/>
          <w:szCs w:val="24"/>
        </w:rPr>
      </w:pPr>
      <w:r>
        <w:rPr>
          <w:rFonts w:ascii="Times New Roman" w:hAnsi="Times New Roman" w:eastAsia="Times New Roman" w:cs="Times New Roman"/>
          <w:sz w:val="24"/>
          <w:szCs w:val="24"/>
          <w:spacing w:val="-1"/>
        </w:rPr>
        <w:t>3.1.2</w:t>
      </w:r>
      <w:r>
        <w:rPr>
          <w:rFonts w:ascii="SimSun" w:hAnsi="SimSun" w:eastAsia="SimSun" w:cs="SimSun"/>
          <w:sz w:val="24"/>
          <w:szCs w:val="24"/>
          <w:spacing w:val="-1"/>
        </w:rPr>
        <w:t>特征污染物环境质量现状调查</w:t>
      </w:r>
    </w:p>
    <w:p>
      <w:pPr>
        <w:spacing w:line="219" w:lineRule="auto"/>
        <w:sectPr>
          <w:footerReference w:type="default" r:id="rId33"/>
          <w:pgSz w:w="11906" w:h="16839"/>
          <w:pgMar w:top="400" w:right="1695" w:bottom="1211" w:left="1693" w:header="0" w:footer="1049" w:gutter="0"/>
        </w:sectPr>
        <w:rPr>
          <w:rFonts w:ascii="SimSun" w:hAnsi="SimSun" w:eastAsia="SimSun" w:cs="SimSun"/>
          <w:sz w:val="24"/>
          <w:szCs w:val="24"/>
        </w:rPr>
      </w:pPr>
    </w:p>
    <w:p>
      <w:pPr>
        <w:pStyle w:val="BodyText"/>
        <w:spacing w:line="288" w:lineRule="auto"/>
        <w:rPr/>
      </w:pPr>
      <w:r/>
    </w:p>
    <w:p>
      <w:pPr>
        <w:pStyle w:val="BodyText"/>
        <w:spacing w:line="288" w:lineRule="auto"/>
        <w:rPr/>
      </w:pPr>
      <w:r/>
    </w:p>
    <w:p>
      <w:pPr>
        <w:pStyle w:val="BodyText"/>
        <w:spacing w:line="288" w:lineRule="auto"/>
        <w:rPr/>
      </w:pPr>
      <w:r/>
    </w:p>
    <w:p>
      <w:pPr>
        <w:pStyle w:val="BodyText"/>
        <w:spacing w:line="288" w:lineRule="auto"/>
        <w:rPr/>
      </w:pPr>
      <w:r/>
    </w:p>
    <w:p>
      <w:pPr>
        <w:ind w:left="114" w:right="104" w:firstLine="480"/>
        <w:spacing w:before="78" w:line="384" w:lineRule="auto"/>
        <w:rPr>
          <w:rFonts w:ascii="SimSun" w:hAnsi="SimSun" w:eastAsia="SimSun" w:cs="SimSun"/>
          <w:sz w:val="24"/>
          <w:szCs w:val="24"/>
        </w:rPr>
      </w:pPr>
      <w:r>
        <w:rPr>
          <w:rFonts w:ascii="SimSun" w:hAnsi="SimSun" w:eastAsia="SimSun" w:cs="SimSun"/>
          <w:sz w:val="24"/>
          <w:szCs w:val="24"/>
          <w:spacing w:val="-10"/>
        </w:rPr>
        <w:t>根据本项目产排污环节分析，本项目特征污染物为非甲烷总烃因子。</w:t>
      </w:r>
      <w:r>
        <w:rPr>
          <w:rFonts w:ascii="SimSun" w:hAnsi="SimSun" w:eastAsia="SimSun" w:cs="SimSun"/>
          <w:sz w:val="24"/>
          <w:szCs w:val="24"/>
          <w:spacing w:val="-11"/>
        </w:rPr>
        <w:t>根据《环</w:t>
      </w:r>
      <w:r>
        <w:rPr>
          <w:rFonts w:ascii="SimSun" w:hAnsi="SimSun" w:eastAsia="SimSun" w:cs="SimSun"/>
          <w:sz w:val="24"/>
          <w:szCs w:val="24"/>
        </w:rPr>
        <w:t xml:space="preserve"> </w:t>
      </w:r>
      <w:r>
        <w:rPr>
          <w:rFonts w:ascii="SimSun" w:hAnsi="SimSun" w:eastAsia="SimSun" w:cs="SimSun"/>
          <w:sz w:val="24"/>
          <w:szCs w:val="24"/>
          <w:spacing w:val="-2"/>
        </w:rPr>
        <w:t>境影响评价技术导则 大气环境》（</w:t>
      </w:r>
      <w:r>
        <w:rPr>
          <w:rFonts w:ascii="Times New Roman" w:hAnsi="Times New Roman" w:eastAsia="Times New Roman" w:cs="Times New Roman"/>
          <w:sz w:val="24"/>
          <w:szCs w:val="24"/>
          <w:spacing w:val="-2"/>
        </w:rPr>
        <w:t>HJ2.2-2018</w:t>
      </w:r>
      <w:r>
        <w:rPr>
          <w:rFonts w:ascii="SimSun" w:hAnsi="SimSun" w:eastAsia="SimSun" w:cs="SimSun"/>
          <w:sz w:val="24"/>
          <w:szCs w:val="24"/>
          <w:spacing w:val="-2"/>
        </w:rPr>
        <w:t>）文件，</w:t>
      </w:r>
      <w:r>
        <w:rPr>
          <w:rFonts w:ascii="Times New Roman" w:hAnsi="Times New Roman" w:eastAsia="Times New Roman" w:cs="Times New Roman"/>
          <w:sz w:val="24"/>
          <w:szCs w:val="24"/>
          <w:spacing w:val="-2"/>
        </w:rPr>
        <w:t>6.1.2.2</w:t>
      </w:r>
      <w:r>
        <w:rPr>
          <w:rFonts w:ascii="SimSun" w:hAnsi="SimSun" w:eastAsia="SimSun" w:cs="SimSun"/>
          <w:sz w:val="24"/>
          <w:szCs w:val="24"/>
          <w:spacing w:val="-2"/>
        </w:rPr>
        <w:t>调查评价范围内有</w:t>
      </w:r>
      <w:r>
        <w:rPr>
          <w:rFonts w:ascii="SimSun" w:hAnsi="SimSun" w:eastAsia="SimSun" w:cs="SimSun"/>
          <w:sz w:val="24"/>
          <w:szCs w:val="24"/>
        </w:rPr>
        <w:t xml:space="preserve"> </w:t>
      </w:r>
      <w:r>
        <w:rPr>
          <w:rFonts w:ascii="SimSun" w:hAnsi="SimSun" w:eastAsia="SimSun" w:cs="SimSun"/>
          <w:sz w:val="24"/>
          <w:szCs w:val="24"/>
          <w:spacing w:val="-3"/>
        </w:rPr>
        <w:t>环境质量标准的评价因子的环境质量监测数据或进行补充监测，用于评价项目所</w:t>
      </w:r>
      <w:r>
        <w:rPr>
          <w:rFonts w:ascii="SimSun" w:hAnsi="SimSun" w:eastAsia="SimSun" w:cs="SimSun"/>
          <w:sz w:val="24"/>
          <w:szCs w:val="24"/>
          <w:spacing w:val="1"/>
        </w:rPr>
        <w:t xml:space="preserve"> </w:t>
      </w:r>
      <w:r>
        <w:rPr>
          <w:rFonts w:ascii="SimSun" w:hAnsi="SimSun" w:eastAsia="SimSun" w:cs="SimSun"/>
          <w:sz w:val="24"/>
          <w:szCs w:val="24"/>
          <w:spacing w:val="-3"/>
        </w:rPr>
        <w:t>在区域环境质量现状。由于非甲烷总烃因子无环境质量标准，因此未进行现状监</w:t>
      </w:r>
    </w:p>
    <w:p>
      <w:pPr>
        <w:ind w:left="116"/>
        <w:spacing w:line="219" w:lineRule="auto"/>
        <w:rPr>
          <w:rFonts w:ascii="SimSun" w:hAnsi="SimSun" w:eastAsia="SimSun" w:cs="SimSun"/>
          <w:sz w:val="24"/>
          <w:szCs w:val="24"/>
        </w:rPr>
      </w:pPr>
      <w:r>
        <w:rPr>
          <w:rFonts w:ascii="SimSun" w:hAnsi="SimSun" w:eastAsia="SimSun" w:cs="SimSun"/>
          <w:sz w:val="24"/>
          <w:szCs w:val="24"/>
          <w:spacing w:val="-1"/>
        </w:rPr>
        <w:t>测。项目周边无可引用的监测数据。</w:t>
      </w:r>
    </w:p>
    <w:p>
      <w:pPr>
        <w:ind w:left="583"/>
        <w:spacing w:before="214" w:line="219" w:lineRule="auto"/>
        <w:rPr>
          <w:rFonts w:ascii="Times New Roman" w:hAnsi="Times New Roman" w:eastAsia="Times New Roman" w:cs="Times New Roman"/>
          <w:sz w:val="24"/>
          <w:szCs w:val="24"/>
        </w:rPr>
      </w:pPr>
      <w:r>
        <w:rPr>
          <w:rFonts w:ascii="SimSun" w:hAnsi="SimSun" w:eastAsia="SimSun" w:cs="SimSun"/>
          <w:sz w:val="24"/>
          <w:szCs w:val="24"/>
          <w:spacing w:val="-1"/>
        </w:rPr>
        <w:t>“</w:t>
      </w:r>
      <w:r>
        <w:rPr>
          <w:rFonts w:ascii="SimSun" w:hAnsi="SimSun" w:eastAsia="SimSun" w:cs="SimSun"/>
          <w:sz w:val="24"/>
          <w:szCs w:val="24"/>
          <w14:textOutline w14:w="4358" w14:cap="sq" w14:cmpd="sng">
            <w14:solidFill>
              <w14:srgbClr w14:val="000000"/>
            </w14:solidFill>
            <w14:prstDash w14:val="solid"/>
            <w14:bevel/>
          </w14:textOutline>
          <w:spacing w:val="-1"/>
        </w:rPr>
        <w:t>完善废气污染物排放控制标准</w:t>
      </w:r>
      <w:r>
        <w:rPr>
          <w:rFonts w:ascii="SimSun" w:hAnsi="SimSun" w:eastAsia="SimSun" w:cs="SimSun"/>
          <w:sz w:val="24"/>
          <w:szCs w:val="24"/>
          <w:spacing w:val="-85"/>
        </w:rPr>
        <w:t xml:space="preserve"> </w:t>
      </w:r>
      <w:r>
        <w:rPr>
          <w:rFonts w:ascii="SimSun" w:hAnsi="SimSun" w:eastAsia="SimSun" w:cs="SimSun"/>
          <w:sz w:val="24"/>
          <w:szCs w:val="24"/>
          <w:spacing w:val="-1"/>
        </w:rPr>
        <w:t>”修改见</w:t>
      </w:r>
      <w:r>
        <w:rPr>
          <w:rFonts w:ascii="Times New Roman" w:hAnsi="Times New Roman" w:eastAsia="Times New Roman" w:cs="Times New Roman"/>
          <w:sz w:val="24"/>
          <w:szCs w:val="24"/>
          <w:spacing w:val="-1"/>
        </w:rPr>
        <w:t>P35</w:t>
      </w:r>
    </w:p>
    <w:p>
      <w:pPr>
        <w:ind w:left="599"/>
        <w:spacing w:before="216" w:line="220" w:lineRule="auto"/>
        <w:rPr>
          <w:rFonts w:ascii="SimSun" w:hAnsi="SimSun" w:eastAsia="SimSun" w:cs="SimSun"/>
          <w:sz w:val="24"/>
          <w:szCs w:val="24"/>
        </w:rPr>
      </w:pPr>
      <w:r>
        <w:rPr>
          <w:rFonts w:ascii="SimSun" w:hAnsi="SimSun" w:eastAsia="SimSun" w:cs="SimSun"/>
          <w:sz w:val="24"/>
          <w:szCs w:val="24"/>
          <w:spacing w:val="-2"/>
        </w:rPr>
        <w:t>一、大气污染物排放标准</w:t>
      </w:r>
    </w:p>
    <w:p>
      <w:pPr>
        <w:ind w:left="115" w:right="5" w:firstLine="480"/>
        <w:spacing w:before="212" w:line="385" w:lineRule="auto"/>
        <w:rPr>
          <w:rFonts w:ascii="SimSun" w:hAnsi="SimSun" w:eastAsia="SimSun" w:cs="SimSun"/>
          <w:sz w:val="24"/>
          <w:szCs w:val="24"/>
        </w:rPr>
      </w:pPr>
      <w:r>
        <w:rPr>
          <w:rFonts w:ascii="SimSun" w:hAnsi="SimSun" w:eastAsia="SimSun" w:cs="SimSun"/>
          <w:sz w:val="24"/>
          <w:szCs w:val="24"/>
          <w:spacing w:val="-1"/>
        </w:rPr>
        <w:t>运营期有组织废气执行《合成树脂工业污染</w:t>
      </w:r>
      <w:r>
        <w:rPr>
          <w:rFonts w:ascii="SimSun" w:hAnsi="SimSun" w:eastAsia="SimSun" w:cs="SimSun"/>
          <w:sz w:val="24"/>
          <w:szCs w:val="24"/>
          <w:spacing w:val="-2"/>
        </w:rPr>
        <w:t>物排放标准》（</w:t>
      </w:r>
      <w:r>
        <w:rPr>
          <w:rFonts w:ascii="Times New Roman" w:hAnsi="Times New Roman" w:eastAsia="Times New Roman" w:cs="Times New Roman"/>
          <w:sz w:val="24"/>
          <w:szCs w:val="24"/>
          <w:spacing w:val="-2"/>
        </w:rPr>
        <w:t>GB31572-2015</w:t>
      </w:r>
      <w:r>
        <w:rPr>
          <w:rFonts w:ascii="SimSun" w:hAnsi="SimSun" w:eastAsia="SimSun" w:cs="SimSun"/>
          <w:sz w:val="24"/>
          <w:szCs w:val="24"/>
          <w:spacing w:val="-2"/>
        </w:rPr>
        <w:t>）</w:t>
      </w:r>
      <w:r>
        <w:rPr>
          <w:rFonts w:ascii="SimSun" w:hAnsi="SimSun" w:eastAsia="SimSun" w:cs="SimSun"/>
          <w:sz w:val="24"/>
          <w:szCs w:val="24"/>
        </w:rPr>
        <w:t xml:space="preserve"> </w:t>
      </w:r>
      <w:r>
        <w:rPr>
          <w:rFonts w:ascii="SimSun" w:hAnsi="SimSun" w:eastAsia="SimSun" w:cs="SimSun"/>
          <w:sz w:val="24"/>
          <w:szCs w:val="24"/>
          <w:spacing w:val="-3"/>
        </w:rPr>
        <w:t>中表</w:t>
      </w:r>
      <w:r>
        <w:rPr>
          <w:rFonts w:ascii="Times New Roman" w:hAnsi="Times New Roman" w:eastAsia="Times New Roman" w:cs="Times New Roman"/>
          <w:sz w:val="24"/>
          <w:szCs w:val="24"/>
          <w:spacing w:val="-3"/>
        </w:rPr>
        <w:t>5</w:t>
      </w:r>
      <w:r>
        <w:rPr>
          <w:rFonts w:ascii="SimSun" w:hAnsi="SimSun" w:eastAsia="SimSun" w:cs="SimSun"/>
          <w:sz w:val="24"/>
          <w:szCs w:val="24"/>
          <w:spacing w:val="-3"/>
        </w:rPr>
        <w:t>大气污染物特别排放限值。无组织废气执行表</w:t>
      </w:r>
      <w:r>
        <w:rPr>
          <w:rFonts w:ascii="Times New Roman" w:hAnsi="Times New Roman" w:eastAsia="Times New Roman" w:cs="Times New Roman"/>
          <w:sz w:val="24"/>
          <w:szCs w:val="24"/>
          <w:spacing w:val="-3"/>
        </w:rPr>
        <w:t>9</w:t>
      </w:r>
      <w:r>
        <w:rPr>
          <w:rFonts w:ascii="SimSun" w:hAnsi="SimSun" w:eastAsia="SimSun" w:cs="SimSun"/>
          <w:sz w:val="24"/>
          <w:szCs w:val="24"/>
          <w:spacing w:val="-3"/>
        </w:rPr>
        <w:t>企业边界大气污染物浓度限</w:t>
      </w:r>
      <w:r>
        <w:rPr>
          <w:rFonts w:ascii="SimSun" w:hAnsi="SimSun" w:eastAsia="SimSun" w:cs="SimSun"/>
          <w:sz w:val="24"/>
          <w:szCs w:val="24"/>
          <w:spacing w:val="4"/>
        </w:rPr>
        <w:t xml:space="preserve"> </w:t>
      </w:r>
      <w:r>
        <w:rPr>
          <w:rFonts w:ascii="SimSun" w:hAnsi="SimSun" w:eastAsia="SimSun" w:cs="SimSun"/>
          <w:sz w:val="24"/>
          <w:szCs w:val="24"/>
          <w:spacing w:val="2"/>
        </w:rPr>
        <w:t>值要求，厂区内执行《挥发性有机物无组织排放控制标准》（</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2"/>
        </w:rPr>
        <w:t>37822-2019</w:t>
      </w:r>
      <w:r>
        <w:rPr>
          <w:rFonts w:ascii="SimSun" w:hAnsi="SimSun" w:eastAsia="SimSun" w:cs="SimSun"/>
          <w:sz w:val="24"/>
          <w:szCs w:val="24"/>
          <w:spacing w:val="2"/>
        </w:rPr>
        <w:t>）</w:t>
      </w:r>
    </w:p>
    <w:p>
      <w:pPr>
        <w:ind w:left="114"/>
        <w:spacing w:line="219" w:lineRule="auto"/>
        <w:rPr>
          <w:rFonts w:ascii="SimSun" w:hAnsi="SimSun" w:eastAsia="SimSun" w:cs="SimSun"/>
          <w:sz w:val="24"/>
          <w:szCs w:val="24"/>
        </w:rPr>
      </w:pPr>
      <w:r>
        <w:rPr>
          <w:rFonts w:ascii="SimSun" w:hAnsi="SimSun" w:eastAsia="SimSun" w:cs="SimSun"/>
          <w:sz w:val="24"/>
          <w:szCs w:val="24"/>
          <w:spacing w:val="-3"/>
        </w:rPr>
        <w:t>表</w:t>
      </w:r>
      <w:r>
        <w:rPr>
          <w:rFonts w:ascii="Times New Roman" w:hAnsi="Times New Roman" w:eastAsia="Times New Roman" w:cs="Times New Roman"/>
          <w:sz w:val="24"/>
          <w:szCs w:val="24"/>
          <w:spacing w:val="-3"/>
        </w:rPr>
        <w:t>A.</w:t>
      </w:r>
      <w:r>
        <w:rPr>
          <w:rFonts w:ascii="Times New Roman" w:hAnsi="Times New Roman" w:eastAsia="Times New Roman" w:cs="Times New Roman"/>
          <w:sz w:val="24"/>
          <w:szCs w:val="24"/>
          <w:spacing w:val="-22"/>
        </w:rPr>
        <w:t xml:space="preserve"> </w:t>
      </w:r>
      <w:r>
        <w:rPr>
          <w:rFonts w:ascii="Times New Roman" w:hAnsi="Times New Roman" w:eastAsia="Times New Roman" w:cs="Times New Roman"/>
          <w:sz w:val="24"/>
          <w:szCs w:val="24"/>
          <w:spacing w:val="-3"/>
        </w:rPr>
        <w:t>1</w:t>
      </w:r>
      <w:r>
        <w:rPr>
          <w:rFonts w:ascii="SimSun" w:hAnsi="SimSun" w:eastAsia="SimSun" w:cs="SimSun"/>
          <w:sz w:val="24"/>
          <w:szCs w:val="24"/>
          <w:spacing w:val="-3"/>
        </w:rPr>
        <w:t>特别排放限值。详见下表。</w:t>
      </w:r>
    </w:p>
    <w:p>
      <w:pPr>
        <w:ind w:left="1110"/>
        <w:spacing w:before="135" w:line="219" w:lineRule="auto"/>
        <w:rPr>
          <w:rFonts w:ascii="SimSun" w:hAnsi="SimSun" w:eastAsia="SimSun" w:cs="SimSun"/>
          <w:sz w:val="24"/>
          <w:szCs w:val="24"/>
        </w:rPr>
      </w:pPr>
      <w:r>
        <w:rPr>
          <w:rFonts w:ascii="SimSun" w:hAnsi="SimSun" w:eastAsia="SimSun" w:cs="SimSun"/>
          <w:sz w:val="24"/>
          <w:szCs w:val="24"/>
          <w:spacing w:val="-1"/>
        </w:rPr>
        <w:t>表</w:t>
      </w:r>
      <w:r>
        <w:rPr>
          <w:rFonts w:ascii="Times New Roman" w:hAnsi="Times New Roman" w:eastAsia="Times New Roman" w:cs="Times New Roman"/>
          <w:sz w:val="24"/>
          <w:szCs w:val="24"/>
          <w:spacing w:val="-1"/>
        </w:rPr>
        <w:t>3.8-</w:t>
      </w:r>
      <w:r>
        <w:rPr>
          <w:rFonts w:ascii="Times New Roman" w:hAnsi="Times New Roman" w:eastAsia="Times New Roman" w:cs="Times New Roman"/>
          <w:sz w:val="24"/>
          <w:szCs w:val="24"/>
          <w:spacing w:val="-30"/>
        </w:rPr>
        <w:t xml:space="preserve"> </w:t>
      </w:r>
      <w:r>
        <w:rPr>
          <w:rFonts w:ascii="Times New Roman" w:hAnsi="Times New Roman" w:eastAsia="Times New Roman" w:cs="Times New Roman"/>
          <w:sz w:val="24"/>
          <w:szCs w:val="24"/>
          <w:spacing w:val="-1"/>
        </w:rPr>
        <w:t>1        </w:t>
      </w:r>
      <w:r>
        <w:rPr>
          <w:rFonts w:ascii="SimSun" w:hAnsi="SimSun" w:eastAsia="SimSun" w:cs="SimSun"/>
          <w:sz w:val="24"/>
          <w:szCs w:val="24"/>
          <w:spacing w:val="-1"/>
        </w:rPr>
        <w:t>合成树脂工业污染物排放标准（</w:t>
      </w:r>
      <w:r>
        <w:rPr>
          <w:rFonts w:ascii="Times New Roman" w:hAnsi="Times New Roman" w:eastAsia="Times New Roman" w:cs="Times New Roman"/>
          <w:sz w:val="24"/>
          <w:szCs w:val="24"/>
          <w:spacing w:val="-1"/>
        </w:rPr>
        <w:t>GB31572-2015</w:t>
      </w:r>
      <w:r>
        <w:rPr>
          <w:rFonts w:ascii="SimSun" w:hAnsi="SimSun" w:eastAsia="SimSun" w:cs="SimSun"/>
          <w:sz w:val="24"/>
          <w:szCs w:val="24"/>
          <w:spacing w:val="-1"/>
        </w:rPr>
        <w:t>）</w:t>
      </w:r>
    </w:p>
    <w:tbl>
      <w:tblPr>
        <w:tblStyle w:val="TableNormal"/>
        <w:tblW w:w="8516"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61"/>
        <w:gridCol w:w="2549"/>
        <w:gridCol w:w="1674"/>
        <w:gridCol w:w="3532"/>
      </w:tblGrid>
      <w:tr>
        <w:trPr>
          <w:trHeight w:val="473" w:hRule="atLeast"/>
        </w:trPr>
        <w:tc>
          <w:tcPr>
            <w:tcW w:w="761" w:type="dxa"/>
            <w:vAlign w:val="top"/>
            <w:tcBorders>
              <w:top w:val="single" w:color="000000" w:sz="10" w:space="0"/>
              <w:left w:val="nil"/>
            </w:tcBorders>
          </w:tcPr>
          <w:p>
            <w:pPr>
              <w:pStyle w:val="TableText"/>
              <w:ind w:left="178"/>
              <w:spacing w:before="165" w:line="229" w:lineRule="auto"/>
              <w:rPr>
                <w:sz w:val="20"/>
                <w:szCs w:val="20"/>
              </w:rPr>
            </w:pPr>
            <w:r>
              <w:rPr>
                <w:sz w:val="20"/>
                <w:szCs w:val="20"/>
                <w:spacing w:val="5"/>
              </w:rPr>
              <w:t>序号</w:t>
            </w:r>
          </w:p>
        </w:tc>
        <w:tc>
          <w:tcPr>
            <w:tcW w:w="2549" w:type="dxa"/>
            <w:vAlign w:val="top"/>
            <w:tcBorders>
              <w:top w:val="single" w:color="000000" w:sz="10" w:space="0"/>
            </w:tcBorders>
          </w:tcPr>
          <w:p>
            <w:pPr>
              <w:pStyle w:val="TableText"/>
              <w:ind w:left="756"/>
              <w:spacing w:before="165" w:line="228" w:lineRule="auto"/>
              <w:rPr>
                <w:sz w:val="20"/>
                <w:szCs w:val="20"/>
              </w:rPr>
            </w:pPr>
            <w:r>
              <w:rPr>
                <w:sz w:val="20"/>
                <w:szCs w:val="20"/>
                <w:spacing w:val="7"/>
              </w:rPr>
              <w:t>污染物项目</w:t>
            </w:r>
          </w:p>
        </w:tc>
        <w:tc>
          <w:tcPr>
            <w:tcW w:w="1674" w:type="dxa"/>
            <w:vAlign w:val="top"/>
            <w:tcBorders>
              <w:top w:val="single" w:color="000000" w:sz="10" w:space="0"/>
            </w:tcBorders>
          </w:tcPr>
          <w:p>
            <w:pPr>
              <w:pStyle w:val="TableText"/>
              <w:ind w:left="423"/>
              <w:spacing w:before="164" w:line="228" w:lineRule="auto"/>
              <w:rPr>
                <w:sz w:val="20"/>
                <w:szCs w:val="20"/>
              </w:rPr>
            </w:pPr>
            <w:r>
              <w:rPr>
                <w:sz w:val="20"/>
                <w:szCs w:val="20"/>
                <w:spacing w:val="7"/>
              </w:rPr>
              <w:t>排放限值</w:t>
            </w:r>
          </w:p>
        </w:tc>
        <w:tc>
          <w:tcPr>
            <w:tcW w:w="3532" w:type="dxa"/>
            <w:vAlign w:val="top"/>
            <w:tcBorders>
              <w:top w:val="single" w:color="000000" w:sz="10" w:space="0"/>
              <w:right w:val="nil"/>
            </w:tcBorders>
          </w:tcPr>
          <w:p>
            <w:pPr>
              <w:pStyle w:val="TableText"/>
              <w:ind w:left="512"/>
              <w:spacing w:before="164" w:line="228" w:lineRule="auto"/>
              <w:rPr>
                <w:sz w:val="20"/>
                <w:szCs w:val="20"/>
              </w:rPr>
            </w:pPr>
            <w:r>
              <w:rPr>
                <w:sz w:val="20"/>
                <w:szCs w:val="20"/>
                <w:spacing w:val="8"/>
              </w:rPr>
              <w:t>单位产品非甲烷总烃排放量</w:t>
            </w:r>
          </w:p>
        </w:tc>
      </w:tr>
    </w:tbl>
    <w:p>
      <w:pPr>
        <w:ind w:left="3952"/>
        <w:spacing w:before="163" w:line="228" w:lineRule="auto"/>
        <w:rPr>
          <w:rFonts w:ascii="SimSun" w:hAnsi="SimSun" w:eastAsia="SimSun" w:cs="SimSun"/>
          <w:sz w:val="20"/>
          <w:szCs w:val="20"/>
        </w:rPr>
      </w:pPr>
      <w:r>
        <w:rPr>
          <w:rFonts w:ascii="SimSun" w:hAnsi="SimSun" w:eastAsia="SimSun" w:cs="SimSun"/>
          <w:sz w:val="20"/>
          <w:szCs w:val="20"/>
          <w:spacing w:val="6"/>
        </w:rPr>
        <w:t>有组织</w:t>
      </w:r>
    </w:p>
    <w:p>
      <w:pPr>
        <w:spacing w:line="55" w:lineRule="exact"/>
        <w:rPr/>
      </w:pPr>
      <w:r/>
    </w:p>
    <w:tbl>
      <w:tblPr>
        <w:tblStyle w:val="TableNormal"/>
        <w:tblW w:w="8516"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61"/>
        <w:gridCol w:w="2549"/>
        <w:gridCol w:w="1674"/>
        <w:gridCol w:w="3532"/>
      </w:tblGrid>
      <w:tr>
        <w:trPr>
          <w:trHeight w:val="478" w:hRule="atLeast"/>
        </w:trPr>
        <w:tc>
          <w:tcPr>
            <w:tcW w:w="761" w:type="dxa"/>
            <w:vAlign w:val="top"/>
            <w:tcBorders>
              <w:left w:val="nil"/>
            </w:tcBorders>
          </w:tcPr>
          <w:p>
            <w:pPr>
              <w:ind w:left="351"/>
              <w:spacing w:before="2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549" w:type="dxa"/>
            <w:vAlign w:val="top"/>
          </w:tcPr>
          <w:p>
            <w:pPr>
              <w:pStyle w:val="TableText"/>
              <w:ind w:left="757"/>
              <w:spacing w:before="168" w:line="228" w:lineRule="auto"/>
              <w:rPr>
                <w:sz w:val="20"/>
                <w:szCs w:val="20"/>
              </w:rPr>
            </w:pPr>
            <w:r>
              <w:rPr>
                <w:sz w:val="20"/>
                <w:szCs w:val="20"/>
                <w:spacing w:val="7"/>
              </w:rPr>
              <w:t>非甲烷总烃</w:t>
            </w:r>
          </w:p>
        </w:tc>
        <w:tc>
          <w:tcPr>
            <w:tcW w:w="1674" w:type="dxa"/>
            <w:vAlign w:val="top"/>
          </w:tcPr>
          <w:p>
            <w:pPr>
              <w:pStyle w:val="TableText"/>
              <w:ind w:left="403"/>
              <w:spacing w:before="188" w:line="202" w:lineRule="auto"/>
              <w:rPr>
                <w:sz w:val="20"/>
                <w:szCs w:val="20"/>
              </w:rPr>
            </w:pPr>
            <w:r>
              <w:rPr>
                <w:rFonts w:ascii="Times New Roman" w:hAnsi="Times New Roman" w:eastAsia="Times New Roman" w:cs="Times New Roman"/>
                <w:sz w:val="20"/>
                <w:szCs w:val="20"/>
                <w:spacing w:val="3"/>
              </w:rPr>
              <w:t>100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3"/>
              </w:rPr>
              <w:t>/m</w:t>
            </w:r>
            <w:r>
              <w:rPr>
                <w:sz w:val="20"/>
                <w:szCs w:val="20"/>
                <w:spacing w:val="3"/>
              </w:rPr>
              <w:t>³</w:t>
            </w:r>
          </w:p>
        </w:tc>
        <w:tc>
          <w:tcPr>
            <w:tcW w:w="3532" w:type="dxa"/>
            <w:vAlign w:val="top"/>
            <w:tcBorders>
              <w:right w:val="nil"/>
            </w:tcBorders>
          </w:tcPr>
          <w:p>
            <w:pPr>
              <w:pStyle w:val="TableText"/>
              <w:ind w:left="1266"/>
              <w:spacing w:before="167" w:line="221" w:lineRule="auto"/>
              <w:rPr>
                <w:sz w:val="20"/>
                <w:szCs w:val="20"/>
              </w:rPr>
            </w:pPr>
            <w:r>
              <w:rPr>
                <w:rFonts w:ascii="Times New Roman" w:hAnsi="Times New Roman" w:eastAsia="Times New Roman" w:cs="Times New Roman"/>
                <w:sz w:val="20"/>
                <w:szCs w:val="20"/>
                <w:spacing w:val="5"/>
              </w:rPr>
              <w:t>0.3</w:t>
            </w:r>
            <w:r>
              <w:rPr>
                <w:rFonts w:ascii="Times New Roman" w:hAnsi="Times New Roman" w:eastAsia="Times New Roman" w:cs="Times New Roman"/>
                <w:sz w:val="20"/>
                <w:szCs w:val="20"/>
              </w:rPr>
              <w:t>kg</w:t>
            </w:r>
            <w:r>
              <w:rPr>
                <w:rFonts w:ascii="Times New Roman" w:hAnsi="Times New Roman" w:eastAsia="Times New Roman" w:cs="Times New Roman"/>
                <w:sz w:val="20"/>
                <w:szCs w:val="20"/>
                <w:spacing w:val="5"/>
              </w:rPr>
              <w:t>/t</w:t>
            </w:r>
            <w:r>
              <w:rPr>
                <w:sz w:val="20"/>
                <w:szCs w:val="20"/>
                <w:spacing w:val="5"/>
              </w:rPr>
              <w:t>产品</w:t>
            </w:r>
          </w:p>
        </w:tc>
      </w:tr>
    </w:tbl>
    <w:p>
      <w:pPr>
        <w:ind w:left="3953"/>
        <w:spacing w:before="162" w:line="228" w:lineRule="auto"/>
        <w:rPr>
          <w:rFonts w:ascii="SimSun" w:hAnsi="SimSun" w:eastAsia="SimSun" w:cs="SimSun"/>
          <w:sz w:val="20"/>
          <w:szCs w:val="20"/>
        </w:rPr>
      </w:pPr>
      <w:r>
        <w:rPr>
          <w:rFonts w:ascii="SimSun" w:hAnsi="SimSun" w:eastAsia="SimSun" w:cs="SimSun"/>
          <w:sz w:val="20"/>
          <w:szCs w:val="20"/>
          <w:spacing w:val="6"/>
        </w:rPr>
        <w:t>无组织</w:t>
      </w:r>
    </w:p>
    <w:p>
      <w:pPr>
        <w:spacing w:line="60" w:lineRule="exact"/>
        <w:rPr/>
      </w:pPr>
      <w:r/>
    </w:p>
    <w:tbl>
      <w:tblPr>
        <w:tblStyle w:val="TableNormal"/>
        <w:tblW w:w="8516"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61"/>
        <w:gridCol w:w="2549"/>
        <w:gridCol w:w="1674"/>
        <w:gridCol w:w="3532"/>
      </w:tblGrid>
      <w:tr>
        <w:trPr>
          <w:trHeight w:val="466" w:hRule="atLeast"/>
        </w:trPr>
        <w:tc>
          <w:tcPr>
            <w:tcW w:w="761" w:type="dxa"/>
            <w:vAlign w:val="top"/>
            <w:tcBorders>
              <w:left w:val="nil"/>
            </w:tcBorders>
          </w:tcPr>
          <w:p>
            <w:pPr>
              <w:ind w:left="351"/>
              <w:spacing w:before="2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549" w:type="dxa"/>
            <w:vAlign w:val="top"/>
          </w:tcPr>
          <w:p>
            <w:pPr>
              <w:pStyle w:val="TableText"/>
              <w:ind w:left="337"/>
              <w:spacing w:before="167" w:line="228" w:lineRule="auto"/>
              <w:rPr>
                <w:sz w:val="20"/>
                <w:szCs w:val="20"/>
              </w:rPr>
            </w:pPr>
            <w:r>
              <w:rPr>
                <w:sz w:val="20"/>
                <w:szCs w:val="20"/>
                <w:spacing w:val="7"/>
              </w:rPr>
              <w:t>非甲烷总烃（厂界）</w:t>
            </w:r>
          </w:p>
        </w:tc>
        <w:tc>
          <w:tcPr>
            <w:tcW w:w="1674" w:type="dxa"/>
            <w:vAlign w:val="top"/>
          </w:tcPr>
          <w:p>
            <w:pPr>
              <w:pStyle w:val="TableText"/>
              <w:ind w:left="408"/>
              <w:spacing w:before="187" w:line="202" w:lineRule="auto"/>
              <w:rPr>
                <w:sz w:val="20"/>
                <w:szCs w:val="20"/>
              </w:rPr>
            </w:pPr>
            <w:r>
              <w:rPr>
                <w:rFonts w:ascii="Times New Roman" w:hAnsi="Times New Roman" w:eastAsia="Times New Roman" w:cs="Times New Roman"/>
                <w:sz w:val="20"/>
                <w:szCs w:val="20"/>
                <w:spacing w:val="5"/>
              </w:rPr>
              <w:t>4.0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/m</w:t>
            </w:r>
            <w:r>
              <w:rPr>
                <w:sz w:val="20"/>
                <w:szCs w:val="20"/>
                <w:spacing w:val="5"/>
              </w:rPr>
              <w:t>³</w:t>
            </w:r>
          </w:p>
        </w:tc>
        <w:tc>
          <w:tcPr>
            <w:tcW w:w="3532" w:type="dxa"/>
            <w:vAlign w:val="top"/>
            <w:tcBorders>
              <w:right w:val="nil"/>
            </w:tcBorders>
          </w:tcPr>
          <w:p>
            <w:pPr>
              <w:ind w:left="1734"/>
              <w:spacing w:before="19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485" w:hRule="atLeast"/>
        </w:trPr>
        <w:tc>
          <w:tcPr>
            <w:tcW w:w="761" w:type="dxa"/>
            <w:vAlign w:val="top"/>
            <w:tcBorders>
              <w:left w:val="nil"/>
              <w:bottom w:val="single" w:color="000000" w:sz="10" w:space="0"/>
            </w:tcBorders>
          </w:tcPr>
          <w:p>
            <w:pPr>
              <w:ind w:left="331"/>
              <w:spacing w:before="2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549" w:type="dxa"/>
            <w:vAlign w:val="top"/>
            <w:tcBorders>
              <w:bottom w:val="single" w:color="000000" w:sz="10" w:space="0"/>
            </w:tcBorders>
          </w:tcPr>
          <w:p>
            <w:pPr>
              <w:pStyle w:val="TableText"/>
              <w:ind w:left="232"/>
              <w:spacing w:before="175" w:line="228" w:lineRule="auto"/>
              <w:rPr>
                <w:sz w:val="20"/>
                <w:szCs w:val="20"/>
              </w:rPr>
            </w:pPr>
            <w:r>
              <w:rPr>
                <w:sz w:val="20"/>
                <w:szCs w:val="20"/>
                <w:spacing w:val="7"/>
              </w:rPr>
              <w:t>非甲烷总烃（厂区内）</w:t>
            </w:r>
          </w:p>
        </w:tc>
        <w:tc>
          <w:tcPr>
            <w:tcW w:w="1674" w:type="dxa"/>
            <w:vAlign w:val="top"/>
            <w:tcBorders>
              <w:bottom w:val="single" w:color="000000" w:sz="10" w:space="0"/>
            </w:tcBorders>
          </w:tcPr>
          <w:p>
            <w:pPr>
              <w:pStyle w:val="TableText"/>
              <w:ind w:left="414"/>
              <w:spacing w:before="196" w:line="202" w:lineRule="auto"/>
              <w:rPr>
                <w:sz w:val="20"/>
                <w:szCs w:val="20"/>
              </w:rPr>
            </w:pPr>
            <w:r>
              <w:rPr>
                <w:rFonts w:ascii="Times New Roman" w:hAnsi="Times New Roman" w:eastAsia="Times New Roman" w:cs="Times New Roman"/>
                <w:sz w:val="20"/>
                <w:szCs w:val="20"/>
                <w:spacing w:val="4"/>
              </w:rPr>
              <w:t>6.0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4"/>
              </w:rPr>
              <w:t>/m</w:t>
            </w:r>
            <w:r>
              <w:rPr>
                <w:sz w:val="20"/>
                <w:szCs w:val="20"/>
                <w:spacing w:val="4"/>
              </w:rPr>
              <w:t>³</w:t>
            </w:r>
          </w:p>
        </w:tc>
        <w:tc>
          <w:tcPr>
            <w:tcW w:w="3532" w:type="dxa"/>
            <w:vAlign w:val="top"/>
            <w:tcBorders>
              <w:right w:val="nil"/>
              <w:bottom w:val="single" w:color="000000" w:sz="10" w:space="0"/>
            </w:tcBorders>
          </w:tcPr>
          <w:p>
            <w:pPr>
              <w:ind w:left="1734"/>
              <w:spacing w:before="20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bl>
    <w:p>
      <w:pPr>
        <w:pStyle w:val="BodyText"/>
        <w:spacing w:line="355" w:lineRule="auto"/>
        <w:rPr/>
      </w:pPr>
      <w:r/>
    </w:p>
    <w:p>
      <w:pPr>
        <w:spacing w:before="91" w:line="220" w:lineRule="auto"/>
        <w:outlineLvl w:val="0"/>
        <w:jc w:val="right"/>
        <w:rPr>
          <w:rFonts w:ascii="SimSun" w:hAnsi="SimSun" w:eastAsia="SimSun" w:cs="SimSun"/>
          <w:sz w:val="28"/>
          <w:szCs w:val="28"/>
        </w:rPr>
      </w:pPr>
      <w:r>
        <w:rPr>
          <w:rFonts w:ascii="Times New Roman" w:hAnsi="Times New Roman" w:eastAsia="Times New Roman" w:cs="Times New Roman"/>
          <w:sz w:val="28"/>
          <w:szCs w:val="28"/>
          <w:b/>
          <w:bCs/>
          <w:spacing w:val="-5"/>
        </w:rPr>
        <w:t>3</w:t>
      </w:r>
      <w:r>
        <w:rPr>
          <w:rFonts w:ascii="SimSun" w:hAnsi="SimSun" w:eastAsia="SimSun" w:cs="SimSun"/>
          <w:sz w:val="28"/>
          <w:szCs w:val="28"/>
          <w14:textOutline w14:w="5103" w14:cap="sq" w14:cmpd="sng">
            <w14:solidFill>
              <w14:srgbClr w14:val="000000"/>
            </w14:solidFill>
            <w14:prstDash w14:val="solid"/>
            <w14:bevel/>
          </w14:textOutline>
          <w:spacing w:val="-5"/>
        </w:rPr>
        <w:t>、完善说明废气收集情况，完善废气污染治理设施</w:t>
      </w:r>
      <w:r>
        <w:rPr>
          <w:rFonts w:ascii="SimSun" w:hAnsi="SimSun" w:eastAsia="SimSun" w:cs="SimSun"/>
          <w:sz w:val="28"/>
          <w:szCs w:val="28"/>
          <w14:textOutline w14:w="5103" w14:cap="sq" w14:cmpd="sng">
            <w14:solidFill>
              <w14:srgbClr w14:val="000000"/>
            </w14:solidFill>
            <w14:prstDash w14:val="solid"/>
            <w14:bevel/>
          </w14:textOutline>
          <w:spacing w:val="-6"/>
        </w:rPr>
        <w:t>的可行技术分析，</w:t>
      </w:r>
    </w:p>
    <w:p>
      <w:pPr>
        <w:ind w:left="119" w:right="106"/>
        <w:spacing w:before="227" w:line="369"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完善分析所采用的两级活性炭吸附装置净化处理挥发性有机物措施</w:t>
      </w:r>
      <w:r>
        <w:rPr>
          <w:rFonts w:ascii="SimSun" w:hAnsi="SimSun" w:eastAsia="SimSun" w:cs="SimSun"/>
          <w:sz w:val="28"/>
          <w:szCs w:val="28"/>
          <w:spacing w:val="8"/>
        </w:rPr>
        <w:t xml:space="preserve">  </w:t>
      </w:r>
      <w:r>
        <w:rPr>
          <w:rFonts w:ascii="SimSun" w:hAnsi="SimSun" w:eastAsia="SimSun" w:cs="SimSun"/>
          <w:sz w:val="28"/>
          <w:szCs w:val="28"/>
          <w14:textOutline w14:w="5103" w14:cap="sq" w14:cmpd="sng">
            <w14:solidFill>
              <w14:srgbClr w14:val="000000"/>
            </w14:solidFill>
            <w14:prstDash w14:val="solid"/>
            <w14:bevel/>
          </w14:textOutline>
          <w:spacing w:val="-4"/>
        </w:rPr>
        <w:t>的合规性和有效性、稳定达标的可行性，明确活性炭的充填和更换要</w:t>
      </w:r>
      <w:r>
        <w:rPr>
          <w:rFonts w:ascii="SimSun" w:hAnsi="SimSun" w:eastAsia="SimSun" w:cs="SimSun"/>
          <w:sz w:val="28"/>
          <w:szCs w:val="28"/>
          <w:spacing w:val="9"/>
        </w:rPr>
        <w:t xml:space="preserve"> </w:t>
      </w:r>
      <w:r>
        <w:rPr>
          <w:rFonts w:ascii="SimSun" w:hAnsi="SimSun" w:eastAsia="SimSun" w:cs="SimSun"/>
          <w:sz w:val="28"/>
          <w:szCs w:val="28"/>
          <w14:textOutline w14:w="5103" w14:cap="sq" w14:cmpd="sng">
            <w14:solidFill>
              <w14:srgbClr w14:val="000000"/>
            </w14:solidFill>
            <w14:prstDash w14:val="solid"/>
            <w14:bevel/>
          </w14:textOutline>
          <w:spacing w:val="-4"/>
        </w:rPr>
        <w:t>求，完善废气污染物监测计划；核实污染物总量指标表述内容，完善</w:t>
      </w:r>
    </w:p>
    <w:p>
      <w:pPr>
        <w:ind w:left="120"/>
        <w:spacing w:before="1" w:line="219"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说明新增大气污染物总量指标倍量替代来源。</w:t>
      </w:r>
    </w:p>
    <w:p>
      <w:pPr>
        <w:ind w:left="621"/>
        <w:spacing w:before="216" w:line="499" w:lineRule="exact"/>
        <w:rPr>
          <w:rFonts w:ascii="Times New Roman" w:hAnsi="Times New Roman" w:eastAsia="Times New Roman" w:cs="Times New Roman"/>
          <w:sz w:val="24"/>
          <w:szCs w:val="24"/>
        </w:rPr>
      </w:pPr>
      <w:r>
        <w:rPr>
          <w:rFonts w:ascii="SimSun" w:hAnsi="SimSun" w:eastAsia="SimSun" w:cs="SimSun"/>
          <w:sz w:val="24"/>
          <w:szCs w:val="24"/>
          <w:spacing w:val="-3"/>
          <w:position w:val="19"/>
        </w:rPr>
        <w:t>已修改，“</w:t>
      </w:r>
      <w:r>
        <w:rPr>
          <w:rFonts w:ascii="SimSun" w:hAnsi="SimSun" w:eastAsia="SimSun" w:cs="SimSun"/>
          <w:sz w:val="24"/>
          <w:szCs w:val="24"/>
          <w14:textOutline w14:w="4358" w14:cap="sq" w14:cmpd="sng">
            <w14:solidFill>
              <w14:srgbClr w14:val="000000"/>
            </w14:solidFill>
            <w14:prstDash w14:val="solid"/>
            <w14:bevel/>
          </w14:textOutline>
          <w:spacing w:val="-3"/>
          <w:position w:val="19"/>
        </w:rPr>
        <w:t>完善说明废气收集情况</w:t>
      </w:r>
      <w:r>
        <w:rPr>
          <w:rFonts w:ascii="SimSun" w:hAnsi="SimSun" w:eastAsia="SimSun" w:cs="SimSun"/>
          <w:sz w:val="24"/>
          <w:szCs w:val="24"/>
          <w:spacing w:val="-81"/>
          <w:position w:val="19"/>
        </w:rPr>
        <w:t xml:space="preserve"> </w:t>
      </w:r>
      <w:r>
        <w:rPr>
          <w:rFonts w:ascii="SimSun" w:hAnsi="SimSun" w:eastAsia="SimSun" w:cs="SimSun"/>
          <w:sz w:val="24"/>
          <w:szCs w:val="24"/>
          <w:spacing w:val="-3"/>
          <w:position w:val="19"/>
        </w:rPr>
        <w:t>”修改见</w:t>
      </w:r>
      <w:r>
        <w:rPr>
          <w:rFonts w:ascii="Times New Roman" w:hAnsi="Times New Roman" w:eastAsia="Times New Roman" w:cs="Times New Roman"/>
          <w:sz w:val="24"/>
          <w:szCs w:val="24"/>
          <w:spacing w:val="-3"/>
          <w:position w:val="19"/>
        </w:rPr>
        <w:t>P37</w:t>
      </w:r>
    </w:p>
    <w:p>
      <w:pPr>
        <w:ind w:left="593"/>
        <w:spacing w:line="217" w:lineRule="auto"/>
        <w:rPr>
          <w:rFonts w:ascii="SimSun" w:hAnsi="SimSun" w:eastAsia="SimSun" w:cs="SimSun"/>
          <w:sz w:val="24"/>
          <w:szCs w:val="24"/>
        </w:rPr>
      </w:pPr>
      <w:r>
        <w:rPr>
          <w:rFonts w:ascii="SimSun" w:hAnsi="SimSun" w:eastAsia="SimSun" w:cs="SimSun"/>
          <w:sz w:val="24"/>
          <w:szCs w:val="24"/>
          <w:spacing w:val="-2"/>
        </w:rPr>
        <w:t>②废气收集情况</w:t>
      </w:r>
    </w:p>
    <w:p>
      <w:pPr>
        <w:ind w:left="597"/>
        <w:spacing w:before="217" w:line="501" w:lineRule="exact"/>
        <w:rPr>
          <w:rFonts w:ascii="SimSun" w:hAnsi="SimSun" w:eastAsia="SimSun" w:cs="SimSun"/>
          <w:sz w:val="24"/>
          <w:szCs w:val="24"/>
        </w:rPr>
      </w:pPr>
      <w:r>
        <w:rPr>
          <w:rFonts w:ascii="SimSun" w:hAnsi="SimSun" w:eastAsia="SimSun" w:cs="SimSun"/>
          <w:sz w:val="24"/>
          <w:szCs w:val="24"/>
          <w:spacing w:val="-1"/>
          <w:position w:val="19"/>
        </w:rPr>
        <w:t>主要产生废气设备建设局部密闭式集气罩，在污染物产生点上方</w:t>
      </w:r>
      <w:r>
        <w:rPr>
          <w:rFonts w:ascii="Times New Roman" w:hAnsi="Times New Roman" w:eastAsia="Times New Roman" w:cs="Times New Roman"/>
          <w:sz w:val="24"/>
          <w:szCs w:val="24"/>
          <w:spacing w:val="-1"/>
          <w:position w:val="19"/>
        </w:rPr>
        <w:t>10-</w:t>
      </w:r>
      <w:r>
        <w:rPr>
          <w:rFonts w:ascii="Times New Roman" w:hAnsi="Times New Roman" w:eastAsia="Times New Roman" w:cs="Times New Roman"/>
          <w:sz w:val="24"/>
          <w:szCs w:val="24"/>
          <w:spacing w:val="-33"/>
          <w:position w:val="19"/>
        </w:rPr>
        <w:t xml:space="preserve"> </w:t>
      </w:r>
      <w:r>
        <w:rPr>
          <w:rFonts w:ascii="Times New Roman" w:hAnsi="Times New Roman" w:eastAsia="Times New Roman" w:cs="Times New Roman"/>
          <w:sz w:val="24"/>
          <w:szCs w:val="24"/>
          <w:spacing w:val="-2"/>
          <w:position w:val="19"/>
        </w:rPr>
        <w:t>15cm</w:t>
      </w:r>
      <w:r>
        <w:rPr>
          <w:rFonts w:ascii="SimSun" w:hAnsi="SimSun" w:eastAsia="SimSun" w:cs="SimSun"/>
          <w:sz w:val="24"/>
          <w:szCs w:val="24"/>
          <w:spacing w:val="-2"/>
          <w:position w:val="19"/>
        </w:rPr>
        <w:t>设</w:t>
      </w:r>
    </w:p>
    <w:p>
      <w:pPr>
        <w:ind w:left="113"/>
        <w:spacing w:before="1" w:line="218" w:lineRule="auto"/>
        <w:rPr>
          <w:rFonts w:ascii="SimSun" w:hAnsi="SimSun" w:eastAsia="SimSun" w:cs="SimSun"/>
          <w:sz w:val="24"/>
          <w:szCs w:val="24"/>
        </w:rPr>
      </w:pPr>
      <w:r>
        <w:rPr>
          <w:rFonts w:ascii="SimSun" w:hAnsi="SimSun" w:eastAsia="SimSun" w:cs="SimSun"/>
          <w:sz w:val="24"/>
          <w:szCs w:val="24"/>
        </w:rPr>
        <w:t>置负压收集装置，每条生产线设置</w:t>
      </w:r>
      <w:r>
        <w:rPr>
          <w:rFonts w:ascii="Times New Roman" w:hAnsi="Times New Roman" w:eastAsia="Times New Roman" w:cs="Times New Roman"/>
          <w:sz w:val="24"/>
          <w:szCs w:val="24"/>
        </w:rPr>
        <w:t>3</w:t>
      </w:r>
      <w:r>
        <w:rPr>
          <w:rFonts w:ascii="SimSun" w:hAnsi="SimSun" w:eastAsia="SimSun" w:cs="SimSun"/>
          <w:sz w:val="24"/>
          <w:szCs w:val="24"/>
        </w:rPr>
        <w:t>个集气罩，尺寸分别为</w:t>
      </w:r>
      <w:r>
        <w:rPr>
          <w:rFonts w:ascii="Times New Roman" w:hAnsi="Times New Roman" w:eastAsia="Times New Roman" w:cs="Times New Roman"/>
          <w:sz w:val="24"/>
          <w:szCs w:val="24"/>
        </w:rPr>
        <w:t>90</w:t>
      </w:r>
      <w:r>
        <w:rPr>
          <w:rFonts w:ascii="Times New Roman" w:hAnsi="Times New Roman" w:eastAsia="Times New Roman" w:cs="Times New Roman"/>
          <w:sz w:val="24"/>
          <w:szCs w:val="24"/>
          <w:spacing w:val="-1"/>
        </w:rPr>
        <w:t>0mm</w:t>
      </w:r>
      <w:r>
        <w:rPr>
          <w:rFonts w:ascii="SimSun" w:hAnsi="SimSun" w:eastAsia="SimSun" w:cs="SimSun"/>
          <w:sz w:val="24"/>
          <w:szCs w:val="24"/>
          <w:spacing w:val="-1"/>
        </w:rPr>
        <w:t>×</w:t>
      </w:r>
      <w:r>
        <w:rPr>
          <w:rFonts w:ascii="Times New Roman" w:hAnsi="Times New Roman" w:eastAsia="Times New Roman" w:cs="Times New Roman"/>
          <w:sz w:val="24"/>
          <w:szCs w:val="24"/>
          <w:spacing w:val="-1"/>
        </w:rPr>
        <w:t>400mm</w:t>
      </w:r>
      <w:r>
        <w:rPr>
          <w:rFonts w:ascii="SimSun" w:hAnsi="SimSun" w:eastAsia="SimSun" w:cs="SimSun"/>
          <w:sz w:val="24"/>
          <w:szCs w:val="24"/>
          <w:spacing w:val="-1"/>
        </w:rPr>
        <w:t>、</w:t>
      </w:r>
    </w:p>
    <w:p>
      <w:pPr>
        <w:spacing w:line="218" w:lineRule="auto"/>
        <w:sectPr>
          <w:footerReference w:type="default" r:id="rId34"/>
          <w:pgSz w:w="11906" w:h="16839"/>
          <w:pgMar w:top="400" w:right="1695" w:bottom="1211" w:left="1693" w:header="0" w:footer="1049" w:gutter="0"/>
        </w:sectPr>
        <w:rPr>
          <w:rFonts w:ascii="SimSun" w:hAnsi="SimSun" w:eastAsia="SimSun" w:cs="SimSun"/>
          <w:sz w:val="24"/>
          <w:szCs w:val="24"/>
        </w:rPr>
      </w:pPr>
    </w:p>
    <w:p>
      <w:pPr>
        <w:pStyle w:val="BodyText"/>
        <w:spacing w:line="287" w:lineRule="auto"/>
        <w:rPr/>
      </w:pPr>
      <w:r/>
    </w:p>
    <w:p>
      <w:pPr>
        <w:pStyle w:val="BodyText"/>
        <w:spacing w:line="287" w:lineRule="auto"/>
        <w:rPr/>
      </w:pPr>
      <w:r/>
    </w:p>
    <w:p>
      <w:pPr>
        <w:pStyle w:val="BodyText"/>
        <w:spacing w:line="288" w:lineRule="auto"/>
        <w:rPr/>
      </w:pPr>
      <w:r/>
    </w:p>
    <w:p>
      <w:pPr>
        <w:pStyle w:val="BodyText"/>
        <w:spacing w:line="288" w:lineRule="auto"/>
        <w:rPr/>
      </w:pPr>
      <w:r/>
    </w:p>
    <w:p>
      <w:pPr>
        <w:ind w:left="22" w:right="80" w:firstLine="19"/>
        <w:spacing w:before="78" w:line="384" w:lineRule="auto"/>
        <w:jc w:val="both"/>
        <w:rPr>
          <w:rFonts w:ascii="SimSun" w:hAnsi="SimSun" w:eastAsia="SimSun" w:cs="SimSun"/>
          <w:sz w:val="24"/>
          <w:szCs w:val="24"/>
        </w:rPr>
      </w:pPr>
      <w:r>
        <w:rPr>
          <w:rFonts w:ascii="Times New Roman" w:hAnsi="Times New Roman" w:eastAsia="Times New Roman" w:cs="Times New Roman"/>
          <w:sz w:val="24"/>
          <w:szCs w:val="24"/>
          <w:spacing w:val="-3"/>
        </w:rPr>
        <w:t>1250mm</w:t>
      </w:r>
      <w:r>
        <w:rPr>
          <w:rFonts w:ascii="SimSun" w:hAnsi="SimSun" w:eastAsia="SimSun" w:cs="SimSun"/>
          <w:sz w:val="24"/>
          <w:szCs w:val="24"/>
          <w:spacing w:val="-3"/>
        </w:rPr>
        <w:t>×</w:t>
      </w:r>
      <w:r>
        <w:rPr>
          <w:rFonts w:ascii="Times New Roman" w:hAnsi="Times New Roman" w:eastAsia="Times New Roman" w:cs="Times New Roman"/>
          <w:sz w:val="24"/>
          <w:szCs w:val="24"/>
          <w:spacing w:val="-3"/>
        </w:rPr>
        <w:t>700mm</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3"/>
        </w:rPr>
        <w:t>、</w:t>
      </w:r>
      <w:r>
        <w:rPr>
          <w:rFonts w:ascii="Times New Roman" w:hAnsi="Times New Roman" w:eastAsia="Times New Roman" w:cs="Times New Roman"/>
          <w:sz w:val="24"/>
          <w:szCs w:val="24"/>
          <w:spacing w:val="-3"/>
        </w:rPr>
        <w:t>600mm</w:t>
      </w:r>
      <w:r>
        <w:rPr>
          <w:rFonts w:ascii="SimSun" w:hAnsi="SimSun" w:eastAsia="SimSun" w:cs="SimSun"/>
          <w:sz w:val="24"/>
          <w:szCs w:val="24"/>
          <w:spacing w:val="-3"/>
        </w:rPr>
        <w:t>×</w:t>
      </w:r>
      <w:r>
        <w:rPr>
          <w:rFonts w:ascii="Times New Roman" w:hAnsi="Times New Roman" w:eastAsia="Times New Roman" w:cs="Times New Roman"/>
          <w:sz w:val="24"/>
          <w:szCs w:val="24"/>
          <w:spacing w:val="-3"/>
        </w:rPr>
        <w:t>400mm</w:t>
      </w:r>
      <w:r>
        <w:rPr>
          <w:rFonts w:ascii="Times New Roman" w:hAnsi="Times New Roman" w:eastAsia="Times New Roman" w:cs="Times New Roman"/>
          <w:sz w:val="24"/>
          <w:szCs w:val="24"/>
          <w:spacing w:val="-33"/>
        </w:rPr>
        <w:t xml:space="preserve"> </w:t>
      </w:r>
      <w:r>
        <w:rPr>
          <w:rFonts w:ascii="SimSun" w:hAnsi="SimSun" w:eastAsia="SimSun" w:cs="SimSun"/>
          <w:sz w:val="24"/>
          <w:szCs w:val="24"/>
          <w:spacing w:val="-3"/>
        </w:rPr>
        <w:t>，四周采用软质垂帘围挡，根据《广东省工</w:t>
      </w:r>
      <w:r>
        <w:rPr>
          <w:rFonts w:ascii="SimSun" w:hAnsi="SimSun" w:eastAsia="SimSun" w:cs="SimSun"/>
          <w:sz w:val="24"/>
          <w:szCs w:val="24"/>
        </w:rPr>
        <w:t xml:space="preserve"> </w:t>
      </w:r>
      <w:r>
        <w:rPr>
          <w:rFonts w:ascii="SimSun" w:hAnsi="SimSun" w:eastAsia="SimSun" w:cs="SimSun"/>
          <w:sz w:val="24"/>
          <w:szCs w:val="24"/>
          <w:spacing w:val="-3"/>
        </w:rPr>
        <w:t>业源挥发性有机物减排量核算方法》（试行）中包围型集气设备，集气效率可达</w:t>
      </w:r>
    </w:p>
    <w:p>
      <w:pPr>
        <w:ind w:left="29"/>
        <w:spacing w:line="218" w:lineRule="auto"/>
        <w:rPr>
          <w:rFonts w:ascii="SimSun" w:hAnsi="SimSun" w:eastAsia="SimSun" w:cs="SimSun"/>
          <w:sz w:val="24"/>
          <w:szCs w:val="24"/>
        </w:rPr>
      </w:pPr>
      <w:r>
        <w:rPr>
          <w:rFonts w:ascii="SimSun" w:hAnsi="SimSun" w:eastAsia="SimSun" w:cs="SimSun"/>
          <w:sz w:val="24"/>
          <w:szCs w:val="24"/>
          <w:spacing w:val="-3"/>
        </w:rPr>
        <w:t>到</w:t>
      </w:r>
      <w:r>
        <w:rPr>
          <w:rFonts w:ascii="Times New Roman" w:hAnsi="Times New Roman" w:eastAsia="Times New Roman" w:cs="Times New Roman"/>
          <w:sz w:val="24"/>
          <w:szCs w:val="24"/>
          <w:spacing w:val="-3"/>
        </w:rPr>
        <w:t>80%</w:t>
      </w:r>
      <w:r>
        <w:rPr>
          <w:rFonts w:ascii="Times New Roman" w:hAnsi="Times New Roman" w:eastAsia="Times New Roman" w:cs="Times New Roman"/>
          <w:sz w:val="24"/>
          <w:szCs w:val="24"/>
          <w:spacing w:val="-19"/>
        </w:rPr>
        <w:t xml:space="preserve"> </w:t>
      </w:r>
      <w:r>
        <w:rPr>
          <w:rFonts w:ascii="SimSun" w:hAnsi="SimSun" w:eastAsia="SimSun" w:cs="SimSun"/>
          <w:sz w:val="24"/>
          <w:szCs w:val="24"/>
          <w:spacing w:val="-3"/>
        </w:rPr>
        <w:t>。本项目按照</w:t>
      </w:r>
      <w:r>
        <w:rPr>
          <w:rFonts w:ascii="Times New Roman" w:hAnsi="Times New Roman" w:eastAsia="Times New Roman" w:cs="Times New Roman"/>
          <w:sz w:val="24"/>
          <w:szCs w:val="24"/>
          <w:spacing w:val="-3"/>
        </w:rPr>
        <w:t>80%</w:t>
      </w:r>
      <w:r>
        <w:rPr>
          <w:rFonts w:ascii="SimSun" w:hAnsi="SimSun" w:eastAsia="SimSun" w:cs="SimSun"/>
          <w:sz w:val="24"/>
          <w:szCs w:val="24"/>
          <w:spacing w:val="-3"/>
        </w:rPr>
        <w:t>集气效率计算。</w:t>
      </w:r>
    </w:p>
    <w:p>
      <w:pPr>
        <w:ind w:left="32" w:right="82" w:firstLine="458"/>
        <w:spacing w:before="217" w:line="384" w:lineRule="auto"/>
        <w:rPr>
          <w:rFonts w:ascii="SimSun" w:hAnsi="SimSun" w:eastAsia="SimSun" w:cs="SimSun"/>
          <w:sz w:val="24"/>
          <w:szCs w:val="24"/>
        </w:rPr>
      </w:pPr>
      <w:r>
        <w:rPr>
          <w:rFonts w:ascii="SimSun" w:hAnsi="SimSun" w:eastAsia="SimSun" w:cs="SimSun"/>
          <w:sz w:val="24"/>
          <w:szCs w:val="24"/>
          <w:spacing w:val="1"/>
        </w:rPr>
        <w:t>“</w:t>
      </w:r>
      <w:r>
        <w:rPr>
          <w:rFonts w:ascii="SimSun" w:hAnsi="SimSun" w:eastAsia="SimSun" w:cs="SimSun"/>
          <w:sz w:val="24"/>
          <w:szCs w:val="24"/>
          <w14:textOutline w14:w="4358" w14:cap="sq" w14:cmpd="sng">
            <w14:solidFill>
              <w14:srgbClr w14:val="000000"/>
            </w14:solidFill>
            <w14:prstDash w14:val="solid"/>
            <w14:bevel/>
          </w14:textOutline>
          <w:spacing w:val="1"/>
        </w:rPr>
        <w:t>完善废气污染治理设施的可行技术分析，完善分析所采用的两级活</w:t>
      </w:r>
      <w:r>
        <w:rPr>
          <w:rFonts w:ascii="SimSun" w:hAnsi="SimSun" w:eastAsia="SimSun" w:cs="SimSun"/>
          <w:sz w:val="24"/>
          <w:szCs w:val="24"/>
          <w14:textOutline w14:w="4358" w14:cap="sq" w14:cmpd="sng">
            <w14:solidFill>
              <w14:srgbClr w14:val="000000"/>
            </w14:solidFill>
            <w14:prstDash w14:val="solid"/>
            <w14:bevel/>
          </w14:textOutline>
        </w:rPr>
        <w:t>性炭</w:t>
      </w:r>
      <w:r>
        <w:rPr>
          <w:rFonts w:ascii="SimSun" w:hAnsi="SimSun" w:eastAsia="SimSun" w:cs="SimSun"/>
          <w:sz w:val="24"/>
          <w:szCs w:val="24"/>
        </w:rPr>
        <w:t xml:space="preserve">  </w:t>
      </w:r>
      <w:r>
        <w:rPr>
          <w:rFonts w:ascii="SimSun" w:hAnsi="SimSun" w:eastAsia="SimSun" w:cs="SimSun"/>
          <w:sz w:val="24"/>
          <w:szCs w:val="24"/>
          <w14:textOutline w14:w="4358" w14:cap="sq" w14:cmpd="sng">
            <w14:solidFill>
              <w14:srgbClr w14:val="000000"/>
            </w14:solidFill>
            <w14:prstDash w14:val="solid"/>
            <w14:bevel/>
          </w14:textOutline>
          <w:spacing w:val="3"/>
        </w:rPr>
        <w:t>吸附装置净化处理挥发性有机物措施的合规性和有效性</w:t>
      </w:r>
      <w:r>
        <w:rPr>
          <w:rFonts w:ascii="SimSun" w:hAnsi="SimSun" w:eastAsia="SimSun" w:cs="SimSun"/>
          <w:sz w:val="24"/>
          <w:szCs w:val="24"/>
          <w14:textOutline w14:w="4358" w14:cap="sq" w14:cmpd="sng">
            <w14:solidFill>
              <w14:srgbClr w14:val="000000"/>
            </w14:solidFill>
            <w14:prstDash w14:val="solid"/>
            <w14:bevel/>
          </w14:textOutline>
          <w:spacing w:val="2"/>
        </w:rPr>
        <w:t>、稳定达标的可行性</w:t>
      </w:r>
      <w:r>
        <w:rPr>
          <w:rFonts w:ascii="SimSun" w:hAnsi="SimSun" w:eastAsia="SimSun" w:cs="SimSun"/>
          <w:sz w:val="24"/>
          <w:szCs w:val="24"/>
          <w:spacing w:val="-88"/>
        </w:rPr>
        <w:t xml:space="preserve"> </w:t>
      </w:r>
      <w:r>
        <w:rPr>
          <w:rFonts w:ascii="SimSun" w:hAnsi="SimSun" w:eastAsia="SimSun" w:cs="SimSun"/>
          <w:sz w:val="24"/>
          <w:szCs w:val="24"/>
          <w:spacing w:val="2"/>
        </w:rPr>
        <w:t>”</w:t>
      </w:r>
    </w:p>
    <w:p>
      <w:pPr>
        <w:ind w:left="23"/>
        <w:spacing w:line="219" w:lineRule="auto"/>
        <w:rPr>
          <w:rFonts w:ascii="Times New Roman" w:hAnsi="Times New Roman" w:eastAsia="Times New Roman" w:cs="Times New Roman"/>
          <w:sz w:val="24"/>
          <w:szCs w:val="24"/>
        </w:rPr>
      </w:pPr>
      <w:r>
        <w:rPr>
          <w:rFonts w:ascii="SimSun" w:hAnsi="SimSun" w:eastAsia="SimSun" w:cs="SimSun"/>
          <w:sz w:val="24"/>
          <w:szCs w:val="24"/>
          <w:spacing w:val="-2"/>
        </w:rPr>
        <w:t>修改见</w:t>
      </w:r>
      <w:r>
        <w:rPr>
          <w:rFonts w:ascii="Times New Roman" w:hAnsi="Times New Roman" w:eastAsia="Times New Roman" w:cs="Times New Roman"/>
          <w:sz w:val="24"/>
          <w:szCs w:val="24"/>
          <w:spacing w:val="-2"/>
        </w:rPr>
        <w:t>P43</w:t>
      </w:r>
    </w:p>
    <w:p>
      <w:pPr>
        <w:ind w:left="514"/>
        <w:spacing w:before="217"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）符合废气污染防治可行性技术</w:t>
      </w:r>
    </w:p>
    <w:p>
      <w:pPr>
        <w:ind w:left="503"/>
        <w:spacing w:before="214" w:line="219" w:lineRule="auto"/>
        <w:rPr>
          <w:rFonts w:ascii="SimSun" w:hAnsi="SimSun" w:eastAsia="SimSun" w:cs="SimSun"/>
          <w:sz w:val="24"/>
          <w:szCs w:val="24"/>
        </w:rPr>
      </w:pPr>
      <w:r>
        <w:rPr>
          <w:rFonts w:ascii="SimSun" w:hAnsi="SimSun" w:eastAsia="SimSun" w:cs="SimSun"/>
          <w:sz w:val="24"/>
          <w:szCs w:val="24"/>
          <w:spacing w:val="-1"/>
        </w:rPr>
        <w:t>根据《排污许可证申请与核发技术规范 橡胶和塑料制品工业》</w:t>
      </w:r>
    </w:p>
    <w:p>
      <w:pPr>
        <w:ind w:left="22" w:right="80" w:firstLine="12"/>
        <w:spacing w:before="213" w:line="385"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HJ1122-2020</w:t>
      </w:r>
      <w:r>
        <w:rPr>
          <w:rFonts w:ascii="SimSun" w:hAnsi="SimSun" w:eastAsia="SimSun" w:cs="SimSun"/>
          <w:sz w:val="24"/>
          <w:szCs w:val="24"/>
          <w:spacing w:val="-1"/>
        </w:rPr>
        <w:t>）中第二部分塑料制品工业附录</w:t>
      </w:r>
      <w:r>
        <w:rPr>
          <w:rFonts w:ascii="Times New Roman" w:hAnsi="Times New Roman" w:eastAsia="Times New Roman" w:cs="Times New Roman"/>
          <w:sz w:val="24"/>
          <w:szCs w:val="24"/>
          <w:spacing w:val="-1"/>
        </w:rPr>
        <w:t>A</w:t>
      </w:r>
      <w:r>
        <w:rPr>
          <w:rFonts w:ascii="SimSun" w:hAnsi="SimSun" w:eastAsia="SimSun" w:cs="SimSun"/>
          <w:sz w:val="24"/>
          <w:szCs w:val="24"/>
          <w:spacing w:val="-1"/>
        </w:rPr>
        <w:t>中表</w:t>
      </w:r>
      <w:r>
        <w:rPr>
          <w:rFonts w:ascii="Times New Roman" w:hAnsi="Times New Roman" w:eastAsia="Times New Roman" w:cs="Times New Roman"/>
          <w:sz w:val="24"/>
          <w:szCs w:val="24"/>
          <w:spacing w:val="-1"/>
        </w:rPr>
        <w:t>A.2</w:t>
      </w:r>
      <w:r>
        <w:rPr>
          <w:rFonts w:ascii="SimSun" w:hAnsi="SimSun" w:eastAsia="SimSun" w:cs="SimSun"/>
          <w:sz w:val="24"/>
          <w:szCs w:val="24"/>
          <w:spacing w:val="-1"/>
        </w:rPr>
        <w:t>塑料制品工业排污单位</w:t>
      </w:r>
      <w:r>
        <w:rPr>
          <w:rFonts w:ascii="SimSun" w:hAnsi="SimSun" w:eastAsia="SimSun" w:cs="SimSun"/>
          <w:sz w:val="24"/>
          <w:szCs w:val="24"/>
          <w:spacing w:val="10"/>
        </w:rPr>
        <w:t xml:space="preserve"> </w:t>
      </w:r>
      <w:r>
        <w:rPr>
          <w:rFonts w:ascii="SimSun" w:hAnsi="SimSun" w:eastAsia="SimSun" w:cs="SimSun"/>
          <w:sz w:val="24"/>
          <w:szCs w:val="24"/>
        </w:rPr>
        <w:t>废气污染防治可行性技术参考表，塑料薄膜制造类别污</w:t>
      </w:r>
      <w:r>
        <w:rPr>
          <w:rFonts w:ascii="SimSun" w:hAnsi="SimSun" w:eastAsia="SimSun" w:cs="SimSun"/>
          <w:sz w:val="24"/>
          <w:szCs w:val="24"/>
          <w:spacing w:val="-1"/>
        </w:rPr>
        <w:t>染防治设施名称及工艺</w:t>
      </w:r>
      <w:r>
        <w:rPr>
          <w:rFonts w:ascii="SimSun" w:hAnsi="SimSun" w:eastAsia="SimSun" w:cs="SimSun"/>
          <w:sz w:val="24"/>
          <w:szCs w:val="24"/>
        </w:rPr>
        <w:t xml:space="preserve">  </w:t>
      </w:r>
      <w:r>
        <w:rPr>
          <w:rFonts w:ascii="SimSun" w:hAnsi="SimSun" w:eastAsia="SimSun" w:cs="SimSun"/>
          <w:sz w:val="24"/>
          <w:szCs w:val="24"/>
          <w:spacing w:val="-1"/>
        </w:rPr>
        <w:t>有：除尘、喷淋、吸附、热力燃烧、催化燃烧、低温等离子体、</w:t>
      </w:r>
      <w:r>
        <w:rPr>
          <w:rFonts w:ascii="Times New Roman" w:hAnsi="Times New Roman" w:eastAsia="Times New Roman" w:cs="Times New Roman"/>
          <w:sz w:val="24"/>
          <w:szCs w:val="24"/>
          <w:spacing w:val="-1"/>
        </w:rPr>
        <w:t>UV</w:t>
      </w:r>
      <w:r>
        <w:rPr>
          <w:rFonts w:ascii="SimSun" w:hAnsi="SimSun" w:eastAsia="SimSun" w:cs="SimSun"/>
          <w:sz w:val="24"/>
          <w:szCs w:val="24"/>
          <w:spacing w:val="-1"/>
        </w:rPr>
        <w:t>光氧催化</w:t>
      </w:r>
      <w:r>
        <w:rPr>
          <w:rFonts w:ascii="Times New Roman" w:hAnsi="Times New Roman" w:eastAsia="Times New Roman" w:cs="Times New Roman"/>
          <w:sz w:val="24"/>
          <w:szCs w:val="24"/>
          <w:spacing w:val="-1"/>
        </w:rPr>
        <w:t>/</w:t>
      </w:r>
      <w:r>
        <w:rPr>
          <w:rFonts w:ascii="SimSun" w:hAnsi="SimSun" w:eastAsia="SimSun" w:cs="SimSun"/>
          <w:sz w:val="24"/>
          <w:szCs w:val="24"/>
          <w:spacing w:val="-1"/>
        </w:rPr>
        <w:t>光</w:t>
      </w:r>
    </w:p>
    <w:p>
      <w:pPr>
        <w:ind w:left="23"/>
        <w:spacing w:line="219" w:lineRule="auto"/>
        <w:rPr>
          <w:rFonts w:ascii="SimSun" w:hAnsi="SimSun" w:eastAsia="SimSun" w:cs="SimSun"/>
          <w:sz w:val="24"/>
          <w:szCs w:val="24"/>
        </w:rPr>
      </w:pPr>
      <w:r>
        <w:rPr>
          <w:rFonts w:ascii="SimSun" w:hAnsi="SimSun" w:eastAsia="SimSun" w:cs="SimSun"/>
          <w:sz w:val="24"/>
          <w:szCs w:val="24"/>
          <w:spacing w:val="-1"/>
        </w:rPr>
        <w:t>催化、生物法、以上组合技术。</w:t>
      </w:r>
    </w:p>
    <w:p>
      <w:pPr>
        <w:ind w:left="504"/>
        <w:spacing w:before="217" w:line="499" w:lineRule="exact"/>
        <w:rPr>
          <w:rFonts w:ascii="SimSun" w:hAnsi="SimSun" w:eastAsia="SimSun" w:cs="SimSun"/>
          <w:sz w:val="24"/>
          <w:szCs w:val="24"/>
        </w:rPr>
      </w:pPr>
      <w:r>
        <w:rPr>
          <w:rFonts w:ascii="SimSun" w:hAnsi="SimSun" w:eastAsia="SimSun" w:cs="SimSun"/>
          <w:sz w:val="24"/>
          <w:szCs w:val="24"/>
          <w:position w:val="19"/>
        </w:rPr>
        <w:t>本项目有组织废气采用活性炭吸附</w:t>
      </w:r>
      <w:r>
        <w:rPr>
          <w:rFonts w:ascii="Times New Roman" w:hAnsi="Times New Roman" w:eastAsia="Times New Roman" w:cs="Times New Roman"/>
          <w:sz w:val="24"/>
          <w:szCs w:val="24"/>
          <w:position w:val="19"/>
        </w:rPr>
        <w:t>+</w:t>
      </w:r>
      <w:r>
        <w:rPr>
          <w:rFonts w:ascii="SimSun" w:hAnsi="SimSun" w:eastAsia="SimSun" w:cs="SimSun"/>
          <w:sz w:val="24"/>
          <w:szCs w:val="24"/>
          <w:position w:val="19"/>
        </w:rPr>
        <w:t>直接催化</w:t>
      </w:r>
      <w:r>
        <w:rPr>
          <w:rFonts w:ascii="SimSun" w:hAnsi="SimSun" w:eastAsia="SimSun" w:cs="SimSun"/>
          <w:sz w:val="24"/>
          <w:szCs w:val="24"/>
          <w:spacing w:val="-1"/>
          <w:position w:val="19"/>
        </w:rPr>
        <w:t>燃烧法装置处理，属于两级组</w:t>
      </w:r>
    </w:p>
    <w:p>
      <w:pPr>
        <w:ind w:left="24"/>
        <w:spacing w:line="219" w:lineRule="auto"/>
        <w:rPr>
          <w:rFonts w:ascii="SimSun" w:hAnsi="SimSun" w:eastAsia="SimSun" w:cs="SimSun"/>
          <w:sz w:val="24"/>
          <w:szCs w:val="24"/>
        </w:rPr>
      </w:pPr>
      <w:r>
        <w:rPr>
          <w:rFonts w:ascii="SimSun" w:hAnsi="SimSun" w:eastAsia="SimSun" w:cs="SimSun"/>
          <w:sz w:val="24"/>
          <w:szCs w:val="24"/>
        </w:rPr>
        <w:t>合技术，属于《排污许可证申请与核发技术规</w:t>
      </w:r>
      <w:r>
        <w:rPr>
          <w:rFonts w:ascii="SimSun" w:hAnsi="SimSun" w:eastAsia="SimSun" w:cs="SimSun"/>
          <w:sz w:val="24"/>
          <w:szCs w:val="24"/>
          <w:spacing w:val="-1"/>
        </w:rPr>
        <w:t>范 橡胶和塑料制品工业》</w:t>
      </w:r>
    </w:p>
    <w:p>
      <w:pPr>
        <w:ind w:left="34"/>
        <w:spacing w:before="215"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HJ1122-2020</w:t>
      </w:r>
      <w:r>
        <w:rPr>
          <w:rFonts w:ascii="SimSun" w:hAnsi="SimSun" w:eastAsia="SimSun" w:cs="SimSun"/>
          <w:sz w:val="24"/>
          <w:szCs w:val="24"/>
          <w:spacing w:val="-2"/>
        </w:rPr>
        <w:t>）可行性技术。</w:t>
      </w:r>
    </w:p>
    <w:p>
      <w:pPr>
        <w:ind w:left="23" w:right="80" w:firstLine="480"/>
        <w:spacing w:before="219" w:line="384" w:lineRule="auto"/>
        <w:rPr>
          <w:rFonts w:ascii="SimSun" w:hAnsi="SimSun" w:eastAsia="SimSun" w:cs="SimSun"/>
          <w:sz w:val="24"/>
          <w:szCs w:val="24"/>
        </w:rPr>
      </w:pPr>
      <w:r>
        <w:rPr>
          <w:rFonts w:ascii="SimSun" w:hAnsi="SimSun" w:eastAsia="SimSun" w:cs="SimSun"/>
          <w:sz w:val="24"/>
          <w:szCs w:val="24"/>
          <w:spacing w:val="-1"/>
        </w:rPr>
        <w:t>本项目使用集气罩收集有机废气，经计算，废气产生量为</w:t>
      </w:r>
      <w:r>
        <w:rPr>
          <w:rFonts w:ascii="Times New Roman" w:hAnsi="Times New Roman" w:eastAsia="Times New Roman" w:cs="Times New Roman"/>
          <w:sz w:val="24"/>
          <w:szCs w:val="24"/>
          <w:spacing w:val="-1"/>
        </w:rPr>
        <w:t>1t/a</w:t>
      </w:r>
      <w:r>
        <w:rPr>
          <w:rFonts w:ascii="Times New Roman" w:hAnsi="Times New Roman" w:eastAsia="Times New Roman" w:cs="Times New Roman"/>
          <w:sz w:val="24"/>
          <w:szCs w:val="24"/>
          <w:spacing w:val="-32"/>
        </w:rPr>
        <w:t xml:space="preserve"> </w:t>
      </w:r>
      <w:r>
        <w:rPr>
          <w:rFonts w:ascii="SimSun" w:hAnsi="SimSun" w:eastAsia="SimSun" w:cs="SimSun"/>
          <w:sz w:val="24"/>
          <w:szCs w:val="24"/>
          <w:spacing w:val="-1"/>
        </w:rPr>
        <w:t>，</w:t>
      </w:r>
      <w:r>
        <w:rPr>
          <w:rFonts w:ascii="SimSun" w:hAnsi="SimSun" w:eastAsia="SimSun" w:cs="SimSun"/>
          <w:sz w:val="24"/>
          <w:szCs w:val="24"/>
          <w:spacing w:val="-2"/>
        </w:rPr>
        <w:t>产生浓度为</w:t>
      </w:r>
      <w:r>
        <w:rPr>
          <w:rFonts w:ascii="SimSun" w:hAnsi="SimSun" w:eastAsia="SimSun" w:cs="SimSun"/>
          <w:sz w:val="24"/>
          <w:szCs w:val="24"/>
        </w:rPr>
        <w:t xml:space="preserve"> </w:t>
      </w:r>
      <w:r>
        <w:rPr>
          <w:rFonts w:ascii="Times New Roman" w:hAnsi="Times New Roman" w:eastAsia="Times New Roman" w:cs="Times New Roman"/>
          <w:sz w:val="24"/>
          <w:szCs w:val="24"/>
          <w:spacing w:val="-3"/>
        </w:rPr>
        <w:t>31.57mg/m</w:t>
      </w:r>
      <w:r>
        <w:rPr>
          <w:rFonts w:ascii="SimSun" w:hAnsi="SimSun" w:eastAsia="SimSun" w:cs="SimSun"/>
          <w:sz w:val="24"/>
          <w:szCs w:val="24"/>
          <w:spacing w:val="-3"/>
        </w:rPr>
        <w:t>³, 在未经处理情况下废气排放浓度可满足《合成树脂工业污染物</w:t>
      </w:r>
      <w:r>
        <w:rPr>
          <w:rFonts w:ascii="SimSun" w:hAnsi="SimSun" w:eastAsia="SimSun" w:cs="SimSun"/>
          <w:sz w:val="24"/>
          <w:szCs w:val="24"/>
          <w:spacing w:val="-4"/>
        </w:rPr>
        <w:t>排放</w:t>
      </w:r>
      <w:r>
        <w:rPr>
          <w:rFonts w:ascii="SimSun" w:hAnsi="SimSun" w:eastAsia="SimSun" w:cs="SimSun"/>
          <w:sz w:val="24"/>
          <w:szCs w:val="24"/>
        </w:rPr>
        <w:t xml:space="preserve"> </w:t>
      </w:r>
      <w:r>
        <w:rPr>
          <w:rFonts w:ascii="SimSun" w:hAnsi="SimSun" w:eastAsia="SimSun" w:cs="SimSun"/>
          <w:sz w:val="24"/>
          <w:szCs w:val="24"/>
          <w:spacing w:val="-4"/>
        </w:rPr>
        <w:t>标准》（</w:t>
      </w:r>
      <w:r>
        <w:rPr>
          <w:rFonts w:ascii="Times New Roman" w:hAnsi="Times New Roman" w:eastAsia="Times New Roman" w:cs="Times New Roman"/>
          <w:sz w:val="24"/>
          <w:szCs w:val="24"/>
          <w:spacing w:val="-4"/>
        </w:rPr>
        <w:t>GB31572-2015</w:t>
      </w:r>
      <w:r>
        <w:rPr>
          <w:rFonts w:ascii="SimSun" w:hAnsi="SimSun" w:eastAsia="SimSun" w:cs="SimSun"/>
          <w:sz w:val="24"/>
          <w:szCs w:val="24"/>
          <w:spacing w:val="-4"/>
        </w:rPr>
        <w:t>）中表</w:t>
      </w:r>
      <w:r>
        <w:rPr>
          <w:rFonts w:ascii="Times New Roman" w:hAnsi="Times New Roman" w:eastAsia="Times New Roman" w:cs="Times New Roman"/>
          <w:sz w:val="24"/>
          <w:szCs w:val="24"/>
          <w:spacing w:val="-4"/>
        </w:rPr>
        <w:t>5</w:t>
      </w:r>
      <w:r>
        <w:rPr>
          <w:rFonts w:ascii="SimSun" w:hAnsi="SimSun" w:eastAsia="SimSun" w:cs="SimSun"/>
          <w:sz w:val="24"/>
          <w:szCs w:val="24"/>
          <w:spacing w:val="-4"/>
        </w:rPr>
        <w:t>大气污染物特别排放限值要求（浓度</w:t>
      </w:r>
      <w:r>
        <w:rPr>
          <w:rFonts w:ascii="Times New Roman" w:hAnsi="Times New Roman" w:eastAsia="Times New Roman" w:cs="Times New Roman"/>
          <w:sz w:val="24"/>
          <w:szCs w:val="24"/>
          <w:spacing w:val="-4"/>
        </w:rPr>
        <w:t>60mg/m</w:t>
      </w:r>
      <w:r>
        <w:rPr>
          <w:rFonts w:ascii="SimSun" w:hAnsi="SimSun" w:eastAsia="SimSun" w:cs="SimSun"/>
          <w:sz w:val="24"/>
          <w:szCs w:val="24"/>
          <w:spacing w:val="-4"/>
        </w:rPr>
        <w:t>³) ,</w:t>
      </w:r>
      <w:r>
        <w:rPr>
          <w:rFonts w:ascii="SimSun" w:hAnsi="SimSun" w:eastAsia="SimSun" w:cs="SimSun"/>
          <w:sz w:val="24"/>
          <w:szCs w:val="24"/>
          <w:spacing w:val="12"/>
        </w:rPr>
        <w:t xml:space="preserve"> </w:t>
      </w:r>
      <w:r>
        <w:rPr>
          <w:rFonts w:ascii="SimSun" w:hAnsi="SimSun" w:eastAsia="SimSun" w:cs="SimSun"/>
          <w:sz w:val="24"/>
          <w:szCs w:val="24"/>
        </w:rPr>
        <w:t>为减少挥发性有机废气对周边环境影响，采取了“活</w:t>
      </w:r>
      <w:r>
        <w:rPr>
          <w:rFonts w:ascii="SimSun" w:hAnsi="SimSun" w:eastAsia="SimSun" w:cs="SimSun"/>
          <w:sz w:val="24"/>
          <w:szCs w:val="24"/>
          <w:spacing w:val="-1"/>
        </w:rPr>
        <w:t>性炭吸附</w:t>
      </w:r>
      <w:r>
        <w:rPr>
          <w:rFonts w:ascii="Times New Roman" w:hAnsi="Times New Roman" w:eastAsia="Times New Roman" w:cs="Times New Roman"/>
          <w:sz w:val="24"/>
          <w:szCs w:val="24"/>
          <w:spacing w:val="-1"/>
        </w:rPr>
        <w:t>+</w:t>
      </w:r>
      <w:r>
        <w:rPr>
          <w:rFonts w:ascii="SimSun" w:hAnsi="SimSun" w:eastAsia="SimSun" w:cs="SimSun"/>
          <w:sz w:val="24"/>
          <w:szCs w:val="24"/>
          <w:spacing w:val="-1"/>
        </w:rPr>
        <w:t>直接催化燃烧法</w:t>
      </w:r>
    </w:p>
    <w:p>
      <w:pPr>
        <w:ind w:left="23"/>
        <w:spacing w:line="219" w:lineRule="auto"/>
        <w:rPr>
          <w:rFonts w:ascii="SimSun" w:hAnsi="SimSun" w:eastAsia="SimSun" w:cs="SimSun"/>
          <w:sz w:val="24"/>
          <w:szCs w:val="24"/>
        </w:rPr>
      </w:pPr>
      <w:r>
        <w:rPr>
          <w:rFonts w:ascii="SimSun" w:hAnsi="SimSun" w:eastAsia="SimSun" w:cs="SimSun"/>
          <w:sz w:val="24"/>
          <w:szCs w:val="24"/>
          <w:spacing w:val="-3"/>
        </w:rPr>
        <w:t>装置</w:t>
      </w:r>
      <w:r>
        <w:rPr>
          <w:rFonts w:ascii="Times New Roman" w:hAnsi="Times New Roman" w:eastAsia="Times New Roman" w:cs="Times New Roman"/>
          <w:sz w:val="24"/>
          <w:szCs w:val="24"/>
          <w:spacing w:val="-3"/>
        </w:rPr>
        <w:t>+15m</w:t>
      </w:r>
      <w:r>
        <w:rPr>
          <w:rFonts w:ascii="SimSun" w:hAnsi="SimSun" w:eastAsia="SimSun" w:cs="SimSun"/>
          <w:sz w:val="24"/>
          <w:szCs w:val="24"/>
          <w:spacing w:val="-3"/>
        </w:rPr>
        <w:t>排气筒</w:t>
      </w:r>
      <w:r>
        <w:rPr>
          <w:rFonts w:ascii="SimSun" w:hAnsi="SimSun" w:eastAsia="SimSun" w:cs="SimSun"/>
          <w:sz w:val="24"/>
          <w:szCs w:val="24"/>
          <w:spacing w:val="-86"/>
        </w:rPr>
        <w:t xml:space="preserve"> </w:t>
      </w:r>
      <w:r>
        <w:rPr>
          <w:rFonts w:ascii="SimSun" w:hAnsi="SimSun" w:eastAsia="SimSun" w:cs="SimSun"/>
          <w:sz w:val="24"/>
          <w:szCs w:val="24"/>
          <w:spacing w:val="-3"/>
        </w:rPr>
        <w:t>”处理措施。</w:t>
      </w:r>
    </w:p>
    <w:p>
      <w:pPr>
        <w:ind w:left="514"/>
        <w:spacing w:before="214"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）活性炭吸附</w:t>
      </w:r>
      <w:r>
        <w:rPr>
          <w:rFonts w:ascii="Times New Roman" w:hAnsi="Times New Roman" w:eastAsia="Times New Roman" w:cs="Times New Roman"/>
          <w:sz w:val="24"/>
          <w:szCs w:val="24"/>
          <w:spacing w:val="-2"/>
        </w:rPr>
        <w:t>+</w:t>
      </w:r>
      <w:r>
        <w:rPr>
          <w:rFonts w:ascii="SimSun" w:hAnsi="SimSun" w:eastAsia="SimSun" w:cs="SimSun"/>
          <w:sz w:val="24"/>
          <w:szCs w:val="24"/>
          <w:spacing w:val="-2"/>
        </w:rPr>
        <w:t>直接催化燃烧法装置优点</w:t>
      </w:r>
    </w:p>
    <w:p>
      <w:pPr>
        <w:ind w:left="25" w:firstLine="478"/>
        <w:spacing w:before="219" w:line="384" w:lineRule="auto"/>
        <w:rPr>
          <w:rFonts w:ascii="SimSun" w:hAnsi="SimSun" w:eastAsia="SimSun" w:cs="SimSun"/>
          <w:sz w:val="24"/>
          <w:szCs w:val="24"/>
        </w:rPr>
      </w:pPr>
      <w:r>
        <w:rPr>
          <w:rFonts w:ascii="SimSun" w:hAnsi="SimSun" w:eastAsia="SimSun" w:cs="SimSun"/>
          <w:sz w:val="24"/>
          <w:szCs w:val="24"/>
          <w:spacing w:val="-5"/>
        </w:rPr>
        <w:t>根据比选，“固定床吸附系统</w:t>
      </w:r>
      <w:r>
        <w:rPr>
          <w:rFonts w:ascii="SimSun" w:hAnsi="SimSun" w:eastAsia="SimSun" w:cs="SimSun"/>
          <w:sz w:val="24"/>
          <w:szCs w:val="24"/>
          <w:spacing w:val="-74"/>
        </w:rPr>
        <w:t xml:space="preserve"> </w:t>
      </w:r>
      <w:r>
        <w:rPr>
          <w:rFonts w:ascii="SimSun" w:hAnsi="SimSun" w:eastAsia="SimSun" w:cs="SimSun"/>
          <w:sz w:val="24"/>
          <w:szCs w:val="24"/>
          <w:spacing w:val="-5"/>
        </w:rPr>
        <w:t>”技术适用于生产和使用溶剂型和水性涂料的 </w:t>
      </w:r>
      <w:r>
        <w:rPr>
          <w:rFonts w:ascii="SimSun" w:hAnsi="SimSun" w:eastAsia="SimSun" w:cs="SimSun"/>
          <w:sz w:val="24"/>
          <w:szCs w:val="24"/>
          <w:spacing w:val="-2"/>
        </w:rPr>
        <w:t>企业；“旋转式（转轮、转筒）吸附系统</w:t>
      </w:r>
      <w:r>
        <w:rPr>
          <w:rFonts w:ascii="SimSun" w:hAnsi="SimSun" w:eastAsia="SimSun" w:cs="SimSun"/>
          <w:sz w:val="24"/>
          <w:szCs w:val="24"/>
          <w:spacing w:val="-89"/>
        </w:rPr>
        <w:t xml:space="preserve"> </w:t>
      </w:r>
      <w:r>
        <w:rPr>
          <w:rFonts w:ascii="SimSun" w:hAnsi="SimSun" w:eastAsia="SimSun" w:cs="SimSun"/>
          <w:sz w:val="24"/>
          <w:szCs w:val="24"/>
          <w:spacing w:val="-2"/>
        </w:rPr>
        <w:t>”技术适用于低浓度(≤</w:t>
      </w:r>
      <w:r>
        <w:rPr>
          <w:rFonts w:ascii="Times New Roman" w:hAnsi="Times New Roman" w:eastAsia="Times New Roman" w:cs="Times New Roman"/>
          <w:sz w:val="24"/>
          <w:szCs w:val="24"/>
          <w:spacing w:val="-3"/>
        </w:rPr>
        <w:t>5000mg/m</w:t>
      </w:r>
      <w:r>
        <w:rPr>
          <w:rFonts w:ascii="SimSun" w:hAnsi="SimSun" w:eastAsia="SimSun" w:cs="SimSun"/>
          <w:sz w:val="24"/>
          <w:szCs w:val="24"/>
          <w:spacing w:val="-3"/>
        </w:rPr>
        <w:t>³)</w:t>
      </w:r>
      <w:r>
        <w:rPr>
          <w:rFonts w:ascii="SimSun" w:hAnsi="SimSun" w:eastAsia="SimSun" w:cs="SimSun"/>
          <w:sz w:val="24"/>
          <w:szCs w:val="24"/>
          <w:spacing w:val="-46"/>
        </w:rPr>
        <w:t xml:space="preserve"> </w:t>
      </w:r>
      <w:r>
        <w:rPr>
          <w:rFonts w:ascii="SimSun" w:hAnsi="SimSun" w:eastAsia="SimSun" w:cs="SimSun"/>
          <w:sz w:val="24"/>
          <w:szCs w:val="24"/>
          <w:spacing w:val="-3"/>
        </w:rPr>
        <w:t>、</w:t>
      </w:r>
      <w:r>
        <w:rPr>
          <w:rFonts w:ascii="SimSun" w:hAnsi="SimSun" w:eastAsia="SimSun" w:cs="SimSun"/>
          <w:sz w:val="24"/>
          <w:szCs w:val="24"/>
        </w:rPr>
        <w:t xml:space="preserve"> </w:t>
      </w:r>
      <w:r>
        <w:rPr>
          <w:rFonts w:ascii="SimSun" w:hAnsi="SimSun" w:eastAsia="SimSun" w:cs="SimSun"/>
          <w:sz w:val="24"/>
          <w:szCs w:val="24"/>
          <w:spacing w:val="2"/>
        </w:rPr>
        <w:t>大风量(≤</w:t>
      </w:r>
      <w:r>
        <w:rPr>
          <w:rFonts w:ascii="Times New Roman" w:hAnsi="Times New Roman" w:eastAsia="Times New Roman" w:cs="Times New Roman"/>
          <w:sz w:val="24"/>
          <w:szCs w:val="24"/>
          <w:spacing w:val="2"/>
        </w:rPr>
        <w:t>100000m</w:t>
      </w:r>
      <w:r>
        <w:rPr>
          <w:rFonts w:ascii="SimSun" w:hAnsi="SimSun" w:eastAsia="SimSun" w:cs="SimSun"/>
          <w:sz w:val="24"/>
          <w:szCs w:val="24"/>
          <w:spacing w:val="2"/>
        </w:rPr>
        <w:t>³</w:t>
      </w:r>
      <w:r>
        <w:rPr>
          <w:rFonts w:ascii="Times New Roman" w:hAnsi="Times New Roman" w:eastAsia="Times New Roman" w:cs="Times New Roman"/>
          <w:sz w:val="24"/>
          <w:szCs w:val="24"/>
          <w:spacing w:val="2"/>
        </w:rPr>
        <w:t>/h</w:t>
      </w:r>
      <w:r>
        <w:rPr>
          <w:rFonts w:ascii="SimSun" w:hAnsi="SimSun" w:eastAsia="SimSun" w:cs="SimSun"/>
          <w:sz w:val="24"/>
          <w:szCs w:val="24"/>
          <w:spacing w:val="2"/>
        </w:rPr>
        <w:t>）的废气处理；“直燃式废气燃烧装置（</w:t>
      </w:r>
      <w:r>
        <w:rPr>
          <w:rFonts w:ascii="Times New Roman" w:hAnsi="Times New Roman" w:eastAsia="Times New Roman" w:cs="Times New Roman"/>
          <w:sz w:val="24"/>
          <w:szCs w:val="24"/>
        </w:rPr>
        <w:t>TO</w:t>
      </w:r>
      <w:r>
        <w:rPr>
          <w:rFonts w:ascii="SimSun" w:hAnsi="SimSun" w:eastAsia="SimSun" w:cs="SimSun"/>
          <w:sz w:val="24"/>
          <w:szCs w:val="24"/>
          <w:spacing w:val="1"/>
        </w:rPr>
        <w:t>）</w:t>
      </w:r>
      <w:r>
        <w:rPr>
          <w:rFonts w:ascii="SimSun" w:hAnsi="SimSun" w:eastAsia="SimSun" w:cs="SimSun"/>
          <w:sz w:val="24"/>
          <w:szCs w:val="24"/>
          <w:spacing w:val="-88"/>
        </w:rPr>
        <w:t xml:space="preserve"> </w:t>
      </w:r>
      <w:r>
        <w:rPr>
          <w:rFonts w:ascii="SimSun" w:hAnsi="SimSun" w:eastAsia="SimSun" w:cs="SimSun"/>
          <w:sz w:val="24"/>
          <w:szCs w:val="24"/>
          <w:spacing w:val="1"/>
        </w:rPr>
        <w:t>”技术适</w:t>
      </w:r>
      <w:r>
        <w:rPr>
          <w:rFonts w:ascii="SimSun" w:hAnsi="SimSun" w:eastAsia="SimSun" w:cs="SimSun"/>
          <w:sz w:val="24"/>
          <w:szCs w:val="24"/>
        </w:rPr>
        <w:t xml:space="preserve">  </w:t>
      </w:r>
      <w:r>
        <w:rPr>
          <w:rFonts w:ascii="SimSun" w:hAnsi="SimSun" w:eastAsia="SimSun" w:cs="SimSun"/>
          <w:sz w:val="24"/>
          <w:szCs w:val="24"/>
        </w:rPr>
        <w:t>用于化工、工业涂装等行业中高浓度</w:t>
      </w:r>
      <w:r>
        <w:rPr>
          <w:rFonts w:ascii="Times New Roman" w:hAnsi="Times New Roman" w:eastAsia="Times New Roman" w:cs="Times New Roman"/>
          <w:sz w:val="24"/>
          <w:szCs w:val="24"/>
        </w:rPr>
        <w:t>VOCs</w:t>
      </w:r>
      <w:r>
        <w:rPr>
          <w:rFonts w:ascii="SimSun" w:hAnsi="SimSun" w:eastAsia="SimSun" w:cs="SimSun"/>
          <w:sz w:val="24"/>
          <w:szCs w:val="24"/>
        </w:rPr>
        <w:t>的治理</w:t>
      </w:r>
      <w:r>
        <w:rPr>
          <w:rFonts w:ascii="SimSun" w:hAnsi="SimSun" w:eastAsia="SimSun" w:cs="SimSun"/>
          <w:sz w:val="24"/>
          <w:szCs w:val="24"/>
          <w:spacing w:val="-1"/>
        </w:rPr>
        <w:t>，对低浓度废气，燃料成本较</w:t>
      </w:r>
      <w:r>
        <w:rPr>
          <w:rFonts w:ascii="SimSun" w:hAnsi="SimSun" w:eastAsia="SimSun" w:cs="SimSun"/>
          <w:sz w:val="24"/>
          <w:szCs w:val="24"/>
        </w:rPr>
        <w:t xml:space="preserve">  </w:t>
      </w:r>
      <w:r>
        <w:rPr>
          <w:rFonts w:ascii="SimSun" w:hAnsi="SimSun" w:eastAsia="SimSun" w:cs="SimSun"/>
          <w:sz w:val="24"/>
          <w:szCs w:val="24"/>
          <w:spacing w:val="-2"/>
        </w:rPr>
        <w:t>高；“活性炭吸附</w:t>
      </w:r>
      <w:r>
        <w:rPr>
          <w:rFonts w:ascii="Times New Roman" w:hAnsi="Times New Roman" w:eastAsia="Times New Roman" w:cs="Times New Roman"/>
          <w:sz w:val="24"/>
          <w:szCs w:val="24"/>
          <w:spacing w:val="-2"/>
        </w:rPr>
        <w:t>+</w:t>
      </w:r>
      <w:r>
        <w:rPr>
          <w:rFonts w:ascii="SimSun" w:hAnsi="SimSun" w:eastAsia="SimSun" w:cs="SimSun"/>
          <w:sz w:val="24"/>
          <w:szCs w:val="24"/>
          <w:spacing w:val="-2"/>
        </w:rPr>
        <w:t>催化燃烧装置（</w:t>
      </w:r>
      <w:r>
        <w:rPr>
          <w:rFonts w:ascii="Times New Roman" w:hAnsi="Times New Roman" w:eastAsia="Times New Roman" w:cs="Times New Roman"/>
          <w:sz w:val="24"/>
          <w:szCs w:val="24"/>
          <w:spacing w:val="-2"/>
        </w:rPr>
        <w:t>CO</w:t>
      </w:r>
      <w:r>
        <w:rPr>
          <w:rFonts w:ascii="SimSun" w:hAnsi="SimSun" w:eastAsia="SimSun" w:cs="SimSun"/>
          <w:sz w:val="24"/>
          <w:szCs w:val="24"/>
          <w:spacing w:val="-2"/>
        </w:rPr>
        <w:t>）</w:t>
      </w:r>
      <w:r>
        <w:rPr>
          <w:rFonts w:ascii="SimSun" w:hAnsi="SimSun" w:eastAsia="SimSun" w:cs="SimSun"/>
          <w:sz w:val="24"/>
          <w:szCs w:val="24"/>
          <w:spacing w:val="-75"/>
        </w:rPr>
        <w:t xml:space="preserve"> </w:t>
      </w:r>
      <w:r>
        <w:rPr>
          <w:rFonts w:ascii="SimSun" w:hAnsi="SimSun" w:eastAsia="SimSun" w:cs="SimSun"/>
          <w:sz w:val="24"/>
          <w:szCs w:val="24"/>
          <w:spacing w:val="-2"/>
        </w:rPr>
        <w:t>”技术适用于中浓度（数千</w:t>
      </w:r>
      <w:r>
        <w:rPr>
          <w:rFonts w:ascii="Times New Roman" w:hAnsi="Times New Roman" w:eastAsia="Times New Roman" w:cs="Times New Roman"/>
          <w:sz w:val="24"/>
          <w:szCs w:val="24"/>
          <w:spacing w:val="-2"/>
        </w:rPr>
        <w:t>ppm</w:t>
      </w:r>
      <w:r>
        <w:rPr>
          <w:rFonts w:ascii="SimSun" w:hAnsi="SimSun" w:eastAsia="SimSun" w:cs="SimSun"/>
          <w:sz w:val="24"/>
          <w:szCs w:val="24"/>
          <w:spacing w:val="-2"/>
        </w:rPr>
        <w:t>范围</w:t>
      </w:r>
      <w:r>
        <w:rPr>
          <w:rFonts w:ascii="SimSun" w:hAnsi="SimSun" w:eastAsia="SimSun" w:cs="SimSun"/>
          <w:sz w:val="24"/>
          <w:szCs w:val="24"/>
          <w:spacing w:val="-60"/>
        </w:rPr>
        <w:t xml:space="preserve"> </w:t>
      </w:r>
      <w:r>
        <w:rPr>
          <w:rFonts w:ascii="SimSun" w:hAnsi="SimSun" w:eastAsia="SimSun" w:cs="SimSun"/>
          <w:sz w:val="24"/>
          <w:szCs w:val="24"/>
          <w:spacing w:val="-2"/>
        </w:rPr>
        <w:t>）</w:t>
      </w:r>
    </w:p>
    <w:p>
      <w:pPr>
        <w:ind w:left="16"/>
        <w:spacing w:before="1" w:line="218" w:lineRule="auto"/>
        <w:rPr>
          <w:rFonts w:ascii="SimSun" w:hAnsi="SimSun" w:eastAsia="SimSun" w:cs="SimSun"/>
          <w:sz w:val="24"/>
          <w:szCs w:val="24"/>
        </w:rPr>
      </w:pPr>
      <w:r>
        <w:rPr>
          <w:rFonts w:ascii="Times New Roman" w:hAnsi="Times New Roman" w:eastAsia="Times New Roman" w:cs="Times New Roman"/>
          <w:sz w:val="24"/>
          <w:szCs w:val="24"/>
        </w:rPr>
        <w:t>VOCs</w:t>
      </w:r>
      <w:r>
        <w:rPr>
          <w:rFonts w:ascii="SimSun" w:hAnsi="SimSun" w:eastAsia="SimSun" w:cs="SimSun"/>
          <w:sz w:val="24"/>
          <w:szCs w:val="24"/>
        </w:rPr>
        <w:t>的治理，催化剂易阻塞、烧结、中毒、破损及活性衰退；“蓄热</w:t>
      </w:r>
      <w:r>
        <w:rPr>
          <w:rFonts w:ascii="SimSun" w:hAnsi="SimSun" w:eastAsia="SimSun" w:cs="SimSun"/>
          <w:sz w:val="24"/>
          <w:szCs w:val="24"/>
          <w:spacing w:val="-1"/>
        </w:rPr>
        <w:t>热力燃烧</w:t>
      </w:r>
    </w:p>
    <w:p>
      <w:pPr>
        <w:spacing w:line="218" w:lineRule="auto"/>
        <w:sectPr>
          <w:footerReference w:type="default" r:id="rId35"/>
          <w:pgSz w:w="11906" w:h="16839"/>
          <w:pgMar w:top="400" w:right="1719" w:bottom="1211" w:left="1785" w:header="0" w:footer="1049" w:gutter="0"/>
        </w:sectPr>
        <w:rPr>
          <w:rFonts w:ascii="SimSun" w:hAnsi="SimSun" w:eastAsia="SimSun" w:cs="SimSun"/>
          <w:sz w:val="24"/>
          <w:szCs w:val="24"/>
        </w:rPr>
      </w:pPr>
    </w:p>
    <w:p>
      <w:pPr>
        <w:pStyle w:val="BodyText"/>
        <w:spacing w:line="286" w:lineRule="auto"/>
        <w:rPr/>
      </w:pPr>
      <w:r/>
    </w:p>
    <w:p>
      <w:pPr>
        <w:pStyle w:val="BodyText"/>
        <w:spacing w:line="287" w:lineRule="auto"/>
        <w:rPr/>
      </w:pPr>
      <w:r/>
    </w:p>
    <w:p>
      <w:pPr>
        <w:pStyle w:val="BodyText"/>
        <w:spacing w:line="287" w:lineRule="auto"/>
        <w:rPr/>
      </w:pPr>
      <w:r/>
    </w:p>
    <w:p>
      <w:pPr>
        <w:pStyle w:val="BodyText"/>
        <w:spacing w:line="287" w:lineRule="auto"/>
        <w:rPr/>
      </w:pPr>
      <w:r/>
    </w:p>
    <w:p>
      <w:pPr>
        <w:ind w:left="22" w:right="13"/>
        <w:spacing w:before="78" w:line="385" w:lineRule="auto"/>
        <w:rPr>
          <w:rFonts w:ascii="SimSun" w:hAnsi="SimSun" w:eastAsia="SimSun" w:cs="SimSun"/>
          <w:sz w:val="24"/>
          <w:szCs w:val="24"/>
        </w:rPr>
      </w:pPr>
      <w:r>
        <w:rPr>
          <w:rFonts w:ascii="SimSun" w:hAnsi="SimSun" w:eastAsia="SimSun" w:cs="SimSun"/>
          <w:sz w:val="24"/>
          <w:szCs w:val="24"/>
          <w:spacing w:val="-7"/>
        </w:rPr>
        <w:t>装置（</w:t>
      </w:r>
      <w:r>
        <w:rPr>
          <w:rFonts w:ascii="Times New Roman" w:hAnsi="Times New Roman" w:eastAsia="Times New Roman" w:cs="Times New Roman"/>
          <w:sz w:val="24"/>
          <w:szCs w:val="24"/>
          <w:spacing w:val="-7"/>
        </w:rPr>
        <w:t>RTO</w:t>
      </w:r>
      <w:r>
        <w:rPr>
          <w:rFonts w:ascii="SimSun" w:hAnsi="SimSun" w:eastAsia="SimSun" w:cs="SimSun"/>
          <w:sz w:val="24"/>
          <w:szCs w:val="24"/>
          <w:spacing w:val="-7"/>
        </w:rPr>
        <w:t>）”技术适用于中高浓度、不具有回收价值</w:t>
      </w:r>
      <w:r>
        <w:rPr>
          <w:rFonts w:ascii="Times New Roman" w:hAnsi="Times New Roman" w:eastAsia="Times New Roman" w:cs="Times New Roman"/>
          <w:sz w:val="24"/>
          <w:szCs w:val="24"/>
          <w:spacing w:val="-7"/>
        </w:rPr>
        <w:t>VOCs</w:t>
      </w:r>
      <w:r>
        <w:rPr>
          <w:rFonts w:ascii="SimSun" w:hAnsi="SimSun" w:eastAsia="SimSun" w:cs="SimSun"/>
          <w:sz w:val="24"/>
          <w:szCs w:val="24"/>
          <w:spacing w:val="-7"/>
        </w:rPr>
        <w:t>的治理，低</w:t>
      </w:r>
      <w:r>
        <w:rPr>
          <w:rFonts w:ascii="SimSun" w:hAnsi="SimSun" w:eastAsia="SimSun" w:cs="SimSun"/>
          <w:sz w:val="24"/>
          <w:szCs w:val="24"/>
          <w:spacing w:val="-58"/>
        </w:rPr>
        <w:t xml:space="preserve"> </w:t>
      </w:r>
      <w:r>
        <w:rPr>
          <w:rFonts w:ascii="Times New Roman" w:hAnsi="Times New Roman" w:eastAsia="Times New Roman" w:cs="Times New Roman"/>
          <w:sz w:val="24"/>
          <w:szCs w:val="24"/>
          <w:spacing w:val="-7"/>
        </w:rPr>
        <w:t>VOCs  </w:t>
      </w:r>
      <w:r>
        <w:rPr>
          <w:rFonts w:ascii="SimSun" w:hAnsi="SimSun" w:eastAsia="SimSun" w:cs="SimSun"/>
          <w:sz w:val="24"/>
          <w:szCs w:val="24"/>
          <w:spacing w:val="-7"/>
        </w:rPr>
        <w:t>浓</w:t>
      </w:r>
      <w:r>
        <w:rPr>
          <w:rFonts w:ascii="SimSun" w:hAnsi="SimSun" w:eastAsia="SimSun" w:cs="SimSun"/>
          <w:sz w:val="24"/>
          <w:szCs w:val="24"/>
        </w:rPr>
        <w:t xml:space="preserve"> </w:t>
      </w:r>
      <w:r>
        <w:rPr>
          <w:rFonts w:ascii="SimSun" w:hAnsi="SimSun" w:eastAsia="SimSun" w:cs="SimSun"/>
          <w:sz w:val="24"/>
          <w:szCs w:val="24"/>
          <w:spacing w:val="-1"/>
        </w:rPr>
        <w:t>度时燃料费用高；“蓄热活性炭吸附</w:t>
      </w:r>
      <w:r>
        <w:rPr>
          <w:rFonts w:ascii="Times New Roman" w:hAnsi="Times New Roman" w:eastAsia="Times New Roman" w:cs="Times New Roman"/>
          <w:sz w:val="24"/>
          <w:szCs w:val="24"/>
          <w:spacing w:val="-1"/>
        </w:rPr>
        <w:t>+</w:t>
      </w:r>
      <w:r>
        <w:rPr>
          <w:rFonts w:ascii="SimSun" w:hAnsi="SimSun" w:eastAsia="SimSun" w:cs="SimSun"/>
          <w:sz w:val="24"/>
          <w:szCs w:val="24"/>
          <w:spacing w:val="-1"/>
        </w:rPr>
        <w:t>催化燃烧装置装置（</w:t>
      </w:r>
      <w:r>
        <w:rPr>
          <w:rFonts w:ascii="Times New Roman" w:hAnsi="Times New Roman" w:eastAsia="Times New Roman" w:cs="Times New Roman"/>
          <w:sz w:val="24"/>
          <w:szCs w:val="24"/>
          <w:spacing w:val="-1"/>
        </w:rPr>
        <w:t>RC</w:t>
      </w:r>
      <w:r>
        <w:rPr>
          <w:rFonts w:ascii="Times New Roman" w:hAnsi="Times New Roman" w:eastAsia="Times New Roman" w:cs="Times New Roman"/>
          <w:sz w:val="24"/>
          <w:szCs w:val="24"/>
          <w:spacing w:val="-2"/>
        </w:rPr>
        <w:t>O</w:t>
      </w:r>
      <w:r>
        <w:rPr>
          <w:rFonts w:ascii="SimSun" w:hAnsi="SimSun" w:eastAsia="SimSun" w:cs="SimSun"/>
          <w:sz w:val="24"/>
          <w:szCs w:val="24"/>
          <w:spacing w:val="-2"/>
        </w:rPr>
        <w:t>）</w:t>
      </w:r>
      <w:r>
        <w:rPr>
          <w:rFonts w:ascii="SimSun" w:hAnsi="SimSun" w:eastAsia="SimSun" w:cs="SimSun"/>
          <w:sz w:val="24"/>
          <w:szCs w:val="24"/>
          <w:spacing w:val="-88"/>
        </w:rPr>
        <w:t xml:space="preserve"> </w:t>
      </w:r>
      <w:r>
        <w:rPr>
          <w:rFonts w:ascii="SimSun" w:hAnsi="SimSun" w:eastAsia="SimSun" w:cs="SimSun"/>
          <w:sz w:val="24"/>
          <w:szCs w:val="24"/>
          <w:spacing w:val="-2"/>
        </w:rPr>
        <w:t>”技术适用于</w:t>
      </w:r>
      <w:r>
        <w:rPr>
          <w:rFonts w:ascii="SimSun" w:hAnsi="SimSun" w:eastAsia="SimSun" w:cs="SimSun"/>
          <w:sz w:val="24"/>
          <w:szCs w:val="24"/>
        </w:rPr>
        <w:t xml:space="preserve"> </w:t>
      </w:r>
      <w:r>
        <w:rPr>
          <w:rFonts w:ascii="SimSun" w:hAnsi="SimSun" w:eastAsia="SimSun" w:cs="SimSun"/>
          <w:sz w:val="24"/>
          <w:szCs w:val="24"/>
          <w:spacing w:val="2"/>
        </w:rPr>
        <w:t>中高浓度废气治理；“管壳式冷凝器、板面式冷凝器</w:t>
      </w:r>
      <w:r>
        <w:rPr>
          <w:rFonts w:ascii="SimSun" w:hAnsi="SimSun" w:eastAsia="SimSun" w:cs="SimSun"/>
          <w:sz w:val="24"/>
          <w:szCs w:val="24"/>
          <w:spacing w:val="-78"/>
        </w:rPr>
        <w:t xml:space="preserve"> </w:t>
      </w:r>
      <w:r>
        <w:rPr>
          <w:rFonts w:ascii="SimSun" w:hAnsi="SimSun" w:eastAsia="SimSun" w:cs="SimSun"/>
          <w:sz w:val="24"/>
          <w:szCs w:val="24"/>
          <w:spacing w:val="2"/>
        </w:rPr>
        <w:t>”技术适用于高浓度(≥</w:t>
      </w:r>
      <w:r>
        <w:rPr>
          <w:rFonts w:ascii="SimSun" w:hAnsi="SimSun" w:eastAsia="SimSun" w:cs="SimSun"/>
          <w:sz w:val="24"/>
          <w:szCs w:val="24"/>
        </w:rPr>
        <w:t xml:space="preserve">  </w:t>
      </w:r>
      <w:r>
        <w:rPr>
          <w:rFonts w:ascii="Times New Roman" w:hAnsi="Times New Roman" w:eastAsia="Times New Roman" w:cs="Times New Roman"/>
          <w:sz w:val="24"/>
          <w:szCs w:val="24"/>
          <w:spacing w:val="-5"/>
        </w:rPr>
        <w:t>10000mg/m</w:t>
      </w:r>
      <w:r>
        <w:rPr>
          <w:rFonts w:ascii="SimSun" w:hAnsi="SimSun" w:eastAsia="SimSun" w:cs="SimSun"/>
          <w:sz w:val="24"/>
          <w:szCs w:val="24"/>
          <w:spacing w:val="-5"/>
        </w:rPr>
        <w:t>³)</w:t>
      </w:r>
      <w:r>
        <w:rPr>
          <w:rFonts w:ascii="SimSun" w:hAnsi="SimSun" w:eastAsia="SimSun" w:cs="SimSun"/>
          <w:sz w:val="24"/>
          <w:szCs w:val="24"/>
          <w:spacing w:val="30"/>
        </w:rPr>
        <w:t xml:space="preserve"> </w:t>
      </w:r>
      <w:r>
        <w:rPr>
          <w:rFonts w:ascii="SimSun" w:hAnsi="SimSun" w:eastAsia="SimSun" w:cs="SimSun"/>
          <w:sz w:val="24"/>
          <w:szCs w:val="24"/>
          <w:spacing w:val="-5"/>
        </w:rPr>
        <w:t>,</w:t>
      </w:r>
      <w:r>
        <w:rPr>
          <w:rFonts w:ascii="SimSun" w:hAnsi="SimSun" w:eastAsia="SimSun" w:cs="SimSun"/>
          <w:sz w:val="24"/>
          <w:szCs w:val="24"/>
          <w:spacing w:val="52"/>
        </w:rPr>
        <w:t xml:space="preserve"> </w:t>
      </w:r>
      <w:r>
        <w:rPr>
          <w:rFonts w:ascii="SimSun" w:hAnsi="SimSun" w:eastAsia="SimSun" w:cs="SimSun"/>
          <w:sz w:val="24"/>
          <w:szCs w:val="24"/>
          <w:spacing w:val="-5"/>
        </w:rPr>
        <w:t>净化效率不高；“沸石浓缩转</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5"/>
        </w:rPr>
        <w:t>+TO/ RTO</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5"/>
        </w:rPr>
        <w:t>”技</w:t>
      </w:r>
      <w:r>
        <w:rPr>
          <w:rFonts w:ascii="SimSun" w:hAnsi="SimSun" w:eastAsia="SimSun" w:cs="SimSun"/>
          <w:sz w:val="24"/>
          <w:szCs w:val="24"/>
          <w:spacing w:val="-6"/>
        </w:rPr>
        <w:t>术适用于如汽车制</w:t>
      </w:r>
      <w:r>
        <w:rPr>
          <w:rFonts w:ascii="SimSun" w:hAnsi="SimSun" w:eastAsia="SimSun" w:cs="SimSun"/>
          <w:sz w:val="24"/>
          <w:szCs w:val="24"/>
        </w:rPr>
        <w:t xml:space="preserve"> </w:t>
      </w:r>
      <w:r>
        <w:rPr>
          <w:rFonts w:ascii="SimSun" w:hAnsi="SimSun" w:eastAsia="SimSun" w:cs="SimSun"/>
          <w:sz w:val="24"/>
          <w:szCs w:val="24"/>
          <w:spacing w:val="4"/>
        </w:rPr>
        <w:t>造行业企业等产生废气量大(≥</w:t>
      </w:r>
      <w:r>
        <w:rPr>
          <w:rFonts w:ascii="Times New Roman" w:hAnsi="Times New Roman" w:eastAsia="Times New Roman" w:cs="Times New Roman"/>
          <w:sz w:val="24"/>
          <w:szCs w:val="24"/>
          <w:spacing w:val="4"/>
        </w:rPr>
        <w:t>100000m</w:t>
      </w:r>
      <w:r>
        <w:rPr>
          <w:rFonts w:ascii="SimSun" w:hAnsi="SimSun" w:eastAsia="SimSun" w:cs="SimSun"/>
          <w:sz w:val="24"/>
          <w:szCs w:val="24"/>
          <w:spacing w:val="4"/>
        </w:rPr>
        <w:t>³</w:t>
      </w:r>
      <w:r>
        <w:rPr>
          <w:rFonts w:ascii="Times New Roman" w:hAnsi="Times New Roman" w:eastAsia="Times New Roman" w:cs="Times New Roman"/>
          <w:sz w:val="24"/>
          <w:szCs w:val="24"/>
          <w:spacing w:val="4"/>
        </w:rPr>
        <w:t>/h</w:t>
      </w:r>
      <w:r>
        <w:rPr>
          <w:rFonts w:ascii="SimSun" w:hAnsi="SimSun" w:eastAsia="SimSun" w:cs="SimSun"/>
          <w:sz w:val="24"/>
          <w:szCs w:val="24"/>
          <w:spacing w:val="4"/>
        </w:rPr>
        <w:t>）且浓度低的企业；</w:t>
      </w:r>
      <w:r>
        <w:rPr>
          <w:rFonts w:ascii="Times New Roman" w:hAnsi="Times New Roman" w:eastAsia="Times New Roman" w:cs="Times New Roman"/>
          <w:sz w:val="24"/>
          <w:szCs w:val="24"/>
          <w:spacing w:val="4"/>
        </w:rPr>
        <w:t>“</w:t>
      </w:r>
      <w:r>
        <w:rPr>
          <w:rFonts w:ascii="SimSun" w:hAnsi="SimSun" w:eastAsia="SimSun" w:cs="SimSun"/>
          <w:sz w:val="24"/>
          <w:szCs w:val="24"/>
          <w:spacing w:val="4"/>
        </w:rPr>
        <w:t>活性炭</w:t>
      </w:r>
      <w:r>
        <w:rPr>
          <w:rFonts w:ascii="Times New Roman" w:hAnsi="Times New Roman" w:eastAsia="Times New Roman" w:cs="Times New Roman"/>
          <w:sz w:val="24"/>
          <w:szCs w:val="24"/>
          <w:spacing w:val="4"/>
        </w:rPr>
        <w:t>+ </w:t>
      </w:r>
      <w:r>
        <w:rPr>
          <w:rFonts w:ascii="Times New Roman" w:hAnsi="Times New Roman" w:eastAsia="Times New Roman" w:cs="Times New Roman"/>
          <w:sz w:val="24"/>
          <w:szCs w:val="24"/>
        </w:rPr>
        <w:t>CO</w:t>
      </w:r>
      <w:r>
        <w:rPr>
          <w:rFonts w:ascii="Times New Roman" w:hAnsi="Times New Roman" w:eastAsia="Times New Roman" w:cs="Times New Roman"/>
          <w:sz w:val="24"/>
          <w:szCs w:val="24"/>
          <w:spacing w:val="4"/>
        </w:rPr>
        <w:t>”</w:t>
      </w:r>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1"/>
        </w:rPr>
        <w:t>技术适用于低浓度(≤</w:t>
      </w:r>
      <w:r>
        <w:rPr>
          <w:rFonts w:ascii="Times New Roman" w:hAnsi="Times New Roman" w:eastAsia="Times New Roman" w:cs="Times New Roman"/>
          <w:sz w:val="24"/>
          <w:szCs w:val="24"/>
          <w:spacing w:val="1"/>
        </w:rPr>
        <w:t>1000</w:t>
      </w:r>
      <w:r>
        <w:rPr>
          <w:rFonts w:ascii="Times New Roman" w:hAnsi="Times New Roman" w:eastAsia="Times New Roman" w:cs="Times New Roman"/>
          <w:sz w:val="24"/>
          <w:szCs w:val="24"/>
        </w:rPr>
        <w:t>mg</w:t>
      </w:r>
      <w:r>
        <w:rPr>
          <w:rFonts w:ascii="Times New Roman" w:hAnsi="Times New Roman" w:eastAsia="Times New Roman" w:cs="Times New Roman"/>
          <w:sz w:val="24"/>
          <w:szCs w:val="24"/>
          <w:spacing w:val="1"/>
        </w:rPr>
        <w:t>/m</w:t>
      </w:r>
      <w:r>
        <w:rPr>
          <w:rFonts w:ascii="SimSun" w:hAnsi="SimSun" w:eastAsia="SimSun" w:cs="SimSun"/>
          <w:sz w:val="24"/>
          <w:szCs w:val="24"/>
          <w:spacing w:val="1"/>
        </w:rPr>
        <w:t>³)</w:t>
      </w:r>
      <w:r>
        <w:rPr>
          <w:rFonts w:ascii="SimSun" w:hAnsi="SimSun" w:eastAsia="SimSun" w:cs="SimSun"/>
          <w:sz w:val="24"/>
          <w:szCs w:val="24"/>
          <w:spacing w:val="32"/>
        </w:rPr>
        <w:t xml:space="preserve"> </w:t>
      </w:r>
      <w:r>
        <w:rPr>
          <w:rFonts w:ascii="SimSun" w:hAnsi="SimSun" w:eastAsia="SimSun" w:cs="SimSun"/>
          <w:sz w:val="24"/>
          <w:szCs w:val="24"/>
          <w:spacing w:val="1"/>
        </w:rPr>
        <w:t>的废气处理，</w:t>
      </w:r>
      <w:r>
        <w:rPr>
          <w:rFonts w:ascii="SimSun" w:hAnsi="SimSun" w:eastAsia="SimSun" w:cs="SimSun"/>
          <w:sz w:val="24"/>
          <w:szCs w:val="24"/>
        </w:rPr>
        <w:t>该技术采用电作为热源，一次</w:t>
      </w:r>
    </w:p>
    <w:p>
      <w:pPr>
        <w:ind w:left="26"/>
        <w:spacing w:line="219" w:lineRule="auto"/>
        <w:rPr>
          <w:rFonts w:ascii="SimSun" w:hAnsi="SimSun" w:eastAsia="SimSun" w:cs="SimSun"/>
          <w:sz w:val="24"/>
          <w:szCs w:val="24"/>
        </w:rPr>
      </w:pPr>
      <w:r>
        <w:rPr>
          <w:rFonts w:ascii="SimSun" w:hAnsi="SimSun" w:eastAsia="SimSun" w:cs="SimSun"/>
          <w:sz w:val="24"/>
          <w:szCs w:val="24"/>
          <w:spacing w:val="-1"/>
        </w:rPr>
        <w:t>性投资费用低，能耗低，净化效率高。</w:t>
      </w:r>
    </w:p>
    <w:p>
      <w:pPr>
        <w:ind w:left="29" w:right="13" w:firstLine="473"/>
        <w:spacing w:before="213" w:line="385" w:lineRule="auto"/>
        <w:jc w:val="both"/>
        <w:rPr>
          <w:rFonts w:ascii="SimSun" w:hAnsi="SimSun" w:eastAsia="SimSun" w:cs="SimSun"/>
          <w:sz w:val="24"/>
          <w:szCs w:val="24"/>
        </w:rPr>
      </w:pPr>
      <w:r>
        <w:rPr>
          <w:rFonts w:ascii="SimSun" w:hAnsi="SimSun" w:eastAsia="SimSun" w:cs="SimSun"/>
          <w:sz w:val="24"/>
          <w:szCs w:val="24"/>
          <w:spacing w:val="-3"/>
        </w:rPr>
        <w:t>根据本项目的生产工艺的特点，有机废气的产生浓度较低，温度</w:t>
      </w:r>
      <w:r>
        <w:rPr>
          <w:rFonts w:ascii="SimSun" w:hAnsi="SimSun" w:eastAsia="SimSun" w:cs="SimSun"/>
          <w:sz w:val="24"/>
          <w:szCs w:val="24"/>
          <w:spacing w:val="-4"/>
        </w:rPr>
        <w:t>不高，湿度</w:t>
      </w:r>
      <w:r>
        <w:rPr>
          <w:rFonts w:ascii="SimSun" w:hAnsi="SimSun" w:eastAsia="SimSun" w:cs="SimSun"/>
          <w:sz w:val="24"/>
          <w:szCs w:val="24"/>
        </w:rPr>
        <w:t xml:space="preserve"> </w:t>
      </w:r>
      <w:r>
        <w:rPr>
          <w:rFonts w:ascii="SimSun" w:hAnsi="SimSun" w:eastAsia="SimSun" w:cs="SimSun"/>
          <w:sz w:val="24"/>
          <w:szCs w:val="24"/>
          <w:spacing w:val="-9"/>
        </w:rPr>
        <w:t>小，不含颗粒状。结合本项目特点及常见</w:t>
      </w:r>
      <w:r>
        <w:rPr>
          <w:rFonts w:ascii="Times New Roman" w:hAnsi="Times New Roman" w:eastAsia="Times New Roman" w:cs="Times New Roman"/>
          <w:sz w:val="24"/>
          <w:szCs w:val="24"/>
          <w:spacing w:val="-9"/>
        </w:rPr>
        <w:t>VOCs</w:t>
      </w:r>
      <w:r>
        <w:rPr>
          <w:rFonts w:ascii="SimSun" w:hAnsi="SimSun" w:eastAsia="SimSun" w:cs="SimSun"/>
          <w:sz w:val="24"/>
          <w:szCs w:val="24"/>
          <w:spacing w:val="-9"/>
        </w:rPr>
        <w:t>控制技术的优缺点，本项目采用</w:t>
      </w:r>
      <w:r>
        <w:rPr>
          <w:rFonts w:ascii="Times New Roman" w:hAnsi="Times New Roman" w:eastAsia="Times New Roman" w:cs="Times New Roman"/>
          <w:sz w:val="24"/>
          <w:szCs w:val="24"/>
          <w:spacing w:val="-9"/>
        </w:rPr>
        <w:t>“</w:t>
      </w:r>
      <w:r>
        <w:rPr>
          <w:rFonts w:ascii="SimSun" w:hAnsi="SimSun" w:eastAsia="SimSun" w:cs="SimSun"/>
          <w:sz w:val="24"/>
          <w:szCs w:val="24"/>
          <w:spacing w:val="-9"/>
        </w:rPr>
        <w:t>活</w:t>
      </w:r>
    </w:p>
    <w:p>
      <w:pPr>
        <w:ind w:left="26"/>
        <w:spacing w:line="218" w:lineRule="auto"/>
        <w:rPr>
          <w:rFonts w:ascii="SimSun" w:hAnsi="SimSun" w:eastAsia="SimSun" w:cs="SimSun"/>
          <w:sz w:val="24"/>
          <w:szCs w:val="24"/>
        </w:rPr>
      </w:pPr>
      <w:r>
        <w:rPr>
          <w:rFonts w:ascii="SimSun" w:hAnsi="SimSun" w:eastAsia="SimSun" w:cs="SimSun"/>
          <w:sz w:val="24"/>
          <w:szCs w:val="24"/>
          <w:spacing w:val="-1"/>
        </w:rPr>
        <w:t>性炭吸附</w:t>
      </w:r>
      <w:r>
        <w:rPr>
          <w:rFonts w:ascii="Times New Roman" w:hAnsi="Times New Roman" w:eastAsia="Times New Roman" w:cs="Times New Roman"/>
          <w:sz w:val="24"/>
          <w:szCs w:val="24"/>
          <w:spacing w:val="-1"/>
        </w:rPr>
        <w:t>+</w:t>
      </w:r>
      <w:r>
        <w:rPr>
          <w:rFonts w:ascii="SimSun" w:hAnsi="SimSun" w:eastAsia="SimSun" w:cs="SimSun"/>
          <w:sz w:val="24"/>
          <w:szCs w:val="24"/>
          <w:spacing w:val="-1"/>
        </w:rPr>
        <w:t>催化燃烧装置装置（</w:t>
      </w:r>
      <w:r>
        <w:rPr>
          <w:rFonts w:ascii="Times New Roman" w:hAnsi="Times New Roman" w:eastAsia="Times New Roman" w:cs="Times New Roman"/>
          <w:sz w:val="24"/>
          <w:szCs w:val="24"/>
          <w:spacing w:val="-1"/>
        </w:rPr>
        <w:t>CO</w:t>
      </w:r>
      <w:r>
        <w:rPr>
          <w:rFonts w:ascii="SimSun" w:hAnsi="SimSun" w:eastAsia="SimSun" w:cs="SimSun"/>
          <w:sz w:val="24"/>
          <w:szCs w:val="24"/>
          <w:spacing w:val="-1"/>
        </w:rPr>
        <w:t>）</w:t>
      </w:r>
      <w:r>
        <w:rPr>
          <w:rFonts w:ascii="Times New Roman" w:hAnsi="Times New Roman" w:eastAsia="Times New Roman" w:cs="Times New Roman"/>
          <w:sz w:val="24"/>
          <w:szCs w:val="24"/>
          <w:spacing w:val="-1"/>
        </w:rPr>
        <w:t>”</w:t>
      </w:r>
      <w:r>
        <w:rPr>
          <w:rFonts w:ascii="SimSun" w:hAnsi="SimSun" w:eastAsia="SimSun" w:cs="SimSun"/>
          <w:sz w:val="24"/>
          <w:szCs w:val="24"/>
          <w:spacing w:val="-1"/>
        </w:rPr>
        <w:t>处理有机废气。</w:t>
      </w:r>
    </w:p>
    <w:p>
      <w:pPr>
        <w:ind w:left="514"/>
        <w:spacing w:before="215" w:line="499" w:lineRule="exact"/>
        <w:rPr>
          <w:rFonts w:ascii="SimSun" w:hAnsi="SimSun" w:eastAsia="SimSun" w:cs="SimSun"/>
          <w:sz w:val="24"/>
          <w:szCs w:val="24"/>
        </w:rPr>
      </w:pPr>
      <w:r>
        <w:rPr>
          <w:rFonts w:ascii="SimSun" w:hAnsi="SimSun" w:eastAsia="SimSun" w:cs="SimSun"/>
          <w:sz w:val="24"/>
          <w:szCs w:val="24"/>
          <w:spacing w:val="-2"/>
          <w:position w:val="19"/>
        </w:rPr>
        <w:t>（</w:t>
      </w:r>
      <w:r>
        <w:rPr>
          <w:rFonts w:ascii="Times New Roman" w:hAnsi="Times New Roman" w:eastAsia="Times New Roman" w:cs="Times New Roman"/>
          <w:sz w:val="24"/>
          <w:szCs w:val="24"/>
          <w:spacing w:val="-2"/>
          <w:position w:val="19"/>
        </w:rPr>
        <w:t>3</w:t>
      </w:r>
      <w:r>
        <w:rPr>
          <w:rFonts w:ascii="SimSun" w:hAnsi="SimSun" w:eastAsia="SimSun" w:cs="SimSun"/>
          <w:sz w:val="24"/>
          <w:szCs w:val="24"/>
          <w:spacing w:val="-2"/>
          <w:position w:val="19"/>
        </w:rPr>
        <w:t>）废气治理措施原理及特点</w:t>
      </w:r>
    </w:p>
    <w:p>
      <w:pPr>
        <w:ind w:left="496"/>
        <w:spacing w:line="220" w:lineRule="auto"/>
        <w:rPr>
          <w:rFonts w:ascii="SimSun" w:hAnsi="SimSun" w:eastAsia="SimSun" w:cs="SimSun"/>
          <w:sz w:val="24"/>
          <w:szCs w:val="24"/>
        </w:rPr>
      </w:pPr>
      <w:r>
        <w:rPr>
          <w:rFonts w:ascii="Times New Roman" w:hAnsi="Times New Roman" w:eastAsia="Times New Roman" w:cs="Times New Roman"/>
          <w:sz w:val="24"/>
          <w:szCs w:val="24"/>
          <w:spacing w:val="-5"/>
        </w:rPr>
        <w:t>A</w:t>
      </w:r>
      <w:r>
        <w:rPr>
          <w:rFonts w:ascii="Times New Roman" w:hAnsi="Times New Roman" w:eastAsia="Times New Roman" w:cs="Times New Roman"/>
          <w:sz w:val="24"/>
          <w:szCs w:val="24"/>
          <w:spacing w:val="-34"/>
        </w:rPr>
        <w:t xml:space="preserve"> </w:t>
      </w:r>
      <w:r>
        <w:rPr>
          <w:rFonts w:ascii="SimSun" w:hAnsi="SimSun" w:eastAsia="SimSun" w:cs="SimSun"/>
          <w:sz w:val="24"/>
          <w:szCs w:val="24"/>
          <w:spacing w:val="-5"/>
        </w:rPr>
        <w:t>、运行原理</w:t>
      </w:r>
    </w:p>
    <w:p>
      <w:pPr>
        <w:ind w:left="22" w:right="13" w:firstLine="481"/>
        <w:spacing w:before="218" w:line="384" w:lineRule="auto"/>
        <w:rPr>
          <w:rFonts w:ascii="SimSun" w:hAnsi="SimSun" w:eastAsia="SimSun" w:cs="SimSun"/>
          <w:sz w:val="24"/>
          <w:szCs w:val="24"/>
        </w:rPr>
      </w:pPr>
      <w:r>
        <w:rPr>
          <w:rFonts w:ascii="SimSun" w:hAnsi="SimSun" w:eastAsia="SimSun" w:cs="SimSun"/>
          <w:sz w:val="24"/>
          <w:szCs w:val="24"/>
          <w:spacing w:val="-3"/>
        </w:rPr>
        <w:t>本项目采用活性炭吸附</w:t>
      </w:r>
      <w:r>
        <w:rPr>
          <w:rFonts w:ascii="Times New Roman" w:hAnsi="Times New Roman" w:eastAsia="Times New Roman" w:cs="Times New Roman"/>
          <w:sz w:val="24"/>
          <w:szCs w:val="24"/>
          <w:spacing w:val="-3"/>
        </w:rPr>
        <w:t>+</w:t>
      </w:r>
      <w:r>
        <w:rPr>
          <w:rFonts w:ascii="SimSun" w:hAnsi="SimSun" w:eastAsia="SimSun" w:cs="SimSun"/>
          <w:sz w:val="24"/>
          <w:szCs w:val="24"/>
          <w:spacing w:val="-3"/>
        </w:rPr>
        <w:t>催化燃烧装置（</w:t>
      </w:r>
      <w:r>
        <w:rPr>
          <w:rFonts w:ascii="Times New Roman" w:hAnsi="Times New Roman" w:eastAsia="Times New Roman" w:cs="Times New Roman"/>
          <w:sz w:val="24"/>
          <w:szCs w:val="24"/>
          <w:spacing w:val="-3"/>
        </w:rPr>
        <w:t>CO</w:t>
      </w:r>
      <w:r>
        <w:rPr>
          <w:rFonts w:ascii="SimSun" w:hAnsi="SimSun" w:eastAsia="SimSun" w:cs="SimSun"/>
          <w:sz w:val="24"/>
          <w:szCs w:val="24"/>
          <w:spacing w:val="-3"/>
        </w:rPr>
        <w:t>）装置处理挥发性有机废气：根</w:t>
      </w:r>
      <w:r>
        <w:rPr>
          <w:rFonts w:ascii="SimSun" w:hAnsi="SimSun" w:eastAsia="SimSun" w:cs="SimSun"/>
          <w:sz w:val="24"/>
          <w:szCs w:val="24"/>
          <w:spacing w:val="8"/>
        </w:rPr>
        <w:t xml:space="preserve"> </w:t>
      </w:r>
      <w:r>
        <w:rPr>
          <w:rFonts w:ascii="SimSun" w:hAnsi="SimSun" w:eastAsia="SimSun" w:cs="SimSun"/>
          <w:sz w:val="24"/>
          <w:szCs w:val="24"/>
          <w:spacing w:val="-3"/>
        </w:rPr>
        <w:t>据活性炭吸附吸附效率高、催化燃烧装置具有节能效果的原理，采用双气路连续</w:t>
      </w:r>
      <w:r>
        <w:rPr>
          <w:rFonts w:ascii="SimSun" w:hAnsi="SimSun" w:eastAsia="SimSun" w:cs="SimSun"/>
          <w:sz w:val="24"/>
          <w:szCs w:val="24"/>
          <w:spacing w:val="1"/>
        </w:rPr>
        <w:t xml:space="preserve"> </w:t>
      </w:r>
      <w:r>
        <w:rPr>
          <w:rFonts w:ascii="SimSun" w:hAnsi="SimSun" w:eastAsia="SimSun" w:cs="SimSun"/>
          <w:sz w:val="24"/>
          <w:szCs w:val="24"/>
          <w:spacing w:val="-3"/>
        </w:rPr>
        <w:t>工作，一个活性炭吸附</w:t>
      </w:r>
      <w:r>
        <w:rPr>
          <w:rFonts w:ascii="Times New Roman" w:hAnsi="Times New Roman" w:eastAsia="Times New Roman" w:cs="Times New Roman"/>
          <w:sz w:val="24"/>
          <w:szCs w:val="24"/>
          <w:spacing w:val="-3"/>
        </w:rPr>
        <w:t>+</w:t>
      </w:r>
      <w:r>
        <w:rPr>
          <w:rFonts w:ascii="SimSun" w:hAnsi="SimSun" w:eastAsia="SimSun" w:cs="SimSun"/>
          <w:sz w:val="24"/>
          <w:szCs w:val="24"/>
          <w:spacing w:val="-3"/>
        </w:rPr>
        <w:t>催化燃烧装置（</w:t>
      </w:r>
      <w:r>
        <w:rPr>
          <w:rFonts w:ascii="Times New Roman" w:hAnsi="Times New Roman" w:eastAsia="Times New Roman" w:cs="Times New Roman"/>
          <w:sz w:val="24"/>
          <w:szCs w:val="24"/>
          <w:spacing w:val="-3"/>
        </w:rPr>
        <w:t>CO</w:t>
      </w:r>
      <w:r>
        <w:rPr>
          <w:rFonts w:ascii="SimSun" w:hAnsi="SimSun" w:eastAsia="SimSun" w:cs="SimSun"/>
          <w:sz w:val="24"/>
          <w:szCs w:val="24"/>
          <w:spacing w:val="-3"/>
        </w:rPr>
        <w:t>）室，两个吸附床交替使用。先将有</w:t>
      </w:r>
      <w:r>
        <w:rPr>
          <w:rFonts w:ascii="SimSun" w:hAnsi="SimSun" w:eastAsia="SimSun" w:cs="SimSun"/>
          <w:sz w:val="24"/>
          <w:szCs w:val="24"/>
          <w:spacing w:val="16"/>
        </w:rPr>
        <w:t xml:space="preserve"> </w:t>
      </w:r>
      <w:r>
        <w:rPr>
          <w:rFonts w:ascii="SimSun" w:hAnsi="SimSun" w:eastAsia="SimSun" w:cs="SimSun"/>
          <w:sz w:val="24"/>
          <w:szCs w:val="24"/>
          <w:spacing w:val="-3"/>
        </w:rPr>
        <w:t>机废气用活性炭吸附，当活性炭快达到饱和时停止吸附，然后用热气流将有机物</w:t>
      </w:r>
    </w:p>
    <w:p>
      <w:pPr>
        <w:ind w:left="26"/>
        <w:spacing w:before="1" w:line="218" w:lineRule="auto"/>
        <w:rPr>
          <w:rFonts w:ascii="SimSun" w:hAnsi="SimSun" w:eastAsia="SimSun" w:cs="SimSun"/>
          <w:sz w:val="24"/>
          <w:szCs w:val="24"/>
        </w:rPr>
      </w:pPr>
      <w:r>
        <w:rPr>
          <w:rFonts w:ascii="SimSun" w:hAnsi="SimSun" w:eastAsia="SimSun" w:cs="SimSun"/>
          <w:sz w:val="24"/>
          <w:szCs w:val="24"/>
        </w:rPr>
        <w:t>从活性炭上脱附下来使活性炭再生；脱附下</w:t>
      </w:r>
      <w:r>
        <w:rPr>
          <w:rFonts w:ascii="SimSun" w:hAnsi="SimSun" w:eastAsia="SimSun" w:cs="SimSun"/>
          <w:sz w:val="24"/>
          <w:szCs w:val="24"/>
          <w:spacing w:val="-1"/>
        </w:rPr>
        <w:t>来的有机物被送往催化燃烧装置</w:t>
      </w:r>
    </w:p>
    <w:p>
      <w:pPr>
        <w:ind w:left="34"/>
        <w:spacing w:before="215"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CO</w:t>
      </w:r>
      <w:r>
        <w:rPr>
          <w:rFonts w:ascii="SimSun" w:hAnsi="SimSun" w:eastAsia="SimSun" w:cs="SimSun"/>
          <w:sz w:val="24"/>
          <w:szCs w:val="24"/>
          <w:spacing w:val="-2"/>
        </w:rPr>
        <w:t>）成二氧化碳及水蒸气排出。</w:t>
      </w:r>
    </w:p>
    <w:p>
      <w:pPr>
        <w:ind w:right="13"/>
        <w:spacing w:before="217" w:line="499" w:lineRule="exact"/>
        <w:jc w:val="right"/>
        <w:rPr>
          <w:rFonts w:ascii="SimSun" w:hAnsi="SimSun" w:eastAsia="SimSun" w:cs="SimSun"/>
          <w:sz w:val="24"/>
          <w:szCs w:val="24"/>
        </w:rPr>
      </w:pPr>
      <w:r>
        <w:rPr>
          <w:rFonts w:ascii="SimSun" w:hAnsi="SimSun" w:eastAsia="SimSun" w:cs="SimSun"/>
          <w:sz w:val="24"/>
          <w:szCs w:val="24"/>
          <w:spacing w:val="-3"/>
          <w:position w:val="19"/>
        </w:rPr>
        <w:t>活性炭是经过活化处理后的碳，其具备比表面积大，孔</w:t>
      </w:r>
      <w:r>
        <w:rPr>
          <w:rFonts w:ascii="SimSun" w:hAnsi="SimSun" w:eastAsia="SimSun" w:cs="SimSun"/>
          <w:sz w:val="24"/>
          <w:szCs w:val="24"/>
          <w:spacing w:val="-4"/>
          <w:position w:val="19"/>
        </w:rPr>
        <w:t>隙多的特点，使其具</w:t>
      </w:r>
    </w:p>
    <w:p>
      <w:pPr>
        <w:ind w:left="24"/>
        <w:spacing w:line="212" w:lineRule="auto"/>
        <w:rPr>
          <w:rFonts w:ascii="SimSun" w:hAnsi="SimSun" w:eastAsia="SimSun" w:cs="SimSun"/>
          <w:sz w:val="24"/>
          <w:szCs w:val="24"/>
        </w:rPr>
      </w:pPr>
      <w:r>
        <w:rPr>
          <w:rFonts w:ascii="SimSun" w:hAnsi="SimSun" w:eastAsia="SimSun" w:cs="SimSun"/>
          <w:sz w:val="24"/>
          <w:szCs w:val="24"/>
          <w:spacing w:val="-2"/>
        </w:rPr>
        <w:t>有较强吸附能力。颗粒碳比表面积一般可达</w:t>
      </w:r>
      <w:r>
        <w:rPr>
          <w:rFonts w:ascii="Times New Roman" w:hAnsi="Times New Roman" w:eastAsia="Times New Roman" w:cs="Times New Roman"/>
          <w:sz w:val="24"/>
          <w:szCs w:val="24"/>
          <w:spacing w:val="-2"/>
        </w:rPr>
        <w:t>700-</w:t>
      </w:r>
      <w:r>
        <w:rPr>
          <w:rFonts w:ascii="Times New Roman" w:hAnsi="Times New Roman" w:eastAsia="Times New Roman" w:cs="Times New Roman"/>
          <w:sz w:val="24"/>
          <w:szCs w:val="24"/>
          <w:spacing w:val="-23"/>
        </w:rPr>
        <w:t xml:space="preserve"> </w:t>
      </w:r>
      <w:r>
        <w:rPr>
          <w:rFonts w:ascii="Times New Roman" w:hAnsi="Times New Roman" w:eastAsia="Times New Roman" w:cs="Times New Roman"/>
          <w:sz w:val="24"/>
          <w:szCs w:val="24"/>
          <w:spacing w:val="-2"/>
        </w:rPr>
        <w:t>1200</w:t>
      </w:r>
      <w:r>
        <w:rPr>
          <w:rFonts w:ascii="SimSun" w:hAnsi="SimSun" w:eastAsia="SimSun" w:cs="SimSun"/>
          <w:sz w:val="24"/>
          <w:szCs w:val="24"/>
          <w:spacing w:val="-2"/>
        </w:rPr>
        <w:t>㎡</w:t>
      </w:r>
      <w:r>
        <w:rPr>
          <w:rFonts w:ascii="Times New Roman" w:hAnsi="Times New Roman" w:eastAsia="Times New Roman" w:cs="Times New Roman"/>
          <w:sz w:val="24"/>
          <w:szCs w:val="24"/>
          <w:spacing w:val="-2"/>
        </w:rPr>
        <w:t>/g</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2"/>
        </w:rPr>
        <w:t>，其孔径大小范围在</w:t>
      </w:r>
    </w:p>
    <w:p>
      <w:pPr>
        <w:ind w:left="24" w:right="13" w:firstLine="17"/>
        <w:spacing w:before="222" w:line="385" w:lineRule="auto"/>
        <w:rPr>
          <w:rFonts w:ascii="SimSun" w:hAnsi="SimSun" w:eastAsia="SimSun" w:cs="SimSun"/>
          <w:sz w:val="24"/>
          <w:szCs w:val="24"/>
        </w:rPr>
      </w:pPr>
      <w:r>
        <w:rPr>
          <w:rFonts w:ascii="Times New Roman" w:hAnsi="Times New Roman" w:eastAsia="Times New Roman" w:cs="Times New Roman"/>
          <w:sz w:val="24"/>
          <w:szCs w:val="24"/>
          <w:spacing w:val="-1"/>
        </w:rPr>
        <w:t>1.5nm-5um</w:t>
      </w:r>
      <w:r>
        <w:rPr>
          <w:rFonts w:ascii="SimSun" w:hAnsi="SimSun" w:eastAsia="SimSun" w:cs="SimSun"/>
          <w:sz w:val="24"/>
          <w:szCs w:val="24"/>
          <w:spacing w:val="-1"/>
        </w:rPr>
        <w:t>之间。其吸附方式主要通过</w:t>
      </w:r>
      <w:r>
        <w:rPr>
          <w:rFonts w:ascii="Times New Roman" w:hAnsi="Times New Roman" w:eastAsia="Times New Roman" w:cs="Times New Roman"/>
          <w:sz w:val="24"/>
          <w:szCs w:val="24"/>
          <w:spacing w:val="-1"/>
        </w:rPr>
        <w:t>2</w:t>
      </w:r>
      <w:r>
        <w:rPr>
          <w:rFonts w:ascii="SimSun" w:hAnsi="SimSun" w:eastAsia="SimSun" w:cs="SimSun"/>
          <w:sz w:val="24"/>
          <w:szCs w:val="24"/>
          <w:spacing w:val="-1"/>
        </w:rPr>
        <w:t>种途径：一是活性炭与气体分子间的范</w:t>
      </w:r>
      <w:r>
        <w:rPr>
          <w:rFonts w:ascii="SimSun" w:hAnsi="SimSun" w:eastAsia="SimSun" w:cs="SimSun"/>
          <w:sz w:val="24"/>
          <w:szCs w:val="24"/>
          <w:spacing w:val="5"/>
        </w:rPr>
        <w:t xml:space="preserve">  </w:t>
      </w:r>
      <w:r>
        <w:rPr>
          <w:rFonts w:ascii="SimSun" w:hAnsi="SimSun" w:eastAsia="SimSun" w:cs="SimSun"/>
          <w:sz w:val="24"/>
          <w:szCs w:val="24"/>
          <w:spacing w:val="-3"/>
        </w:rPr>
        <w:t>德华力，当气体分子经过活性炭表面，范德华力起主导作用时，气体分子先被吸</w:t>
      </w:r>
      <w:r>
        <w:rPr>
          <w:rFonts w:ascii="SimSun" w:hAnsi="SimSun" w:eastAsia="SimSun" w:cs="SimSun"/>
          <w:sz w:val="24"/>
          <w:szCs w:val="24"/>
        </w:rPr>
        <w:t xml:space="preserve"> </w:t>
      </w:r>
      <w:r>
        <w:rPr>
          <w:rFonts w:ascii="SimSun" w:hAnsi="SimSun" w:eastAsia="SimSun" w:cs="SimSun"/>
          <w:sz w:val="24"/>
          <w:szCs w:val="24"/>
          <w:spacing w:val="-3"/>
        </w:rPr>
        <w:t>附至活性炭外表面，小于活性炭孔径的分子经内部扩散转移至内表面，从而达到</w:t>
      </w:r>
      <w:r>
        <w:rPr>
          <w:rFonts w:ascii="SimSun" w:hAnsi="SimSun" w:eastAsia="SimSun" w:cs="SimSun"/>
          <w:sz w:val="24"/>
          <w:szCs w:val="24"/>
        </w:rPr>
        <w:t xml:space="preserve"> </w:t>
      </w:r>
      <w:r>
        <w:rPr>
          <w:rFonts w:ascii="SimSun" w:hAnsi="SimSun" w:eastAsia="SimSun" w:cs="SimSun"/>
          <w:sz w:val="24"/>
          <w:szCs w:val="24"/>
          <w:spacing w:val="-3"/>
        </w:rPr>
        <w:t>吸附的效果，此为物理吸附；二是吸附质与吸附剂表面原子间的化学键合成，此</w:t>
      </w:r>
      <w:r>
        <w:rPr>
          <w:rFonts w:ascii="SimSun" w:hAnsi="SimSun" w:eastAsia="SimSun" w:cs="SimSun"/>
          <w:sz w:val="24"/>
          <w:szCs w:val="24"/>
        </w:rPr>
        <w:t xml:space="preserve"> </w:t>
      </w:r>
      <w:r>
        <w:rPr>
          <w:rFonts w:ascii="SimSun" w:hAnsi="SimSun" w:eastAsia="SimSun" w:cs="SimSun"/>
          <w:sz w:val="24"/>
          <w:szCs w:val="24"/>
          <w:spacing w:val="-3"/>
        </w:rPr>
        <w:t>为化学吸附。活性炭吸附一般适用于大风量、低浓度、低湿度、低含尘的有机废</w:t>
      </w:r>
    </w:p>
    <w:p>
      <w:pPr>
        <w:ind w:left="24"/>
        <w:spacing w:before="1" w:line="220" w:lineRule="auto"/>
        <w:rPr>
          <w:rFonts w:ascii="SimSun" w:hAnsi="SimSun" w:eastAsia="SimSun" w:cs="SimSun"/>
          <w:sz w:val="24"/>
          <w:szCs w:val="24"/>
        </w:rPr>
      </w:pPr>
      <w:r>
        <w:rPr>
          <w:rFonts w:ascii="SimSun" w:hAnsi="SimSun" w:eastAsia="SimSun" w:cs="SimSun"/>
          <w:sz w:val="24"/>
          <w:szCs w:val="24"/>
          <w:spacing w:val="-6"/>
        </w:rPr>
        <w:t>气。</w:t>
      </w:r>
    </w:p>
    <w:p>
      <w:pPr>
        <w:spacing w:before="212" w:line="219" w:lineRule="auto"/>
        <w:jc w:val="right"/>
        <w:rPr>
          <w:rFonts w:ascii="SimSun" w:hAnsi="SimSun" w:eastAsia="SimSun" w:cs="SimSun"/>
          <w:sz w:val="24"/>
          <w:szCs w:val="24"/>
        </w:rPr>
      </w:pPr>
      <w:r>
        <w:rPr>
          <w:rFonts w:ascii="SimSun" w:hAnsi="SimSun" w:eastAsia="SimSun" w:cs="SimSun"/>
          <w:sz w:val="24"/>
          <w:szCs w:val="24"/>
          <w:spacing w:val="-2"/>
        </w:rPr>
        <w:t>当有机废气的浓度达到</w:t>
      </w:r>
      <w:r>
        <w:rPr>
          <w:rFonts w:ascii="Times New Roman" w:hAnsi="Times New Roman" w:eastAsia="Times New Roman" w:cs="Times New Roman"/>
          <w:sz w:val="24"/>
          <w:szCs w:val="24"/>
          <w:spacing w:val="-2"/>
        </w:rPr>
        <w:t>2000PPm</w:t>
      </w:r>
      <w:r>
        <w:rPr>
          <w:rFonts w:ascii="SimSun" w:hAnsi="SimSun" w:eastAsia="SimSun" w:cs="SimSun"/>
          <w:sz w:val="24"/>
          <w:szCs w:val="24"/>
          <w:spacing w:val="-2"/>
        </w:rPr>
        <w:t>以上时，有机废气在催化</w:t>
      </w:r>
      <w:r>
        <w:rPr>
          <w:rFonts w:ascii="SimSun" w:hAnsi="SimSun" w:eastAsia="SimSun" w:cs="SimSun"/>
          <w:sz w:val="24"/>
          <w:szCs w:val="24"/>
          <w:spacing w:val="-3"/>
        </w:rPr>
        <w:t>床可维持自燃，不</w:t>
      </w:r>
    </w:p>
    <w:p>
      <w:pPr>
        <w:spacing w:line="219" w:lineRule="auto"/>
        <w:sectPr>
          <w:footerReference w:type="default" r:id="rId36"/>
          <w:pgSz w:w="11906" w:h="16839"/>
          <w:pgMar w:top="400" w:right="1785" w:bottom="1211" w:left="1785" w:header="0" w:footer="1049" w:gutter="0"/>
        </w:sectPr>
        <w:rPr>
          <w:rFonts w:ascii="SimSun" w:hAnsi="SimSun" w:eastAsia="SimSun" w:cs="SimSun"/>
          <w:sz w:val="24"/>
          <w:szCs w:val="24"/>
        </w:rPr>
      </w:pPr>
    </w:p>
    <w:p>
      <w:pPr>
        <w:pStyle w:val="BodyText"/>
        <w:spacing w:line="287" w:lineRule="auto"/>
        <w:rPr/>
      </w:pPr>
      <w:r/>
    </w:p>
    <w:p>
      <w:pPr>
        <w:pStyle w:val="BodyText"/>
        <w:spacing w:line="287" w:lineRule="auto"/>
        <w:rPr/>
      </w:pPr>
      <w:r/>
    </w:p>
    <w:p>
      <w:pPr>
        <w:pStyle w:val="BodyText"/>
        <w:spacing w:line="287" w:lineRule="auto"/>
        <w:rPr/>
      </w:pPr>
      <w:r/>
    </w:p>
    <w:p>
      <w:pPr>
        <w:pStyle w:val="BodyText"/>
        <w:spacing w:line="288" w:lineRule="auto"/>
        <w:rPr/>
      </w:pPr>
      <w:r/>
    </w:p>
    <w:p>
      <w:pPr>
        <w:ind w:left="25" w:right="80"/>
        <w:spacing w:before="78" w:line="385" w:lineRule="auto"/>
        <w:jc w:val="both"/>
        <w:rPr>
          <w:rFonts w:ascii="SimSun" w:hAnsi="SimSun" w:eastAsia="SimSun" w:cs="SimSun"/>
          <w:sz w:val="24"/>
          <w:szCs w:val="24"/>
        </w:rPr>
      </w:pPr>
      <w:r>
        <w:rPr>
          <w:rFonts w:ascii="SimSun" w:hAnsi="SimSun" w:eastAsia="SimSun" w:cs="SimSun"/>
          <w:sz w:val="24"/>
          <w:szCs w:val="24"/>
          <w:spacing w:val="-3"/>
        </w:rPr>
        <w:t>用外加热。燃烧后的尾气一部分排入大气，大部分被送往吸附床，用于活性炭再</w:t>
      </w:r>
      <w:r>
        <w:rPr>
          <w:rFonts w:ascii="SimSun" w:hAnsi="SimSun" w:eastAsia="SimSun" w:cs="SimSun"/>
          <w:sz w:val="24"/>
          <w:szCs w:val="24"/>
        </w:rPr>
        <w:t xml:space="preserve"> </w:t>
      </w:r>
      <w:r>
        <w:rPr>
          <w:rFonts w:ascii="SimSun" w:hAnsi="SimSun" w:eastAsia="SimSun" w:cs="SimSun"/>
          <w:sz w:val="24"/>
          <w:szCs w:val="24"/>
          <w:spacing w:val="-3"/>
        </w:rPr>
        <w:t>生。这样可满足燃烧和吸附所需的热能，达到节能的目的。再生后的可进入下次</w:t>
      </w:r>
      <w:r>
        <w:rPr>
          <w:rFonts w:ascii="SimSun" w:hAnsi="SimSun" w:eastAsia="SimSun" w:cs="SimSun"/>
          <w:sz w:val="24"/>
          <w:szCs w:val="24"/>
        </w:rPr>
        <w:t xml:space="preserve"> </w:t>
      </w:r>
      <w:r>
        <w:rPr>
          <w:rFonts w:ascii="SimSun" w:hAnsi="SimSun" w:eastAsia="SimSun" w:cs="SimSun"/>
          <w:sz w:val="24"/>
          <w:szCs w:val="24"/>
          <w:spacing w:val="-3"/>
        </w:rPr>
        <w:t>吸附；在脱附时，净化操作可用另一个吸附床进行，既适合于连续操作，也适合</w:t>
      </w:r>
    </w:p>
    <w:p>
      <w:pPr>
        <w:ind w:left="27"/>
        <w:spacing w:line="219" w:lineRule="auto"/>
        <w:rPr>
          <w:rFonts w:ascii="SimSun" w:hAnsi="SimSun" w:eastAsia="SimSun" w:cs="SimSun"/>
          <w:sz w:val="24"/>
          <w:szCs w:val="24"/>
        </w:rPr>
      </w:pPr>
      <w:r>
        <w:rPr>
          <w:rFonts w:ascii="SimSun" w:hAnsi="SimSun" w:eastAsia="SimSun" w:cs="SimSun"/>
          <w:sz w:val="24"/>
          <w:szCs w:val="24"/>
          <w:spacing w:val="-3"/>
        </w:rPr>
        <w:t>于间断操作。</w:t>
      </w:r>
    </w:p>
    <w:p>
      <w:pPr>
        <w:ind w:left="21" w:right="57" w:firstLine="491"/>
        <w:spacing w:before="208" w:line="385" w:lineRule="auto"/>
        <w:rPr>
          <w:rFonts w:ascii="SimSun" w:hAnsi="SimSun" w:eastAsia="SimSun" w:cs="SimSun"/>
          <w:sz w:val="24"/>
          <w:szCs w:val="24"/>
        </w:rPr>
      </w:pPr>
      <w:r>
        <w:rPr>
          <w:rFonts w:ascii="SimSun" w:hAnsi="SimSun" w:eastAsia="SimSun" w:cs="SimSun"/>
          <w:sz w:val="24"/>
          <w:szCs w:val="24"/>
          <w:spacing w:val="-1"/>
        </w:rPr>
        <w:t>吸附</w:t>
      </w:r>
      <w:r>
        <w:rPr>
          <w:rFonts w:ascii="Times New Roman" w:hAnsi="Times New Roman" w:eastAsia="Times New Roman" w:cs="Times New Roman"/>
          <w:sz w:val="24"/>
          <w:szCs w:val="24"/>
          <w:spacing w:val="-1"/>
        </w:rPr>
        <w:t>-</w:t>
      </w:r>
      <w:r>
        <w:rPr>
          <w:rFonts w:ascii="SimSun" w:hAnsi="SimSun" w:eastAsia="SimSun" w:cs="SimSun"/>
          <w:sz w:val="24"/>
          <w:szCs w:val="24"/>
          <w:spacing w:val="-1"/>
        </w:rPr>
        <w:t>活性炭吸附</w:t>
      </w:r>
      <w:r>
        <w:rPr>
          <w:rFonts w:ascii="Times New Roman" w:hAnsi="Times New Roman" w:eastAsia="Times New Roman" w:cs="Times New Roman"/>
          <w:sz w:val="24"/>
          <w:szCs w:val="24"/>
          <w:spacing w:val="-1"/>
        </w:rPr>
        <w:t>+</w:t>
      </w:r>
      <w:r>
        <w:rPr>
          <w:rFonts w:ascii="SimSun" w:hAnsi="SimSun" w:eastAsia="SimSun" w:cs="SimSun"/>
          <w:sz w:val="24"/>
          <w:szCs w:val="24"/>
          <w:spacing w:val="-1"/>
        </w:rPr>
        <w:t>催化燃烧装置（</w:t>
      </w:r>
      <w:r>
        <w:rPr>
          <w:rFonts w:ascii="Times New Roman" w:hAnsi="Times New Roman" w:eastAsia="Times New Roman" w:cs="Times New Roman"/>
          <w:sz w:val="24"/>
          <w:szCs w:val="24"/>
          <w:spacing w:val="-1"/>
        </w:rPr>
        <w:t>CO</w:t>
      </w:r>
      <w:r>
        <w:rPr>
          <w:rFonts w:ascii="SimSun" w:hAnsi="SimSun" w:eastAsia="SimSun" w:cs="SimSun"/>
          <w:sz w:val="24"/>
          <w:szCs w:val="24"/>
          <w:spacing w:val="-1"/>
        </w:rPr>
        <w:t>）设备设计原理先进、用材独特，性</w:t>
      </w:r>
      <w:r>
        <w:rPr>
          <w:rFonts w:ascii="SimSun" w:hAnsi="SimSun" w:eastAsia="SimSun" w:cs="SimSun"/>
          <w:sz w:val="24"/>
          <w:szCs w:val="24"/>
          <w:spacing w:val="6"/>
        </w:rPr>
        <w:t xml:space="preserve">  </w:t>
      </w:r>
      <w:r>
        <w:rPr>
          <w:rFonts w:ascii="SimSun" w:hAnsi="SimSun" w:eastAsia="SimSun" w:cs="SimSun"/>
          <w:sz w:val="24"/>
          <w:szCs w:val="24"/>
          <w:spacing w:val="-3"/>
        </w:rPr>
        <w:t>能稳定，结构简便，安全可靠，节能省力，无二次污染。设备占地面积小，重量</w:t>
      </w:r>
      <w:r>
        <w:rPr>
          <w:rFonts w:ascii="SimSun" w:hAnsi="SimSun" w:eastAsia="SimSun" w:cs="SimSun"/>
          <w:sz w:val="24"/>
          <w:szCs w:val="24"/>
          <w:spacing w:val="2"/>
        </w:rPr>
        <w:t xml:space="preserve"> </w:t>
      </w:r>
      <w:r>
        <w:rPr>
          <w:rFonts w:ascii="SimSun" w:hAnsi="SimSun" w:eastAsia="SimSun" w:cs="SimSun"/>
          <w:sz w:val="24"/>
          <w:szCs w:val="24"/>
          <w:spacing w:val="-3"/>
        </w:rPr>
        <w:t>轻。吸附床采用抽屉式结构，装填方便，便于更换。采用新型的活性炭吸附材料</w:t>
      </w:r>
      <w:r>
        <w:rPr>
          <w:rFonts w:ascii="SimSun" w:hAnsi="SimSun" w:eastAsia="SimSun" w:cs="SimSun"/>
          <w:sz w:val="24"/>
          <w:szCs w:val="24"/>
          <w:spacing w:val="2"/>
        </w:rPr>
        <w:t xml:space="preserve"> </w:t>
      </w:r>
      <w:r>
        <w:rPr>
          <w:rFonts w:ascii="Times New Roman" w:hAnsi="Times New Roman" w:eastAsia="Times New Roman" w:cs="Times New Roman"/>
          <w:sz w:val="24"/>
          <w:szCs w:val="24"/>
        </w:rPr>
        <w:t>-</w:t>
      </w:r>
      <w:r>
        <w:rPr>
          <w:rFonts w:ascii="SimSun" w:hAnsi="SimSun" w:eastAsia="SimSun" w:cs="SimSun"/>
          <w:sz w:val="24"/>
          <w:szCs w:val="24"/>
        </w:rPr>
        <w:t>蜂窝状块形活性炭，活性炭吸附</w:t>
      </w:r>
      <w:r>
        <w:rPr>
          <w:rFonts w:ascii="Times New Roman" w:hAnsi="Times New Roman" w:eastAsia="Times New Roman" w:cs="Times New Roman"/>
          <w:sz w:val="24"/>
          <w:szCs w:val="24"/>
        </w:rPr>
        <w:t>+</w:t>
      </w:r>
      <w:r>
        <w:rPr>
          <w:rFonts w:ascii="SimSun" w:hAnsi="SimSun" w:eastAsia="SimSun" w:cs="SimSun"/>
          <w:sz w:val="24"/>
          <w:szCs w:val="24"/>
        </w:rPr>
        <w:t>催化燃烧装置（</w:t>
      </w:r>
      <w:r>
        <w:rPr>
          <w:rFonts w:ascii="Times New Roman" w:hAnsi="Times New Roman" w:eastAsia="Times New Roman" w:cs="Times New Roman"/>
          <w:sz w:val="24"/>
          <w:szCs w:val="24"/>
        </w:rPr>
        <w:t>CO</w:t>
      </w:r>
      <w:r>
        <w:rPr>
          <w:rFonts w:ascii="SimSun" w:hAnsi="SimSun" w:eastAsia="SimSun" w:cs="SimSun"/>
          <w:sz w:val="24"/>
          <w:szCs w:val="24"/>
        </w:rPr>
        <w:t>）</w:t>
      </w:r>
      <w:r>
        <w:rPr>
          <w:rFonts w:ascii="SimSun" w:hAnsi="SimSun" w:eastAsia="SimSun" w:cs="SimSun"/>
          <w:sz w:val="24"/>
          <w:szCs w:val="24"/>
          <w:spacing w:val="-1"/>
        </w:rPr>
        <w:t>室采用蜂窝陶瓷状为载</w:t>
      </w:r>
      <w:r>
        <w:rPr>
          <w:rFonts w:ascii="SimSun" w:hAnsi="SimSun" w:eastAsia="SimSun" w:cs="SimSun"/>
          <w:sz w:val="24"/>
          <w:szCs w:val="24"/>
        </w:rPr>
        <w:t xml:space="preserve">  </w:t>
      </w:r>
      <w:r>
        <w:rPr>
          <w:rFonts w:ascii="SimSun" w:hAnsi="SimSun" w:eastAsia="SimSun" w:cs="SimSun"/>
          <w:sz w:val="24"/>
          <w:szCs w:val="24"/>
          <w:spacing w:val="-2"/>
        </w:rPr>
        <w:t>体的贵金属催化剂，阻力小，活性高。当有机蒸气浓度达到</w:t>
      </w:r>
      <w:r>
        <w:rPr>
          <w:rFonts w:ascii="Times New Roman" w:hAnsi="Times New Roman" w:eastAsia="Times New Roman" w:cs="Times New Roman"/>
          <w:sz w:val="24"/>
          <w:szCs w:val="24"/>
          <w:spacing w:val="-2"/>
        </w:rPr>
        <w:t>2000PPm</w:t>
      </w:r>
      <w:r>
        <w:rPr>
          <w:rFonts w:ascii="SimSun" w:hAnsi="SimSun" w:eastAsia="SimSun" w:cs="SimSun"/>
          <w:sz w:val="24"/>
          <w:szCs w:val="24"/>
          <w:spacing w:val="-2"/>
        </w:rPr>
        <w:t>以上时，可</w:t>
      </w:r>
      <w:r>
        <w:rPr>
          <w:rFonts w:ascii="SimSun" w:hAnsi="SimSun" w:eastAsia="SimSun" w:cs="SimSun"/>
          <w:sz w:val="24"/>
          <w:szCs w:val="24"/>
        </w:rPr>
        <w:t xml:space="preserve"> </w:t>
      </w:r>
      <w:r>
        <w:rPr>
          <w:rFonts w:ascii="SimSun" w:hAnsi="SimSun" w:eastAsia="SimSun" w:cs="SimSun"/>
          <w:sz w:val="24"/>
          <w:szCs w:val="24"/>
          <w:spacing w:val="-3"/>
        </w:rPr>
        <w:t>维持自燃。耗电量小，由于床层阻力小，用低压风机就可以工作，不但耗电少而</w:t>
      </w:r>
      <w:r>
        <w:rPr>
          <w:rFonts w:ascii="SimSun" w:hAnsi="SimSun" w:eastAsia="SimSun" w:cs="SimSun"/>
          <w:sz w:val="24"/>
          <w:szCs w:val="24"/>
          <w:spacing w:val="2"/>
        </w:rPr>
        <w:t xml:space="preserve"> </w:t>
      </w:r>
      <w:r>
        <w:rPr>
          <w:rFonts w:ascii="SimSun" w:hAnsi="SimSun" w:eastAsia="SimSun" w:cs="SimSun"/>
          <w:sz w:val="24"/>
          <w:szCs w:val="24"/>
          <w:spacing w:val="-3"/>
        </w:rPr>
        <w:t>且噪音低。活性炭吸附</w:t>
      </w:r>
      <w:r>
        <w:rPr>
          <w:rFonts w:ascii="Times New Roman" w:hAnsi="Times New Roman" w:eastAsia="Times New Roman" w:cs="Times New Roman"/>
          <w:sz w:val="24"/>
          <w:szCs w:val="24"/>
          <w:spacing w:val="-3"/>
        </w:rPr>
        <w:t>+</w:t>
      </w:r>
      <w:r>
        <w:rPr>
          <w:rFonts w:ascii="SimSun" w:hAnsi="SimSun" w:eastAsia="SimSun" w:cs="SimSun"/>
          <w:sz w:val="24"/>
          <w:szCs w:val="24"/>
          <w:spacing w:val="-3"/>
        </w:rPr>
        <w:t>催化燃烧装置（</w:t>
      </w:r>
      <w:r>
        <w:rPr>
          <w:rFonts w:ascii="Times New Roman" w:hAnsi="Times New Roman" w:eastAsia="Times New Roman" w:cs="Times New Roman"/>
          <w:sz w:val="24"/>
          <w:szCs w:val="24"/>
          <w:spacing w:val="-3"/>
        </w:rPr>
        <w:t>CO</w:t>
      </w:r>
      <w:r>
        <w:rPr>
          <w:rFonts w:ascii="SimSun" w:hAnsi="SimSun" w:eastAsia="SimSun" w:cs="SimSun"/>
          <w:sz w:val="24"/>
          <w:szCs w:val="24"/>
          <w:spacing w:val="-3"/>
        </w:rPr>
        <w:t>）时，需电加热启动。有机物在催化</w:t>
      </w:r>
      <w:r>
        <w:rPr>
          <w:rFonts w:ascii="SimSun" w:hAnsi="SimSun" w:eastAsia="SimSun" w:cs="SimSun"/>
          <w:sz w:val="24"/>
          <w:szCs w:val="24"/>
          <w:spacing w:val="17"/>
        </w:rPr>
        <w:t xml:space="preserve"> </w:t>
      </w:r>
      <w:r>
        <w:rPr>
          <w:rFonts w:ascii="SimSun" w:hAnsi="SimSun" w:eastAsia="SimSun" w:cs="SimSun"/>
          <w:sz w:val="24"/>
          <w:szCs w:val="24"/>
          <w:spacing w:val="-3"/>
        </w:rPr>
        <w:t>床活性炭吸附</w:t>
      </w:r>
      <w:r>
        <w:rPr>
          <w:rFonts w:ascii="Times New Roman" w:hAnsi="Times New Roman" w:eastAsia="Times New Roman" w:cs="Times New Roman"/>
          <w:sz w:val="24"/>
          <w:szCs w:val="24"/>
          <w:spacing w:val="-3"/>
        </w:rPr>
        <w:t>+</w:t>
      </w:r>
      <w:r>
        <w:rPr>
          <w:rFonts w:ascii="SimSun" w:hAnsi="SimSun" w:eastAsia="SimSun" w:cs="SimSun"/>
          <w:sz w:val="24"/>
          <w:szCs w:val="24"/>
          <w:spacing w:val="-3"/>
        </w:rPr>
        <w:t>催化燃烧装置（</w:t>
      </w:r>
      <w:r>
        <w:rPr>
          <w:rFonts w:ascii="Times New Roman" w:hAnsi="Times New Roman" w:eastAsia="Times New Roman" w:cs="Times New Roman"/>
          <w:sz w:val="24"/>
          <w:szCs w:val="24"/>
          <w:spacing w:val="-3"/>
        </w:rPr>
        <w:t>CO</w:t>
      </w:r>
      <w:r>
        <w:rPr>
          <w:rFonts w:ascii="SimSun" w:hAnsi="SimSun" w:eastAsia="SimSun" w:cs="SimSun"/>
          <w:sz w:val="24"/>
          <w:szCs w:val="24"/>
          <w:spacing w:val="-3"/>
        </w:rPr>
        <w:t>）开始后，其燃烧热可足以维持其反应所需的</w:t>
      </w:r>
      <w:r>
        <w:rPr>
          <w:rFonts w:ascii="SimSun" w:hAnsi="SimSun" w:eastAsia="SimSun" w:cs="SimSun"/>
          <w:sz w:val="24"/>
          <w:szCs w:val="24"/>
          <w:spacing w:val="14"/>
        </w:rPr>
        <w:t xml:space="preserve"> </w:t>
      </w:r>
      <w:r>
        <w:rPr>
          <w:rFonts w:ascii="SimSun" w:hAnsi="SimSun" w:eastAsia="SimSun" w:cs="SimSun"/>
          <w:sz w:val="24"/>
          <w:szCs w:val="24"/>
        </w:rPr>
        <w:t>温度，此时电加热停止，启动电加热时间大约为</w:t>
      </w:r>
      <w:r>
        <w:rPr>
          <w:rFonts w:ascii="Times New Roman" w:hAnsi="Times New Roman" w:eastAsia="Times New Roman" w:cs="Times New Roman"/>
          <w:sz w:val="24"/>
          <w:szCs w:val="24"/>
        </w:rPr>
        <w:t>1</w:t>
      </w:r>
      <w:r>
        <w:rPr>
          <w:rFonts w:ascii="SimSun" w:hAnsi="SimSun" w:eastAsia="SimSun" w:cs="SimSun"/>
          <w:sz w:val="24"/>
          <w:szCs w:val="24"/>
        </w:rPr>
        <w:t>小时左右</w:t>
      </w:r>
      <w:r>
        <w:rPr>
          <w:rFonts w:ascii="SimSun" w:hAnsi="SimSun" w:eastAsia="SimSun" w:cs="SimSun"/>
          <w:sz w:val="24"/>
          <w:szCs w:val="24"/>
          <w:spacing w:val="-1"/>
        </w:rPr>
        <w:t>。吸附有机物废气的</w:t>
      </w:r>
      <w:r>
        <w:rPr>
          <w:rFonts w:ascii="SimSun" w:hAnsi="SimSun" w:eastAsia="SimSun" w:cs="SimSun"/>
          <w:sz w:val="24"/>
          <w:szCs w:val="24"/>
        </w:rPr>
        <w:t xml:space="preserve"> </w:t>
      </w:r>
      <w:r>
        <w:rPr>
          <w:rFonts w:ascii="SimSun" w:hAnsi="SimSun" w:eastAsia="SimSun" w:cs="SimSun"/>
          <w:sz w:val="24"/>
          <w:szCs w:val="24"/>
          <w:spacing w:val="-2"/>
        </w:rPr>
        <w:t>活性炭床，用活性炭吸附</w:t>
      </w:r>
      <w:r>
        <w:rPr>
          <w:rFonts w:ascii="Times New Roman" w:hAnsi="Times New Roman" w:eastAsia="Times New Roman" w:cs="Times New Roman"/>
          <w:sz w:val="24"/>
          <w:szCs w:val="24"/>
          <w:spacing w:val="-2"/>
        </w:rPr>
        <w:t>+</w:t>
      </w:r>
      <w:r>
        <w:rPr>
          <w:rFonts w:ascii="SimSun" w:hAnsi="SimSun" w:eastAsia="SimSun" w:cs="SimSun"/>
          <w:sz w:val="24"/>
          <w:szCs w:val="24"/>
          <w:spacing w:val="-2"/>
        </w:rPr>
        <w:t>催化燃烧装置（</w:t>
      </w:r>
      <w:r>
        <w:rPr>
          <w:rFonts w:ascii="Times New Roman" w:hAnsi="Times New Roman" w:eastAsia="Times New Roman" w:cs="Times New Roman"/>
          <w:sz w:val="24"/>
          <w:szCs w:val="24"/>
          <w:spacing w:val="-2"/>
        </w:rPr>
        <w:t>CO</w:t>
      </w:r>
      <w:r>
        <w:rPr>
          <w:rFonts w:ascii="SimSun" w:hAnsi="SimSun" w:eastAsia="SimSun" w:cs="SimSun"/>
          <w:sz w:val="24"/>
          <w:szCs w:val="24"/>
          <w:spacing w:val="-2"/>
        </w:rPr>
        <w:t>）进行废气脱附，不需外部能量，</w:t>
      </w:r>
    </w:p>
    <w:p>
      <w:pPr>
        <w:ind w:left="23"/>
        <w:spacing w:line="219" w:lineRule="auto"/>
        <w:rPr>
          <w:rFonts w:ascii="SimSun" w:hAnsi="SimSun" w:eastAsia="SimSun" w:cs="SimSun"/>
          <w:sz w:val="24"/>
          <w:szCs w:val="24"/>
        </w:rPr>
      </w:pPr>
      <w:r>
        <w:rPr>
          <w:rFonts w:ascii="SimSun" w:hAnsi="SimSun" w:eastAsia="SimSun" w:cs="SimSun"/>
          <w:sz w:val="24"/>
          <w:szCs w:val="24"/>
          <w:spacing w:val="-1"/>
        </w:rPr>
        <w:t>运行费用低，节能效果显著。</w:t>
      </w:r>
    </w:p>
    <w:p>
      <w:pPr>
        <w:ind w:left="498"/>
        <w:spacing w:before="216" w:line="219" w:lineRule="auto"/>
        <w:rPr>
          <w:rFonts w:ascii="SimSun" w:hAnsi="SimSun" w:eastAsia="SimSun" w:cs="SimSun"/>
          <w:sz w:val="24"/>
          <w:szCs w:val="24"/>
        </w:rPr>
      </w:pPr>
      <w:r>
        <w:rPr>
          <w:rFonts w:ascii="Times New Roman" w:hAnsi="Times New Roman" w:eastAsia="Times New Roman" w:cs="Times New Roman"/>
          <w:sz w:val="24"/>
          <w:szCs w:val="24"/>
          <w:spacing w:val="-6"/>
        </w:rPr>
        <w:t>B</w:t>
      </w:r>
      <w:r>
        <w:rPr>
          <w:rFonts w:ascii="Times New Roman" w:hAnsi="Times New Roman" w:eastAsia="Times New Roman" w:cs="Times New Roman"/>
          <w:sz w:val="24"/>
          <w:szCs w:val="24"/>
          <w:spacing w:val="-29"/>
        </w:rPr>
        <w:t xml:space="preserve"> </w:t>
      </w:r>
      <w:r>
        <w:rPr>
          <w:rFonts w:ascii="SimSun" w:hAnsi="SimSun" w:eastAsia="SimSun" w:cs="SimSun"/>
          <w:sz w:val="24"/>
          <w:szCs w:val="24"/>
          <w:spacing w:val="-6"/>
        </w:rPr>
        <w:t>、技术特点</w:t>
      </w:r>
    </w:p>
    <w:p>
      <w:pPr>
        <w:ind w:left="23" w:firstLine="480"/>
        <w:spacing w:before="213" w:line="385" w:lineRule="auto"/>
        <w:rPr>
          <w:rFonts w:ascii="SimSun" w:hAnsi="SimSun" w:eastAsia="SimSun" w:cs="SimSun"/>
          <w:sz w:val="24"/>
          <w:szCs w:val="24"/>
        </w:rPr>
      </w:pPr>
      <w:r>
        <w:rPr>
          <w:rFonts w:ascii="SimSun" w:hAnsi="SimSun" w:eastAsia="SimSun" w:cs="SimSun"/>
          <w:sz w:val="24"/>
          <w:szCs w:val="24"/>
          <w:spacing w:val="3"/>
        </w:rPr>
        <w:t>适应范围：适用于低浓度(≤</w:t>
      </w:r>
      <w:r>
        <w:rPr>
          <w:rFonts w:ascii="Times New Roman" w:hAnsi="Times New Roman" w:eastAsia="Times New Roman" w:cs="Times New Roman"/>
          <w:sz w:val="24"/>
          <w:szCs w:val="24"/>
          <w:spacing w:val="3"/>
        </w:rPr>
        <w:t>1000-</w:t>
      </w:r>
      <w:r>
        <w:rPr>
          <w:rFonts w:ascii="Times New Roman" w:hAnsi="Times New Roman" w:eastAsia="Times New Roman" w:cs="Times New Roman"/>
          <w:sz w:val="24"/>
          <w:szCs w:val="24"/>
        </w:rPr>
        <w:t>mg</w:t>
      </w:r>
      <w:r>
        <w:rPr>
          <w:rFonts w:ascii="Times New Roman" w:hAnsi="Times New Roman" w:eastAsia="Times New Roman" w:cs="Times New Roman"/>
          <w:sz w:val="24"/>
          <w:szCs w:val="24"/>
          <w:spacing w:val="3"/>
        </w:rPr>
        <w:t>/</w:t>
      </w:r>
      <w:r>
        <w:rPr>
          <w:rFonts w:ascii="Times New Roman" w:hAnsi="Times New Roman" w:eastAsia="Times New Roman" w:cs="Times New Roman"/>
          <w:sz w:val="24"/>
          <w:szCs w:val="24"/>
          <w:spacing w:val="2"/>
        </w:rPr>
        <w:t>m</w:t>
      </w:r>
      <w:r>
        <w:rPr>
          <w:rFonts w:ascii="SimSun" w:hAnsi="SimSun" w:eastAsia="SimSun" w:cs="SimSun"/>
          <w:sz w:val="24"/>
          <w:szCs w:val="24"/>
          <w:spacing w:val="2"/>
        </w:rPr>
        <w:t>³)</w:t>
      </w:r>
      <w:r>
        <w:rPr>
          <w:rFonts w:ascii="SimSun" w:hAnsi="SimSun" w:eastAsia="SimSun" w:cs="SimSun"/>
          <w:sz w:val="24"/>
          <w:szCs w:val="24"/>
          <w:spacing w:val="45"/>
        </w:rPr>
        <w:t xml:space="preserve"> </w:t>
      </w:r>
      <w:r>
        <w:rPr>
          <w:rFonts w:ascii="SimSun" w:hAnsi="SimSun" w:eastAsia="SimSun" w:cs="SimSun"/>
          <w:sz w:val="24"/>
          <w:szCs w:val="24"/>
          <w:spacing w:val="2"/>
        </w:rPr>
        <w:t>的废气处理；不适合高浓度、</w:t>
      </w:r>
      <w:r>
        <w:rPr>
          <w:rFonts w:ascii="SimSun" w:hAnsi="SimSun" w:eastAsia="SimSun" w:cs="SimSun"/>
          <w:sz w:val="24"/>
          <w:szCs w:val="24"/>
        </w:rPr>
        <w:t xml:space="preserve">  </w:t>
      </w:r>
      <w:r>
        <w:rPr>
          <w:rFonts w:ascii="SimSun" w:hAnsi="SimSun" w:eastAsia="SimSun" w:cs="SimSun"/>
          <w:sz w:val="24"/>
          <w:szCs w:val="24"/>
          <w:spacing w:val="-7"/>
        </w:rPr>
        <w:t>含颗粒物状、湿度大的废气；不适合处理含高沸点物质</w:t>
      </w:r>
      <w:r>
        <w:rPr>
          <w:rFonts w:ascii="SimSun" w:hAnsi="SimSun" w:eastAsia="SimSun" w:cs="SimSun"/>
          <w:sz w:val="24"/>
          <w:szCs w:val="24"/>
          <w:spacing w:val="-8"/>
        </w:rPr>
        <w:t>、硫化物、卤素、重金属、</w:t>
      </w:r>
    </w:p>
    <w:p>
      <w:pPr>
        <w:ind w:left="27"/>
        <w:spacing w:before="1" w:line="220" w:lineRule="auto"/>
        <w:rPr>
          <w:rFonts w:ascii="SimSun" w:hAnsi="SimSun" w:eastAsia="SimSun" w:cs="SimSun"/>
          <w:sz w:val="24"/>
          <w:szCs w:val="24"/>
        </w:rPr>
      </w:pPr>
      <w:r>
        <w:rPr>
          <w:rFonts w:ascii="SimSun" w:hAnsi="SimSun" w:eastAsia="SimSun" w:cs="SimSun"/>
          <w:sz w:val="24"/>
          <w:szCs w:val="24"/>
          <w:spacing w:val="-2"/>
        </w:rPr>
        <w:t>油雾、强酸或碱性的废气。</w:t>
      </w:r>
    </w:p>
    <w:p>
      <w:pPr>
        <w:ind w:left="23" w:right="80" w:firstLine="486"/>
        <w:spacing w:before="212" w:line="385" w:lineRule="auto"/>
        <w:rPr>
          <w:rFonts w:ascii="SimSun" w:hAnsi="SimSun" w:eastAsia="SimSun" w:cs="SimSun"/>
          <w:sz w:val="24"/>
          <w:szCs w:val="24"/>
        </w:rPr>
      </w:pPr>
      <w:r>
        <w:rPr>
          <w:rFonts w:ascii="SimSun" w:hAnsi="SimSun" w:eastAsia="SimSun" w:cs="SimSun"/>
          <w:sz w:val="24"/>
          <w:szCs w:val="24"/>
          <w:spacing w:val="-1"/>
        </w:rPr>
        <w:t>高效去除率：能高效去除挥发性有机物（</w:t>
      </w:r>
      <w:r>
        <w:rPr>
          <w:rFonts w:ascii="Times New Roman" w:hAnsi="Times New Roman" w:eastAsia="Times New Roman" w:cs="Times New Roman"/>
          <w:sz w:val="24"/>
          <w:szCs w:val="24"/>
          <w:spacing w:val="-1"/>
        </w:rPr>
        <w:t>VOCs</w:t>
      </w:r>
      <w:r>
        <w:rPr>
          <w:rFonts w:ascii="SimSun" w:hAnsi="SimSun" w:eastAsia="SimSun" w:cs="SimSun"/>
          <w:sz w:val="24"/>
          <w:szCs w:val="24"/>
          <w:spacing w:val="-1"/>
        </w:rPr>
        <w:t>）及硫化氢、氨气等无机物</w:t>
      </w:r>
      <w:r>
        <w:rPr>
          <w:rFonts w:ascii="SimSun" w:hAnsi="SimSun" w:eastAsia="SimSun" w:cs="SimSun"/>
          <w:sz w:val="24"/>
          <w:szCs w:val="24"/>
          <w:spacing w:val="17"/>
        </w:rPr>
        <w:t xml:space="preserve"> </w:t>
      </w:r>
      <w:r>
        <w:rPr>
          <w:rFonts w:ascii="SimSun" w:hAnsi="SimSun" w:eastAsia="SimSun" w:cs="SimSun"/>
          <w:sz w:val="24"/>
          <w:szCs w:val="24"/>
          <w:spacing w:val="-3"/>
        </w:rPr>
        <w:t>类污染物，采用“活性炭吸附</w:t>
      </w:r>
      <w:r>
        <w:rPr>
          <w:rFonts w:ascii="Times New Roman" w:hAnsi="Times New Roman" w:eastAsia="Times New Roman" w:cs="Times New Roman"/>
          <w:sz w:val="24"/>
          <w:szCs w:val="24"/>
          <w:spacing w:val="-3"/>
        </w:rPr>
        <w:t>+</w:t>
      </w:r>
      <w:r>
        <w:rPr>
          <w:rFonts w:ascii="SimSun" w:hAnsi="SimSun" w:eastAsia="SimSun" w:cs="SimSun"/>
          <w:sz w:val="24"/>
          <w:szCs w:val="24"/>
          <w:spacing w:val="-3"/>
        </w:rPr>
        <w:t>催化燃烧装置装置（</w:t>
      </w:r>
      <w:r>
        <w:rPr>
          <w:rFonts w:ascii="Times New Roman" w:hAnsi="Times New Roman" w:eastAsia="Times New Roman" w:cs="Times New Roman"/>
          <w:sz w:val="24"/>
          <w:szCs w:val="24"/>
          <w:spacing w:val="-3"/>
        </w:rPr>
        <w:t>CO</w:t>
      </w:r>
      <w:r>
        <w:rPr>
          <w:rFonts w:ascii="SimSun" w:hAnsi="SimSun" w:eastAsia="SimSun" w:cs="SimSun"/>
          <w:sz w:val="24"/>
          <w:szCs w:val="24"/>
          <w:spacing w:val="-3"/>
        </w:rPr>
        <w:t>）”后熔融挤出生产工序</w:t>
      </w:r>
    </w:p>
    <w:p>
      <w:pPr>
        <w:ind w:left="24"/>
        <w:spacing w:before="1" w:line="218" w:lineRule="auto"/>
        <w:rPr>
          <w:rFonts w:ascii="Times New Roman" w:hAnsi="Times New Roman" w:eastAsia="Times New Roman" w:cs="Times New Roman"/>
          <w:sz w:val="24"/>
          <w:szCs w:val="24"/>
        </w:rPr>
      </w:pPr>
      <w:r>
        <w:rPr>
          <w:rFonts w:ascii="SimSun" w:hAnsi="SimSun" w:eastAsia="SimSun" w:cs="SimSun"/>
          <w:sz w:val="24"/>
          <w:szCs w:val="24"/>
        </w:rPr>
        <w:t>有机废气排放浓度及速率可满足《合成树脂工</w:t>
      </w:r>
      <w:r>
        <w:rPr>
          <w:rFonts w:ascii="SimSun" w:hAnsi="SimSun" w:eastAsia="SimSun" w:cs="SimSun"/>
          <w:sz w:val="24"/>
          <w:szCs w:val="24"/>
          <w:spacing w:val="-1"/>
        </w:rPr>
        <w:t>业污染物排放标准》（</w:t>
      </w:r>
      <w:r>
        <w:rPr>
          <w:rFonts w:ascii="Times New Roman" w:hAnsi="Times New Roman" w:eastAsia="Times New Roman" w:cs="Times New Roman"/>
          <w:sz w:val="24"/>
          <w:szCs w:val="24"/>
          <w:spacing w:val="-1"/>
        </w:rPr>
        <w:t>GB</w:t>
      </w:r>
    </w:p>
    <w:p>
      <w:pPr>
        <w:ind w:left="23"/>
        <w:spacing w:before="215" w:line="212" w:lineRule="auto"/>
        <w:rPr>
          <w:rFonts w:ascii="SimSun" w:hAnsi="SimSun" w:eastAsia="SimSun" w:cs="SimSun"/>
          <w:sz w:val="24"/>
          <w:szCs w:val="24"/>
        </w:rPr>
      </w:pPr>
      <w:r>
        <w:rPr>
          <w:rFonts w:ascii="Times New Roman" w:hAnsi="Times New Roman" w:eastAsia="Times New Roman" w:cs="Times New Roman"/>
          <w:sz w:val="24"/>
          <w:szCs w:val="24"/>
        </w:rPr>
        <w:t>31572-2015</w:t>
      </w:r>
      <w:r>
        <w:rPr>
          <w:rFonts w:ascii="SimSun" w:hAnsi="SimSun" w:eastAsia="SimSun" w:cs="SimSun"/>
          <w:sz w:val="24"/>
          <w:szCs w:val="24"/>
        </w:rPr>
        <w:t>）中表</w:t>
      </w:r>
      <w:r>
        <w:rPr>
          <w:rFonts w:ascii="Times New Roman" w:hAnsi="Times New Roman" w:eastAsia="Times New Roman" w:cs="Times New Roman"/>
          <w:sz w:val="24"/>
          <w:szCs w:val="24"/>
        </w:rPr>
        <w:t>5</w:t>
      </w:r>
      <w:r>
        <w:rPr>
          <w:rFonts w:ascii="SimSun" w:hAnsi="SimSun" w:eastAsia="SimSun" w:cs="SimSun"/>
          <w:sz w:val="24"/>
          <w:szCs w:val="24"/>
        </w:rPr>
        <w:t>大气污染物特别排放限值中非甲</w:t>
      </w:r>
      <w:r>
        <w:rPr>
          <w:rFonts w:ascii="SimSun" w:hAnsi="SimSun" w:eastAsia="SimSun" w:cs="SimSun"/>
          <w:sz w:val="24"/>
          <w:szCs w:val="24"/>
          <w:spacing w:val="-1"/>
        </w:rPr>
        <w:t>烷总烃</w:t>
      </w:r>
      <w:r>
        <w:rPr>
          <w:rFonts w:ascii="Times New Roman" w:hAnsi="Times New Roman" w:eastAsia="Times New Roman" w:cs="Times New Roman"/>
          <w:sz w:val="24"/>
          <w:szCs w:val="24"/>
          <w:spacing w:val="-1"/>
        </w:rPr>
        <w:t>60mg/m</w:t>
      </w:r>
      <w:r>
        <w:rPr>
          <w:rFonts w:ascii="SimSun" w:hAnsi="SimSun" w:eastAsia="SimSun" w:cs="SimSun"/>
          <w:sz w:val="24"/>
          <w:szCs w:val="24"/>
          <w:spacing w:val="-1"/>
        </w:rPr>
        <w:t>³要求。</w:t>
      </w:r>
    </w:p>
    <w:p>
      <w:pPr>
        <w:ind w:left="503"/>
        <w:spacing w:before="223" w:line="219" w:lineRule="auto"/>
        <w:rPr>
          <w:rFonts w:ascii="SimSun" w:hAnsi="SimSun" w:eastAsia="SimSun" w:cs="SimSun"/>
          <w:sz w:val="24"/>
          <w:szCs w:val="24"/>
        </w:rPr>
      </w:pPr>
      <w:r>
        <w:rPr>
          <w:rFonts w:ascii="SimSun" w:hAnsi="SimSun" w:eastAsia="SimSun" w:cs="SimSun"/>
          <w:sz w:val="24"/>
          <w:szCs w:val="24"/>
          <w:spacing w:val="-1"/>
        </w:rPr>
        <w:t>运行成本：一次性投资费用低；能耗低。</w:t>
      </w:r>
    </w:p>
    <w:p>
      <w:pPr>
        <w:ind w:left="509"/>
        <w:spacing w:before="217" w:line="219" w:lineRule="auto"/>
        <w:rPr>
          <w:rFonts w:ascii="SimSun" w:hAnsi="SimSun" w:eastAsia="SimSun" w:cs="SimSun"/>
          <w:sz w:val="24"/>
          <w:szCs w:val="24"/>
        </w:rPr>
      </w:pPr>
      <w:r>
        <w:rPr>
          <w:rFonts w:ascii="SimSun" w:hAnsi="SimSun" w:eastAsia="SimSun" w:cs="SimSun"/>
          <w:sz w:val="24"/>
          <w:szCs w:val="24"/>
          <w:spacing w:val="-1"/>
        </w:rPr>
        <w:t>总之，活性炭吸附</w:t>
      </w:r>
      <w:r>
        <w:rPr>
          <w:rFonts w:ascii="Times New Roman" w:hAnsi="Times New Roman" w:eastAsia="Times New Roman" w:cs="Times New Roman"/>
          <w:sz w:val="24"/>
          <w:szCs w:val="24"/>
          <w:spacing w:val="-1"/>
        </w:rPr>
        <w:t>+</w:t>
      </w:r>
      <w:r>
        <w:rPr>
          <w:rFonts w:ascii="SimSun" w:hAnsi="SimSun" w:eastAsia="SimSun" w:cs="SimSun"/>
          <w:sz w:val="24"/>
          <w:szCs w:val="24"/>
          <w:spacing w:val="-1"/>
        </w:rPr>
        <w:t>直接催化燃烧法装置能有效去除挥发性有机废气</w:t>
      </w:r>
    </w:p>
    <w:p>
      <w:pPr>
        <w:ind w:left="34"/>
        <w:spacing w:before="215" w:line="21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VOCs</w:t>
      </w:r>
      <w:r>
        <w:rPr>
          <w:rFonts w:ascii="SimSun" w:hAnsi="SimSun" w:eastAsia="SimSun" w:cs="SimSun"/>
          <w:sz w:val="24"/>
          <w:szCs w:val="24"/>
          <w:spacing w:val="7"/>
        </w:rPr>
        <w:t>），</w:t>
      </w:r>
      <w:r>
        <w:rPr>
          <w:rFonts w:ascii="SimSun" w:hAnsi="SimSun" w:eastAsia="SimSun" w:cs="SimSun"/>
          <w:sz w:val="24"/>
          <w:szCs w:val="24"/>
          <w:spacing w:val="-1"/>
        </w:rPr>
        <w:t>处理后的有机废气排放达到《合成树脂工业污染物</w:t>
      </w:r>
      <w:r>
        <w:rPr>
          <w:rFonts w:ascii="SimSun" w:hAnsi="SimSun" w:eastAsia="SimSun" w:cs="SimSun"/>
          <w:sz w:val="24"/>
          <w:szCs w:val="24"/>
          <w:spacing w:val="-2"/>
        </w:rPr>
        <w:t>排放标准》</w:t>
      </w:r>
    </w:p>
    <w:p>
      <w:pPr>
        <w:ind w:left="34"/>
        <w:spacing w:before="215" w:line="21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GB31572-2015</w:t>
      </w:r>
      <w:r>
        <w:rPr>
          <w:rFonts w:ascii="SimSun" w:hAnsi="SimSun" w:eastAsia="SimSun" w:cs="SimSun"/>
          <w:sz w:val="24"/>
          <w:szCs w:val="24"/>
          <w:spacing w:val="-1"/>
        </w:rPr>
        <w:t>）中表</w:t>
      </w:r>
      <w:r>
        <w:rPr>
          <w:rFonts w:ascii="Times New Roman" w:hAnsi="Times New Roman" w:eastAsia="Times New Roman" w:cs="Times New Roman"/>
          <w:sz w:val="24"/>
          <w:szCs w:val="24"/>
          <w:spacing w:val="-1"/>
        </w:rPr>
        <w:t>5</w:t>
      </w:r>
      <w:r>
        <w:rPr>
          <w:rFonts w:ascii="SimSun" w:hAnsi="SimSun" w:eastAsia="SimSun" w:cs="SimSun"/>
          <w:sz w:val="24"/>
          <w:szCs w:val="24"/>
          <w:spacing w:val="-1"/>
        </w:rPr>
        <w:t>大气污染物特别排放限值。厂界废气执行表</w:t>
      </w:r>
      <w:r>
        <w:rPr>
          <w:rFonts w:ascii="Times New Roman" w:hAnsi="Times New Roman" w:eastAsia="Times New Roman" w:cs="Times New Roman"/>
          <w:sz w:val="24"/>
          <w:szCs w:val="24"/>
          <w:spacing w:val="-1"/>
        </w:rPr>
        <w:t>9</w:t>
      </w:r>
      <w:r>
        <w:rPr>
          <w:rFonts w:ascii="SimSun" w:hAnsi="SimSun" w:eastAsia="SimSun" w:cs="SimSun"/>
          <w:sz w:val="24"/>
          <w:szCs w:val="24"/>
          <w:spacing w:val="-1"/>
        </w:rPr>
        <w:t>废气排放</w:t>
      </w:r>
    </w:p>
    <w:p>
      <w:pPr>
        <w:spacing w:line="219" w:lineRule="auto"/>
        <w:sectPr>
          <w:footerReference w:type="default" r:id="rId37"/>
          <w:pgSz w:w="11906" w:h="16839"/>
          <w:pgMar w:top="400" w:right="1719" w:bottom="1211" w:left="1785" w:header="0" w:footer="1049" w:gutter="0"/>
        </w:sectPr>
        <w:rPr>
          <w:rFonts w:ascii="SimSun" w:hAnsi="SimSun" w:eastAsia="SimSun" w:cs="SimSun"/>
          <w:sz w:val="24"/>
          <w:szCs w:val="24"/>
        </w:rPr>
      </w:pPr>
    </w:p>
    <w:p>
      <w:pPr>
        <w:pStyle w:val="BodyText"/>
        <w:spacing w:line="287" w:lineRule="auto"/>
        <w:rPr/>
      </w:pPr>
      <w:r/>
    </w:p>
    <w:p>
      <w:pPr>
        <w:pStyle w:val="BodyText"/>
        <w:spacing w:line="287" w:lineRule="auto"/>
        <w:rPr/>
      </w:pPr>
      <w:r/>
    </w:p>
    <w:p>
      <w:pPr>
        <w:pStyle w:val="BodyText"/>
        <w:spacing w:line="288" w:lineRule="auto"/>
        <w:rPr/>
      </w:pPr>
      <w:r/>
    </w:p>
    <w:p>
      <w:pPr>
        <w:pStyle w:val="BodyText"/>
        <w:spacing w:line="288" w:lineRule="auto"/>
        <w:rPr/>
      </w:pPr>
      <w:r/>
    </w:p>
    <w:p>
      <w:pPr>
        <w:ind w:left="24"/>
        <w:spacing w:before="78" w:line="219" w:lineRule="auto"/>
        <w:rPr>
          <w:rFonts w:ascii="SimSun" w:hAnsi="SimSun" w:eastAsia="SimSun" w:cs="SimSun"/>
          <w:sz w:val="24"/>
          <w:szCs w:val="24"/>
        </w:rPr>
      </w:pPr>
      <w:r>
        <w:rPr>
          <w:rFonts w:ascii="SimSun" w:hAnsi="SimSun" w:eastAsia="SimSun" w:cs="SimSun"/>
          <w:sz w:val="24"/>
          <w:szCs w:val="24"/>
        </w:rPr>
        <w:t>标准。厂区内执行《挥发性有机物无组织排放控制标准》（</w:t>
      </w:r>
      <w:r>
        <w:rPr>
          <w:rFonts w:ascii="Times New Roman" w:hAnsi="Times New Roman" w:eastAsia="Times New Roman" w:cs="Times New Roman"/>
          <w:sz w:val="24"/>
          <w:szCs w:val="24"/>
        </w:rPr>
        <w:t>GB37822-201</w:t>
      </w:r>
      <w:r>
        <w:rPr>
          <w:rFonts w:ascii="Times New Roman" w:hAnsi="Times New Roman" w:eastAsia="Times New Roman" w:cs="Times New Roman"/>
          <w:sz w:val="24"/>
          <w:szCs w:val="24"/>
          <w:spacing w:val="-1"/>
        </w:rPr>
        <w:t>9</w:t>
      </w:r>
      <w:r>
        <w:rPr>
          <w:rFonts w:ascii="SimSun" w:hAnsi="SimSun" w:eastAsia="SimSun" w:cs="SimSun"/>
          <w:sz w:val="24"/>
          <w:szCs w:val="24"/>
          <w:spacing w:val="-1"/>
        </w:rPr>
        <w:t>）相</w:t>
      </w:r>
    </w:p>
    <w:p>
      <w:pPr>
        <w:ind w:left="27"/>
        <w:spacing w:before="214" w:line="219" w:lineRule="auto"/>
        <w:rPr>
          <w:rFonts w:ascii="SimSun" w:hAnsi="SimSun" w:eastAsia="SimSun" w:cs="SimSun"/>
          <w:sz w:val="24"/>
          <w:szCs w:val="24"/>
        </w:rPr>
      </w:pPr>
      <w:r>
        <w:rPr>
          <w:rFonts w:ascii="SimSun" w:hAnsi="SimSun" w:eastAsia="SimSun" w:cs="SimSun"/>
          <w:sz w:val="24"/>
          <w:szCs w:val="24"/>
          <w:spacing w:val="-1"/>
        </w:rPr>
        <w:t>关要求。本项目处理工艺合理可行。</w:t>
      </w:r>
    </w:p>
    <w:p>
      <w:pPr>
        <w:ind w:left="491"/>
        <w:spacing w:before="215" w:line="219" w:lineRule="auto"/>
        <w:rPr>
          <w:rFonts w:ascii="Times New Roman" w:hAnsi="Times New Roman" w:eastAsia="Times New Roman" w:cs="Times New Roman"/>
          <w:sz w:val="24"/>
          <w:szCs w:val="24"/>
        </w:rPr>
      </w:pPr>
      <w:r>
        <w:rPr>
          <w:rFonts w:ascii="SimSun" w:hAnsi="SimSun" w:eastAsia="SimSun" w:cs="SimSun"/>
          <w:sz w:val="24"/>
          <w:szCs w:val="24"/>
          <w:spacing w:val="-3"/>
        </w:rPr>
        <w:t>“</w:t>
      </w:r>
      <w:r>
        <w:rPr>
          <w:rFonts w:ascii="SimSun" w:hAnsi="SimSun" w:eastAsia="SimSun" w:cs="SimSun"/>
          <w:sz w:val="24"/>
          <w:szCs w:val="24"/>
          <w:spacing w:val="-75"/>
        </w:rPr>
        <w:t xml:space="preserve"> </w:t>
      </w:r>
      <w:r>
        <w:rPr>
          <w:rFonts w:ascii="SimSun" w:hAnsi="SimSun" w:eastAsia="SimSun" w:cs="SimSun"/>
          <w:sz w:val="24"/>
          <w:szCs w:val="24"/>
          <w14:textOutline w14:w="4358" w14:cap="sq" w14:cmpd="sng">
            <w14:solidFill>
              <w14:srgbClr w14:val="000000"/>
            </w14:solidFill>
            <w14:prstDash w14:val="solid"/>
            <w14:bevel/>
          </w14:textOutline>
          <w:spacing w:val="-3"/>
        </w:rPr>
        <w:t>明确活性炭的充填和更换要求</w:t>
      </w:r>
      <w:r>
        <w:rPr>
          <w:rFonts w:ascii="SimSun" w:hAnsi="SimSun" w:eastAsia="SimSun" w:cs="SimSun"/>
          <w:sz w:val="24"/>
          <w:szCs w:val="24"/>
          <w:spacing w:val="-88"/>
        </w:rPr>
        <w:t xml:space="preserve"> </w:t>
      </w:r>
      <w:r>
        <w:rPr>
          <w:rFonts w:ascii="SimSun" w:hAnsi="SimSun" w:eastAsia="SimSun" w:cs="SimSun"/>
          <w:sz w:val="24"/>
          <w:szCs w:val="24"/>
          <w:spacing w:val="-3"/>
        </w:rPr>
        <w:t>”修改见</w:t>
      </w:r>
      <w:r>
        <w:rPr>
          <w:rFonts w:ascii="Times New Roman" w:hAnsi="Times New Roman" w:eastAsia="Times New Roman" w:cs="Times New Roman"/>
          <w:sz w:val="24"/>
          <w:szCs w:val="24"/>
          <w:spacing w:val="-3"/>
        </w:rPr>
        <w:t>P50</w:t>
      </w:r>
    </w:p>
    <w:p>
      <w:pPr>
        <w:ind w:left="502"/>
        <w:spacing w:before="216" w:line="217" w:lineRule="auto"/>
        <w:rPr>
          <w:rFonts w:ascii="SimSun" w:hAnsi="SimSun" w:eastAsia="SimSun" w:cs="SimSun"/>
          <w:sz w:val="24"/>
          <w:szCs w:val="24"/>
        </w:rPr>
      </w:pPr>
      <w:r>
        <w:rPr>
          <w:rFonts w:ascii="SimSun" w:hAnsi="SimSun" w:eastAsia="SimSun" w:cs="SimSun"/>
          <w:sz w:val="24"/>
          <w:szCs w:val="24"/>
          <w:spacing w:val="-1"/>
        </w:rPr>
        <w:t>①废气治理装置产生危险废物</w:t>
      </w:r>
    </w:p>
    <w:p>
      <w:pPr>
        <w:ind w:left="25" w:right="61" w:firstLine="479"/>
        <w:spacing w:before="216" w:line="385" w:lineRule="auto"/>
        <w:rPr>
          <w:rFonts w:ascii="SimSun" w:hAnsi="SimSun" w:eastAsia="SimSun" w:cs="SimSun"/>
          <w:sz w:val="24"/>
          <w:szCs w:val="24"/>
        </w:rPr>
      </w:pPr>
      <w:r>
        <w:rPr>
          <w:rFonts w:ascii="SimSun" w:hAnsi="SimSun" w:eastAsia="SimSun" w:cs="SimSun"/>
          <w:sz w:val="24"/>
          <w:szCs w:val="24"/>
          <w:spacing w:val="-3"/>
        </w:rPr>
        <w:t>本项目有机废气处理装置产生的废催化剂、废活性炭和空压机</w:t>
      </w:r>
      <w:r>
        <w:rPr>
          <w:rFonts w:ascii="SimSun" w:hAnsi="SimSun" w:eastAsia="SimSun" w:cs="SimSun"/>
          <w:sz w:val="24"/>
          <w:szCs w:val="24"/>
          <w:spacing w:val="-4"/>
        </w:rPr>
        <w:t>更换的废机油</w:t>
      </w:r>
      <w:r>
        <w:rPr>
          <w:rFonts w:ascii="SimSun" w:hAnsi="SimSun" w:eastAsia="SimSun" w:cs="SimSun"/>
          <w:sz w:val="24"/>
          <w:szCs w:val="24"/>
        </w:rPr>
        <w:t xml:space="preserve"> </w:t>
      </w:r>
      <w:r>
        <w:rPr>
          <w:rFonts w:ascii="SimSun" w:hAnsi="SimSun" w:eastAsia="SimSun" w:cs="SimSun"/>
          <w:sz w:val="24"/>
          <w:szCs w:val="24"/>
          <w:spacing w:val="-3"/>
        </w:rPr>
        <w:t>属于危险废物。建设单位依托企业已建一座</w:t>
      </w:r>
      <w:r>
        <w:rPr>
          <w:rFonts w:ascii="Times New Roman" w:hAnsi="Times New Roman" w:eastAsia="Times New Roman" w:cs="Times New Roman"/>
          <w:sz w:val="24"/>
          <w:szCs w:val="24"/>
          <w:spacing w:val="-3"/>
        </w:rPr>
        <w:t>15</w:t>
      </w:r>
      <w:r>
        <w:rPr>
          <w:rFonts w:ascii="SimSun" w:hAnsi="SimSun" w:eastAsia="SimSun" w:cs="SimSun"/>
          <w:sz w:val="24"/>
          <w:szCs w:val="24"/>
          <w:spacing w:val="-3"/>
        </w:rPr>
        <w:t>㎡危废暂存间，危险废物用密闭容</w:t>
      </w:r>
    </w:p>
    <w:p>
      <w:pPr>
        <w:ind w:left="23"/>
        <w:spacing w:line="219" w:lineRule="auto"/>
        <w:rPr>
          <w:rFonts w:ascii="SimSun" w:hAnsi="SimSun" w:eastAsia="SimSun" w:cs="SimSun"/>
          <w:sz w:val="24"/>
          <w:szCs w:val="24"/>
        </w:rPr>
      </w:pPr>
      <w:r>
        <w:rPr>
          <w:rFonts w:ascii="SimSun" w:hAnsi="SimSun" w:eastAsia="SimSun" w:cs="SimSun"/>
          <w:sz w:val="24"/>
          <w:szCs w:val="24"/>
          <w:spacing w:val="-1"/>
        </w:rPr>
        <w:t>器收集后，置于危废暂存间内，定期交由有资质单位处置。</w:t>
      </w:r>
    </w:p>
    <w:p>
      <w:pPr>
        <w:ind w:left="27" w:right="61" w:firstLine="477"/>
        <w:spacing w:before="215" w:line="367" w:lineRule="auto"/>
        <w:rPr>
          <w:rFonts w:ascii="SimSun" w:hAnsi="SimSun" w:eastAsia="SimSun" w:cs="SimSun"/>
          <w:sz w:val="24"/>
          <w:szCs w:val="24"/>
        </w:rPr>
      </w:pPr>
      <w:r>
        <w:rPr>
          <w:rFonts w:ascii="SimSun" w:hAnsi="SimSun" w:eastAsia="SimSun" w:cs="SimSun"/>
          <w:sz w:val="24"/>
          <w:szCs w:val="24"/>
          <w:spacing w:val="-3"/>
        </w:rPr>
        <w:t>本项目有机废气处理采用活性炭吸附</w:t>
      </w:r>
      <w:r>
        <w:rPr>
          <w:rFonts w:ascii="Times New Roman" w:hAnsi="Times New Roman" w:eastAsia="Times New Roman" w:cs="Times New Roman"/>
          <w:sz w:val="24"/>
          <w:szCs w:val="24"/>
          <w:spacing w:val="-3"/>
        </w:rPr>
        <w:t>+</w:t>
      </w:r>
      <w:r>
        <w:rPr>
          <w:rFonts w:ascii="SimSun" w:hAnsi="SimSun" w:eastAsia="SimSun" w:cs="SimSun"/>
          <w:sz w:val="24"/>
          <w:szCs w:val="24"/>
          <w:spacing w:val="-3"/>
        </w:rPr>
        <w:t>直接催化燃烧装置（</w:t>
      </w:r>
      <w:r>
        <w:rPr>
          <w:rFonts w:ascii="Times New Roman" w:hAnsi="Times New Roman" w:eastAsia="Times New Roman" w:cs="Times New Roman"/>
          <w:sz w:val="24"/>
          <w:szCs w:val="24"/>
          <w:spacing w:val="-3"/>
        </w:rPr>
        <w:t>CO</w:t>
      </w:r>
      <w:r>
        <w:rPr>
          <w:rFonts w:ascii="SimSun" w:hAnsi="SimSun" w:eastAsia="SimSun" w:cs="SimSun"/>
          <w:sz w:val="24"/>
          <w:szCs w:val="24"/>
          <w:spacing w:val="-3"/>
        </w:rPr>
        <w:t>）装置，活性</w:t>
      </w:r>
      <w:r>
        <w:rPr>
          <w:rFonts w:ascii="SimSun" w:hAnsi="SimSun" w:eastAsia="SimSun" w:cs="SimSun"/>
          <w:sz w:val="24"/>
          <w:szCs w:val="24"/>
          <w:spacing w:val="8"/>
        </w:rPr>
        <w:t xml:space="preserve"> </w:t>
      </w:r>
      <w:r>
        <w:rPr>
          <w:rFonts w:ascii="SimSun" w:hAnsi="SimSun" w:eastAsia="SimSun" w:cs="SimSun"/>
          <w:sz w:val="24"/>
          <w:szCs w:val="24"/>
          <w:spacing w:val="-2"/>
        </w:rPr>
        <w:t>炭吸附箱截面积为</w:t>
      </w:r>
      <w:r>
        <w:rPr>
          <w:rFonts w:ascii="Times New Roman" w:hAnsi="Times New Roman" w:eastAsia="Times New Roman" w:cs="Times New Roman"/>
          <w:sz w:val="24"/>
          <w:szCs w:val="24"/>
          <w:spacing w:val="-2"/>
        </w:rPr>
        <w:t>4.84</w:t>
      </w:r>
      <w:r>
        <w:rPr>
          <w:rFonts w:ascii="SimSun" w:hAnsi="SimSun" w:eastAsia="SimSun" w:cs="SimSun"/>
          <w:sz w:val="24"/>
          <w:szCs w:val="24"/>
          <w:spacing w:val="-2"/>
        </w:rPr>
        <w:t>㎡，装填高度</w:t>
      </w:r>
      <w:r>
        <w:rPr>
          <w:rFonts w:ascii="Times New Roman" w:hAnsi="Times New Roman" w:eastAsia="Times New Roman" w:cs="Times New Roman"/>
          <w:sz w:val="24"/>
          <w:szCs w:val="24"/>
          <w:spacing w:val="-2"/>
        </w:rPr>
        <w:t>800mm</w:t>
      </w:r>
      <w:r>
        <w:rPr>
          <w:rFonts w:ascii="SimSun" w:hAnsi="SimSun" w:eastAsia="SimSun" w:cs="SimSun"/>
          <w:sz w:val="24"/>
          <w:szCs w:val="24"/>
          <w:spacing w:val="-2"/>
        </w:rPr>
        <w:t>，单个活性炭吸附箱活性炭装填量为</w:t>
      </w:r>
    </w:p>
    <w:p>
      <w:pPr>
        <w:ind w:left="17"/>
        <w:spacing w:line="323" w:lineRule="exact"/>
        <w:rPr>
          <w:rFonts w:ascii="SimSun" w:hAnsi="SimSun" w:eastAsia="SimSun" w:cs="SimSun"/>
          <w:sz w:val="24"/>
          <w:szCs w:val="24"/>
        </w:rPr>
      </w:pPr>
      <w:r>
        <w:rPr>
          <w:rFonts w:ascii="Times New Roman" w:hAnsi="Times New Roman" w:eastAsia="Times New Roman" w:cs="Times New Roman"/>
          <w:sz w:val="24"/>
          <w:szCs w:val="24"/>
          <w:spacing w:val="-1"/>
          <w:position w:val="1"/>
        </w:rPr>
        <w:t>4.84×0.8=3.872m</w:t>
      </w:r>
      <w:r>
        <w:rPr>
          <w:rFonts w:ascii="SimSun" w:hAnsi="SimSun" w:eastAsia="SimSun" w:cs="SimSun"/>
          <w:sz w:val="24"/>
          <w:szCs w:val="24"/>
          <w:spacing w:val="-1"/>
          <w:position w:val="1"/>
        </w:rPr>
        <w:t>³。</w:t>
      </w:r>
    </w:p>
    <w:p>
      <w:pPr>
        <w:ind w:left="509"/>
        <w:spacing w:before="222" w:line="499" w:lineRule="exact"/>
        <w:rPr>
          <w:rFonts w:ascii="SimSun" w:hAnsi="SimSun" w:eastAsia="SimSun" w:cs="SimSun"/>
          <w:sz w:val="24"/>
          <w:szCs w:val="24"/>
        </w:rPr>
      </w:pPr>
      <w:r>
        <w:rPr>
          <w:rFonts w:ascii="SimSun" w:hAnsi="SimSun" w:eastAsia="SimSun" w:cs="SimSun"/>
          <w:sz w:val="24"/>
          <w:szCs w:val="24"/>
          <w:spacing w:val="-1"/>
          <w:position w:val="19"/>
        </w:rPr>
        <w:t>结合实验室测试和工程经验数据，蜂窝活性炭动态吸附量按</w:t>
      </w:r>
      <w:r>
        <w:rPr>
          <w:rFonts w:ascii="Times New Roman" w:hAnsi="Times New Roman" w:eastAsia="Times New Roman" w:cs="Times New Roman"/>
          <w:sz w:val="24"/>
          <w:szCs w:val="24"/>
          <w:spacing w:val="-1"/>
          <w:position w:val="19"/>
        </w:rPr>
        <w:t>4%</w:t>
      </w:r>
      <w:r>
        <w:rPr>
          <w:rFonts w:ascii="SimSun" w:hAnsi="SimSun" w:eastAsia="SimSun" w:cs="SimSun"/>
          <w:sz w:val="24"/>
          <w:szCs w:val="24"/>
          <w:spacing w:val="-1"/>
          <w:position w:val="19"/>
        </w:rPr>
        <w:t>设计，蜂窝</w:t>
      </w:r>
    </w:p>
    <w:p>
      <w:pPr>
        <w:ind w:left="27"/>
        <w:spacing w:line="212" w:lineRule="auto"/>
        <w:rPr>
          <w:rFonts w:ascii="SimSun" w:hAnsi="SimSun" w:eastAsia="SimSun" w:cs="SimSun"/>
          <w:sz w:val="24"/>
          <w:szCs w:val="24"/>
        </w:rPr>
      </w:pPr>
      <w:r>
        <w:rPr>
          <w:rFonts w:ascii="SimSun" w:hAnsi="SimSun" w:eastAsia="SimSun" w:cs="SimSun"/>
          <w:sz w:val="24"/>
          <w:szCs w:val="24"/>
          <w:spacing w:val="-2"/>
        </w:rPr>
        <w:t>活性炭密度</w:t>
      </w:r>
      <w:r>
        <w:rPr>
          <w:rFonts w:ascii="Times New Roman" w:hAnsi="Times New Roman" w:eastAsia="Times New Roman" w:cs="Times New Roman"/>
          <w:sz w:val="24"/>
          <w:szCs w:val="24"/>
          <w:spacing w:val="-2"/>
        </w:rPr>
        <w:t>450kg/m</w:t>
      </w:r>
      <w:r>
        <w:rPr>
          <w:rFonts w:ascii="SimSun" w:hAnsi="SimSun" w:eastAsia="SimSun" w:cs="SimSun"/>
          <w:sz w:val="24"/>
          <w:szCs w:val="24"/>
          <w:spacing w:val="-2"/>
        </w:rPr>
        <w:t>³,</w:t>
      </w:r>
      <w:r>
        <w:rPr>
          <w:rFonts w:ascii="SimSun" w:hAnsi="SimSun" w:eastAsia="SimSun" w:cs="SimSun"/>
          <w:sz w:val="24"/>
          <w:szCs w:val="24"/>
          <w:spacing w:val="73"/>
        </w:rPr>
        <w:t xml:space="preserve"> </w:t>
      </w:r>
      <w:r>
        <w:rPr>
          <w:rFonts w:ascii="SimSun" w:hAnsi="SimSun" w:eastAsia="SimSun" w:cs="SimSun"/>
          <w:sz w:val="24"/>
          <w:szCs w:val="24"/>
          <w:spacing w:val="-2"/>
        </w:rPr>
        <w:t>单个活性炭吸附箱活性炭重量为</w:t>
      </w:r>
      <w:r>
        <w:rPr>
          <w:rFonts w:ascii="Times New Roman" w:hAnsi="Times New Roman" w:eastAsia="Times New Roman" w:cs="Times New Roman"/>
          <w:sz w:val="24"/>
          <w:szCs w:val="24"/>
          <w:spacing w:val="-2"/>
        </w:rPr>
        <w:t>450kg/m</w:t>
      </w:r>
      <w:r>
        <w:rPr>
          <w:rFonts w:ascii="SimSun" w:hAnsi="SimSun" w:eastAsia="SimSun" w:cs="SimSun"/>
          <w:sz w:val="24"/>
          <w:szCs w:val="24"/>
          <w:spacing w:val="-2"/>
        </w:rPr>
        <w:t>³</w:t>
      </w:r>
      <w:r>
        <w:rPr>
          <w:rFonts w:ascii="Times New Roman" w:hAnsi="Times New Roman" w:eastAsia="Times New Roman" w:cs="Times New Roman"/>
          <w:sz w:val="24"/>
          <w:szCs w:val="24"/>
          <w:spacing w:val="-2"/>
        </w:rPr>
        <w:t>×3.872m</w:t>
      </w:r>
      <w:r>
        <w:rPr>
          <w:rFonts w:ascii="SimSun" w:hAnsi="SimSun" w:eastAsia="SimSun" w:cs="SimSun"/>
          <w:sz w:val="24"/>
          <w:szCs w:val="24"/>
          <w:spacing w:val="-2"/>
        </w:rPr>
        <w:t>³</w:t>
      </w:r>
    </w:p>
    <w:p>
      <w:pPr>
        <w:ind w:left="18"/>
        <w:spacing w:before="181" w:line="323" w:lineRule="exact"/>
        <w:rPr>
          <w:rFonts w:ascii="SimSun" w:hAnsi="SimSun" w:eastAsia="SimSun" w:cs="SimSun"/>
          <w:sz w:val="24"/>
          <w:szCs w:val="24"/>
        </w:rPr>
      </w:pPr>
      <w:r>
        <w:rPr>
          <w:rFonts w:ascii="Times New Roman" w:hAnsi="Times New Roman" w:eastAsia="Times New Roman" w:cs="Times New Roman"/>
          <w:sz w:val="24"/>
          <w:szCs w:val="24"/>
          <w:spacing w:val="-2"/>
          <w:position w:val="2"/>
        </w:rPr>
        <w:t>=</w:t>
      </w:r>
      <w:r>
        <w:rPr>
          <w:rFonts w:ascii="Times New Roman" w:hAnsi="Times New Roman" w:eastAsia="Times New Roman" w:cs="Times New Roman"/>
          <w:sz w:val="24"/>
          <w:szCs w:val="24"/>
          <w:spacing w:val="-28"/>
          <w:position w:val="2"/>
        </w:rPr>
        <w:t xml:space="preserve"> </w:t>
      </w:r>
      <w:r>
        <w:rPr>
          <w:rFonts w:ascii="Times New Roman" w:hAnsi="Times New Roman" w:eastAsia="Times New Roman" w:cs="Times New Roman"/>
          <w:sz w:val="24"/>
          <w:szCs w:val="24"/>
          <w:spacing w:val="-2"/>
          <w:position w:val="2"/>
        </w:rPr>
        <w:t>1754.4kg</w:t>
      </w:r>
      <w:r>
        <w:rPr>
          <w:rFonts w:ascii="Times New Roman" w:hAnsi="Times New Roman" w:eastAsia="Times New Roman" w:cs="Times New Roman"/>
          <w:sz w:val="24"/>
          <w:szCs w:val="24"/>
          <w:spacing w:val="-31"/>
          <w:position w:val="2"/>
        </w:rPr>
        <w:t xml:space="preserve"> </w:t>
      </w:r>
      <w:r>
        <w:rPr>
          <w:rFonts w:ascii="SimSun" w:hAnsi="SimSun" w:eastAsia="SimSun" w:cs="SimSun"/>
          <w:sz w:val="24"/>
          <w:szCs w:val="24"/>
          <w:spacing w:val="-2"/>
          <w:position w:val="2"/>
        </w:rPr>
        <w:t>，达到动态吸附饱和，单个床体可以吸附的</w:t>
      </w:r>
      <w:r>
        <w:rPr>
          <w:rFonts w:ascii="Times New Roman" w:hAnsi="Times New Roman" w:eastAsia="Times New Roman" w:cs="Times New Roman"/>
          <w:sz w:val="24"/>
          <w:szCs w:val="24"/>
          <w:spacing w:val="-2"/>
          <w:position w:val="2"/>
        </w:rPr>
        <w:t>VOCs</w:t>
      </w:r>
      <w:r>
        <w:rPr>
          <w:rFonts w:ascii="SimSun" w:hAnsi="SimSun" w:eastAsia="SimSun" w:cs="SimSun"/>
          <w:sz w:val="24"/>
          <w:szCs w:val="24"/>
          <w:spacing w:val="-2"/>
          <w:position w:val="2"/>
        </w:rPr>
        <w:t>量为</w:t>
      </w:r>
    </w:p>
    <w:p>
      <w:pPr>
        <w:ind w:left="18"/>
        <w:spacing w:before="178" w:line="500" w:lineRule="exact"/>
        <w:rPr>
          <w:rFonts w:ascii="SimSun" w:hAnsi="SimSun" w:eastAsia="SimSun" w:cs="SimSun"/>
          <w:sz w:val="24"/>
          <w:szCs w:val="24"/>
        </w:rPr>
      </w:pPr>
      <w:r>
        <w:rPr>
          <w:rFonts w:ascii="Times New Roman" w:hAnsi="Times New Roman" w:eastAsia="Times New Roman" w:cs="Times New Roman"/>
          <w:sz w:val="24"/>
          <w:szCs w:val="24"/>
          <w:spacing w:val="-3"/>
          <w:position w:val="17"/>
        </w:rPr>
        <w:t>=4%×</w:t>
      </w:r>
      <w:r>
        <w:rPr>
          <w:rFonts w:ascii="Times New Roman" w:hAnsi="Times New Roman" w:eastAsia="Times New Roman" w:cs="Times New Roman"/>
          <w:sz w:val="24"/>
          <w:szCs w:val="24"/>
          <w:spacing w:val="-24"/>
          <w:position w:val="17"/>
        </w:rPr>
        <w:t xml:space="preserve"> </w:t>
      </w:r>
      <w:r>
        <w:rPr>
          <w:rFonts w:ascii="Times New Roman" w:hAnsi="Times New Roman" w:eastAsia="Times New Roman" w:cs="Times New Roman"/>
          <w:sz w:val="24"/>
          <w:szCs w:val="24"/>
          <w:spacing w:val="-3"/>
          <w:position w:val="17"/>
        </w:rPr>
        <w:t>1742.4kg=70kg</w:t>
      </w:r>
      <w:r>
        <w:rPr>
          <w:rFonts w:ascii="Times New Roman" w:hAnsi="Times New Roman" w:eastAsia="Times New Roman" w:cs="Times New Roman"/>
          <w:sz w:val="24"/>
          <w:szCs w:val="24"/>
          <w:spacing w:val="-27"/>
          <w:position w:val="17"/>
        </w:rPr>
        <w:t xml:space="preserve"> </w:t>
      </w:r>
      <w:r>
        <w:rPr>
          <w:rFonts w:ascii="SimSun" w:hAnsi="SimSun" w:eastAsia="SimSun" w:cs="SimSun"/>
          <w:sz w:val="24"/>
          <w:szCs w:val="24"/>
          <w:spacing w:val="-3"/>
          <w:position w:val="17"/>
        </w:rPr>
        <w:t>。吸附达到动态吸附饱和时间</w:t>
      </w:r>
      <w:r>
        <w:rPr>
          <w:rFonts w:ascii="Times New Roman" w:hAnsi="Times New Roman" w:eastAsia="Times New Roman" w:cs="Times New Roman"/>
          <w:sz w:val="24"/>
          <w:szCs w:val="24"/>
          <w:spacing w:val="-3"/>
          <w:position w:val="17"/>
        </w:rPr>
        <w:t>=70×</w:t>
      </w:r>
      <w:r>
        <w:rPr>
          <w:rFonts w:ascii="Times New Roman" w:hAnsi="Times New Roman" w:eastAsia="Times New Roman" w:cs="Times New Roman"/>
          <w:sz w:val="24"/>
          <w:szCs w:val="24"/>
          <w:spacing w:val="-33"/>
          <w:position w:val="17"/>
        </w:rPr>
        <w:t xml:space="preserve"> </w:t>
      </w:r>
      <w:r>
        <w:rPr>
          <w:rFonts w:ascii="Times New Roman" w:hAnsi="Times New Roman" w:eastAsia="Times New Roman" w:cs="Times New Roman"/>
          <w:sz w:val="24"/>
          <w:szCs w:val="24"/>
          <w:spacing w:val="-3"/>
          <w:position w:val="17"/>
        </w:rPr>
        <w:t>10</w:t>
      </w:r>
      <w:r>
        <w:rPr>
          <w:rFonts w:ascii="Times New Roman" w:hAnsi="Times New Roman" w:eastAsia="Times New Roman" w:cs="Times New Roman"/>
          <w:sz w:val="15"/>
          <w:szCs w:val="15"/>
          <w:spacing w:val="-3"/>
          <w:position w:val="25"/>
        </w:rPr>
        <w:t>6 </w:t>
      </w:r>
      <w:r>
        <w:rPr>
          <w:rFonts w:ascii="SimSun" w:hAnsi="SimSun" w:eastAsia="SimSun" w:cs="SimSun"/>
          <w:sz w:val="24"/>
          <w:szCs w:val="24"/>
          <w:spacing w:val="-3"/>
          <w:position w:val="17"/>
        </w:rPr>
        <w:t>÷</w:t>
      </w:r>
      <w:r>
        <w:rPr>
          <w:rFonts w:ascii="Times New Roman" w:hAnsi="Times New Roman" w:eastAsia="Times New Roman" w:cs="Times New Roman"/>
          <w:sz w:val="24"/>
          <w:szCs w:val="24"/>
          <w:spacing w:val="-3"/>
          <w:position w:val="17"/>
        </w:rPr>
        <w:t>20000m</w:t>
      </w:r>
      <w:r>
        <w:rPr>
          <w:rFonts w:ascii="SimSun" w:hAnsi="SimSun" w:eastAsia="SimSun" w:cs="SimSun"/>
          <w:sz w:val="24"/>
          <w:szCs w:val="24"/>
          <w:spacing w:val="-3"/>
          <w:position w:val="17"/>
        </w:rPr>
        <w:t>³</w:t>
      </w:r>
    </w:p>
    <w:p>
      <w:pPr>
        <w:ind w:left="14"/>
        <w:spacing w:line="322" w:lineRule="exact"/>
        <w:rPr>
          <w:rFonts w:ascii="SimSun" w:hAnsi="SimSun" w:eastAsia="SimSun" w:cs="SimSun"/>
          <w:sz w:val="24"/>
          <w:szCs w:val="24"/>
        </w:rPr>
      </w:pPr>
      <w:r>
        <w:rPr>
          <w:rFonts w:ascii="Times New Roman" w:hAnsi="Times New Roman" w:eastAsia="Times New Roman" w:cs="Times New Roman"/>
          <w:sz w:val="24"/>
          <w:szCs w:val="24"/>
          <w:spacing w:val="-1"/>
          <w:position w:val="2"/>
        </w:rPr>
        <w:t>/h×60=58.33h</w:t>
      </w:r>
      <w:r>
        <w:rPr>
          <w:rFonts w:ascii="SimSun" w:hAnsi="SimSun" w:eastAsia="SimSun" w:cs="SimSun"/>
          <w:sz w:val="24"/>
          <w:szCs w:val="24"/>
          <w:spacing w:val="-1"/>
          <w:position w:val="2"/>
        </w:rPr>
        <w:t>。</w:t>
      </w:r>
    </w:p>
    <w:p>
      <w:pPr>
        <w:ind w:right="61"/>
        <w:spacing w:before="222" w:line="500" w:lineRule="exact"/>
        <w:jc w:val="right"/>
        <w:rPr>
          <w:rFonts w:ascii="SimSun" w:hAnsi="SimSun" w:eastAsia="SimSun" w:cs="SimSun"/>
          <w:sz w:val="24"/>
          <w:szCs w:val="24"/>
        </w:rPr>
      </w:pPr>
      <w:r>
        <w:rPr>
          <w:rFonts w:ascii="SimSun" w:hAnsi="SimSun" w:eastAsia="SimSun" w:cs="SimSun"/>
          <w:sz w:val="24"/>
          <w:szCs w:val="24"/>
          <w:spacing w:val="-1"/>
          <w:position w:val="19"/>
        </w:rPr>
        <w:t>活性炭吸附床在吸附</w:t>
      </w:r>
      <w:r>
        <w:rPr>
          <w:rFonts w:ascii="Times New Roman" w:hAnsi="Times New Roman" w:eastAsia="Times New Roman" w:cs="Times New Roman"/>
          <w:sz w:val="24"/>
          <w:szCs w:val="24"/>
          <w:spacing w:val="-1"/>
          <w:position w:val="19"/>
        </w:rPr>
        <w:t>58.33h</w:t>
      </w:r>
      <w:r>
        <w:rPr>
          <w:rFonts w:ascii="SimSun" w:hAnsi="SimSun" w:eastAsia="SimSun" w:cs="SimSun"/>
          <w:sz w:val="24"/>
          <w:szCs w:val="24"/>
          <w:spacing w:val="-1"/>
          <w:position w:val="19"/>
        </w:rPr>
        <w:t>后即达到蜂窝活性炭</w:t>
      </w:r>
      <w:r>
        <w:rPr>
          <w:rFonts w:ascii="SimSun" w:hAnsi="SimSun" w:eastAsia="SimSun" w:cs="SimSun"/>
          <w:sz w:val="24"/>
          <w:szCs w:val="24"/>
          <w:spacing w:val="-2"/>
          <w:position w:val="19"/>
        </w:rPr>
        <w:t>的动态饱和时间。蜂窝活性</w:t>
      </w:r>
    </w:p>
    <w:p>
      <w:pPr>
        <w:ind w:left="27"/>
        <w:spacing w:line="218" w:lineRule="auto"/>
        <w:rPr>
          <w:rFonts w:ascii="SimSun" w:hAnsi="SimSun" w:eastAsia="SimSun" w:cs="SimSun"/>
          <w:sz w:val="24"/>
          <w:szCs w:val="24"/>
        </w:rPr>
      </w:pPr>
      <w:r>
        <w:rPr>
          <w:rFonts w:ascii="SimSun" w:hAnsi="SimSun" w:eastAsia="SimSun" w:cs="SimSun"/>
          <w:sz w:val="24"/>
          <w:szCs w:val="24"/>
        </w:rPr>
        <w:t>炭更换周期为</w:t>
      </w:r>
      <w:r>
        <w:rPr>
          <w:rFonts w:ascii="Times New Roman" w:hAnsi="Times New Roman" w:eastAsia="Times New Roman" w:cs="Times New Roman"/>
          <w:sz w:val="24"/>
          <w:szCs w:val="24"/>
        </w:rPr>
        <w:t>2-2.5</w:t>
      </w:r>
      <w:r>
        <w:rPr>
          <w:rFonts w:ascii="SimSun" w:hAnsi="SimSun" w:eastAsia="SimSun" w:cs="SimSun"/>
          <w:sz w:val="24"/>
          <w:szCs w:val="24"/>
        </w:rPr>
        <w:t>年，贵金属催化剂更换</w:t>
      </w:r>
      <w:r>
        <w:rPr>
          <w:rFonts w:ascii="SimSun" w:hAnsi="SimSun" w:eastAsia="SimSun" w:cs="SimSun"/>
          <w:sz w:val="24"/>
          <w:szCs w:val="24"/>
          <w:spacing w:val="-1"/>
        </w:rPr>
        <w:t>周期为</w:t>
      </w:r>
      <w:r>
        <w:rPr>
          <w:rFonts w:ascii="Times New Roman" w:hAnsi="Times New Roman" w:eastAsia="Times New Roman" w:cs="Times New Roman"/>
          <w:sz w:val="24"/>
          <w:szCs w:val="24"/>
          <w:spacing w:val="-1"/>
        </w:rPr>
        <w:t>2</w:t>
      </w:r>
      <w:r>
        <w:rPr>
          <w:rFonts w:ascii="SimSun" w:hAnsi="SimSun" w:eastAsia="SimSun" w:cs="SimSun"/>
          <w:sz w:val="24"/>
          <w:szCs w:val="24"/>
          <w:spacing w:val="-1"/>
        </w:rPr>
        <w:t>年左右或</w:t>
      </w:r>
      <w:r>
        <w:rPr>
          <w:rFonts w:ascii="Times New Roman" w:hAnsi="Times New Roman" w:eastAsia="Times New Roman" w:cs="Times New Roman"/>
          <w:sz w:val="24"/>
          <w:szCs w:val="24"/>
          <w:spacing w:val="-1"/>
        </w:rPr>
        <w:t>8000</w:t>
      </w:r>
      <w:r>
        <w:rPr>
          <w:rFonts w:ascii="SimSun" w:hAnsi="SimSun" w:eastAsia="SimSun" w:cs="SimSun"/>
          <w:sz w:val="24"/>
          <w:szCs w:val="24"/>
          <w:spacing w:val="-1"/>
        </w:rPr>
        <w:t>小时。</w:t>
      </w:r>
    </w:p>
    <w:p>
      <w:pPr>
        <w:ind w:left="25" w:firstLine="481"/>
        <w:spacing w:before="215" w:line="385" w:lineRule="auto"/>
        <w:rPr>
          <w:rFonts w:ascii="SimSun" w:hAnsi="SimSun" w:eastAsia="SimSun" w:cs="SimSun"/>
          <w:sz w:val="24"/>
          <w:szCs w:val="24"/>
        </w:rPr>
      </w:pPr>
      <w:r>
        <w:rPr>
          <w:rFonts w:ascii="SimSun" w:hAnsi="SimSun" w:eastAsia="SimSun" w:cs="SimSun"/>
          <w:sz w:val="24"/>
          <w:szCs w:val="24"/>
          <w:spacing w:val="-3"/>
        </w:rPr>
        <w:t>非甲烷总烃废气处理量为</w:t>
      </w:r>
      <w:r>
        <w:rPr>
          <w:rFonts w:ascii="Times New Roman" w:hAnsi="Times New Roman" w:eastAsia="Times New Roman" w:cs="Times New Roman"/>
          <w:sz w:val="24"/>
          <w:szCs w:val="24"/>
          <w:spacing w:val="-3"/>
        </w:rPr>
        <w:t>0.85t/a</w:t>
      </w:r>
      <w:r>
        <w:rPr>
          <w:rFonts w:ascii="SimSun" w:hAnsi="SimSun" w:eastAsia="SimSun" w:cs="SimSun"/>
          <w:sz w:val="24"/>
          <w:szCs w:val="24"/>
          <w:spacing w:val="-3"/>
        </w:rPr>
        <w:t>，活性炭产生量为废气的</w:t>
      </w:r>
      <w:r>
        <w:rPr>
          <w:rFonts w:ascii="Times New Roman" w:hAnsi="Times New Roman" w:eastAsia="Times New Roman" w:cs="Times New Roman"/>
          <w:sz w:val="24"/>
          <w:szCs w:val="24"/>
          <w:spacing w:val="-3"/>
        </w:rPr>
        <w:t>1.2</w:t>
      </w:r>
      <w:r>
        <w:rPr>
          <w:rFonts w:ascii="SimSun" w:hAnsi="SimSun" w:eastAsia="SimSun" w:cs="SimSun"/>
          <w:sz w:val="24"/>
          <w:szCs w:val="24"/>
          <w:spacing w:val="-3"/>
        </w:rPr>
        <w:t>倍，废活性炭产</w:t>
      </w:r>
      <w:r>
        <w:rPr>
          <w:rFonts w:ascii="SimSun" w:hAnsi="SimSun" w:eastAsia="SimSun" w:cs="SimSun"/>
          <w:sz w:val="24"/>
          <w:szCs w:val="24"/>
          <w:spacing w:val="9"/>
        </w:rPr>
        <w:t xml:space="preserve"> </w:t>
      </w:r>
      <w:r>
        <w:rPr>
          <w:rFonts w:ascii="SimSun" w:hAnsi="SimSun" w:eastAsia="SimSun" w:cs="SimSun"/>
          <w:sz w:val="24"/>
          <w:szCs w:val="24"/>
          <w:spacing w:val="-3"/>
        </w:rPr>
        <w:t>生量为</w:t>
      </w:r>
      <w:r>
        <w:rPr>
          <w:rFonts w:ascii="Times New Roman" w:hAnsi="Times New Roman" w:eastAsia="Times New Roman" w:cs="Times New Roman"/>
          <w:sz w:val="24"/>
          <w:szCs w:val="24"/>
          <w:spacing w:val="-3"/>
        </w:rPr>
        <w:t>1.02t/2a</w:t>
      </w:r>
      <w:r>
        <w:rPr>
          <w:rFonts w:ascii="Times New Roman" w:hAnsi="Times New Roman" w:eastAsia="Times New Roman" w:cs="Times New Roman"/>
          <w:sz w:val="24"/>
          <w:szCs w:val="24"/>
          <w:spacing w:val="-28"/>
        </w:rPr>
        <w:t xml:space="preserve"> </w:t>
      </w:r>
      <w:r>
        <w:rPr>
          <w:rFonts w:ascii="SimSun" w:hAnsi="SimSun" w:eastAsia="SimSun" w:cs="SimSun"/>
          <w:sz w:val="24"/>
          <w:szCs w:val="24"/>
          <w:spacing w:val="-3"/>
        </w:rPr>
        <w:t>。催化剂、活性炭每两年更</w:t>
      </w:r>
      <w:r>
        <w:rPr>
          <w:rFonts w:ascii="SimSun" w:hAnsi="SimSun" w:eastAsia="SimSun" w:cs="SimSun"/>
          <w:sz w:val="24"/>
          <w:szCs w:val="24"/>
          <w:spacing w:val="-4"/>
        </w:rPr>
        <w:t>换一次。催化剂主要为贵金属铂、钯，</w:t>
      </w:r>
    </w:p>
    <w:p>
      <w:pPr>
        <w:ind w:left="22"/>
        <w:spacing w:before="1" w:line="218" w:lineRule="auto"/>
        <w:rPr>
          <w:rFonts w:ascii="SimSun" w:hAnsi="SimSun" w:eastAsia="SimSun" w:cs="SimSun"/>
          <w:sz w:val="24"/>
          <w:szCs w:val="24"/>
        </w:rPr>
      </w:pPr>
      <w:r>
        <w:rPr>
          <w:rFonts w:ascii="SimSun" w:hAnsi="SimSun" w:eastAsia="SimSun" w:cs="SimSun"/>
          <w:sz w:val="24"/>
          <w:szCs w:val="24"/>
          <w:spacing w:val="-1"/>
        </w:rPr>
        <w:t>废催化剂产生量为</w:t>
      </w:r>
      <w:r>
        <w:rPr>
          <w:rFonts w:ascii="Times New Roman" w:hAnsi="Times New Roman" w:eastAsia="Times New Roman" w:cs="Times New Roman"/>
          <w:sz w:val="24"/>
          <w:szCs w:val="24"/>
          <w:spacing w:val="-1"/>
        </w:rPr>
        <w:t>1t/2a</w:t>
      </w:r>
      <w:r>
        <w:rPr>
          <w:rFonts w:ascii="SimSun" w:hAnsi="SimSun" w:eastAsia="SimSun" w:cs="SimSun"/>
          <w:sz w:val="24"/>
          <w:szCs w:val="24"/>
          <w:spacing w:val="-1"/>
        </w:rPr>
        <w:t>。</w:t>
      </w:r>
    </w:p>
    <w:p>
      <w:pPr>
        <w:ind w:left="34" w:right="68" w:firstLine="470"/>
        <w:spacing w:before="215" w:line="385" w:lineRule="auto"/>
        <w:rPr>
          <w:rFonts w:ascii="SimSun" w:hAnsi="SimSun" w:eastAsia="SimSun" w:cs="SimSun"/>
          <w:sz w:val="24"/>
          <w:szCs w:val="24"/>
        </w:rPr>
      </w:pPr>
      <w:r>
        <w:rPr>
          <w:rFonts w:ascii="SimSun" w:hAnsi="SimSun" w:eastAsia="SimSun" w:cs="SimSun"/>
          <w:sz w:val="24"/>
          <w:szCs w:val="24"/>
        </w:rPr>
        <w:t>蜂窝活性炭更换周期为</w:t>
      </w:r>
      <w:r>
        <w:rPr>
          <w:rFonts w:ascii="Times New Roman" w:hAnsi="Times New Roman" w:eastAsia="Times New Roman" w:cs="Times New Roman"/>
          <w:sz w:val="24"/>
          <w:szCs w:val="24"/>
        </w:rPr>
        <w:t>2-2.5</w:t>
      </w:r>
      <w:r>
        <w:rPr>
          <w:rFonts w:ascii="SimSun" w:hAnsi="SimSun" w:eastAsia="SimSun" w:cs="SimSun"/>
          <w:sz w:val="24"/>
          <w:szCs w:val="24"/>
        </w:rPr>
        <w:t>年，贵金属催化剂更</w:t>
      </w:r>
      <w:r>
        <w:rPr>
          <w:rFonts w:ascii="SimSun" w:hAnsi="SimSun" w:eastAsia="SimSun" w:cs="SimSun"/>
          <w:sz w:val="24"/>
          <w:szCs w:val="24"/>
          <w:spacing w:val="-1"/>
        </w:rPr>
        <w:t>换周期为</w:t>
      </w:r>
      <w:r>
        <w:rPr>
          <w:rFonts w:ascii="Times New Roman" w:hAnsi="Times New Roman" w:eastAsia="Times New Roman" w:cs="Times New Roman"/>
          <w:sz w:val="24"/>
          <w:szCs w:val="24"/>
          <w:spacing w:val="-1"/>
        </w:rPr>
        <w:t>2</w:t>
      </w:r>
      <w:r>
        <w:rPr>
          <w:rFonts w:ascii="SimSun" w:hAnsi="SimSun" w:eastAsia="SimSun" w:cs="SimSun"/>
          <w:sz w:val="24"/>
          <w:szCs w:val="24"/>
          <w:spacing w:val="-1"/>
        </w:rPr>
        <w:t>年左右或</w:t>
      </w:r>
      <w:r>
        <w:rPr>
          <w:rFonts w:ascii="Times New Roman" w:hAnsi="Times New Roman" w:eastAsia="Times New Roman" w:cs="Times New Roman"/>
          <w:sz w:val="24"/>
          <w:szCs w:val="24"/>
          <w:spacing w:val="-1"/>
        </w:rPr>
        <w:t>8000</w:t>
      </w:r>
      <w:r>
        <w:rPr>
          <w:rFonts w:ascii="SimSun" w:hAnsi="SimSun" w:eastAsia="SimSun" w:cs="SimSun"/>
          <w:sz w:val="24"/>
          <w:szCs w:val="24"/>
          <w:spacing w:val="-1"/>
        </w:rPr>
        <w:t>小</w:t>
      </w:r>
      <w:r>
        <w:rPr>
          <w:rFonts w:ascii="SimSun" w:hAnsi="SimSun" w:eastAsia="SimSun" w:cs="SimSun"/>
          <w:sz w:val="24"/>
          <w:szCs w:val="24"/>
        </w:rPr>
        <w:t xml:space="preserve"> </w:t>
      </w:r>
      <w:r>
        <w:rPr>
          <w:rFonts w:ascii="SimSun" w:hAnsi="SimSun" w:eastAsia="SimSun" w:cs="SimSun"/>
          <w:sz w:val="24"/>
          <w:szCs w:val="24"/>
          <w:spacing w:val="-1"/>
        </w:rPr>
        <w:t>时。本项目按照</w:t>
      </w:r>
      <w:r>
        <w:rPr>
          <w:rFonts w:ascii="Times New Roman" w:hAnsi="Times New Roman" w:eastAsia="Times New Roman" w:cs="Times New Roman"/>
          <w:sz w:val="24"/>
          <w:szCs w:val="24"/>
          <w:spacing w:val="-1"/>
        </w:rPr>
        <w:t>2</w:t>
      </w:r>
      <w:r>
        <w:rPr>
          <w:rFonts w:ascii="SimSun" w:hAnsi="SimSun" w:eastAsia="SimSun" w:cs="SimSun"/>
          <w:sz w:val="24"/>
          <w:szCs w:val="24"/>
          <w:spacing w:val="-1"/>
        </w:rPr>
        <w:t>年更换一次进行计算。废活性炭排放</w:t>
      </w:r>
      <w:r>
        <w:rPr>
          <w:rFonts w:ascii="SimSun" w:hAnsi="SimSun" w:eastAsia="SimSun" w:cs="SimSun"/>
          <w:sz w:val="24"/>
          <w:szCs w:val="24"/>
          <w:spacing w:val="-2"/>
        </w:rPr>
        <w:t>量为</w:t>
      </w:r>
      <w:r>
        <w:rPr>
          <w:rFonts w:ascii="Times New Roman" w:hAnsi="Times New Roman" w:eastAsia="Times New Roman" w:cs="Times New Roman"/>
          <w:sz w:val="24"/>
          <w:szCs w:val="24"/>
          <w:spacing w:val="-2"/>
        </w:rPr>
        <w:t>0.51t/a</w:t>
      </w:r>
      <w:r>
        <w:rPr>
          <w:rFonts w:ascii="Times New Roman" w:hAnsi="Times New Roman" w:eastAsia="Times New Roman" w:cs="Times New Roman"/>
          <w:sz w:val="24"/>
          <w:szCs w:val="24"/>
          <w:spacing w:val="-28"/>
        </w:rPr>
        <w:t xml:space="preserve"> </w:t>
      </w:r>
      <w:r>
        <w:rPr>
          <w:rFonts w:ascii="SimSun" w:hAnsi="SimSun" w:eastAsia="SimSun" w:cs="SimSun"/>
          <w:sz w:val="24"/>
          <w:szCs w:val="24"/>
          <w:spacing w:val="-2"/>
        </w:rPr>
        <w:t>。废催化剂产</w:t>
      </w:r>
    </w:p>
    <w:p>
      <w:pPr>
        <w:ind w:left="25"/>
        <w:spacing w:before="1" w:line="220" w:lineRule="auto"/>
        <w:rPr>
          <w:rFonts w:ascii="SimSun" w:hAnsi="SimSun" w:eastAsia="SimSun" w:cs="SimSun"/>
          <w:sz w:val="24"/>
          <w:szCs w:val="24"/>
        </w:rPr>
      </w:pPr>
      <w:r>
        <w:rPr>
          <w:rFonts w:ascii="SimSun" w:hAnsi="SimSun" w:eastAsia="SimSun" w:cs="SimSun"/>
          <w:sz w:val="24"/>
          <w:szCs w:val="24"/>
          <w:spacing w:val="-2"/>
        </w:rPr>
        <w:t>生量为</w:t>
      </w:r>
      <w:r>
        <w:rPr>
          <w:rFonts w:ascii="Times New Roman" w:hAnsi="Times New Roman" w:eastAsia="Times New Roman" w:cs="Times New Roman"/>
          <w:sz w:val="24"/>
          <w:szCs w:val="24"/>
          <w:spacing w:val="-2"/>
        </w:rPr>
        <w:t>0.5t/a</w:t>
      </w:r>
      <w:r>
        <w:rPr>
          <w:rFonts w:ascii="SimSun" w:hAnsi="SimSun" w:eastAsia="SimSun" w:cs="SimSun"/>
          <w:sz w:val="24"/>
          <w:szCs w:val="24"/>
          <w:spacing w:val="-2"/>
        </w:rPr>
        <w:t>。</w:t>
      </w:r>
    </w:p>
    <w:p>
      <w:pPr>
        <w:ind w:left="491"/>
        <w:spacing w:before="212" w:line="219" w:lineRule="auto"/>
        <w:rPr>
          <w:rFonts w:ascii="Times New Roman" w:hAnsi="Times New Roman" w:eastAsia="Times New Roman" w:cs="Times New Roman"/>
          <w:sz w:val="24"/>
          <w:szCs w:val="24"/>
        </w:rPr>
      </w:pPr>
      <w:r>
        <w:rPr>
          <w:rFonts w:ascii="SimSun" w:hAnsi="SimSun" w:eastAsia="SimSun" w:cs="SimSun"/>
          <w:sz w:val="24"/>
          <w:szCs w:val="24"/>
          <w:spacing w:val="-2"/>
        </w:rPr>
        <w:t>“</w:t>
      </w:r>
      <w:r>
        <w:rPr>
          <w:rFonts w:ascii="SimSun" w:hAnsi="SimSun" w:eastAsia="SimSun" w:cs="SimSun"/>
          <w:sz w:val="24"/>
          <w:szCs w:val="24"/>
          <w14:textOutline w14:w="4358" w14:cap="sq" w14:cmpd="sng">
            <w14:solidFill>
              <w14:srgbClr w14:val="000000"/>
            </w14:solidFill>
            <w14:prstDash w14:val="solid"/>
            <w14:bevel/>
          </w14:textOutline>
          <w:spacing w:val="-2"/>
        </w:rPr>
        <w:t>完善废气污染物监测计划</w:t>
      </w:r>
      <w:r>
        <w:rPr>
          <w:rFonts w:ascii="SimSun" w:hAnsi="SimSun" w:eastAsia="SimSun" w:cs="SimSun"/>
          <w:sz w:val="24"/>
          <w:szCs w:val="24"/>
          <w:spacing w:val="-71"/>
        </w:rPr>
        <w:t xml:space="preserve"> </w:t>
      </w:r>
      <w:r>
        <w:rPr>
          <w:rFonts w:ascii="SimSun" w:hAnsi="SimSun" w:eastAsia="SimSun" w:cs="SimSun"/>
          <w:sz w:val="24"/>
          <w:szCs w:val="24"/>
          <w:spacing w:val="-2"/>
        </w:rPr>
        <w:t>”修改见</w:t>
      </w:r>
      <w:r>
        <w:rPr>
          <w:rFonts w:ascii="Times New Roman" w:hAnsi="Times New Roman" w:eastAsia="Times New Roman" w:cs="Times New Roman"/>
          <w:sz w:val="24"/>
          <w:szCs w:val="24"/>
          <w:spacing w:val="-2"/>
        </w:rPr>
        <w:t>P47</w:t>
      </w:r>
    </w:p>
    <w:p>
      <w:pPr>
        <w:ind w:left="497"/>
        <w:spacing w:before="217" w:line="221" w:lineRule="auto"/>
        <w:rPr>
          <w:rFonts w:ascii="SimSun" w:hAnsi="SimSun" w:eastAsia="SimSun" w:cs="SimSun"/>
          <w:sz w:val="24"/>
          <w:szCs w:val="24"/>
        </w:rPr>
      </w:pPr>
      <w:hyperlink w:history="true" r:id="rId39">
        <w:r>
          <w:rPr>
            <w:rFonts w:ascii="Times New Roman" w:hAnsi="Times New Roman" w:eastAsia="Times New Roman" w:cs="Times New Roman"/>
            <w:sz w:val="24"/>
            <w:szCs w:val="24"/>
            <w:spacing w:val="-1"/>
          </w:rPr>
          <w:t>4.2.1.6</w:t>
        </w:r>
      </w:hyperlink>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1"/>
        </w:rPr>
        <w:t>监测计划</w:t>
      </w:r>
    </w:p>
    <w:p>
      <w:pPr>
        <w:ind w:right="61"/>
        <w:spacing w:before="212" w:line="499" w:lineRule="exact"/>
        <w:jc w:val="right"/>
        <w:rPr>
          <w:rFonts w:ascii="SimSun" w:hAnsi="SimSun" w:eastAsia="SimSun" w:cs="SimSun"/>
          <w:sz w:val="24"/>
          <w:szCs w:val="24"/>
        </w:rPr>
      </w:pPr>
      <w:r>
        <w:rPr>
          <w:rFonts w:ascii="SimSun" w:hAnsi="SimSun" w:eastAsia="SimSun" w:cs="SimSun"/>
          <w:sz w:val="24"/>
          <w:szCs w:val="24"/>
          <w:spacing w:val="-3"/>
          <w:position w:val="19"/>
        </w:rPr>
        <w:t>本项目常规废气监测可委托监测，委托监测单位应具有相应资</w:t>
      </w:r>
      <w:r>
        <w:rPr>
          <w:rFonts w:ascii="SimSun" w:hAnsi="SimSun" w:eastAsia="SimSun" w:cs="SimSun"/>
          <w:sz w:val="24"/>
          <w:szCs w:val="24"/>
          <w:spacing w:val="-4"/>
          <w:position w:val="19"/>
        </w:rPr>
        <w:t>质。根据《排</w:t>
      </w:r>
    </w:p>
    <w:p>
      <w:pPr>
        <w:ind w:left="25"/>
        <w:spacing w:line="219" w:lineRule="auto"/>
        <w:rPr>
          <w:rFonts w:ascii="SimSun" w:hAnsi="SimSun" w:eastAsia="SimSun" w:cs="SimSun"/>
          <w:sz w:val="24"/>
          <w:szCs w:val="24"/>
        </w:rPr>
      </w:pPr>
      <w:r>
        <w:rPr>
          <w:rFonts w:ascii="SimSun" w:hAnsi="SimSun" w:eastAsia="SimSun" w:cs="SimSun"/>
          <w:sz w:val="24"/>
          <w:szCs w:val="24"/>
          <w:spacing w:val="-1"/>
        </w:rPr>
        <w:t>污许可证申领与核发技术规范 总则》（</w:t>
      </w:r>
      <w:r>
        <w:rPr>
          <w:rFonts w:ascii="Times New Roman" w:hAnsi="Times New Roman" w:eastAsia="Times New Roman" w:cs="Times New Roman"/>
          <w:sz w:val="24"/>
          <w:szCs w:val="24"/>
          <w:spacing w:val="-1"/>
        </w:rPr>
        <w:t>HJ 942-2018</w:t>
      </w:r>
      <w:r>
        <w:rPr>
          <w:rFonts w:ascii="SimSun" w:hAnsi="SimSun" w:eastAsia="SimSun" w:cs="SimSun"/>
          <w:sz w:val="24"/>
          <w:szCs w:val="24"/>
          <w:spacing w:val="-1"/>
        </w:rPr>
        <w:t>）、《排污单位自行监测技</w:t>
      </w:r>
    </w:p>
    <w:p>
      <w:pPr>
        <w:spacing w:line="219" w:lineRule="auto"/>
        <w:sectPr>
          <w:footerReference w:type="default" r:id="rId38"/>
          <w:pgSz w:w="11906" w:h="16839"/>
          <w:pgMar w:top="400" w:right="1738" w:bottom="1211" w:left="1785" w:header="0" w:footer="1049" w:gutter="0"/>
        </w:sectPr>
        <w:rPr>
          <w:rFonts w:ascii="SimSun" w:hAnsi="SimSun" w:eastAsia="SimSun" w:cs="SimSun"/>
          <w:sz w:val="24"/>
          <w:szCs w:val="24"/>
        </w:rPr>
      </w:pPr>
    </w:p>
    <w:p>
      <w:pPr>
        <w:pStyle w:val="BodyText"/>
        <w:spacing w:line="287" w:lineRule="auto"/>
        <w:rPr/>
      </w:pPr>
      <w:r/>
    </w:p>
    <w:p>
      <w:pPr>
        <w:pStyle w:val="BodyText"/>
        <w:spacing w:line="287" w:lineRule="auto"/>
        <w:rPr/>
      </w:pPr>
      <w:r/>
    </w:p>
    <w:p>
      <w:pPr>
        <w:pStyle w:val="BodyText"/>
        <w:spacing w:line="288" w:lineRule="auto"/>
        <w:rPr/>
      </w:pPr>
      <w:r/>
    </w:p>
    <w:p>
      <w:pPr>
        <w:pStyle w:val="BodyText"/>
        <w:spacing w:line="288" w:lineRule="auto"/>
        <w:rPr/>
      </w:pPr>
      <w:r/>
    </w:p>
    <w:p>
      <w:pPr>
        <w:ind w:left="117"/>
        <w:spacing w:before="78" w:line="499" w:lineRule="exact"/>
        <w:rPr>
          <w:rFonts w:ascii="SimSun" w:hAnsi="SimSun" w:eastAsia="SimSun" w:cs="SimSun"/>
          <w:sz w:val="24"/>
          <w:szCs w:val="24"/>
        </w:rPr>
      </w:pPr>
      <w:r>
        <w:rPr>
          <w:rFonts w:ascii="SimSun" w:hAnsi="SimSun" w:eastAsia="SimSun" w:cs="SimSun"/>
          <w:sz w:val="24"/>
          <w:szCs w:val="24"/>
          <w:spacing w:val="-2"/>
          <w:position w:val="19"/>
        </w:rPr>
        <w:t>术指南 橡胶和塑料制品》（</w:t>
      </w:r>
      <w:r>
        <w:rPr>
          <w:rFonts w:ascii="Times New Roman" w:hAnsi="Times New Roman" w:eastAsia="Times New Roman" w:cs="Times New Roman"/>
          <w:sz w:val="24"/>
          <w:szCs w:val="24"/>
          <w:spacing w:val="-2"/>
          <w:position w:val="19"/>
        </w:rPr>
        <w:t>HJ1207-2021</w:t>
      </w:r>
      <w:r>
        <w:rPr>
          <w:rFonts w:ascii="SimSun" w:hAnsi="SimSun" w:eastAsia="SimSun" w:cs="SimSun"/>
          <w:sz w:val="24"/>
          <w:szCs w:val="24"/>
          <w:spacing w:val="-2"/>
          <w:position w:val="19"/>
        </w:rPr>
        <w:t>）、《排污许</w:t>
      </w:r>
      <w:r>
        <w:rPr>
          <w:rFonts w:ascii="SimSun" w:hAnsi="SimSun" w:eastAsia="SimSun" w:cs="SimSun"/>
          <w:sz w:val="24"/>
          <w:szCs w:val="24"/>
          <w:spacing w:val="-3"/>
          <w:position w:val="19"/>
        </w:rPr>
        <w:t>可证申领与核发技术规范</w:t>
      </w:r>
    </w:p>
    <w:p>
      <w:pPr>
        <w:ind w:left="114"/>
        <w:spacing w:line="218" w:lineRule="auto"/>
        <w:rPr>
          <w:rFonts w:ascii="SimSun" w:hAnsi="SimSun" w:eastAsia="SimSun" w:cs="SimSun"/>
          <w:sz w:val="24"/>
          <w:szCs w:val="24"/>
        </w:rPr>
      </w:pPr>
      <w:r>
        <w:rPr>
          <w:rFonts w:ascii="SimSun" w:hAnsi="SimSun" w:eastAsia="SimSun" w:cs="SimSun"/>
          <w:sz w:val="24"/>
          <w:szCs w:val="24"/>
          <w:spacing w:val="-1"/>
        </w:rPr>
        <w:t>橡胶和塑料制品》（</w:t>
      </w:r>
      <w:r>
        <w:rPr>
          <w:rFonts w:ascii="Times New Roman" w:hAnsi="Times New Roman" w:eastAsia="Times New Roman" w:cs="Times New Roman"/>
          <w:sz w:val="24"/>
          <w:szCs w:val="24"/>
          <w:spacing w:val="-1"/>
        </w:rPr>
        <w:t>HJ1122-2020</w:t>
      </w:r>
      <w:r>
        <w:rPr>
          <w:rFonts w:ascii="SimSun" w:hAnsi="SimSun" w:eastAsia="SimSun" w:cs="SimSun"/>
          <w:sz w:val="24"/>
          <w:szCs w:val="24"/>
          <w:spacing w:val="-1"/>
        </w:rPr>
        <w:t>）和《挥发性有机物无组织排放控制标准》</w:t>
      </w:r>
    </w:p>
    <w:p>
      <w:pPr>
        <w:ind w:left="126"/>
        <w:spacing w:before="214" w:line="232"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GB37822-2019</w:t>
      </w:r>
      <w:r>
        <w:rPr>
          <w:rFonts w:ascii="SimSun" w:hAnsi="SimSun" w:eastAsia="SimSun" w:cs="SimSun"/>
          <w:sz w:val="24"/>
          <w:szCs w:val="24"/>
          <w:spacing w:val="-2"/>
        </w:rPr>
        <w:t>）。</w:t>
      </w:r>
    </w:p>
    <w:p>
      <w:pPr>
        <w:ind w:left="2816"/>
        <w:spacing w:before="119" w:line="219" w:lineRule="auto"/>
        <w:rPr>
          <w:rFonts w:ascii="SimSun" w:hAnsi="SimSun" w:eastAsia="SimSun" w:cs="SimSun"/>
          <w:sz w:val="24"/>
          <w:szCs w:val="24"/>
        </w:rPr>
      </w:pPr>
      <w:r>
        <w:rPr>
          <w:rFonts w:ascii="SimSun" w:hAnsi="SimSun" w:eastAsia="SimSun" w:cs="SimSun"/>
          <w:sz w:val="24"/>
          <w:szCs w:val="24"/>
          <w:spacing w:val="-1"/>
        </w:rPr>
        <w:t>表</w:t>
      </w:r>
      <w:r>
        <w:rPr>
          <w:rFonts w:ascii="Times New Roman" w:hAnsi="Times New Roman" w:eastAsia="Times New Roman" w:cs="Times New Roman"/>
          <w:sz w:val="24"/>
          <w:szCs w:val="24"/>
          <w:spacing w:val="-1"/>
        </w:rPr>
        <w:t>4.2-9    </w:t>
      </w:r>
      <w:r>
        <w:rPr>
          <w:rFonts w:ascii="SimSun" w:hAnsi="SimSun" w:eastAsia="SimSun" w:cs="SimSun"/>
          <w:sz w:val="24"/>
          <w:szCs w:val="24"/>
          <w:spacing w:val="-1"/>
        </w:rPr>
        <w:t>环境监测计划内容</w:t>
      </w:r>
    </w:p>
    <w:tbl>
      <w:tblPr>
        <w:tblStyle w:val="TableNormal"/>
        <w:tblW w:w="8516"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14"/>
        <w:gridCol w:w="1816"/>
        <w:gridCol w:w="1138"/>
        <w:gridCol w:w="1438"/>
        <w:gridCol w:w="3310"/>
      </w:tblGrid>
      <w:tr>
        <w:trPr>
          <w:trHeight w:val="725" w:hRule="atLeast"/>
        </w:trPr>
        <w:tc>
          <w:tcPr>
            <w:tcW w:w="814" w:type="dxa"/>
            <w:vAlign w:val="top"/>
            <w:tcBorders>
              <w:top w:val="single" w:color="000000" w:sz="10" w:space="0"/>
              <w:left w:val="nil"/>
            </w:tcBorders>
          </w:tcPr>
          <w:p>
            <w:pPr>
              <w:pStyle w:val="TableText"/>
              <w:ind w:left="205"/>
              <w:spacing w:before="114" w:line="360" w:lineRule="exact"/>
              <w:rPr>
                <w:sz w:val="20"/>
                <w:szCs w:val="20"/>
              </w:rPr>
            </w:pPr>
            <w:r>
              <w:rPr>
                <w:sz w:val="20"/>
                <w:szCs w:val="20"/>
                <w:spacing w:val="4"/>
                <w:position w:val="11"/>
              </w:rPr>
              <w:t>环境</w:t>
            </w:r>
          </w:p>
          <w:p>
            <w:pPr>
              <w:pStyle w:val="TableText"/>
              <w:ind w:left="206"/>
              <w:spacing w:line="222" w:lineRule="auto"/>
              <w:rPr>
                <w:sz w:val="20"/>
                <w:szCs w:val="20"/>
              </w:rPr>
            </w:pPr>
            <w:r>
              <w:rPr>
                <w:sz w:val="20"/>
                <w:szCs w:val="20"/>
                <w:spacing w:val="4"/>
              </w:rPr>
              <w:t>要素</w:t>
            </w:r>
          </w:p>
        </w:tc>
        <w:tc>
          <w:tcPr>
            <w:tcW w:w="1816" w:type="dxa"/>
            <w:vAlign w:val="top"/>
            <w:tcBorders>
              <w:top w:val="single" w:color="000000" w:sz="10" w:space="0"/>
            </w:tcBorders>
          </w:tcPr>
          <w:p>
            <w:pPr>
              <w:pStyle w:val="TableText"/>
              <w:ind w:left="599"/>
              <w:spacing w:before="294" w:line="229" w:lineRule="auto"/>
              <w:rPr>
                <w:sz w:val="20"/>
                <w:szCs w:val="20"/>
              </w:rPr>
            </w:pPr>
            <w:r>
              <w:rPr>
                <w:sz w:val="20"/>
                <w:szCs w:val="20"/>
                <w:spacing w:val="6"/>
              </w:rPr>
              <w:t>监测点</w:t>
            </w:r>
          </w:p>
        </w:tc>
        <w:tc>
          <w:tcPr>
            <w:tcW w:w="1138" w:type="dxa"/>
            <w:vAlign w:val="top"/>
            <w:tcBorders>
              <w:top w:val="single" w:color="000000" w:sz="10" w:space="0"/>
            </w:tcBorders>
          </w:tcPr>
          <w:p>
            <w:pPr>
              <w:pStyle w:val="TableText"/>
              <w:ind w:left="156"/>
              <w:spacing w:before="294" w:line="228" w:lineRule="auto"/>
              <w:rPr>
                <w:sz w:val="20"/>
                <w:szCs w:val="20"/>
              </w:rPr>
            </w:pPr>
            <w:r>
              <w:rPr>
                <w:sz w:val="20"/>
                <w:szCs w:val="20"/>
                <w:spacing w:val="7"/>
              </w:rPr>
              <w:t>监测因子</w:t>
            </w:r>
          </w:p>
        </w:tc>
        <w:tc>
          <w:tcPr>
            <w:tcW w:w="1438" w:type="dxa"/>
            <w:vAlign w:val="top"/>
            <w:tcBorders>
              <w:top w:val="single" w:color="000000" w:sz="10" w:space="0"/>
            </w:tcBorders>
          </w:tcPr>
          <w:p>
            <w:pPr>
              <w:pStyle w:val="TableText"/>
              <w:ind w:left="304"/>
              <w:spacing w:before="293" w:line="228" w:lineRule="auto"/>
              <w:rPr>
                <w:sz w:val="20"/>
                <w:szCs w:val="20"/>
              </w:rPr>
            </w:pPr>
            <w:r>
              <w:rPr>
                <w:sz w:val="20"/>
                <w:szCs w:val="20"/>
                <w:spacing w:val="7"/>
              </w:rPr>
              <w:t>监测频次</w:t>
            </w:r>
          </w:p>
        </w:tc>
        <w:tc>
          <w:tcPr>
            <w:tcW w:w="3310" w:type="dxa"/>
            <w:vAlign w:val="top"/>
            <w:tcBorders>
              <w:top w:val="single" w:color="000000" w:sz="10" w:space="0"/>
              <w:right w:val="nil"/>
            </w:tcBorders>
          </w:tcPr>
          <w:p>
            <w:pPr>
              <w:pStyle w:val="TableText"/>
              <w:ind w:left="1241"/>
              <w:spacing w:before="293" w:line="228" w:lineRule="auto"/>
              <w:rPr>
                <w:sz w:val="20"/>
                <w:szCs w:val="20"/>
              </w:rPr>
            </w:pPr>
            <w:r>
              <w:rPr>
                <w:sz w:val="20"/>
                <w:szCs w:val="20"/>
                <w:spacing w:val="7"/>
              </w:rPr>
              <w:t>执行标准</w:t>
            </w:r>
          </w:p>
        </w:tc>
      </w:tr>
      <w:tr>
        <w:trPr>
          <w:trHeight w:val="1077" w:hRule="atLeast"/>
        </w:trPr>
        <w:tc>
          <w:tcPr>
            <w:tcW w:w="814" w:type="dxa"/>
            <w:vAlign w:val="top"/>
            <w:tcBorders>
              <w:left w:val="nil"/>
            </w:tcBorders>
          </w:tcPr>
          <w:p>
            <w:pPr>
              <w:pStyle w:val="TableText"/>
              <w:ind w:left="206"/>
              <w:spacing w:before="294" w:line="228" w:lineRule="auto"/>
              <w:rPr>
                <w:sz w:val="20"/>
                <w:szCs w:val="20"/>
              </w:rPr>
            </w:pPr>
            <w:r>
              <w:rPr>
                <w:sz w:val="20"/>
                <w:szCs w:val="20"/>
                <w:spacing w:val="4"/>
              </w:rPr>
              <w:t>有组</w:t>
            </w:r>
          </w:p>
          <w:p>
            <w:pPr>
              <w:pStyle w:val="TableText"/>
              <w:ind w:left="314"/>
              <w:spacing w:before="112" w:line="232" w:lineRule="auto"/>
              <w:rPr>
                <w:sz w:val="20"/>
                <w:szCs w:val="20"/>
              </w:rPr>
            </w:pPr>
            <w:r>
              <w:rPr>
                <w:sz w:val="20"/>
                <w:szCs w:val="20"/>
              </w:rPr>
              <w:t>织</w:t>
            </w:r>
          </w:p>
        </w:tc>
        <w:tc>
          <w:tcPr>
            <w:tcW w:w="1816" w:type="dxa"/>
            <w:vAlign w:val="top"/>
          </w:tcPr>
          <w:p>
            <w:pPr>
              <w:spacing w:line="406" w:lineRule="auto"/>
              <w:rPr>
                <w:rFonts w:ascii="Arial"/>
                <w:sz w:val="21"/>
              </w:rPr>
            </w:pPr>
            <w:r/>
          </w:p>
          <w:p>
            <w:pPr>
              <w:pStyle w:val="TableText"/>
              <w:ind w:left="598"/>
              <w:spacing w:before="65" w:line="229" w:lineRule="auto"/>
              <w:rPr>
                <w:sz w:val="20"/>
                <w:szCs w:val="20"/>
              </w:rPr>
            </w:pPr>
            <w:r>
              <w:rPr>
                <w:sz w:val="20"/>
                <w:szCs w:val="20"/>
                <w:spacing w:val="6"/>
              </w:rPr>
              <w:t>排放口</w:t>
            </w:r>
          </w:p>
        </w:tc>
        <w:tc>
          <w:tcPr>
            <w:tcW w:w="1138" w:type="dxa"/>
            <w:vAlign w:val="top"/>
          </w:tcPr>
          <w:p>
            <w:pPr>
              <w:pStyle w:val="TableText"/>
              <w:ind w:left="469" w:right="148" w:hanging="311"/>
              <w:spacing w:before="294" w:line="280" w:lineRule="auto"/>
              <w:rPr>
                <w:sz w:val="20"/>
                <w:szCs w:val="20"/>
              </w:rPr>
            </w:pPr>
            <w:r>
              <w:rPr>
                <w:sz w:val="20"/>
                <w:szCs w:val="20"/>
                <w:spacing w:val="6"/>
              </w:rPr>
              <w:t>非甲烷总</w:t>
            </w:r>
            <w:r>
              <w:rPr>
                <w:sz w:val="20"/>
                <w:szCs w:val="20"/>
                <w:spacing w:val="1"/>
              </w:rPr>
              <w:t xml:space="preserve"> </w:t>
            </w:r>
            <w:r>
              <w:rPr>
                <w:sz w:val="20"/>
                <w:szCs w:val="20"/>
              </w:rPr>
              <w:t>烃</w:t>
            </w:r>
          </w:p>
        </w:tc>
        <w:tc>
          <w:tcPr>
            <w:tcW w:w="1438" w:type="dxa"/>
            <w:vAlign w:val="top"/>
          </w:tcPr>
          <w:p>
            <w:pPr>
              <w:pStyle w:val="TableText"/>
              <w:ind w:left="466" w:right="112" w:hanging="334"/>
              <w:spacing w:before="293" w:line="280" w:lineRule="auto"/>
              <w:rPr>
                <w:sz w:val="20"/>
                <w:szCs w:val="20"/>
              </w:rPr>
            </w:pPr>
            <w:r>
              <w:rPr>
                <w:rFonts w:ascii="Times New Roman" w:hAnsi="Times New Roman" w:eastAsia="Times New Roman" w:cs="Times New Roman"/>
                <w:sz w:val="20"/>
                <w:szCs w:val="20"/>
                <w:spacing w:val="4"/>
              </w:rPr>
              <w:t>1</w:t>
            </w:r>
            <w:r>
              <w:rPr>
                <w:sz w:val="20"/>
                <w:szCs w:val="20"/>
                <w:spacing w:val="4"/>
              </w:rPr>
              <w:t>次</w:t>
            </w:r>
            <w:r>
              <w:rPr>
                <w:rFonts w:ascii="Times New Roman" w:hAnsi="Times New Roman" w:eastAsia="Times New Roman" w:cs="Times New Roman"/>
                <w:sz w:val="20"/>
                <w:szCs w:val="20"/>
                <w:spacing w:val="4"/>
              </w:rPr>
              <w:t>/</w:t>
            </w:r>
            <w:r>
              <w:rPr>
                <w:sz w:val="20"/>
                <w:szCs w:val="20"/>
                <w:spacing w:val="4"/>
              </w:rPr>
              <w:t>半年，每</w:t>
            </w:r>
            <w:r>
              <w:rPr>
                <w:sz w:val="20"/>
                <w:szCs w:val="20"/>
                <w:spacing w:val="3"/>
              </w:rPr>
              <w:t xml:space="preserve"> </w:t>
            </w:r>
            <w:r>
              <w:rPr>
                <w:sz w:val="20"/>
                <w:szCs w:val="20"/>
                <w:spacing w:val="3"/>
              </w:rPr>
              <w:t>次</w:t>
            </w:r>
            <w:r>
              <w:rPr>
                <w:rFonts w:ascii="Times New Roman" w:hAnsi="Times New Roman" w:eastAsia="Times New Roman" w:cs="Times New Roman"/>
                <w:sz w:val="20"/>
                <w:szCs w:val="20"/>
                <w:spacing w:val="3"/>
              </w:rPr>
              <w:t>1</w:t>
            </w:r>
            <w:r>
              <w:rPr>
                <w:sz w:val="20"/>
                <w:szCs w:val="20"/>
                <w:spacing w:val="3"/>
              </w:rPr>
              <w:t>天</w:t>
            </w:r>
          </w:p>
        </w:tc>
        <w:tc>
          <w:tcPr>
            <w:tcW w:w="3310" w:type="dxa"/>
            <w:vAlign w:val="top"/>
            <w:tcBorders>
              <w:right w:val="nil"/>
            </w:tcBorders>
          </w:tcPr>
          <w:p>
            <w:pPr>
              <w:pStyle w:val="TableText"/>
              <w:ind w:left="118"/>
              <w:spacing w:before="113" w:line="228" w:lineRule="auto"/>
              <w:rPr>
                <w:sz w:val="20"/>
                <w:szCs w:val="20"/>
              </w:rPr>
            </w:pPr>
            <w:r>
              <w:rPr>
                <w:sz w:val="20"/>
                <w:szCs w:val="20"/>
                <w:spacing w:val="8"/>
              </w:rPr>
              <w:t>《合成树脂工业污染物排放标准》</w:t>
            </w:r>
          </w:p>
          <w:p>
            <w:pPr>
              <w:pStyle w:val="TableText"/>
              <w:ind w:left="123"/>
              <w:spacing w:before="113" w:line="228" w:lineRule="auto"/>
              <w:rPr>
                <w:sz w:val="20"/>
                <w:szCs w:val="20"/>
              </w:rPr>
            </w:pPr>
            <w:r>
              <w:rPr>
                <w:sz w:val="20"/>
                <w:szCs w:val="20"/>
                <w:spacing w:val="1"/>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1"/>
              </w:rPr>
              <w:t>31572-2015</w:t>
            </w:r>
            <w:r>
              <w:rPr>
                <w:sz w:val="20"/>
                <w:szCs w:val="20"/>
                <w:spacing w:val="1"/>
              </w:rPr>
              <w:t>）中大气污染物特</w:t>
            </w:r>
          </w:p>
          <w:p>
            <w:pPr>
              <w:pStyle w:val="TableText"/>
              <w:ind w:left="1138"/>
              <w:spacing w:before="113" w:line="215" w:lineRule="auto"/>
              <w:rPr>
                <w:sz w:val="20"/>
                <w:szCs w:val="20"/>
              </w:rPr>
            </w:pPr>
            <w:r>
              <w:rPr>
                <w:sz w:val="20"/>
                <w:szCs w:val="20"/>
                <w:spacing w:val="7"/>
              </w:rPr>
              <w:t>别排放限值</w:t>
            </w:r>
          </w:p>
        </w:tc>
      </w:tr>
      <w:tr>
        <w:trPr>
          <w:trHeight w:val="1078" w:hRule="atLeast"/>
        </w:trPr>
        <w:tc>
          <w:tcPr>
            <w:tcW w:w="814" w:type="dxa"/>
            <w:vAlign w:val="top"/>
            <w:vMerge w:val="restart"/>
            <w:tcBorders>
              <w:bottom w:val="nil"/>
              <w:left w:val="nil"/>
            </w:tcBorders>
          </w:tcPr>
          <w:p>
            <w:pPr>
              <w:spacing w:line="316" w:lineRule="auto"/>
              <w:rPr>
                <w:rFonts w:ascii="Arial"/>
                <w:sz w:val="21"/>
              </w:rPr>
            </w:pPr>
            <w:r/>
          </w:p>
          <w:p>
            <w:pPr>
              <w:spacing w:line="317" w:lineRule="auto"/>
              <w:rPr>
                <w:rFonts w:ascii="Arial"/>
                <w:sz w:val="21"/>
              </w:rPr>
            </w:pPr>
            <w:r/>
          </w:p>
          <w:p>
            <w:pPr>
              <w:pStyle w:val="TableText"/>
              <w:ind w:left="207"/>
              <w:spacing w:before="65" w:line="228" w:lineRule="auto"/>
              <w:rPr>
                <w:sz w:val="20"/>
                <w:szCs w:val="20"/>
              </w:rPr>
            </w:pPr>
            <w:r>
              <w:rPr>
                <w:sz w:val="20"/>
                <w:szCs w:val="20"/>
                <w:spacing w:val="3"/>
              </w:rPr>
              <w:t>无组</w:t>
            </w:r>
          </w:p>
          <w:p>
            <w:pPr>
              <w:pStyle w:val="TableText"/>
              <w:ind w:left="314"/>
              <w:spacing w:before="112" w:line="232" w:lineRule="auto"/>
              <w:rPr>
                <w:sz w:val="20"/>
                <w:szCs w:val="20"/>
              </w:rPr>
            </w:pPr>
            <w:r>
              <w:rPr>
                <w:sz w:val="20"/>
                <w:szCs w:val="20"/>
              </w:rPr>
              <w:t>织</w:t>
            </w:r>
          </w:p>
        </w:tc>
        <w:tc>
          <w:tcPr>
            <w:tcW w:w="1816" w:type="dxa"/>
            <w:vAlign w:val="top"/>
          </w:tcPr>
          <w:p>
            <w:pPr>
              <w:pStyle w:val="TableText"/>
              <w:ind w:left="116"/>
              <w:spacing w:before="121" w:line="228" w:lineRule="auto"/>
              <w:rPr>
                <w:sz w:val="20"/>
                <w:szCs w:val="20"/>
              </w:rPr>
            </w:pPr>
            <w:r>
              <w:rPr>
                <w:sz w:val="20"/>
                <w:szCs w:val="20"/>
                <w:spacing w:val="-2"/>
              </w:rPr>
              <w:t>厂区边界（上风向</w:t>
            </w:r>
          </w:p>
          <w:p>
            <w:pPr>
              <w:pStyle w:val="TableText"/>
              <w:ind w:left="597" w:right="170" w:hanging="403"/>
              <w:spacing w:before="112" w:line="271" w:lineRule="auto"/>
              <w:rPr>
                <w:sz w:val="20"/>
                <w:szCs w:val="20"/>
              </w:rPr>
            </w:pPr>
            <w:r>
              <w:rPr>
                <w:rFonts w:ascii="Times New Roman" w:hAnsi="Times New Roman" w:eastAsia="Times New Roman" w:cs="Times New Roman"/>
                <w:sz w:val="20"/>
                <w:szCs w:val="20"/>
                <w:spacing w:val="5"/>
              </w:rPr>
              <w:t>1</w:t>
            </w:r>
            <w:r>
              <w:rPr>
                <w:sz w:val="20"/>
                <w:szCs w:val="20"/>
                <w:spacing w:val="5"/>
              </w:rPr>
              <w:t>个点，下风向</w:t>
            </w:r>
            <w:r>
              <w:rPr>
                <w:rFonts w:ascii="Times New Roman" w:hAnsi="Times New Roman" w:eastAsia="Times New Roman" w:cs="Times New Roman"/>
                <w:sz w:val="20"/>
                <w:szCs w:val="20"/>
                <w:spacing w:val="5"/>
              </w:rPr>
              <w:t>3</w:t>
            </w:r>
            <w:r>
              <w:rPr>
                <w:rFonts w:ascii="Times New Roman" w:hAnsi="Times New Roman" w:eastAsia="Times New Roman" w:cs="Times New Roman"/>
                <w:sz w:val="20"/>
                <w:szCs w:val="20"/>
                <w:spacing w:val="4"/>
              </w:rPr>
              <w:t xml:space="preserve"> </w:t>
            </w:r>
            <w:r>
              <w:rPr>
                <w:sz w:val="20"/>
                <w:szCs w:val="20"/>
                <w:spacing w:val="3"/>
              </w:rPr>
              <w:t>个点）</w:t>
            </w:r>
          </w:p>
        </w:tc>
        <w:tc>
          <w:tcPr>
            <w:tcW w:w="1138" w:type="dxa"/>
            <w:vAlign w:val="top"/>
            <w:vMerge w:val="restart"/>
            <w:tcBorders>
              <w:bottom w:val="nil"/>
            </w:tcBorders>
          </w:tcPr>
          <w:p>
            <w:pPr>
              <w:spacing w:line="316" w:lineRule="auto"/>
              <w:rPr>
                <w:rFonts w:ascii="Arial"/>
                <w:sz w:val="21"/>
              </w:rPr>
            </w:pPr>
            <w:r/>
          </w:p>
          <w:p>
            <w:pPr>
              <w:spacing w:line="317" w:lineRule="auto"/>
              <w:rPr>
                <w:rFonts w:ascii="Arial"/>
                <w:sz w:val="21"/>
              </w:rPr>
            </w:pPr>
            <w:r/>
          </w:p>
          <w:p>
            <w:pPr>
              <w:pStyle w:val="TableText"/>
              <w:ind w:left="469" w:right="148" w:hanging="311"/>
              <w:spacing w:before="65" w:line="280" w:lineRule="auto"/>
              <w:rPr>
                <w:sz w:val="20"/>
                <w:szCs w:val="20"/>
              </w:rPr>
            </w:pPr>
            <w:r>
              <w:rPr>
                <w:sz w:val="20"/>
                <w:szCs w:val="20"/>
                <w:spacing w:val="6"/>
              </w:rPr>
              <w:t>非甲烷总</w:t>
            </w:r>
            <w:r>
              <w:rPr>
                <w:sz w:val="20"/>
                <w:szCs w:val="20"/>
                <w:spacing w:val="1"/>
              </w:rPr>
              <w:t xml:space="preserve"> </w:t>
            </w:r>
            <w:r>
              <w:rPr>
                <w:sz w:val="20"/>
                <w:szCs w:val="20"/>
              </w:rPr>
              <w:t>烃</w:t>
            </w:r>
          </w:p>
        </w:tc>
        <w:tc>
          <w:tcPr>
            <w:tcW w:w="1438" w:type="dxa"/>
            <w:vAlign w:val="top"/>
            <w:vMerge w:val="restart"/>
            <w:tcBorders>
              <w:bottom w:val="nil"/>
            </w:tcBorders>
          </w:tcPr>
          <w:p>
            <w:pPr>
              <w:spacing w:line="316" w:lineRule="auto"/>
              <w:rPr>
                <w:rFonts w:ascii="Arial"/>
                <w:sz w:val="21"/>
              </w:rPr>
            </w:pPr>
            <w:r/>
          </w:p>
          <w:p>
            <w:pPr>
              <w:spacing w:line="317" w:lineRule="auto"/>
              <w:rPr>
                <w:rFonts w:ascii="Arial"/>
                <w:sz w:val="21"/>
              </w:rPr>
            </w:pPr>
            <w:r/>
          </w:p>
          <w:p>
            <w:pPr>
              <w:pStyle w:val="TableText"/>
              <w:ind w:left="624" w:right="106" w:hanging="494"/>
              <w:spacing w:before="65" w:line="280" w:lineRule="auto"/>
              <w:rPr>
                <w:sz w:val="20"/>
                <w:szCs w:val="20"/>
              </w:rPr>
            </w:pPr>
            <w:r>
              <w:rPr>
                <w:rFonts w:ascii="Times New Roman" w:hAnsi="Times New Roman" w:eastAsia="Times New Roman" w:cs="Times New Roman"/>
                <w:sz w:val="20"/>
                <w:szCs w:val="20"/>
                <w:spacing w:val="-8"/>
              </w:rPr>
              <w:t>1</w:t>
            </w:r>
            <w:r>
              <w:rPr>
                <w:sz w:val="20"/>
                <w:szCs w:val="20"/>
                <w:spacing w:val="-8"/>
              </w:rPr>
              <w:t>次</w:t>
            </w:r>
            <w:r>
              <w:rPr>
                <w:rFonts w:ascii="Times New Roman" w:hAnsi="Times New Roman" w:eastAsia="Times New Roman" w:cs="Times New Roman"/>
                <w:sz w:val="20"/>
                <w:szCs w:val="20"/>
                <w:spacing w:val="-8"/>
              </w:rPr>
              <w:t>/</w:t>
            </w:r>
            <w:r>
              <w:rPr>
                <w:sz w:val="20"/>
                <w:szCs w:val="20"/>
                <w:spacing w:val="-8"/>
              </w:rPr>
              <w:t>年，每次</w:t>
            </w: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3"/>
              </w:rPr>
              <w:t xml:space="preserve"> </w:t>
            </w:r>
            <w:r>
              <w:rPr>
                <w:sz w:val="20"/>
                <w:szCs w:val="20"/>
              </w:rPr>
              <w:t>天</w:t>
            </w:r>
          </w:p>
        </w:tc>
        <w:tc>
          <w:tcPr>
            <w:tcW w:w="3310" w:type="dxa"/>
            <w:vAlign w:val="top"/>
            <w:tcBorders>
              <w:right w:val="nil"/>
            </w:tcBorders>
          </w:tcPr>
          <w:p>
            <w:pPr>
              <w:pStyle w:val="TableText"/>
              <w:ind w:left="175" w:right="65" w:hanging="57"/>
              <w:spacing w:before="301" w:line="280" w:lineRule="auto"/>
              <w:rPr>
                <w:sz w:val="20"/>
                <w:szCs w:val="20"/>
              </w:rPr>
            </w:pPr>
            <w:r>
              <w:rPr>
                <w:sz w:val="20"/>
                <w:szCs w:val="20"/>
                <w:spacing w:val="8"/>
              </w:rPr>
              <w:t>《合成树脂工业污染物排放标准》</w:t>
            </w:r>
            <w:r>
              <w:rPr>
                <w:sz w:val="20"/>
                <w:szCs w:val="20"/>
                <w:spacing w:val="1"/>
              </w:rPr>
              <w:t xml:space="preserve"> </w:t>
            </w:r>
            <w:r>
              <w:rPr>
                <w:sz w:val="20"/>
                <w:szCs w:val="20"/>
                <w:spacing w:val="6"/>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31572-2015</w:t>
            </w:r>
            <w:r>
              <w:rPr>
                <w:sz w:val="20"/>
                <w:szCs w:val="20"/>
                <w:spacing w:val="6"/>
              </w:rPr>
              <w:t>）排放限值要求</w:t>
            </w:r>
          </w:p>
        </w:tc>
      </w:tr>
      <w:tr>
        <w:trPr>
          <w:trHeight w:val="813" w:hRule="atLeast"/>
        </w:trPr>
        <w:tc>
          <w:tcPr>
            <w:tcW w:w="814" w:type="dxa"/>
            <w:vAlign w:val="top"/>
            <w:vMerge w:val="continue"/>
            <w:tcBorders>
              <w:bottom w:val="single" w:color="000000" w:sz="10" w:space="0"/>
              <w:left w:val="nil"/>
              <w:top w:val="nil"/>
            </w:tcBorders>
          </w:tcPr>
          <w:p>
            <w:pPr>
              <w:rPr>
                <w:rFonts w:ascii="Arial"/>
                <w:sz w:val="21"/>
              </w:rPr>
            </w:pPr>
            <w:r/>
          </w:p>
        </w:tc>
        <w:tc>
          <w:tcPr>
            <w:tcW w:w="1816" w:type="dxa"/>
            <w:vAlign w:val="top"/>
            <w:tcBorders>
              <w:bottom w:val="single" w:color="000000" w:sz="10" w:space="0"/>
            </w:tcBorders>
          </w:tcPr>
          <w:p>
            <w:pPr>
              <w:pStyle w:val="TableText"/>
              <w:ind w:left="474" w:right="142" w:hanging="318"/>
              <w:spacing w:before="164" w:line="280" w:lineRule="auto"/>
              <w:rPr>
                <w:rFonts w:ascii="Times New Roman" w:hAnsi="Times New Roman" w:eastAsia="Times New Roman" w:cs="Times New Roman"/>
                <w:sz w:val="20"/>
                <w:szCs w:val="20"/>
              </w:rPr>
            </w:pPr>
            <w:r>
              <w:rPr>
                <w:sz w:val="20"/>
                <w:szCs w:val="20"/>
                <w:spacing w:val="7"/>
              </w:rPr>
              <w:t>下风向、厂房门</w:t>
            </w: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rPr>
              <w:t xml:space="preserve"> </w:t>
            </w:r>
            <w:r>
              <w:rPr>
                <w:sz w:val="20"/>
                <w:szCs w:val="20"/>
                <w:spacing w:val="4"/>
              </w:rPr>
              <w:t>窗口外</w:t>
            </w:r>
            <w:r>
              <w:rPr>
                <w:rFonts w:ascii="Times New Roman" w:hAnsi="Times New Roman" w:eastAsia="Times New Roman" w:cs="Times New Roman"/>
                <w:sz w:val="20"/>
                <w:szCs w:val="20"/>
                <w:spacing w:val="4"/>
              </w:rPr>
              <w:t>1m</w:t>
            </w:r>
          </w:p>
        </w:tc>
        <w:tc>
          <w:tcPr>
            <w:tcW w:w="1138" w:type="dxa"/>
            <w:vAlign w:val="top"/>
            <w:vMerge w:val="continue"/>
            <w:tcBorders>
              <w:bottom w:val="single" w:color="000000" w:sz="10" w:space="0"/>
              <w:top w:val="nil"/>
            </w:tcBorders>
          </w:tcPr>
          <w:p>
            <w:pPr>
              <w:rPr>
                <w:rFonts w:ascii="Arial"/>
                <w:sz w:val="21"/>
              </w:rPr>
            </w:pPr>
            <w:r/>
          </w:p>
        </w:tc>
        <w:tc>
          <w:tcPr>
            <w:tcW w:w="1438" w:type="dxa"/>
            <w:vAlign w:val="top"/>
            <w:vMerge w:val="continue"/>
            <w:tcBorders>
              <w:bottom w:val="single" w:color="000000" w:sz="10" w:space="0"/>
              <w:top w:val="nil"/>
            </w:tcBorders>
          </w:tcPr>
          <w:p>
            <w:pPr>
              <w:rPr>
                <w:rFonts w:ascii="Arial"/>
                <w:sz w:val="21"/>
              </w:rPr>
            </w:pPr>
            <w:r/>
          </w:p>
        </w:tc>
        <w:tc>
          <w:tcPr>
            <w:tcW w:w="3310" w:type="dxa"/>
            <w:vAlign w:val="top"/>
            <w:tcBorders>
              <w:bottom w:val="single" w:color="000000" w:sz="10" w:space="0"/>
              <w:right w:val="nil"/>
            </w:tcBorders>
          </w:tcPr>
          <w:p>
            <w:pPr>
              <w:pStyle w:val="TableText"/>
              <w:ind w:left="483" w:right="187" w:hanging="288"/>
              <w:spacing w:before="164" w:line="280" w:lineRule="auto"/>
              <w:rPr>
                <w:sz w:val="20"/>
                <w:szCs w:val="20"/>
              </w:rPr>
            </w:pPr>
            <w:r>
              <w:rPr>
                <w:sz w:val="20"/>
                <w:szCs w:val="20"/>
                <w:spacing w:val="8"/>
              </w:rPr>
              <w:t>《挥发性有机物无组织排放控制</w:t>
            </w:r>
            <w:r>
              <w:rPr>
                <w:sz w:val="20"/>
                <w:szCs w:val="20"/>
                <w:spacing w:val="11"/>
              </w:rPr>
              <w:t xml:space="preserve"> </w:t>
            </w:r>
            <w:r>
              <w:rPr>
                <w:sz w:val="20"/>
                <w:szCs w:val="20"/>
                <w:spacing w:val="6"/>
              </w:rPr>
              <w:t>标准》（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37822-2019</w:t>
            </w:r>
            <w:r>
              <w:rPr>
                <w:sz w:val="20"/>
                <w:szCs w:val="20"/>
                <w:spacing w:val="6"/>
              </w:rPr>
              <w:t>）</w:t>
            </w:r>
          </w:p>
        </w:tc>
      </w:tr>
    </w:tbl>
    <w:p>
      <w:pPr>
        <w:ind w:left="583"/>
        <w:spacing w:before="197" w:line="499" w:lineRule="exact"/>
        <w:rPr>
          <w:rFonts w:ascii="SimSun" w:hAnsi="SimSun" w:eastAsia="SimSun" w:cs="SimSun"/>
          <w:sz w:val="24"/>
          <w:szCs w:val="24"/>
        </w:rPr>
      </w:pPr>
      <w:r>
        <w:rPr>
          <w:rFonts w:ascii="SimSun" w:hAnsi="SimSun" w:eastAsia="SimSun" w:cs="SimSun"/>
          <w:sz w:val="24"/>
          <w:szCs w:val="24"/>
          <w:spacing w:val="1"/>
          <w:position w:val="19"/>
        </w:rPr>
        <w:t>“</w:t>
      </w:r>
      <w:r>
        <w:rPr>
          <w:rFonts w:ascii="SimSun" w:hAnsi="SimSun" w:eastAsia="SimSun" w:cs="SimSun"/>
          <w:sz w:val="24"/>
          <w:szCs w:val="24"/>
          <w14:textOutline w14:w="4358" w14:cap="sq" w14:cmpd="sng">
            <w14:solidFill>
              <w14:srgbClr w14:val="000000"/>
            </w14:solidFill>
            <w14:prstDash w14:val="solid"/>
            <w14:bevel/>
          </w14:textOutline>
          <w:spacing w:val="1"/>
          <w:position w:val="19"/>
        </w:rPr>
        <w:t>核实污染物总量指标表述内容，完善说明新增大气污染物总量指标</w:t>
      </w:r>
      <w:r>
        <w:rPr>
          <w:rFonts w:ascii="SimSun" w:hAnsi="SimSun" w:eastAsia="SimSun" w:cs="SimSun"/>
          <w:sz w:val="24"/>
          <w:szCs w:val="24"/>
          <w14:textOutline w14:w="4358" w14:cap="sq" w14:cmpd="sng">
            <w14:solidFill>
              <w14:srgbClr w14:val="000000"/>
            </w14:solidFill>
            <w14:prstDash w14:val="solid"/>
            <w14:bevel/>
          </w14:textOutline>
          <w:position w:val="19"/>
        </w:rPr>
        <w:t>倍量</w:t>
      </w:r>
    </w:p>
    <w:p>
      <w:pPr>
        <w:ind w:left="125"/>
        <w:spacing w:line="219" w:lineRule="auto"/>
        <w:rPr>
          <w:rFonts w:ascii="Times New Roman" w:hAnsi="Times New Roman" w:eastAsia="Times New Roman" w:cs="Times New Roma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5"/>
        </w:rPr>
        <w:t>替代来源</w:t>
      </w:r>
      <w:r>
        <w:rPr>
          <w:rFonts w:ascii="SimSun" w:hAnsi="SimSun" w:eastAsia="SimSun" w:cs="SimSun"/>
          <w:sz w:val="24"/>
          <w:szCs w:val="24"/>
          <w:spacing w:val="-83"/>
        </w:rPr>
        <w:t xml:space="preserve"> </w:t>
      </w:r>
      <w:r>
        <w:rPr>
          <w:rFonts w:ascii="SimSun" w:hAnsi="SimSun" w:eastAsia="SimSun" w:cs="SimSun"/>
          <w:sz w:val="24"/>
          <w:szCs w:val="24"/>
          <w:spacing w:val="-5"/>
        </w:rPr>
        <w:t>”修改见</w:t>
      </w:r>
      <w:r>
        <w:rPr>
          <w:rFonts w:ascii="Times New Roman" w:hAnsi="Times New Roman" w:eastAsia="Times New Roman" w:cs="Times New Roman"/>
          <w:sz w:val="24"/>
          <w:szCs w:val="24"/>
          <w:spacing w:val="-5"/>
        </w:rPr>
        <w:t>P36</w:t>
      </w:r>
    </w:p>
    <w:p>
      <w:pPr>
        <w:ind w:left="103" w:right="250" w:firstLine="491"/>
        <w:spacing w:before="217" w:line="384" w:lineRule="auto"/>
        <w:rPr>
          <w:rFonts w:ascii="SimSun" w:hAnsi="SimSun" w:eastAsia="SimSun" w:cs="SimSun"/>
          <w:sz w:val="24"/>
          <w:szCs w:val="24"/>
        </w:rPr>
      </w:pPr>
      <w:r>
        <w:rPr>
          <w:rFonts w:ascii="SimSun" w:hAnsi="SimSun" w:eastAsia="SimSun" w:cs="SimSun"/>
          <w:sz w:val="24"/>
          <w:szCs w:val="24"/>
        </w:rPr>
        <w:t>根据自治区党委自治区人民政府印发的《新疆维</w:t>
      </w:r>
      <w:r>
        <w:rPr>
          <w:rFonts w:ascii="SimSun" w:hAnsi="SimSun" w:eastAsia="SimSun" w:cs="SimSun"/>
          <w:sz w:val="24"/>
          <w:szCs w:val="24"/>
          <w:spacing w:val="-1"/>
        </w:rPr>
        <w:t>吾尔自治区生态环境保护</w:t>
      </w:r>
      <w:r>
        <w:rPr>
          <w:rFonts w:ascii="SimSun" w:hAnsi="SimSun" w:eastAsia="SimSun" w:cs="SimSun"/>
          <w:sz w:val="24"/>
          <w:szCs w:val="24"/>
        </w:rPr>
        <w:t xml:space="preserve"> </w:t>
      </w:r>
      <w:r>
        <w:rPr>
          <w:rFonts w:ascii="SimSun" w:hAnsi="SimSun" w:eastAsia="SimSun" w:cs="SimSun"/>
          <w:sz w:val="24"/>
          <w:szCs w:val="24"/>
          <w:spacing w:val="-3"/>
        </w:rPr>
        <w:t>“十四五</w:t>
      </w:r>
      <w:r>
        <w:rPr>
          <w:rFonts w:ascii="SimSun" w:hAnsi="SimSun" w:eastAsia="SimSun" w:cs="SimSun"/>
          <w:sz w:val="24"/>
          <w:szCs w:val="24"/>
          <w:spacing w:val="-81"/>
        </w:rPr>
        <w:t xml:space="preserve"> </w:t>
      </w:r>
      <w:r>
        <w:rPr>
          <w:rFonts w:ascii="SimSun" w:hAnsi="SimSun" w:eastAsia="SimSun" w:cs="SimSun"/>
          <w:sz w:val="24"/>
          <w:szCs w:val="24"/>
          <w:spacing w:val="-3"/>
        </w:rPr>
        <w:t>”规划》，新疆“十四五</w:t>
      </w:r>
      <w:r>
        <w:rPr>
          <w:rFonts w:ascii="SimSun" w:hAnsi="SimSun" w:eastAsia="SimSun" w:cs="SimSun"/>
          <w:sz w:val="24"/>
          <w:szCs w:val="24"/>
          <w:spacing w:val="-88"/>
        </w:rPr>
        <w:t xml:space="preserve"> </w:t>
      </w:r>
      <w:r>
        <w:rPr>
          <w:rFonts w:ascii="SimSun" w:hAnsi="SimSun" w:eastAsia="SimSun" w:cs="SimSun"/>
          <w:sz w:val="24"/>
          <w:szCs w:val="24"/>
          <w:spacing w:val="-3"/>
        </w:rPr>
        <w:t>”生态环境保护规划总量控制指标为</w:t>
      </w:r>
      <w:r>
        <w:rPr>
          <w:rFonts w:ascii="Times New Roman" w:hAnsi="Times New Roman" w:eastAsia="Times New Roman" w:cs="Times New Roman"/>
          <w:sz w:val="24"/>
          <w:szCs w:val="24"/>
          <w:spacing w:val="-3"/>
        </w:rPr>
        <w:t>COD</w:t>
      </w:r>
      <w:r>
        <w:rPr>
          <w:rFonts w:ascii="SimSun" w:hAnsi="SimSun" w:eastAsia="SimSun" w:cs="SimSun"/>
          <w:sz w:val="24"/>
          <w:szCs w:val="24"/>
          <w:spacing w:val="-3"/>
        </w:rPr>
        <w:t>、</w:t>
      </w:r>
    </w:p>
    <w:p>
      <w:pPr>
        <w:ind w:left="115"/>
        <w:spacing w:before="1" w:line="218" w:lineRule="auto"/>
        <w:rPr>
          <w:rFonts w:ascii="SimSun" w:hAnsi="SimSun" w:eastAsia="SimSun" w:cs="SimSun"/>
          <w:sz w:val="24"/>
          <w:szCs w:val="24"/>
        </w:rPr>
      </w:pPr>
      <w:r>
        <w:rPr>
          <w:rFonts w:ascii="SimSun" w:hAnsi="SimSun" w:eastAsia="SimSun" w:cs="SimSun"/>
          <w:sz w:val="24"/>
          <w:szCs w:val="24"/>
          <w:spacing w:val="-1"/>
        </w:rPr>
        <w:t>氨氮、氮氧化物和</w:t>
      </w:r>
      <w:r>
        <w:rPr>
          <w:rFonts w:ascii="Times New Roman" w:hAnsi="Times New Roman" w:eastAsia="Times New Roman" w:cs="Times New Roman"/>
          <w:sz w:val="24"/>
          <w:szCs w:val="24"/>
          <w:spacing w:val="-1"/>
        </w:rPr>
        <w:t>VOCs</w:t>
      </w:r>
      <w:r>
        <w:rPr>
          <w:rFonts w:ascii="SimSun" w:hAnsi="SimSun" w:eastAsia="SimSun" w:cs="SimSun"/>
          <w:sz w:val="24"/>
          <w:szCs w:val="24"/>
          <w:spacing w:val="-1"/>
        </w:rPr>
        <w:t>。</w:t>
      </w:r>
    </w:p>
    <w:p>
      <w:pPr>
        <w:ind w:left="115" w:right="104" w:firstLine="480"/>
        <w:spacing w:before="217" w:line="384" w:lineRule="auto"/>
        <w:rPr>
          <w:rFonts w:ascii="SimSun" w:hAnsi="SimSun" w:eastAsia="SimSun" w:cs="SimSun"/>
          <w:sz w:val="24"/>
          <w:szCs w:val="24"/>
        </w:rPr>
      </w:pPr>
      <w:r>
        <w:rPr>
          <w:rFonts w:ascii="SimSun" w:hAnsi="SimSun" w:eastAsia="SimSun" w:cs="SimSun"/>
          <w:sz w:val="24"/>
          <w:szCs w:val="24"/>
          <w:spacing w:val="-3"/>
        </w:rPr>
        <w:t>根据本项目污染物因子排放特点，本项目不新增二氧化硫、氮氧</w:t>
      </w:r>
      <w:r>
        <w:rPr>
          <w:rFonts w:ascii="SimSun" w:hAnsi="SimSun" w:eastAsia="SimSun" w:cs="SimSun"/>
          <w:sz w:val="24"/>
          <w:szCs w:val="24"/>
          <w:spacing w:val="-4"/>
        </w:rPr>
        <w:t>化物废气排</w:t>
      </w:r>
      <w:r>
        <w:rPr>
          <w:rFonts w:ascii="SimSun" w:hAnsi="SimSun" w:eastAsia="SimSun" w:cs="SimSun"/>
          <w:sz w:val="24"/>
          <w:szCs w:val="24"/>
        </w:rPr>
        <w:t xml:space="preserve"> </w:t>
      </w:r>
      <w:r>
        <w:rPr>
          <w:rFonts w:ascii="SimSun" w:hAnsi="SimSun" w:eastAsia="SimSun" w:cs="SimSun"/>
          <w:sz w:val="24"/>
          <w:szCs w:val="24"/>
          <w:spacing w:val="-1"/>
        </w:rPr>
        <w:t>放量，不新增废水排放量。故不考虑</w:t>
      </w:r>
      <w:r>
        <w:rPr>
          <w:rFonts w:ascii="Times New Roman" w:hAnsi="Times New Roman" w:eastAsia="Times New Roman" w:cs="Times New Roman"/>
          <w:sz w:val="24"/>
          <w:szCs w:val="24"/>
          <w:spacing w:val="-1"/>
        </w:rPr>
        <w:t>COD</w:t>
      </w:r>
      <w:r>
        <w:rPr>
          <w:rFonts w:ascii="Times New Roman" w:hAnsi="Times New Roman" w:eastAsia="Times New Roman" w:cs="Times New Roman"/>
          <w:sz w:val="24"/>
          <w:szCs w:val="24"/>
          <w:spacing w:val="-34"/>
        </w:rPr>
        <w:t xml:space="preserve"> </w:t>
      </w:r>
      <w:r>
        <w:rPr>
          <w:rFonts w:ascii="SimSun" w:hAnsi="SimSun" w:eastAsia="SimSun" w:cs="SimSun"/>
          <w:sz w:val="24"/>
          <w:szCs w:val="24"/>
          <w:spacing w:val="-1"/>
        </w:rPr>
        <w:t>、氨氮总量指标和二氧化硫、氮</w:t>
      </w:r>
      <w:r>
        <w:rPr>
          <w:rFonts w:ascii="SimSun" w:hAnsi="SimSun" w:eastAsia="SimSun" w:cs="SimSun"/>
          <w:sz w:val="24"/>
          <w:szCs w:val="24"/>
          <w:spacing w:val="-2"/>
        </w:rPr>
        <w:t>氧化</w:t>
      </w:r>
    </w:p>
    <w:p>
      <w:pPr>
        <w:ind w:left="115"/>
        <w:spacing w:line="220" w:lineRule="auto"/>
        <w:rPr>
          <w:rFonts w:ascii="SimSun" w:hAnsi="SimSun" w:eastAsia="SimSun" w:cs="SimSun"/>
          <w:sz w:val="24"/>
          <w:szCs w:val="24"/>
        </w:rPr>
      </w:pPr>
      <w:r>
        <w:rPr>
          <w:rFonts w:ascii="SimSun" w:hAnsi="SimSun" w:eastAsia="SimSun" w:cs="SimSun"/>
          <w:sz w:val="24"/>
          <w:szCs w:val="24"/>
          <w:spacing w:val="-2"/>
        </w:rPr>
        <w:t>物总量指标。</w:t>
      </w:r>
    </w:p>
    <w:p>
      <w:pPr>
        <w:ind w:left="125" w:right="191" w:firstLine="470"/>
        <w:spacing w:before="216" w:line="384" w:lineRule="auto"/>
        <w:rPr>
          <w:rFonts w:ascii="SimSun" w:hAnsi="SimSun" w:eastAsia="SimSun" w:cs="SimSun"/>
          <w:sz w:val="24"/>
          <w:szCs w:val="24"/>
        </w:rPr>
      </w:pPr>
      <w:r>
        <w:rPr>
          <w:rFonts w:ascii="SimSun" w:hAnsi="SimSun" w:eastAsia="SimSun" w:cs="SimSun"/>
          <w:sz w:val="24"/>
          <w:szCs w:val="24"/>
          <w:spacing w:val="-2"/>
        </w:rPr>
        <w:t>本项目需要申请总量控制指标的污染物为</w:t>
      </w:r>
      <w:r>
        <w:rPr>
          <w:rFonts w:ascii="Times New Roman" w:hAnsi="Times New Roman" w:eastAsia="Times New Roman" w:cs="Times New Roman"/>
          <w:sz w:val="24"/>
          <w:szCs w:val="24"/>
          <w:spacing w:val="-2"/>
        </w:rPr>
        <w:t>VOCs0.</w:t>
      </w:r>
      <w:r>
        <w:rPr>
          <w:rFonts w:ascii="Times New Roman" w:hAnsi="Times New Roman" w:eastAsia="Times New Roman" w:cs="Times New Roman"/>
          <w:sz w:val="24"/>
          <w:szCs w:val="24"/>
          <w:spacing w:val="-28"/>
        </w:rPr>
        <w:t xml:space="preserve"> </w:t>
      </w:r>
      <w:r>
        <w:rPr>
          <w:rFonts w:ascii="Times New Roman" w:hAnsi="Times New Roman" w:eastAsia="Times New Roman" w:cs="Times New Roman"/>
          <w:sz w:val="24"/>
          <w:szCs w:val="24"/>
          <w:spacing w:val="-2"/>
        </w:rPr>
        <w:t>15t/a</w:t>
      </w:r>
      <w:r>
        <w:rPr>
          <w:rFonts w:ascii="Times New Roman" w:hAnsi="Times New Roman" w:eastAsia="Times New Roman" w:cs="Times New Roman"/>
          <w:sz w:val="24"/>
          <w:szCs w:val="24"/>
          <w:spacing w:val="-28"/>
        </w:rPr>
        <w:t xml:space="preserve"> </w:t>
      </w:r>
      <w:r>
        <w:rPr>
          <w:rFonts w:ascii="SimSun" w:hAnsi="SimSun" w:eastAsia="SimSun" w:cs="SimSun"/>
          <w:sz w:val="24"/>
          <w:szCs w:val="24"/>
          <w:spacing w:val="-2"/>
        </w:rPr>
        <w:t>。需执行倍量替代，</w:t>
      </w:r>
      <w:r>
        <w:rPr>
          <w:rFonts w:ascii="SimSun" w:hAnsi="SimSun" w:eastAsia="SimSun" w:cs="SimSun"/>
          <w:sz w:val="24"/>
          <w:szCs w:val="24"/>
        </w:rPr>
        <w:t xml:space="preserve"> </w:t>
      </w:r>
      <w:r>
        <w:rPr>
          <w:rFonts w:ascii="SimSun" w:hAnsi="SimSun" w:eastAsia="SimSun" w:cs="SimSun"/>
          <w:sz w:val="24"/>
          <w:szCs w:val="24"/>
          <w:spacing w:val="-1"/>
        </w:rPr>
        <w:t>替代总量为</w:t>
      </w:r>
      <w:r>
        <w:rPr>
          <w:rFonts w:ascii="Times New Roman" w:hAnsi="Times New Roman" w:eastAsia="Times New Roman" w:cs="Times New Roman"/>
          <w:sz w:val="24"/>
          <w:szCs w:val="24"/>
          <w:spacing w:val="-1"/>
        </w:rPr>
        <w:t>0.3t/a</w:t>
      </w:r>
      <w:r>
        <w:rPr>
          <w:rFonts w:ascii="Times New Roman" w:hAnsi="Times New Roman" w:eastAsia="Times New Roman" w:cs="Times New Roman"/>
          <w:sz w:val="24"/>
          <w:szCs w:val="24"/>
          <w:spacing w:val="-28"/>
        </w:rPr>
        <w:t xml:space="preserve"> </w:t>
      </w:r>
      <w:r>
        <w:rPr>
          <w:rFonts w:ascii="SimSun" w:hAnsi="SimSun" w:eastAsia="SimSun" w:cs="SimSun"/>
          <w:sz w:val="24"/>
          <w:szCs w:val="24"/>
          <w:spacing w:val="-1"/>
        </w:rPr>
        <w:t>。企业向当地生态环境部门</w:t>
      </w:r>
      <w:r>
        <w:rPr>
          <w:rFonts w:ascii="SimSun" w:hAnsi="SimSun" w:eastAsia="SimSun" w:cs="SimSun"/>
          <w:sz w:val="24"/>
          <w:szCs w:val="24"/>
          <w:spacing w:val="-2"/>
        </w:rPr>
        <w:t>申请，由当地环保部门调控进行倍</w:t>
      </w:r>
    </w:p>
    <w:p>
      <w:pPr>
        <w:ind w:left="115"/>
        <w:spacing w:line="219" w:lineRule="auto"/>
        <w:rPr>
          <w:rFonts w:ascii="SimSun" w:hAnsi="SimSun" w:eastAsia="SimSun" w:cs="SimSun"/>
          <w:sz w:val="24"/>
          <w:szCs w:val="24"/>
        </w:rPr>
      </w:pPr>
      <w:r>
        <w:rPr>
          <w:rFonts w:ascii="SimSun" w:hAnsi="SimSun" w:eastAsia="SimSun" w:cs="SimSun"/>
          <w:sz w:val="24"/>
          <w:szCs w:val="24"/>
          <w:spacing w:val="-3"/>
        </w:rPr>
        <w:t>量替代，</w:t>
      </w:r>
    </w:p>
    <w:p>
      <w:pPr>
        <w:pStyle w:val="BodyText"/>
        <w:spacing w:line="316" w:lineRule="auto"/>
        <w:rPr/>
      </w:pPr>
      <w:r/>
    </w:p>
    <w:p>
      <w:pPr>
        <w:pStyle w:val="BodyText"/>
        <w:spacing w:line="317" w:lineRule="auto"/>
        <w:rPr/>
      </w:pPr>
      <w:r/>
    </w:p>
    <w:p>
      <w:pPr>
        <w:ind w:left="113"/>
        <w:spacing w:before="92" w:line="220" w:lineRule="auto"/>
        <w:outlineLvl w:val="0"/>
        <w:rPr>
          <w:rFonts w:ascii="SimSun" w:hAnsi="SimSun" w:eastAsia="SimSun" w:cs="SimSun"/>
          <w:sz w:val="28"/>
          <w:szCs w:val="28"/>
        </w:rPr>
      </w:pPr>
      <w:r>
        <w:rPr>
          <w:rFonts w:ascii="Times New Roman" w:hAnsi="Times New Roman" w:eastAsia="Times New Roman" w:cs="Times New Roman"/>
          <w:sz w:val="28"/>
          <w:szCs w:val="28"/>
          <w:b/>
          <w:bCs/>
        </w:rPr>
        <w:t>4</w:t>
      </w:r>
      <w:r>
        <w:rPr>
          <w:rFonts w:ascii="Times New Roman" w:hAnsi="Times New Roman" w:eastAsia="Times New Roman" w:cs="Times New Roman"/>
          <w:sz w:val="28"/>
          <w:szCs w:val="28"/>
          <w:b/>
          <w:bCs/>
          <w:spacing w:val="-41"/>
        </w:rPr>
        <w:t xml:space="preserve"> </w:t>
      </w:r>
      <w:r>
        <w:rPr>
          <w:rFonts w:ascii="SimSun" w:hAnsi="SimSun" w:eastAsia="SimSun" w:cs="SimSun"/>
          <w:sz w:val="28"/>
          <w:szCs w:val="28"/>
          <w14:textOutline w14:w="5103" w14:cap="sq" w14:cmpd="sng">
            <w14:solidFill>
              <w14:srgbClr w14:val="000000"/>
            </w14:solidFill>
            <w14:prstDash w14:val="solid"/>
            <w14:bevel/>
          </w14:textOutline>
        </w:rPr>
        <w:t>、完善说明企业现有生活废水处理方案及排放</w:t>
      </w:r>
      <w:r>
        <w:rPr>
          <w:rFonts w:ascii="SimSun" w:hAnsi="SimSun" w:eastAsia="SimSun" w:cs="SimSun"/>
          <w:sz w:val="28"/>
          <w:szCs w:val="28"/>
          <w14:textOutline w14:w="5103" w14:cap="sq" w14:cmpd="sng">
            <w14:solidFill>
              <w14:srgbClr w14:val="000000"/>
            </w14:solidFill>
            <w14:prstDash w14:val="solid"/>
            <w14:bevel/>
          </w14:textOutline>
          <w:spacing w:val="-1"/>
        </w:rPr>
        <w:t>去向及合规性分析；</w:t>
      </w:r>
    </w:p>
    <w:p>
      <w:pPr>
        <w:ind w:left="114" w:right="104" w:firstLine="2"/>
        <w:spacing w:before="224" w:line="370" w:lineRule="auto"/>
        <w:jc w:val="both"/>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4"/>
        </w:rPr>
        <w:t>补充核算废空压机油产生量，对废空压机油收集、临时贮存、转移处</w:t>
      </w:r>
      <w:r>
        <w:rPr>
          <w:rFonts w:ascii="SimSun" w:hAnsi="SimSun" w:eastAsia="SimSun" w:cs="SimSun"/>
          <w:sz w:val="28"/>
          <w:szCs w:val="28"/>
          <w:spacing w:val="12"/>
        </w:rPr>
        <w:t xml:space="preserve"> </w:t>
      </w:r>
      <w:r>
        <w:rPr>
          <w:rFonts w:ascii="SimSun" w:hAnsi="SimSun" w:eastAsia="SimSun" w:cs="SimSun"/>
          <w:sz w:val="28"/>
          <w:szCs w:val="28"/>
          <w14:textOutline w14:w="5103" w14:cap="sq" w14:cmpd="sng">
            <w14:solidFill>
              <w14:srgbClr w14:val="000000"/>
            </w14:solidFill>
            <w14:prstDash w14:val="solid"/>
            <w14:bevel/>
          </w14:textOutline>
          <w:spacing w:val="-4"/>
        </w:rPr>
        <w:t>置等环节完善相应的污染防治措施和环境管理要求，完善危废暂存设</w:t>
      </w:r>
    </w:p>
    <w:p>
      <w:pPr>
        <w:ind w:left="115"/>
        <w:spacing w:line="219"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施依托可行性分析，补充危险废物环境管理计划。</w:t>
      </w:r>
    </w:p>
    <w:p>
      <w:pPr>
        <w:spacing w:line="219" w:lineRule="auto"/>
        <w:sectPr>
          <w:footerReference w:type="default" r:id="rId40"/>
          <w:pgSz w:w="11906" w:h="16839"/>
          <w:pgMar w:top="400" w:right="1695" w:bottom="1211" w:left="1693" w:header="0" w:footer="1049" w:gutter="0"/>
        </w:sectPr>
        <w:rPr>
          <w:rFonts w:ascii="SimSun" w:hAnsi="SimSun" w:eastAsia="SimSun" w:cs="SimSun"/>
          <w:sz w:val="28"/>
          <w:szCs w:val="28"/>
        </w:rPr>
      </w:pPr>
    </w:p>
    <w:p>
      <w:pPr>
        <w:pStyle w:val="BodyText"/>
        <w:spacing w:line="287" w:lineRule="auto"/>
        <w:rPr/>
      </w:pPr>
      <w:r>
        <w:drawing>
          <wp:anchor distT="0" distB="0" distL="0" distR="0" simplePos="0" relativeHeight="251718656" behindDoc="0" locked="0" layoutInCell="0" allowOverlap="1">
            <wp:simplePos x="0" y="0"/>
            <wp:positionH relativeFrom="page">
              <wp:posOffset>2760891</wp:posOffset>
            </wp:positionH>
            <wp:positionV relativeFrom="page">
              <wp:posOffset>3585730</wp:posOffset>
            </wp:positionV>
            <wp:extent cx="194398" cy="76200"/>
            <wp:effectExtent l="0" t="0" r="0" b="0"/>
            <wp:wrapNone/>
            <wp:docPr id="36" name="IM 36"/>
            <wp:cNvGraphicFramePr/>
            <a:graphic>
              <a:graphicData uri="http://schemas.openxmlformats.org/drawingml/2006/picture">
                <pic:pic>
                  <pic:nvPicPr>
                    <pic:cNvPr id="36" name="IM 36"/>
                    <pic:cNvPicPr/>
                  </pic:nvPicPr>
                  <pic:blipFill>
                    <a:blip r:embed="rId43"/>
                    <a:stretch>
                      <a:fillRect/>
                    </a:stretch>
                  </pic:blipFill>
                  <pic:spPr>
                    <a:xfrm rot="0">
                      <a:off x="0" y="0"/>
                      <a:ext cx="194398" cy="76200"/>
                    </a:xfrm>
                    <a:prstGeom prst="rect">
                      <a:avLst/>
                    </a:prstGeom>
                  </pic:spPr>
                </pic:pic>
              </a:graphicData>
            </a:graphic>
          </wp:anchor>
        </w:drawing>
      </w:r>
      <w:r>
        <w:drawing>
          <wp:anchor distT="0" distB="0" distL="0" distR="0" simplePos="0" relativeHeight="251716608" behindDoc="1" locked="0" layoutInCell="0" allowOverlap="1">
            <wp:simplePos x="0" y="0"/>
            <wp:positionH relativeFrom="page">
              <wp:posOffset>3747134</wp:posOffset>
            </wp:positionH>
            <wp:positionV relativeFrom="page">
              <wp:posOffset>3590290</wp:posOffset>
            </wp:positionV>
            <wp:extent cx="337820" cy="76200"/>
            <wp:effectExtent l="0" t="0" r="0" b="0"/>
            <wp:wrapNone/>
            <wp:docPr id="38" name="IM 38"/>
            <wp:cNvGraphicFramePr/>
            <a:graphic>
              <a:graphicData uri="http://schemas.openxmlformats.org/drawingml/2006/picture">
                <pic:pic>
                  <pic:nvPicPr>
                    <pic:cNvPr id="38" name="IM 38"/>
                    <pic:cNvPicPr/>
                  </pic:nvPicPr>
                  <pic:blipFill>
                    <a:blip r:embed="rId44"/>
                    <a:stretch>
                      <a:fillRect/>
                    </a:stretch>
                  </pic:blipFill>
                  <pic:spPr>
                    <a:xfrm rot="0">
                      <a:off x="0" y="0"/>
                      <a:ext cx="337820" cy="76200"/>
                    </a:xfrm>
                    <a:prstGeom prst="rect">
                      <a:avLst/>
                    </a:prstGeom>
                  </pic:spPr>
                </pic:pic>
              </a:graphicData>
            </a:graphic>
          </wp:anchor>
        </w:drawing>
      </w:r>
      <w:r/>
    </w:p>
    <w:p>
      <w:pPr>
        <w:pStyle w:val="BodyText"/>
        <w:spacing w:line="287" w:lineRule="auto"/>
        <w:rPr/>
      </w:pPr>
      <w:r/>
    </w:p>
    <w:p>
      <w:pPr>
        <w:pStyle w:val="BodyText"/>
        <w:spacing w:line="288" w:lineRule="auto"/>
        <w:rPr/>
      </w:pPr>
      <w:r/>
    </w:p>
    <w:p>
      <w:pPr>
        <w:pStyle w:val="BodyText"/>
        <w:spacing w:line="288" w:lineRule="auto"/>
        <w:rPr/>
      </w:pPr>
      <w:r/>
    </w:p>
    <w:p>
      <w:pPr>
        <w:spacing w:before="78" w:line="499" w:lineRule="exact"/>
        <w:jc w:val="right"/>
        <w:rPr>
          <w:rFonts w:ascii="SimSun" w:hAnsi="SimSun" w:eastAsia="SimSun" w:cs="SimSun"/>
          <w:sz w:val="24"/>
          <w:szCs w:val="24"/>
        </w:rPr>
      </w:pPr>
      <w:r>
        <w:rPr>
          <w:rFonts w:ascii="SimSun" w:hAnsi="SimSun" w:eastAsia="SimSun" w:cs="SimSun"/>
          <w:sz w:val="24"/>
          <w:szCs w:val="24"/>
          <w:spacing w:val="2"/>
          <w:position w:val="19"/>
        </w:rPr>
        <w:t>已修改，“</w:t>
      </w:r>
      <w:r>
        <w:rPr>
          <w:rFonts w:ascii="SimSun" w:hAnsi="SimSun" w:eastAsia="SimSun" w:cs="SimSun"/>
          <w:sz w:val="24"/>
          <w:szCs w:val="24"/>
          <w14:textOutline w14:w="4358" w14:cap="sq" w14:cmpd="sng">
            <w14:solidFill>
              <w14:srgbClr w14:val="000000"/>
            </w14:solidFill>
            <w14:prstDash w14:val="solid"/>
            <w14:bevel/>
          </w14:textOutline>
          <w:spacing w:val="2"/>
          <w:position w:val="19"/>
        </w:rPr>
        <w:t>完善说明企业现有生活废水处理方案及排放去向及合规性分析</w:t>
      </w:r>
      <w:r>
        <w:rPr>
          <w:rFonts w:ascii="SimSun" w:hAnsi="SimSun" w:eastAsia="SimSun" w:cs="SimSun"/>
          <w:sz w:val="24"/>
          <w:szCs w:val="24"/>
          <w:spacing w:val="-84"/>
          <w:position w:val="19"/>
        </w:rPr>
        <w:t xml:space="preserve"> </w:t>
      </w:r>
      <w:r>
        <w:rPr>
          <w:rFonts w:ascii="SimSun" w:hAnsi="SimSun" w:eastAsia="SimSun" w:cs="SimSun"/>
          <w:sz w:val="24"/>
          <w:szCs w:val="24"/>
          <w:spacing w:val="2"/>
          <w:position w:val="19"/>
        </w:rPr>
        <w:t>”</w:t>
      </w:r>
    </w:p>
    <w:p>
      <w:pPr>
        <w:ind w:left="68"/>
        <w:spacing w:line="219" w:lineRule="auto"/>
        <w:rPr>
          <w:rFonts w:ascii="Times New Roman" w:hAnsi="Times New Roman" w:eastAsia="Times New Roman" w:cs="Times New Roman"/>
          <w:sz w:val="24"/>
          <w:szCs w:val="24"/>
        </w:rPr>
      </w:pPr>
      <w:r>
        <w:rPr>
          <w:rFonts w:ascii="SimSun" w:hAnsi="SimSun" w:eastAsia="SimSun" w:cs="SimSun"/>
          <w:sz w:val="24"/>
          <w:szCs w:val="24"/>
          <w:spacing w:val="-4"/>
        </w:rPr>
        <w:t>见</w:t>
      </w:r>
      <w:r>
        <w:rPr>
          <w:rFonts w:ascii="Times New Roman" w:hAnsi="Times New Roman" w:eastAsia="Times New Roman" w:cs="Times New Roman"/>
          <w:sz w:val="24"/>
          <w:szCs w:val="24"/>
          <w:spacing w:val="-4"/>
        </w:rPr>
        <w:t>P30</w:t>
      </w:r>
    </w:p>
    <w:p>
      <w:pPr>
        <w:ind w:left="555"/>
        <w:spacing w:before="213"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）生活污水依托可行性</w:t>
      </w:r>
    </w:p>
    <w:p>
      <w:pPr>
        <w:ind w:left="548"/>
        <w:spacing w:before="217" w:line="499" w:lineRule="exact"/>
        <w:rPr>
          <w:rFonts w:ascii="SimSun" w:hAnsi="SimSun" w:eastAsia="SimSun" w:cs="SimSun"/>
          <w:sz w:val="24"/>
          <w:szCs w:val="24"/>
        </w:rPr>
      </w:pPr>
      <w:r>
        <w:rPr>
          <w:rFonts w:ascii="SimSun" w:hAnsi="SimSun" w:eastAsia="SimSun" w:cs="SimSun"/>
          <w:sz w:val="24"/>
          <w:szCs w:val="24"/>
          <w:spacing w:val="-3"/>
          <w:position w:val="19"/>
        </w:rPr>
        <w:t>企业厂区建设有一座</w:t>
      </w:r>
      <w:r>
        <w:rPr>
          <w:rFonts w:ascii="Times New Roman" w:hAnsi="Times New Roman" w:eastAsia="Times New Roman" w:cs="Times New Roman"/>
          <w:sz w:val="24"/>
          <w:szCs w:val="24"/>
          <w:spacing w:val="-3"/>
          <w:position w:val="19"/>
        </w:rPr>
        <w:t>10m</w:t>
      </w:r>
      <w:r>
        <w:rPr>
          <w:rFonts w:ascii="SimSun" w:hAnsi="SimSun" w:eastAsia="SimSun" w:cs="SimSun"/>
          <w:sz w:val="24"/>
          <w:szCs w:val="24"/>
          <w:spacing w:val="-3"/>
          <w:position w:val="19"/>
        </w:rPr>
        <w:t>³</w:t>
      </w:r>
      <w:r>
        <w:rPr>
          <w:rFonts w:ascii="Times New Roman" w:hAnsi="Times New Roman" w:eastAsia="Times New Roman" w:cs="Times New Roman"/>
          <w:sz w:val="24"/>
          <w:szCs w:val="24"/>
          <w:spacing w:val="-3"/>
          <w:position w:val="19"/>
        </w:rPr>
        <w:t>/d</w:t>
      </w:r>
      <w:r>
        <w:rPr>
          <w:rFonts w:ascii="SimSun" w:hAnsi="SimSun" w:eastAsia="SimSun" w:cs="SimSun"/>
          <w:sz w:val="24"/>
          <w:szCs w:val="24"/>
          <w:spacing w:val="-3"/>
          <w:position w:val="19"/>
        </w:rPr>
        <w:t>地埋式一体化污</w:t>
      </w:r>
      <w:r>
        <w:rPr>
          <w:rFonts w:ascii="SimSun" w:hAnsi="SimSun" w:eastAsia="SimSun" w:cs="SimSun"/>
          <w:sz w:val="24"/>
          <w:szCs w:val="24"/>
          <w:spacing w:val="-4"/>
          <w:position w:val="19"/>
        </w:rPr>
        <w:t>水处理装置，用于处理现有厂区</w:t>
      </w:r>
    </w:p>
    <w:p>
      <w:pPr>
        <w:ind w:left="73"/>
        <w:spacing w:line="219" w:lineRule="auto"/>
        <w:rPr>
          <w:rFonts w:ascii="SimSun" w:hAnsi="SimSun" w:eastAsia="SimSun" w:cs="SimSun"/>
          <w:sz w:val="24"/>
          <w:szCs w:val="24"/>
        </w:rPr>
      </w:pPr>
      <w:r>
        <w:rPr>
          <w:rFonts w:ascii="SimSun" w:hAnsi="SimSun" w:eastAsia="SimSun" w:cs="SimSun"/>
          <w:sz w:val="24"/>
          <w:szCs w:val="24"/>
          <w:spacing w:val="-1"/>
        </w:rPr>
        <w:t>员工生活污水，地埋式一体化污水处理装置处理工艺如下：</w:t>
      </w:r>
    </w:p>
    <w:p>
      <w:pPr>
        <w:ind w:left="547"/>
        <w:spacing w:before="214" w:line="220" w:lineRule="auto"/>
        <w:rPr>
          <w:rFonts w:ascii="SimSun" w:hAnsi="SimSun" w:eastAsia="SimSun" w:cs="SimSun"/>
          <w:sz w:val="24"/>
          <w:szCs w:val="24"/>
        </w:rPr>
      </w:pPr>
      <w:r>
        <w:rPr>
          <w:rFonts w:ascii="SimSun" w:hAnsi="SimSun" w:eastAsia="SimSun" w:cs="SimSun"/>
          <w:sz w:val="24"/>
          <w:szCs w:val="24"/>
          <w:spacing w:val="-2"/>
        </w:rPr>
        <w:t>工艺流程图如下：</w:t>
      </w:r>
    </w:p>
    <w:p>
      <w:pPr>
        <w:spacing w:line="64" w:lineRule="exact"/>
        <w:rPr/>
      </w:pPr>
      <w:r/>
    </w:p>
    <w:tbl>
      <w:tblPr>
        <w:tblStyle w:val="TableNormal"/>
        <w:tblW w:w="7460" w:type="dxa"/>
        <w:tblInd w:w="5"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2762"/>
        <w:gridCol w:w="1521"/>
        <w:gridCol w:w="1731"/>
        <w:gridCol w:w="1021"/>
        <w:gridCol w:w="425"/>
      </w:tblGrid>
      <w:tr>
        <w:trPr>
          <w:trHeight w:val="583" w:hRule="atLeast"/>
        </w:trPr>
        <w:tc>
          <w:tcPr>
            <w:tcW w:w="2762" w:type="dxa"/>
            <w:vAlign w:val="top"/>
            <w:vMerge w:val="restart"/>
            <w:textDirection w:val="tbRlV"/>
            <w:tcBorders>
              <w:left w:val="single" w:color="000000" w:sz="4" w:space="0"/>
              <w:top w:val="single" w:color="000000" w:sz="4" w:space="0"/>
              <w:bottom w:val="nil"/>
            </w:tcBorders>
          </w:tcPr>
          <w:p>
            <w:pPr>
              <w:pStyle w:val="TableText"/>
              <w:ind w:firstLine="740"/>
              <w:spacing w:before="178" w:line="358" w:lineRule="exact"/>
              <w:rPr/>
            </w:pPr>
            <w:r>
              <mc:AlternateContent xmlns:mc="http://schemas.openxmlformats.org/markup-compatibility/2006">
                <mc:Choice Requires="wps">
                  <w:drawing>
                    <wp:anchor distT="0" distB="0" distL="0" distR="0" simplePos="0" relativeHeight="251715584" behindDoc="1" locked="0" layoutInCell="1" allowOverlap="1">
                      <wp:simplePos x="0" y="0"/>
                      <wp:positionH relativeFrom="rightMargin">
                        <wp:posOffset>-895985</wp:posOffset>
                      </wp:positionH>
                      <wp:positionV relativeFrom="topMargin">
                        <wp:posOffset>739140</wp:posOffset>
                      </wp:positionV>
                      <wp:extent cx="1270" cy="7620"/>
                      <wp:effectExtent l="0" t="0" r="0" b="0"/>
                      <wp:wrapNone/>
                      <wp:docPr id="40" name="Rect 40"/>
                      <wp:cNvGraphicFramePr/>
                      <a:graphic>
                        <a:graphicData uri="http://schemas.microsoft.com/office/word/2010/wordprocessingShape">
                          <wps:wsp>
                            <wps:cNvPr id="40" name="Rect 40"/>
                            <wps:cNvSpPr/>
                            <wps:spPr>
                              <a:xfrm>
                                <a:off x="-895985" y="739140"/>
                                <a:ext cx="1270" cy="762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0" style="position:absolute;margin-left:-70.55pt;margin-top:58.2pt;mso-position-vertical-relative:top-margin-area;mso-position-horizontal-relative:right-margin-area;width:0.1pt;height:0.6pt;z-index:-251600896;" fillcolor="#000000" filled="true" stroked="false"/>
                  </w:pict>
                </mc:Fallback>
              </mc:AlternateContent>
            </w:r>
            <w:r>
              <w:pict>
                <v:shape id="_x0000_s12" style="position:absolute;margin-left:-131.161pt;margin-top:50.5781pt;mso-position-vertical-relative:top-margin-area;mso-position-horizontal-relative:right-margin-area;width:23.6pt;height:15.15pt;z-index:251724800;" filled="false" stroked="false" type="#_x0000_t202">
                  <v:fill on="false"/>
                  <v:stroke on="false"/>
                  <v:path/>
                  <v:imagedata o:title=""/>
                  <o:lock v:ext="edit" aspectratio="false"/>
                  <v:textbox inset="0mm,0mm,0mm,0mm">
                    <w:txbxContent>
                      <w:p>
                        <w:pPr>
                          <w:pStyle w:val="TableText"/>
                          <w:ind w:left="20"/>
                          <w:spacing w:before="20" w:line="220" w:lineRule="auto"/>
                          <w:rPr>
                            <w:sz w:val="22"/>
                            <w:szCs w:val="22"/>
                          </w:rPr>
                        </w:pPr>
                        <w:r>
                          <w:rPr>
                            <w:sz w:val="22"/>
                            <w:szCs w:val="22"/>
                            <w:spacing w:val="-5"/>
                          </w:rPr>
                          <w:t>污水</w:t>
                        </w:r>
                      </w:p>
                    </w:txbxContent>
                  </v:textbox>
                </v:shape>
              </w:pict>
            </w:r>
            <w:r>
              <w:rPr>
                <w:position w:val="-7"/>
              </w:rPr>
              <w:pict>
                <v:group id="_x0000_s14" style="mso-position-vertical-relative:line;mso-position-horizontal-relative:char;width:18pt;height:45pt;" filled="false" stroked="false" coordsize="360,900" coordorigin="0,0">
                  <v:shape id="_x0000_s16" style="position:absolute;left:0;top:0;width:360;height:900;" filled="false" stroked="false" type="#_x0000_t75">
                    <v:imagedata o:title="" r:id="rId45"/>
                  </v:shape>
                  <v:shape id="_x0000_s18" style="position:absolute;left:-20;top:-20;width:400;height:940;" filled="false" stroked="false" type="#_x0000_t202">
                    <v:fill on="false"/>
                    <v:stroke on="false"/>
                    <v:path/>
                    <v:imagedata o:title=""/>
                    <o:lock v:ext="edit" aspectratio="false"/>
                    <v:textbox inset="0mm,0mm,0mm,0mm" style="layout-flow:vertical-ideographic;">
                      <w:txbxContent>
                        <w:p>
                          <w:pPr>
                            <w:ind w:left="95"/>
                            <w:spacing w:before="102" w:line="215" w:lineRule="auto"/>
                            <w:rPr>
                              <w:rFonts w:ascii="SimSun" w:hAnsi="SimSun" w:eastAsia="SimSun" w:cs="SimSun"/>
                              <w:sz w:val="20"/>
                              <w:szCs w:val="20"/>
                            </w:rPr>
                          </w:pPr>
                          <w:r>
                            <w:rPr>
                              <w:rFonts w:ascii="SimSun" w:hAnsi="SimSun" w:eastAsia="SimSun" w:cs="SimSun"/>
                              <w:sz w:val="20"/>
                              <w:szCs w:val="20"/>
                              <w:spacing w:val="8"/>
                            </w:rPr>
                            <w:t>提</w:t>
                          </w:r>
                          <w:r>
                            <w:rPr>
                              <w:rFonts w:ascii="SimSun" w:hAnsi="SimSun" w:eastAsia="SimSun" w:cs="SimSun"/>
                              <w:sz w:val="20"/>
                              <w:szCs w:val="20"/>
                              <w:spacing w:val="-37"/>
                            </w:rPr>
                            <w:t xml:space="preserve"> </w:t>
                          </w:r>
                          <w:r>
                            <w:rPr>
                              <w:rFonts w:ascii="SimSun" w:hAnsi="SimSun" w:eastAsia="SimSun" w:cs="SimSun"/>
                              <w:sz w:val="20"/>
                              <w:szCs w:val="20"/>
                              <w:spacing w:val="8"/>
                            </w:rPr>
                            <w:t>升</w:t>
                          </w:r>
                          <w:r>
                            <w:rPr>
                              <w:rFonts w:ascii="SimSun" w:hAnsi="SimSun" w:eastAsia="SimSun" w:cs="SimSun"/>
                              <w:sz w:val="20"/>
                              <w:szCs w:val="20"/>
                              <w:spacing w:val="-35"/>
                            </w:rPr>
                            <w:t xml:space="preserve"> </w:t>
                          </w:r>
                          <w:r>
                            <w:rPr>
                              <w:rFonts w:ascii="SimSun" w:hAnsi="SimSun" w:eastAsia="SimSun" w:cs="SimSun"/>
                              <w:sz w:val="20"/>
                              <w:szCs w:val="20"/>
                              <w:spacing w:val="8"/>
                            </w:rPr>
                            <w:t>泵</w:t>
                          </w:r>
                        </w:p>
                      </w:txbxContent>
                    </v:textbox>
                  </v:shape>
                </v:group>
              </w:pict>
            </w:r>
          </w:p>
          <w:p>
            <w:pPr>
              <w:ind w:firstLine="1130"/>
              <w:spacing w:line="263" w:lineRule="exact"/>
              <w:rPr/>
            </w:pPr>
            <w:r>
              <w:rPr>
                <w:position w:val="-5"/>
              </w:rPr>
              <w:drawing>
                <wp:inline distT="0" distB="0" distL="0" distR="0">
                  <wp:extent cx="167500" cy="76086"/>
                  <wp:effectExtent l="0" t="0" r="0" b="0"/>
                  <wp:docPr id="42" name="IM 42"/>
                  <wp:cNvGraphicFramePr/>
                  <a:graphic>
                    <a:graphicData uri="http://schemas.openxmlformats.org/drawingml/2006/picture">
                      <pic:pic>
                        <pic:nvPicPr>
                          <pic:cNvPr id="42" name="IM 42"/>
                          <pic:cNvPicPr/>
                        </pic:nvPicPr>
                        <pic:blipFill>
                          <a:blip r:embed="rId46"/>
                          <a:stretch>
                            <a:fillRect/>
                          </a:stretch>
                        </pic:blipFill>
                        <pic:spPr>
                          <a:xfrm rot="0">
                            <a:off x="0" y="0"/>
                            <a:ext cx="167500" cy="76086"/>
                          </a:xfrm>
                          <a:prstGeom prst="rect">
                            <a:avLst/>
                          </a:prstGeom>
                        </pic:spPr>
                      </pic:pic>
                    </a:graphicData>
                  </a:graphic>
                </wp:inline>
              </w:drawing>
            </w:r>
          </w:p>
          <w:p>
            <w:pPr>
              <w:ind w:firstLine="735"/>
              <w:spacing w:before="18" w:line="616" w:lineRule="exact"/>
              <w:rPr/>
            </w:pPr>
            <w:r>
              <w:rPr>
                <w:position w:val="-12"/>
              </w:rPr>
              <w:drawing>
                <wp:inline distT="0" distB="0" distL="0" distR="0">
                  <wp:extent cx="391591" cy="586740"/>
                  <wp:effectExtent l="0" t="0" r="0" b="0"/>
                  <wp:docPr id="44" name="IM 44"/>
                  <wp:cNvGraphicFramePr/>
                  <a:graphic>
                    <a:graphicData uri="http://schemas.openxmlformats.org/drawingml/2006/picture">
                      <pic:pic>
                        <pic:nvPicPr>
                          <pic:cNvPr id="44" name="IM 44"/>
                          <pic:cNvPicPr/>
                        </pic:nvPicPr>
                        <pic:blipFill>
                          <a:blip r:embed="rId47"/>
                          <a:stretch>
                            <a:fillRect/>
                          </a:stretch>
                        </pic:blipFill>
                        <pic:spPr>
                          <a:xfrm rot="0">
                            <a:off x="0" y="0"/>
                            <a:ext cx="391591" cy="586740"/>
                          </a:xfrm>
                          <a:prstGeom prst="rect">
                            <a:avLst/>
                          </a:prstGeom>
                        </pic:spPr>
                      </pic:pic>
                    </a:graphicData>
                  </a:graphic>
                </wp:inline>
              </w:drawing>
            </w:r>
          </w:p>
          <w:p>
            <w:pPr>
              <w:ind w:firstLine="727"/>
              <w:spacing w:line="351" w:lineRule="exact"/>
              <w:rPr/>
            </w:pPr>
            <w:r>
              <w:rPr>
                <w:position w:val="-7"/>
              </w:rPr>
              <w:drawing>
                <wp:inline distT="0" distB="0" distL="0" distR="0">
                  <wp:extent cx="223202" cy="598170"/>
                  <wp:effectExtent l="0" t="0" r="0" b="0"/>
                  <wp:docPr id="46" name="IM 46"/>
                  <wp:cNvGraphicFramePr/>
                  <a:graphic>
                    <a:graphicData uri="http://schemas.openxmlformats.org/drawingml/2006/picture">
                      <pic:pic>
                        <pic:nvPicPr>
                          <pic:cNvPr id="46" name="IM 46"/>
                          <pic:cNvPicPr/>
                        </pic:nvPicPr>
                        <pic:blipFill>
                          <a:blip r:embed="rId48"/>
                          <a:stretch>
                            <a:fillRect/>
                          </a:stretch>
                        </pic:blipFill>
                        <pic:spPr>
                          <a:xfrm rot="0">
                            <a:off x="0" y="0"/>
                            <a:ext cx="223202" cy="598170"/>
                          </a:xfrm>
                          <a:prstGeom prst="rect">
                            <a:avLst/>
                          </a:prstGeom>
                        </pic:spPr>
                      </pic:pic>
                    </a:graphicData>
                  </a:graphic>
                </wp:inline>
              </w:drawing>
            </w:r>
          </w:p>
          <w:p>
            <w:pPr>
              <w:ind w:firstLine="1106"/>
              <w:spacing w:line="379" w:lineRule="exact"/>
              <w:rPr/>
            </w:pPr>
            <w:r>
              <w:rPr>
                <w:position w:val="-7"/>
              </w:rPr>
              <w:drawing>
                <wp:inline distT="0" distB="0" distL="0" distR="0">
                  <wp:extent cx="240550" cy="76175"/>
                  <wp:effectExtent l="0" t="0" r="0" b="0"/>
                  <wp:docPr id="48" name="IM 48"/>
                  <wp:cNvGraphicFramePr/>
                  <a:graphic>
                    <a:graphicData uri="http://schemas.openxmlformats.org/drawingml/2006/picture">
                      <pic:pic>
                        <pic:nvPicPr>
                          <pic:cNvPr id="48" name="IM 48"/>
                          <pic:cNvPicPr/>
                        </pic:nvPicPr>
                        <pic:blipFill>
                          <a:blip r:embed="rId49"/>
                          <a:stretch>
                            <a:fillRect/>
                          </a:stretch>
                        </pic:blipFill>
                        <pic:spPr>
                          <a:xfrm rot="0">
                            <a:off x="0" y="0"/>
                            <a:ext cx="240550" cy="76175"/>
                          </a:xfrm>
                          <a:prstGeom prst="rect">
                            <a:avLst/>
                          </a:prstGeom>
                        </pic:spPr>
                      </pic:pic>
                    </a:graphicData>
                  </a:graphic>
                </wp:inline>
              </w:drawing>
            </w:r>
          </w:p>
        </w:tc>
        <w:tc>
          <w:tcPr>
            <w:tcW w:w="1521" w:type="dxa"/>
            <w:vAlign w:val="top"/>
            <w:vMerge w:val="restart"/>
            <w:tcBorders>
              <w:bottom w:val="nil"/>
              <w:top w:val="single" w:color="000000" w:sz="4" w:space="0"/>
            </w:tcBorders>
          </w:tcPr>
          <w:p>
            <w:pPr>
              <w:pStyle w:val="TableText"/>
              <w:ind w:left="399"/>
              <w:spacing w:before="115" w:line="219" w:lineRule="auto"/>
              <w:rPr>
                <w:sz w:val="22"/>
                <w:szCs w:val="22"/>
              </w:rPr>
            </w:pPr>
            <w:r>
              <w:pict>
                <v:rect id="_x0000_s20" style="position:absolute;margin-left:17.398pt;margin-top:10.0519pt;mso-position-vertical-relative:text;mso-position-horizontal-relative:text;width:8pt;height:0.85pt;z-index:251732992;" fillcolor="#000000" filled="true" stroked="false"/>
              </w:pict>
            </w:r>
            <w:r>
              <w:drawing>
                <wp:anchor distT="0" distB="0" distL="0" distR="0" simplePos="0" relativeHeight="251730944" behindDoc="0" locked="0" layoutInCell="1" allowOverlap="1">
                  <wp:simplePos x="0" y="0"/>
                  <wp:positionH relativeFrom="column">
                    <wp:posOffset>716914</wp:posOffset>
                  </wp:positionH>
                  <wp:positionV relativeFrom="paragraph">
                    <wp:posOffset>153058</wp:posOffset>
                  </wp:positionV>
                  <wp:extent cx="76200" cy="246062"/>
                  <wp:effectExtent l="0" t="0" r="0" b="0"/>
                  <wp:wrapNone/>
                  <wp:docPr id="50" name="IM 50"/>
                  <wp:cNvGraphicFramePr/>
                  <a:graphic>
                    <a:graphicData uri="http://schemas.openxmlformats.org/drawingml/2006/picture">
                      <pic:pic>
                        <pic:nvPicPr>
                          <pic:cNvPr id="50" name="IM 50"/>
                          <pic:cNvPicPr/>
                        </pic:nvPicPr>
                        <pic:blipFill>
                          <a:blip r:embed="rId50"/>
                          <a:stretch>
                            <a:fillRect/>
                          </a:stretch>
                        </pic:blipFill>
                        <pic:spPr>
                          <a:xfrm rot="0">
                            <a:off x="0" y="0"/>
                            <a:ext cx="76200" cy="246062"/>
                          </a:xfrm>
                          <a:prstGeom prst="rect">
                            <a:avLst/>
                          </a:prstGeom>
                        </pic:spPr>
                      </pic:pic>
                    </a:graphicData>
                  </a:graphic>
                </wp:anchor>
              </w:drawing>
            </w:r>
            <w:r>
              <w:drawing>
                <wp:anchor distT="0" distB="0" distL="0" distR="0" simplePos="0" relativeHeight="251719680" behindDoc="0" locked="0" layoutInCell="1" allowOverlap="1">
                  <wp:simplePos x="0" y="0"/>
                  <wp:positionH relativeFrom="rightMargin">
                    <wp:posOffset>-91440</wp:posOffset>
                  </wp:positionH>
                  <wp:positionV relativeFrom="topMargin">
                    <wp:posOffset>264159</wp:posOffset>
                  </wp:positionV>
                  <wp:extent cx="23495" cy="7619"/>
                  <wp:effectExtent l="0" t="0" r="0" b="0"/>
                  <wp:wrapNone/>
                  <wp:docPr id="52" name="IM 52"/>
                  <wp:cNvGraphicFramePr/>
                  <a:graphic>
                    <a:graphicData uri="http://schemas.openxmlformats.org/drawingml/2006/picture">
                      <pic:pic>
                        <pic:nvPicPr>
                          <pic:cNvPr id="52" name="IM 52"/>
                          <pic:cNvPicPr/>
                        </pic:nvPicPr>
                        <pic:blipFill>
                          <a:blip r:embed="rId51"/>
                          <a:stretch>
                            <a:fillRect/>
                          </a:stretch>
                        </pic:blipFill>
                        <pic:spPr>
                          <a:xfrm rot="0">
                            <a:off x="0" y="0"/>
                            <a:ext cx="23495" cy="7619"/>
                          </a:xfrm>
                          <a:prstGeom prst="rect">
                            <a:avLst/>
                          </a:prstGeom>
                        </pic:spPr>
                      </pic:pic>
                    </a:graphicData>
                  </a:graphic>
                </wp:anchor>
              </w:drawing>
            </w:r>
            <w:r>
              <w:drawing>
                <wp:anchor distT="0" distB="0" distL="0" distR="0" simplePos="0" relativeHeight="251731968" behindDoc="0" locked="0" layoutInCell="1" allowOverlap="1">
                  <wp:simplePos x="0" y="0"/>
                  <wp:positionH relativeFrom="rightMargin">
                    <wp:posOffset>-790092</wp:posOffset>
                  </wp:positionH>
                  <wp:positionV relativeFrom="topMargin">
                    <wp:posOffset>122542</wp:posOffset>
                  </wp:positionV>
                  <wp:extent cx="76200" cy="312432"/>
                  <wp:effectExtent l="0" t="0" r="0" b="0"/>
                  <wp:wrapNone/>
                  <wp:docPr id="54" name="IM 54"/>
                  <wp:cNvGraphicFramePr/>
                  <a:graphic>
                    <a:graphicData uri="http://schemas.openxmlformats.org/drawingml/2006/picture">
                      <pic:pic>
                        <pic:nvPicPr>
                          <pic:cNvPr id="54" name="IM 54"/>
                          <pic:cNvPicPr/>
                        </pic:nvPicPr>
                        <pic:blipFill>
                          <a:blip r:embed="rId52"/>
                          <a:stretch>
                            <a:fillRect/>
                          </a:stretch>
                        </pic:blipFill>
                        <pic:spPr>
                          <a:xfrm rot="0">
                            <a:off x="0" y="0"/>
                            <a:ext cx="76200" cy="312432"/>
                          </a:xfrm>
                          <a:prstGeom prst="rect">
                            <a:avLst/>
                          </a:prstGeom>
                        </pic:spPr>
                      </pic:pic>
                    </a:graphicData>
                  </a:graphic>
                </wp:anchor>
              </w:drawing>
            </w:r>
            <w:r>
              <w:pict>
                <v:shape id="_x0000_s22" style="position:absolute;margin-left:-71.9pt;margin-top:32.7499pt;mso-position-vertical-relative:top-margin-area;mso-position-horizontal-relative:right-margin-area;width:22.45pt;height:71.5pt;z-index:251727872;" filled="false" stroked="false" type="#_x0000_t202">
                  <v:fill on="false"/>
                  <v:stroke on="false"/>
                  <v:path/>
                  <v:imagedata o:title=""/>
                  <o:lock v:ext="edit" aspectratio="false"/>
                  <v:textbox inset="0mm,0mm,0mm,0mm">
                    <w:txbxContent>
                      <w:p>
                        <w:pPr>
                          <w:spacing w:line="20" w:lineRule="exact"/>
                          <w:rPr/>
                        </w:pPr>
                        <w:r/>
                      </w:p>
                      <w:tbl>
                        <w:tblPr>
                          <w:tblStyle w:val="TableNormal"/>
                          <w:tblW w:w="388" w:type="dxa"/>
                          <w:tblInd w:w="30" w:type="dxa"/>
                          <w:tblLayout w:type="fixed"/>
                          <w:tblBorders>
                            <w:left w:val="single" w:color="000000" w:sz="8" w:space="0"/>
                            <w:bottom w:val="single" w:color="000000" w:sz="8" w:space="0"/>
                            <w:right w:val="single" w:color="000000" w:sz="8" w:space="0"/>
                            <w:top w:val="single" w:color="000000" w:sz="8" w:space="0"/>
                          </w:tblBorders>
                        </w:tblPr>
                        <w:tblGrid>
                          <w:gridCol w:w="388"/>
                        </w:tblGrid>
                        <w:tr>
                          <w:trPr>
                            <w:trHeight w:val="1349" w:hRule="atLeast"/>
                          </w:trPr>
                          <w:tc>
                            <w:tcPr>
                              <w:tcW w:w="388" w:type="dxa"/>
                              <w:vAlign w:val="top"/>
                            </w:tcPr>
                            <w:p>
                              <w:pPr>
                                <w:pStyle w:val="TableText"/>
                                <w:ind w:left="136" w:right="30" w:hanging="6"/>
                                <w:spacing w:before="169" w:line="278" w:lineRule="auto"/>
                                <w:jc w:val="both"/>
                                <w:rPr>
                                  <w:sz w:val="20"/>
                                  <w:szCs w:val="20"/>
                                </w:rPr>
                              </w:pPr>
                              <w:r>
                                <w:rPr>
                                  <w:rFonts w:ascii="Times New Roman" w:hAnsi="Times New Roman" w:eastAsia="Times New Roman" w:cs="Times New Roman"/>
                                  <w:sz w:val="20"/>
                                  <w:szCs w:val="20"/>
                                  <w:spacing w:val="4"/>
                                </w:rPr>
                                <w:t>A</w:t>
                              </w:r>
                              <w:r>
                                <w:rPr>
                                  <w:rFonts w:ascii="Times New Roman" w:hAnsi="Times New Roman" w:eastAsia="Times New Roman" w:cs="Times New Roman"/>
                                  <w:sz w:val="20"/>
                                  <w:szCs w:val="20"/>
                                </w:rPr>
                                <w:t xml:space="preserve">  </w:t>
                              </w:r>
                              <w:r>
                                <w:rPr>
                                  <w:sz w:val="20"/>
                                  <w:szCs w:val="20"/>
                                </w:rPr>
                                <w:t>生 </w:t>
                              </w:r>
                              <w:r>
                                <w:rPr>
                                  <w:sz w:val="20"/>
                                  <w:szCs w:val="20"/>
                                </w:rPr>
                                <w:t>化 </w:t>
                              </w:r>
                              <w:r>
                                <w:rPr>
                                  <w:sz w:val="20"/>
                                  <w:szCs w:val="20"/>
                                </w:rPr>
                                <w:t>池</w:t>
                              </w:r>
                            </w:p>
                          </w:tc>
                        </w:tr>
                      </w:tbl>
                      <w:p>
                        <w:pPr>
                          <w:rPr>
                            <w:rFonts w:ascii="Arial"/>
                            <w:sz w:val="21"/>
                          </w:rPr>
                        </w:pPr>
                        <w:r/>
                      </w:p>
                    </w:txbxContent>
                  </v:textbox>
                </v:shape>
              </w:pict>
            </w:r>
            <w:r>
              <w:drawing>
                <wp:anchor distT="0" distB="0" distL="0" distR="0" simplePos="0" relativeHeight="251726848" behindDoc="0" locked="0" layoutInCell="1" allowOverlap="1">
                  <wp:simplePos x="0" y="0"/>
                  <wp:positionH relativeFrom="rightMargin">
                    <wp:posOffset>-644525</wp:posOffset>
                  </wp:positionH>
                  <wp:positionV relativeFrom="topMargin">
                    <wp:posOffset>730884</wp:posOffset>
                  </wp:positionV>
                  <wp:extent cx="303529" cy="76200"/>
                  <wp:effectExtent l="0" t="0" r="0" b="0"/>
                  <wp:wrapNone/>
                  <wp:docPr id="56" name="IM 56"/>
                  <wp:cNvGraphicFramePr/>
                  <a:graphic>
                    <a:graphicData uri="http://schemas.openxmlformats.org/drawingml/2006/picture">
                      <pic:pic>
                        <pic:nvPicPr>
                          <pic:cNvPr id="56" name="IM 56"/>
                          <pic:cNvPicPr/>
                        </pic:nvPicPr>
                        <pic:blipFill>
                          <a:blip r:embed="rId53"/>
                          <a:stretch>
                            <a:fillRect/>
                          </a:stretch>
                        </pic:blipFill>
                        <pic:spPr>
                          <a:xfrm rot="0">
                            <a:off x="0" y="0"/>
                            <a:ext cx="303529" cy="76200"/>
                          </a:xfrm>
                          <a:prstGeom prst="rect">
                            <a:avLst/>
                          </a:prstGeom>
                        </pic:spPr>
                      </pic:pic>
                    </a:graphicData>
                  </a:graphic>
                </wp:anchor>
              </w:drawing>
            </w:r>
            <w:r>
              <w:rPr>
                <w:sz w:val="22"/>
                <w:szCs w:val="22"/>
                <w:spacing w:val="-5"/>
              </w:rPr>
              <w:t>曝气</w:t>
            </w:r>
            <w:r>
              <w:rPr>
                <w:sz w:val="22"/>
                <w:szCs w:val="22"/>
                <w:strike/>
                <w:spacing w:val="-5"/>
              </w:rPr>
              <w:t>风机</w:t>
            </w:r>
          </w:p>
          <w:p>
            <w:pPr>
              <w:spacing w:before="15"/>
              <w:rPr/>
            </w:pPr>
            <w:r/>
          </w:p>
          <w:tbl>
            <w:tblPr>
              <w:tblStyle w:val="TableNormal"/>
              <w:tblW w:w="389" w:type="dxa"/>
              <w:tblInd w:w="973" w:type="dxa"/>
              <w:tblLayout w:type="fixed"/>
              <w:tblBorders>
                <w:left w:val="single" w:color="000000" w:sz="8" w:space="0"/>
                <w:bottom w:val="single" w:color="000000" w:sz="8" w:space="0"/>
                <w:right w:val="single" w:color="000000" w:sz="8" w:space="0"/>
                <w:top w:val="single" w:color="000000" w:sz="8" w:space="0"/>
              </w:tblBorders>
            </w:tblPr>
            <w:tblGrid>
              <w:gridCol w:w="389"/>
            </w:tblGrid>
            <w:tr>
              <w:trPr>
                <w:trHeight w:val="1361" w:hRule="atLeast"/>
              </w:trPr>
              <w:tc>
                <w:tcPr>
                  <w:tcW w:w="389" w:type="dxa"/>
                  <w:vAlign w:val="top"/>
                </w:tcPr>
                <w:p>
                  <w:pPr>
                    <w:pStyle w:val="TableText"/>
                    <w:ind w:left="136" w:right="30"/>
                    <w:spacing w:before="168" w:line="281" w:lineRule="auto"/>
                    <w:jc w:val="both"/>
                    <w:rPr>
                      <w:sz w:val="20"/>
                      <w:szCs w:val="20"/>
                    </w:rPr>
                  </w:pPr>
                  <w:r>
                    <w:rPr>
                      <w:rFonts w:ascii="Times New Roman" w:hAnsi="Times New Roman" w:eastAsia="Times New Roman" w:cs="Times New Roman"/>
                      <w:sz w:val="20"/>
                      <w:szCs w:val="20"/>
                      <w:spacing w:val="-1"/>
                    </w:rPr>
                    <w:t>O</w:t>
                  </w:r>
                  <w:r>
                    <w:rPr>
                      <w:rFonts w:ascii="Times New Roman" w:hAnsi="Times New Roman" w:eastAsia="Times New Roman" w:cs="Times New Roman"/>
                      <w:sz w:val="20"/>
                      <w:szCs w:val="20"/>
                    </w:rPr>
                    <w:t xml:space="preserve">  </w:t>
                  </w:r>
                  <w:r>
                    <w:rPr>
                      <w:sz w:val="20"/>
                      <w:szCs w:val="20"/>
                    </w:rPr>
                    <w:t>生 </w:t>
                  </w:r>
                  <w:r>
                    <w:rPr>
                      <w:sz w:val="20"/>
                      <w:szCs w:val="20"/>
                    </w:rPr>
                    <w:t>化 </w:t>
                  </w:r>
                  <w:r>
                    <w:rPr>
                      <w:sz w:val="20"/>
                      <w:szCs w:val="20"/>
                    </w:rPr>
                    <w:t>池</w:t>
                  </w:r>
                </w:p>
              </w:tc>
            </w:tr>
          </w:tbl>
          <w:p>
            <w:pPr>
              <w:pStyle w:val="TableText"/>
              <w:ind w:left="79"/>
              <w:spacing w:before="59" w:line="221" w:lineRule="auto"/>
              <w:rPr>
                <w:sz w:val="22"/>
                <w:szCs w:val="22"/>
              </w:rPr>
            </w:pPr>
            <w:r>
              <w:rPr>
                <w:sz w:val="22"/>
                <w:szCs w:val="22"/>
                <w:spacing w:val="-2"/>
              </w:rPr>
              <w:t>上清液回流</w:t>
            </w:r>
          </w:p>
        </w:tc>
        <w:tc>
          <w:tcPr>
            <w:tcW w:w="3177" w:type="dxa"/>
            <w:vAlign w:val="top"/>
            <w:gridSpan w:val="3"/>
            <w:tcBorders>
              <w:right w:val="single" w:color="000000" w:sz="4" w:space="0"/>
              <w:top w:val="single" w:color="000000" w:sz="4" w:space="0"/>
            </w:tcBorders>
          </w:tcPr>
          <w:p>
            <w:pPr>
              <w:rPr>
                <w:rFonts w:ascii="Arial"/>
                <w:sz w:val="21"/>
              </w:rPr>
            </w:pPr>
            <w:r>
              <w:pict>
                <v:rect id="_x0000_s24" style="position:absolute;margin-left:-126.8pt;margin-top:18.55pt;mso-position-vertical-relative:top-margin-area;mso-position-horizontal-relative:right-margin-area;width:0.05pt;height:0.6pt;z-index:251729920;" fillcolor="#000000" filled="true" stroked="false"/>
              </w:pict>
            </w:r>
            <w:r>
              <w:pict>
                <v:rect id="_x0000_s26" style="position:absolute;margin-left:-47.35pt;margin-top:24.1pt;mso-position-vertical-relative:top-margin-area;mso-position-horizontal-relative:right-margin-area;width:0.05pt;height:0.65pt;z-index:251728896;" fillcolor="#000000" filled="true" stroked="false"/>
              </w:pict>
            </w:r>
            <w:r>
              <w:drawing>
                <wp:anchor distT="0" distB="0" distL="0" distR="0" simplePos="0" relativeHeight="251720704" behindDoc="0" locked="0" layoutInCell="1" allowOverlap="1">
                  <wp:simplePos x="0" y="0"/>
                  <wp:positionH relativeFrom="rightMargin">
                    <wp:posOffset>-1851025</wp:posOffset>
                  </wp:positionH>
                  <wp:positionV relativeFrom="topMargin">
                    <wp:posOffset>264159</wp:posOffset>
                  </wp:positionV>
                  <wp:extent cx="23494" cy="7619"/>
                  <wp:effectExtent l="0" t="0" r="0" b="0"/>
                  <wp:wrapNone/>
                  <wp:docPr id="58" name="IM 58"/>
                  <wp:cNvGraphicFramePr/>
                  <a:graphic>
                    <a:graphicData uri="http://schemas.openxmlformats.org/drawingml/2006/picture">
                      <pic:pic>
                        <pic:nvPicPr>
                          <pic:cNvPr id="58" name="IM 58"/>
                          <pic:cNvPicPr/>
                        </pic:nvPicPr>
                        <pic:blipFill>
                          <a:blip r:embed="rId54"/>
                          <a:stretch>
                            <a:fillRect/>
                          </a:stretch>
                        </pic:blipFill>
                        <pic:spPr>
                          <a:xfrm rot="0">
                            <a:off x="0" y="0"/>
                            <a:ext cx="23494" cy="7619"/>
                          </a:xfrm>
                          <a:prstGeom prst="rect">
                            <a:avLst/>
                          </a:prstGeom>
                        </pic:spPr>
                      </pic:pic>
                    </a:graphicData>
                  </a:graphic>
                </wp:anchor>
              </w:drawing>
            </w:r>
            <w:r/>
          </w:p>
        </w:tc>
      </w:tr>
      <w:tr>
        <w:trPr>
          <w:trHeight w:val="1514" w:hRule="atLeast"/>
        </w:trPr>
        <w:tc>
          <w:tcPr>
            <w:tcW w:w="2762" w:type="dxa"/>
            <w:vAlign w:val="top"/>
            <w:vMerge w:val="continue"/>
            <w:textDirection w:val="tbRlV"/>
            <w:tcBorders>
              <w:left w:val="single" w:color="000000" w:sz="4" w:space="0"/>
              <w:top w:val="nil"/>
            </w:tcBorders>
          </w:tcPr>
          <w:p>
            <w:pPr>
              <w:rPr>
                <w:rFonts w:ascii="Arial"/>
                <w:sz w:val="21"/>
              </w:rPr>
            </w:pPr>
            <w:r/>
          </w:p>
        </w:tc>
        <w:tc>
          <w:tcPr>
            <w:tcW w:w="1521" w:type="dxa"/>
            <w:vAlign w:val="top"/>
            <w:vMerge w:val="continue"/>
            <w:tcBorders>
              <w:bottom w:val="nil"/>
              <w:top w:val="nil"/>
            </w:tcBorders>
          </w:tcPr>
          <w:p>
            <w:pPr>
              <w:rPr>
                <w:rFonts w:ascii="Arial"/>
                <w:sz w:val="21"/>
              </w:rPr>
            </w:pPr>
            <w:r/>
          </w:p>
        </w:tc>
        <w:tc>
          <w:tcPr>
            <w:tcW w:w="1731" w:type="dxa"/>
            <w:vAlign w:val="top"/>
            <w:vMerge w:val="restart"/>
            <w:tcBorders>
              <w:bottom w:val="nil"/>
            </w:tcBorders>
          </w:tcPr>
          <w:p>
            <w:pPr>
              <w:spacing w:line="263" w:lineRule="auto"/>
              <w:rPr>
                <w:rFonts w:ascii="Arial"/>
                <w:sz w:val="21"/>
              </w:rPr>
            </w:pPr>
            <w:r>
              <w:pict>
                <v:shape id="_x0000_s28" style="position:absolute;margin-left:-21.35pt;margin-top:4.24994pt;mso-position-vertical-relative:top-margin-area;mso-position-horizontal-relative:right-margin-area;width:22.5pt;height:49.75pt;z-index:251722752;" filled="false" stroked="false" type="#_x0000_t202">
                  <v:fill on="false"/>
                  <v:stroke on="false"/>
                  <v:path/>
                  <v:imagedata o:title=""/>
                  <o:lock v:ext="edit" aspectratio="false"/>
                  <v:textbox inset="0mm,0mm,0mm,0mm">
                    <w:txbxContent>
                      <w:p>
                        <w:pPr>
                          <w:spacing w:line="20" w:lineRule="exact"/>
                          <w:rPr/>
                        </w:pPr>
                        <w:r/>
                      </w:p>
                      <w:tbl>
                        <w:tblPr>
                          <w:tblStyle w:val="TableNormal"/>
                          <w:tblW w:w="389" w:type="dxa"/>
                          <w:tblInd w:w="30" w:type="dxa"/>
                          <w:tblLayout w:type="fixed"/>
                          <w:tblBorders>
                            <w:left w:val="single" w:color="000000" w:sz="8" w:space="0"/>
                            <w:bottom w:val="single" w:color="000000" w:sz="8" w:space="0"/>
                            <w:right w:val="single" w:color="000000" w:sz="8" w:space="0"/>
                            <w:top w:val="single" w:color="000000" w:sz="8" w:space="0"/>
                          </w:tblBorders>
                        </w:tblPr>
                        <w:tblGrid>
                          <w:gridCol w:w="389"/>
                        </w:tblGrid>
                        <w:tr>
                          <w:trPr>
                            <w:trHeight w:val="914" w:hRule="atLeast"/>
                          </w:trPr>
                          <w:tc>
                            <w:tcPr>
                              <w:tcW w:w="389" w:type="dxa"/>
                              <w:vAlign w:val="top"/>
                              <w:textDirection w:val="tbRlV"/>
                            </w:tcPr>
                            <w:p>
                              <w:pPr>
                                <w:pStyle w:val="TableText"/>
                                <w:ind w:left="89"/>
                                <w:spacing w:before="29" w:line="216" w:lineRule="auto"/>
                                <w:rPr>
                                  <w:sz w:val="20"/>
                                  <w:szCs w:val="20"/>
                                </w:rPr>
                              </w:pPr>
                              <w:r>
                                <w:rPr>
                                  <w:sz w:val="20"/>
                                  <w:szCs w:val="20"/>
                                  <w:spacing w:val="8"/>
                                </w:rPr>
                                <w:t>清</w:t>
                              </w:r>
                              <w:r>
                                <w:rPr>
                                  <w:sz w:val="20"/>
                                  <w:szCs w:val="20"/>
                                  <w:spacing w:val="-37"/>
                                </w:rPr>
                                <w:t xml:space="preserve"> </w:t>
                              </w:r>
                              <w:r>
                                <w:rPr>
                                  <w:sz w:val="20"/>
                                  <w:szCs w:val="20"/>
                                  <w:spacing w:val="8"/>
                                </w:rPr>
                                <w:t>水</w:t>
                              </w:r>
                              <w:r>
                                <w:rPr>
                                  <w:sz w:val="20"/>
                                  <w:szCs w:val="20"/>
                                  <w:spacing w:val="-35"/>
                                </w:rPr>
                                <w:t xml:space="preserve"> </w:t>
                              </w:r>
                              <w:r>
                                <w:rPr>
                                  <w:sz w:val="20"/>
                                  <w:szCs w:val="20"/>
                                  <w:spacing w:val="8"/>
                                </w:rPr>
                                <w:t>池</w:t>
                              </w:r>
                            </w:p>
                          </w:tc>
                        </w:tr>
                      </w:tbl>
                      <w:p>
                        <w:pPr>
                          <w:rPr>
                            <w:rFonts w:ascii="Arial"/>
                            <w:sz w:val="21"/>
                          </w:rPr>
                        </w:pPr>
                        <w:r/>
                      </w:p>
                    </w:txbxContent>
                  </v:textbox>
                </v:shape>
              </w:pict>
            </w:r>
            <w:r>
              <w:drawing>
                <wp:anchor distT="0" distB="0" distL="0" distR="0" simplePos="0" relativeHeight="251717632" behindDoc="0" locked="0" layoutInCell="1" allowOverlap="1">
                  <wp:simplePos x="0" y="0"/>
                  <wp:positionH relativeFrom="rightMargin">
                    <wp:posOffset>-593090</wp:posOffset>
                  </wp:positionH>
                  <wp:positionV relativeFrom="topMargin">
                    <wp:posOffset>365124</wp:posOffset>
                  </wp:positionV>
                  <wp:extent cx="337820" cy="76200"/>
                  <wp:effectExtent l="0" t="0" r="0" b="0"/>
                  <wp:wrapNone/>
                  <wp:docPr id="60" name="IM 60"/>
                  <wp:cNvGraphicFramePr/>
                  <a:graphic>
                    <a:graphicData uri="http://schemas.openxmlformats.org/drawingml/2006/picture">
                      <pic:pic>
                        <pic:nvPicPr>
                          <pic:cNvPr id="60" name="IM 60"/>
                          <pic:cNvPicPr/>
                        </pic:nvPicPr>
                        <pic:blipFill>
                          <a:blip r:embed="rId55"/>
                          <a:stretch>
                            <a:fillRect/>
                          </a:stretch>
                        </pic:blipFill>
                        <pic:spPr>
                          <a:xfrm rot="0">
                            <a:off x="0" y="0"/>
                            <a:ext cx="337820" cy="76200"/>
                          </a:xfrm>
                          <a:prstGeom prst="rect">
                            <a:avLst/>
                          </a:prstGeom>
                        </pic:spPr>
                      </pic:pic>
                    </a:graphicData>
                  </a:graphic>
                </wp:anchor>
              </w:drawing>
            </w:r>
            <w:r>
              <w:pict>
                <v:shape id="_x0000_s30" style="position:absolute;margin-left:-67.75pt;margin-top:3.74994pt;mso-position-vertical-relative:top-margin-area;mso-position-horizontal-relative:right-margin-area;width:22.5pt;height:50.65pt;z-index:251721728;" filled="false" stroked="false" type="#_x0000_t202">
                  <v:fill on="false"/>
                  <v:stroke on="false"/>
                  <v:path/>
                  <v:imagedata o:title=""/>
                  <o:lock v:ext="edit" aspectratio="false"/>
                  <v:textbox inset="0mm,0mm,0mm,0mm">
                    <w:txbxContent>
                      <w:p>
                        <w:pPr>
                          <w:spacing w:line="20" w:lineRule="exact"/>
                          <w:rPr/>
                        </w:pPr>
                        <w:r/>
                      </w:p>
                      <w:tbl>
                        <w:tblPr>
                          <w:tblStyle w:val="TableNormal"/>
                          <w:tblW w:w="389" w:type="dxa"/>
                          <w:tblInd w:w="30" w:type="dxa"/>
                          <w:tblLayout w:type="fixed"/>
                          <w:tblBorders>
                            <w:left w:val="single" w:color="000000" w:sz="8" w:space="0"/>
                            <w:bottom w:val="single" w:color="000000" w:sz="8" w:space="0"/>
                            <w:right w:val="single" w:color="000000" w:sz="8" w:space="0"/>
                            <w:top w:val="single" w:color="000000" w:sz="8" w:space="0"/>
                          </w:tblBorders>
                        </w:tblPr>
                        <w:tblGrid>
                          <w:gridCol w:w="389"/>
                        </w:tblGrid>
                        <w:tr>
                          <w:trPr>
                            <w:trHeight w:val="932" w:hRule="atLeast"/>
                          </w:trPr>
                          <w:tc>
                            <w:tcPr>
                              <w:tcW w:w="389" w:type="dxa"/>
                              <w:vAlign w:val="top"/>
                              <w:textDirection w:val="tbRlV"/>
                            </w:tcPr>
                            <w:p>
                              <w:pPr>
                                <w:pStyle w:val="TableText"/>
                                <w:ind w:left="89"/>
                                <w:spacing w:before="30" w:line="216" w:lineRule="auto"/>
                                <w:rPr>
                                  <w:sz w:val="20"/>
                                  <w:szCs w:val="20"/>
                                </w:rPr>
                              </w:pPr>
                              <w:r>
                                <w:rPr>
                                  <w:sz w:val="20"/>
                                  <w:szCs w:val="20"/>
                                  <w:spacing w:val="8"/>
                                </w:rPr>
                                <w:t>沉</w:t>
                              </w:r>
                              <w:r>
                                <w:rPr>
                                  <w:sz w:val="20"/>
                                  <w:szCs w:val="20"/>
                                  <w:spacing w:val="-37"/>
                                </w:rPr>
                                <w:t xml:space="preserve"> </w:t>
                              </w:r>
                              <w:r>
                                <w:rPr>
                                  <w:sz w:val="20"/>
                                  <w:szCs w:val="20"/>
                                  <w:spacing w:val="8"/>
                                </w:rPr>
                                <w:t>淀</w:t>
                              </w:r>
                              <w:r>
                                <w:rPr>
                                  <w:sz w:val="20"/>
                                  <w:szCs w:val="20"/>
                                  <w:spacing w:val="-35"/>
                                </w:rPr>
                                <w:t xml:space="preserve"> </w:t>
                              </w:r>
                              <w:r>
                                <w:rPr>
                                  <w:sz w:val="20"/>
                                  <w:szCs w:val="20"/>
                                  <w:spacing w:val="8"/>
                                </w:rPr>
                                <w:t>池</w:t>
                              </w:r>
                            </w:p>
                          </w:tc>
                        </w:tr>
                      </w:tbl>
                      <w:p>
                        <w:pPr>
                          <w:rPr>
                            <w:rFonts w:ascii="Arial"/>
                            <w:sz w:val="21"/>
                          </w:rPr>
                        </w:pPr>
                        <w:r/>
                      </w:p>
                    </w:txbxContent>
                  </v:textbox>
                </v:shape>
              </w:pict>
            </w: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ind w:firstLine="540"/>
              <w:spacing w:line="515" w:lineRule="exact"/>
              <w:rPr/>
            </w:pPr>
            <w:r>
              <w:rPr>
                <w:position w:val="-10"/>
              </w:rPr>
              <w:drawing>
                <wp:inline distT="0" distB="0" distL="0" distR="0">
                  <wp:extent cx="76200" cy="327024"/>
                  <wp:effectExtent l="0" t="0" r="0" b="0"/>
                  <wp:docPr id="62" name="IM 62"/>
                  <wp:cNvGraphicFramePr/>
                  <a:graphic>
                    <a:graphicData uri="http://schemas.openxmlformats.org/drawingml/2006/picture">
                      <pic:pic>
                        <pic:nvPicPr>
                          <pic:cNvPr id="62" name="IM 62"/>
                          <pic:cNvPicPr/>
                        </pic:nvPicPr>
                        <pic:blipFill>
                          <a:blip r:embed="rId56"/>
                          <a:stretch>
                            <a:fillRect/>
                          </a:stretch>
                        </pic:blipFill>
                        <pic:spPr>
                          <a:xfrm rot="0">
                            <a:off x="0" y="0"/>
                            <a:ext cx="76200" cy="327024"/>
                          </a:xfrm>
                          <a:prstGeom prst="rect">
                            <a:avLst/>
                          </a:prstGeom>
                        </pic:spPr>
                      </pic:pic>
                    </a:graphicData>
                  </a:graphic>
                </wp:inline>
              </w:drawing>
            </w:r>
          </w:p>
        </w:tc>
        <w:tc>
          <w:tcPr>
            <w:tcW w:w="1021" w:type="dxa"/>
            <w:vAlign w:val="top"/>
            <w:vMerge w:val="restart"/>
            <w:textDirection w:val="tbRlV"/>
            <w:tcBorders>
              <w:bottom w:val="nil"/>
            </w:tcBorders>
          </w:tcPr>
          <w:p>
            <w:pPr>
              <w:pStyle w:val="TableText"/>
              <w:ind w:left="98"/>
              <w:spacing w:before="83" w:line="167" w:lineRule="auto"/>
              <w:rPr>
                <w:sz w:val="22"/>
                <w:szCs w:val="22"/>
              </w:rPr>
            </w:pPr>
            <w:r>
              <w:rPr>
                <w:sz w:val="22"/>
                <w:szCs w:val="22"/>
              </w:rPr>
              <w:t>达</w:t>
            </w:r>
            <w:r>
              <w:rPr>
                <w:sz w:val="22"/>
                <w:szCs w:val="22"/>
                <w:spacing w:val="-8"/>
              </w:rPr>
              <w:t xml:space="preserve"> </w:t>
            </w:r>
            <w:r>
              <w:rPr>
                <w:sz w:val="22"/>
                <w:szCs w:val="22"/>
              </w:rPr>
              <w:t>标</w:t>
            </w:r>
            <w:r>
              <w:rPr>
                <w:sz w:val="22"/>
                <w:szCs w:val="22"/>
                <w:spacing w:val="-11"/>
              </w:rPr>
              <w:t xml:space="preserve"> </w:t>
            </w:r>
            <w:r>
              <w:rPr>
                <w:sz w:val="22"/>
                <w:szCs w:val="22"/>
              </w:rPr>
              <w:t>排</w:t>
            </w:r>
            <w:r>
              <w:rPr>
                <w:sz w:val="22"/>
                <w:szCs w:val="22"/>
                <w:spacing w:val="-12"/>
              </w:rPr>
              <w:t xml:space="preserve"> </w:t>
            </w:r>
            <w:r>
              <w:rPr>
                <w:sz w:val="22"/>
                <w:szCs w:val="22"/>
              </w:rPr>
              <w:t>放</w:t>
            </w:r>
          </w:p>
          <w:p>
            <w:pPr>
              <w:ind w:firstLine="562"/>
              <w:spacing w:line="727" w:lineRule="exact"/>
              <w:rPr/>
            </w:pPr>
            <w:r>
              <w:rPr>
                <w:position w:val="-14"/>
              </w:rPr>
              <w:drawing>
                <wp:inline distT="0" distB="0" distL="0" distR="0">
                  <wp:extent cx="461916" cy="76187"/>
                  <wp:effectExtent l="0" t="0" r="0" b="0"/>
                  <wp:docPr id="64" name="IM 64"/>
                  <wp:cNvGraphicFramePr/>
                  <a:graphic>
                    <a:graphicData uri="http://schemas.openxmlformats.org/drawingml/2006/picture">
                      <pic:pic>
                        <pic:nvPicPr>
                          <pic:cNvPr id="64" name="IM 64"/>
                          <pic:cNvPicPr/>
                        </pic:nvPicPr>
                        <pic:blipFill>
                          <a:blip r:embed="rId57"/>
                          <a:stretch>
                            <a:fillRect/>
                          </a:stretch>
                        </pic:blipFill>
                        <pic:spPr>
                          <a:xfrm rot="0">
                            <a:off x="0" y="0"/>
                            <a:ext cx="461916" cy="76187"/>
                          </a:xfrm>
                          <a:prstGeom prst="rect">
                            <a:avLst/>
                          </a:prstGeom>
                        </pic:spPr>
                      </pic:pic>
                    </a:graphicData>
                  </a:graphic>
                </wp:inline>
              </w:drawing>
            </w:r>
          </w:p>
        </w:tc>
        <w:tc>
          <w:tcPr>
            <w:tcW w:w="425" w:type="dxa"/>
            <w:vAlign w:val="top"/>
            <w:vMerge w:val="restart"/>
            <w:tcBorders>
              <w:right w:val="single" w:color="000000" w:sz="4" w:space="0"/>
              <w:bottom w:val="nil"/>
            </w:tcBorders>
          </w:tcPr>
          <w:p>
            <w:pPr>
              <w:rPr>
                <w:rFonts w:ascii="Arial"/>
                <w:sz w:val="21"/>
              </w:rPr>
            </w:pPr>
            <w:r>
              <w:pict>
                <v:rect id="_x0000_s32" style="position:absolute;margin-left:-16.35pt;margin-top:31.0999pt;mso-position-vertical-relative:top-margin-area;mso-position-horizontal-relative:right-margin-area;width:0.05pt;height:0.65pt;z-index:251725824;" fillcolor="#000000" filled="true" stroked="false"/>
              </w:pict>
            </w:r>
            <w:r/>
          </w:p>
        </w:tc>
      </w:tr>
      <w:tr>
        <w:trPr>
          <w:trHeight w:val="92" w:hRule="atLeast"/>
        </w:trPr>
        <w:tc>
          <w:tcPr>
            <w:tcW w:w="2762" w:type="dxa"/>
            <w:vAlign w:val="top"/>
            <w:vMerge w:val="restart"/>
            <w:tcBorders>
              <w:left w:val="single" w:color="000000" w:sz="4" w:space="0"/>
              <w:bottom w:val="nil"/>
            </w:tcBorders>
          </w:tcPr>
          <w:p>
            <w:pPr>
              <w:spacing w:line="370" w:lineRule="auto"/>
              <w:rPr>
                <w:rFonts w:ascii="Arial"/>
                <w:sz w:val="21"/>
              </w:rPr>
            </w:pPr>
            <w:r/>
          </w:p>
          <w:p>
            <w:pPr>
              <w:pStyle w:val="TableText"/>
              <w:ind w:left="785"/>
              <w:spacing w:before="71" w:line="168" w:lineRule="auto"/>
              <w:tabs>
                <w:tab w:val="left" w:pos="1665"/>
              </w:tabs>
              <w:rPr>
                <w:sz w:val="22"/>
                <w:szCs w:val="22"/>
              </w:rPr>
            </w:pPr>
            <w:r>
              <w:rPr>
                <w:sz w:val="22"/>
                <w:szCs w:val="22"/>
                <w:strike/>
              </w:rPr>
              <w:tab/>
            </w:r>
            <w:r>
              <w:rPr>
                <w:sz w:val="22"/>
                <w:szCs w:val="22"/>
                <w:spacing w:val="31"/>
              </w:rPr>
              <w:t xml:space="preserve"> </w:t>
            </w:r>
            <w:r>
              <w:rPr>
                <w:sz w:val="22"/>
                <w:szCs w:val="22"/>
                <w:spacing w:val="-3"/>
              </w:rPr>
              <w:t>污水路线</w:t>
            </w:r>
          </w:p>
        </w:tc>
        <w:tc>
          <w:tcPr>
            <w:tcW w:w="1521" w:type="dxa"/>
            <w:vAlign w:val="top"/>
            <w:vMerge w:val="continue"/>
            <w:tcBorders>
              <w:bottom w:val="nil"/>
              <w:top w:val="nil"/>
            </w:tcBorders>
          </w:tcPr>
          <w:p>
            <w:pPr>
              <w:rPr>
                <w:rFonts w:ascii="Arial"/>
                <w:sz w:val="21"/>
              </w:rPr>
            </w:pPr>
            <w:r/>
          </w:p>
        </w:tc>
        <w:tc>
          <w:tcPr>
            <w:tcW w:w="1731" w:type="dxa"/>
            <w:vAlign w:val="top"/>
            <w:vMerge w:val="continue"/>
            <w:tcBorders>
              <w:top w:val="nil"/>
            </w:tcBorders>
          </w:tcPr>
          <w:p>
            <w:pPr>
              <w:rPr>
                <w:rFonts w:ascii="Arial"/>
                <w:sz w:val="21"/>
              </w:rPr>
            </w:pPr>
            <w:r/>
          </w:p>
        </w:tc>
        <w:tc>
          <w:tcPr>
            <w:tcW w:w="1021" w:type="dxa"/>
            <w:vAlign w:val="top"/>
            <w:vMerge w:val="continue"/>
            <w:textDirection w:val="tbRlV"/>
            <w:tcBorders>
              <w:top w:val="nil"/>
            </w:tcBorders>
          </w:tcPr>
          <w:p>
            <w:pPr>
              <w:rPr>
                <w:rFonts w:ascii="Arial"/>
                <w:sz w:val="21"/>
              </w:rPr>
            </w:pPr>
            <w:r/>
          </w:p>
        </w:tc>
        <w:tc>
          <w:tcPr>
            <w:tcW w:w="425" w:type="dxa"/>
            <w:vAlign w:val="top"/>
            <w:vMerge w:val="continue"/>
            <w:tcBorders>
              <w:right w:val="single" w:color="000000" w:sz="4" w:space="0"/>
              <w:top w:val="nil"/>
            </w:tcBorders>
          </w:tcPr>
          <w:p>
            <w:pPr>
              <w:rPr>
                <w:rFonts w:ascii="Arial"/>
                <w:sz w:val="21"/>
              </w:rPr>
            </w:pPr>
            <w:r/>
          </w:p>
        </w:tc>
      </w:tr>
      <w:tr>
        <w:trPr>
          <w:trHeight w:val="562" w:hRule="atLeast"/>
        </w:trPr>
        <w:tc>
          <w:tcPr>
            <w:tcW w:w="2762" w:type="dxa"/>
            <w:vAlign w:val="top"/>
            <w:vMerge w:val="continue"/>
            <w:tcBorders>
              <w:left w:val="single" w:color="000000" w:sz="4" w:space="0"/>
              <w:bottom w:val="single" w:color="000000" w:sz="4" w:space="0"/>
              <w:top w:val="nil"/>
            </w:tcBorders>
          </w:tcPr>
          <w:p>
            <w:pPr>
              <w:rPr>
                <w:rFonts w:ascii="Arial"/>
                <w:sz w:val="21"/>
              </w:rPr>
            </w:pPr>
            <w:r/>
          </w:p>
        </w:tc>
        <w:tc>
          <w:tcPr>
            <w:tcW w:w="1521" w:type="dxa"/>
            <w:vAlign w:val="top"/>
            <w:vMerge w:val="continue"/>
            <w:tcBorders>
              <w:bottom w:val="single" w:color="000000" w:sz="4" w:space="0"/>
              <w:top w:val="nil"/>
            </w:tcBorders>
          </w:tcPr>
          <w:p>
            <w:pPr>
              <w:rPr>
                <w:rFonts w:ascii="Arial"/>
                <w:sz w:val="21"/>
              </w:rPr>
            </w:pPr>
            <w:r/>
          </w:p>
        </w:tc>
        <w:tc>
          <w:tcPr>
            <w:tcW w:w="3177" w:type="dxa"/>
            <w:vAlign w:val="top"/>
            <w:gridSpan w:val="3"/>
            <w:tcBorders>
              <w:bottom w:val="single" w:color="000000" w:sz="4" w:space="0"/>
              <w:right w:val="single" w:color="000000" w:sz="4" w:space="0"/>
            </w:tcBorders>
          </w:tcPr>
          <w:p>
            <w:pPr>
              <w:pStyle w:val="TableText"/>
              <w:ind w:right="8"/>
              <w:spacing w:before="78" w:line="231" w:lineRule="auto"/>
              <w:jc w:val="right"/>
              <w:rPr>
                <w:sz w:val="22"/>
                <w:szCs w:val="22"/>
              </w:rPr>
            </w:pPr>
            <w:r>
              <w:drawing>
                <wp:anchor distT="0" distB="0" distL="0" distR="0" simplePos="0" relativeHeight="251723776" behindDoc="0" locked="0" layoutInCell="1" allowOverlap="1">
                  <wp:simplePos x="0" y="0"/>
                  <wp:positionH relativeFrom="column">
                    <wp:posOffset>69214</wp:posOffset>
                  </wp:positionH>
                  <wp:positionV relativeFrom="paragraph">
                    <wp:posOffset>30210</wp:posOffset>
                  </wp:positionV>
                  <wp:extent cx="650874" cy="170179"/>
                  <wp:effectExtent l="0" t="0" r="0" b="0"/>
                  <wp:wrapNone/>
                  <wp:docPr id="66" name="IM 66"/>
                  <wp:cNvGraphicFramePr/>
                  <a:graphic>
                    <a:graphicData uri="http://schemas.openxmlformats.org/drawingml/2006/picture">
                      <pic:pic>
                        <pic:nvPicPr>
                          <pic:cNvPr id="66" name="IM 66"/>
                          <pic:cNvPicPr/>
                        </pic:nvPicPr>
                        <pic:blipFill>
                          <a:blip r:embed="rId58"/>
                          <a:stretch>
                            <a:fillRect/>
                          </a:stretch>
                        </pic:blipFill>
                        <pic:spPr>
                          <a:xfrm rot="0">
                            <a:off x="0" y="0"/>
                            <a:ext cx="650874" cy="170179"/>
                          </a:xfrm>
                          <a:prstGeom prst="rect">
                            <a:avLst/>
                          </a:prstGeom>
                        </pic:spPr>
                      </pic:pic>
                    </a:graphicData>
                  </a:graphic>
                </wp:anchor>
              </w:drawing>
            </w:r>
            <w:r>
              <w:rPr>
                <w:sz w:val="22"/>
                <w:szCs w:val="22"/>
                <w:spacing w:val="-3"/>
                <w:position w:val="1"/>
              </w:rPr>
              <w:t>污泥池  </w:t>
            </w:r>
            <w:r>
              <w:rPr>
                <w:sz w:val="22"/>
                <w:szCs w:val="22"/>
                <w:position w:val="5"/>
              </w:rPr>
              <w:drawing>
                <wp:inline distT="0" distB="0" distL="0" distR="0">
                  <wp:extent cx="466890" cy="76187"/>
                  <wp:effectExtent l="0" t="0" r="0" b="0"/>
                  <wp:docPr id="68" name="IM 68"/>
                  <wp:cNvGraphicFramePr/>
                  <a:graphic>
                    <a:graphicData uri="http://schemas.openxmlformats.org/drawingml/2006/picture">
                      <pic:pic>
                        <pic:nvPicPr>
                          <pic:cNvPr id="68" name="IM 68"/>
                          <pic:cNvPicPr/>
                        </pic:nvPicPr>
                        <pic:blipFill>
                          <a:blip r:embed="rId59"/>
                          <a:stretch>
                            <a:fillRect/>
                          </a:stretch>
                        </pic:blipFill>
                        <pic:spPr>
                          <a:xfrm rot="0">
                            <a:off x="0" y="0"/>
                            <a:ext cx="466890" cy="76187"/>
                          </a:xfrm>
                          <a:prstGeom prst="rect">
                            <a:avLst/>
                          </a:prstGeom>
                        </pic:spPr>
                      </pic:pic>
                    </a:graphicData>
                  </a:graphic>
                </wp:inline>
              </w:drawing>
            </w:r>
            <w:r>
              <w:rPr>
                <w:sz w:val="22"/>
                <w:szCs w:val="22"/>
                <w:spacing w:val="-3"/>
              </w:rPr>
              <w:t>污泥定期外运</w:t>
            </w:r>
          </w:p>
        </w:tc>
      </w:tr>
    </w:tbl>
    <w:p>
      <w:pPr>
        <w:ind w:left="795"/>
        <w:spacing w:before="50" w:line="226" w:lineRule="auto"/>
        <w:tabs>
          <w:tab w:val="left" w:pos="980"/>
        </w:tabs>
        <w:rPr>
          <w:rFonts w:ascii="SimSun" w:hAnsi="SimSun" w:eastAsia="SimSun" w:cs="SimSun"/>
          <w:sz w:val="22"/>
          <w:szCs w:val="22"/>
        </w:rPr>
      </w:pPr>
      <w:r>
        <w:rPr>
          <w:rFonts w:ascii="SimSun" w:hAnsi="SimSun" w:eastAsia="SimSun" w:cs="SimSun"/>
          <w:sz w:val="22"/>
          <w:szCs w:val="22"/>
          <w:strike/>
        </w:rPr>
        <w:tab/>
      </w:r>
      <w:r>
        <w:rPr>
          <w:rFonts w:ascii="SimSun" w:hAnsi="SimSun" w:eastAsia="SimSun" w:cs="SimSun"/>
          <w:sz w:val="22"/>
          <w:szCs w:val="22"/>
          <w:spacing w:val="-73"/>
        </w:rPr>
        <w:t xml:space="preserve"> </w:t>
      </w:r>
      <w:r>
        <w:rPr>
          <w:rFonts w:ascii="SimSun" w:hAnsi="SimSun" w:eastAsia="SimSun" w:cs="SimSun"/>
          <w:sz w:val="22"/>
          <w:szCs w:val="22"/>
          <w:position w:val="11"/>
        </w:rPr>
        <w:drawing>
          <wp:inline distT="0" distB="0" distL="0" distR="0">
            <wp:extent cx="635" cy="7620"/>
            <wp:effectExtent l="0" t="0" r="0" b="0"/>
            <wp:docPr id="70" name="IM 70"/>
            <wp:cNvGraphicFramePr/>
            <a:graphic>
              <a:graphicData uri="http://schemas.openxmlformats.org/drawingml/2006/picture">
                <pic:pic>
                  <pic:nvPicPr>
                    <pic:cNvPr id="70" name="IM 70"/>
                    <pic:cNvPicPr/>
                  </pic:nvPicPr>
                  <pic:blipFill>
                    <a:blip r:embed="rId60"/>
                    <a:stretch>
                      <a:fillRect/>
                    </a:stretch>
                  </pic:blipFill>
                  <pic:spPr>
                    <a:xfrm rot="0">
                      <a:off x="0" y="0"/>
                      <a:ext cx="635" cy="7620"/>
                    </a:xfrm>
                    <a:prstGeom prst="rect">
                      <a:avLst/>
                    </a:prstGeom>
                  </pic:spPr>
                </pic:pic>
              </a:graphicData>
            </a:graphic>
          </wp:inline>
        </w:drawing>
      </w:r>
      <w:r>
        <w:rPr>
          <w:rFonts w:ascii="SimSun" w:hAnsi="SimSun" w:eastAsia="SimSun" w:cs="SimSun"/>
          <w:sz w:val="22"/>
          <w:szCs w:val="22"/>
          <w:spacing w:val="-75"/>
        </w:rPr>
        <w:t xml:space="preserve"> </w:t>
      </w:r>
      <w:r>
        <w:rPr>
          <w:rFonts w:ascii="SimSun" w:hAnsi="SimSun" w:eastAsia="SimSun" w:cs="SimSun"/>
          <w:sz w:val="22"/>
          <w:szCs w:val="22"/>
          <w:position w:val="11"/>
        </w:rPr>
        <w:drawing>
          <wp:inline distT="0" distB="0" distL="0" distR="0">
            <wp:extent cx="635" cy="7620"/>
            <wp:effectExtent l="0" t="0" r="0" b="0"/>
            <wp:docPr id="72" name="IM 72"/>
            <wp:cNvGraphicFramePr/>
            <a:graphic>
              <a:graphicData uri="http://schemas.openxmlformats.org/drawingml/2006/picture">
                <pic:pic>
                  <pic:nvPicPr>
                    <pic:cNvPr id="72" name="IM 72"/>
                    <pic:cNvPicPr/>
                  </pic:nvPicPr>
                  <pic:blipFill>
                    <a:blip r:embed="rId61"/>
                    <a:stretch>
                      <a:fillRect/>
                    </a:stretch>
                  </pic:blipFill>
                  <pic:spPr>
                    <a:xfrm rot="0">
                      <a:off x="0" y="0"/>
                      <a:ext cx="635" cy="7620"/>
                    </a:xfrm>
                    <a:prstGeom prst="rect">
                      <a:avLst/>
                    </a:prstGeom>
                  </pic:spPr>
                </pic:pic>
              </a:graphicData>
            </a:graphic>
          </wp:inline>
        </w:drawing>
      </w:r>
      <w:r>
        <w:rPr>
          <w:rFonts w:ascii="SimSun" w:hAnsi="SimSun" w:eastAsia="SimSun" w:cs="SimSun"/>
          <w:sz w:val="22"/>
          <w:szCs w:val="22"/>
          <w:spacing w:val="-74"/>
        </w:rPr>
        <w:t xml:space="preserve"> </w:t>
      </w:r>
      <w:r>
        <w:rPr>
          <w:rFonts w:ascii="SimSun" w:hAnsi="SimSun" w:eastAsia="SimSun" w:cs="SimSun"/>
          <w:sz w:val="22"/>
          <w:szCs w:val="22"/>
          <w:strike/>
          <w:spacing w:val="36"/>
        </w:rPr>
        <w:t xml:space="preserve">  </w:t>
      </w:r>
      <w:r>
        <w:rPr>
          <w:rFonts w:ascii="SimSun" w:hAnsi="SimSun" w:eastAsia="SimSun" w:cs="SimSun"/>
          <w:sz w:val="22"/>
          <w:szCs w:val="22"/>
          <w:spacing w:val="-74"/>
        </w:rPr>
        <w:t xml:space="preserve"> </w:t>
      </w:r>
      <w:r>
        <w:rPr>
          <w:rFonts w:ascii="SimSun" w:hAnsi="SimSun" w:eastAsia="SimSun" w:cs="SimSun"/>
          <w:sz w:val="22"/>
          <w:szCs w:val="22"/>
          <w:position w:val="11"/>
        </w:rPr>
        <w:drawing>
          <wp:inline distT="0" distB="0" distL="0" distR="0">
            <wp:extent cx="635" cy="7620"/>
            <wp:effectExtent l="0" t="0" r="0" b="0"/>
            <wp:docPr id="74" name="IM 74"/>
            <wp:cNvGraphicFramePr/>
            <a:graphic>
              <a:graphicData uri="http://schemas.openxmlformats.org/drawingml/2006/picture">
                <pic:pic>
                  <pic:nvPicPr>
                    <pic:cNvPr id="74" name="IM 74"/>
                    <pic:cNvPicPr/>
                  </pic:nvPicPr>
                  <pic:blipFill>
                    <a:blip r:embed="rId62"/>
                    <a:stretch>
                      <a:fillRect/>
                    </a:stretch>
                  </pic:blipFill>
                  <pic:spPr>
                    <a:xfrm rot="0">
                      <a:off x="0" y="0"/>
                      <a:ext cx="635" cy="7620"/>
                    </a:xfrm>
                    <a:prstGeom prst="rect">
                      <a:avLst/>
                    </a:prstGeom>
                  </pic:spPr>
                </pic:pic>
              </a:graphicData>
            </a:graphic>
          </wp:inline>
        </w:drawing>
      </w:r>
      <w:r>
        <w:rPr>
          <w:rFonts w:ascii="SimSun" w:hAnsi="SimSun" w:eastAsia="SimSun" w:cs="SimSun"/>
          <w:sz w:val="22"/>
          <w:szCs w:val="22"/>
          <w:spacing w:val="-74"/>
        </w:rPr>
        <w:t xml:space="preserve"> </w:t>
      </w:r>
      <w:r>
        <w:rPr>
          <w:rFonts w:ascii="SimSun" w:hAnsi="SimSun" w:eastAsia="SimSun" w:cs="SimSun"/>
          <w:sz w:val="22"/>
          <w:szCs w:val="22"/>
          <w:position w:val="11"/>
        </w:rPr>
        <w:drawing>
          <wp:inline distT="0" distB="0" distL="0" distR="0">
            <wp:extent cx="635" cy="7620"/>
            <wp:effectExtent l="0" t="0" r="0" b="0"/>
            <wp:docPr id="76" name="IM 76"/>
            <wp:cNvGraphicFramePr/>
            <a:graphic>
              <a:graphicData uri="http://schemas.openxmlformats.org/drawingml/2006/picture">
                <pic:pic>
                  <pic:nvPicPr>
                    <pic:cNvPr id="76" name="IM 76"/>
                    <pic:cNvPicPr/>
                  </pic:nvPicPr>
                  <pic:blipFill>
                    <a:blip r:embed="rId63"/>
                    <a:stretch>
                      <a:fillRect/>
                    </a:stretch>
                  </pic:blipFill>
                  <pic:spPr>
                    <a:xfrm rot="0">
                      <a:off x="0" y="0"/>
                      <a:ext cx="635" cy="7620"/>
                    </a:xfrm>
                    <a:prstGeom prst="rect">
                      <a:avLst/>
                    </a:prstGeom>
                  </pic:spPr>
                </pic:pic>
              </a:graphicData>
            </a:graphic>
          </wp:inline>
        </w:drawing>
      </w:r>
      <w:r>
        <w:rPr>
          <w:rFonts w:ascii="SimSun" w:hAnsi="SimSun" w:eastAsia="SimSun" w:cs="SimSun"/>
          <w:sz w:val="22"/>
          <w:szCs w:val="22"/>
          <w:spacing w:val="-75"/>
        </w:rPr>
        <w:t xml:space="preserve"> </w:t>
      </w:r>
      <w:r>
        <w:rPr>
          <w:rFonts w:ascii="SimSun" w:hAnsi="SimSun" w:eastAsia="SimSun" w:cs="SimSun"/>
          <w:sz w:val="22"/>
          <w:szCs w:val="22"/>
          <w:strike/>
          <w:spacing w:val="75"/>
        </w:rPr>
        <w:t xml:space="preserve"> </w:t>
      </w:r>
      <w:r>
        <w:rPr>
          <w:rFonts w:ascii="SimSun" w:hAnsi="SimSun" w:eastAsia="SimSun" w:cs="SimSun"/>
          <w:sz w:val="22"/>
          <w:szCs w:val="22"/>
          <w:spacing w:val="50"/>
        </w:rPr>
        <w:t xml:space="preserve"> </w:t>
      </w:r>
      <w:r>
        <w:rPr>
          <w:rFonts w:ascii="SimSun" w:hAnsi="SimSun" w:eastAsia="SimSun" w:cs="SimSun"/>
          <w:sz w:val="22"/>
          <w:szCs w:val="22"/>
          <w:spacing w:val="-8"/>
        </w:rPr>
        <w:t>回流路线</w:t>
      </w:r>
    </w:p>
    <w:p>
      <w:pPr>
        <w:ind w:left="795"/>
        <w:spacing w:before="1" w:line="213" w:lineRule="auto"/>
        <w:tabs>
          <w:tab w:val="left" w:pos="941"/>
        </w:tabs>
        <w:rPr>
          <w:rFonts w:ascii="SimSun" w:hAnsi="SimSun" w:eastAsia="SimSun" w:cs="SimSun"/>
          <w:sz w:val="22"/>
          <w:szCs w:val="22"/>
        </w:rPr>
      </w:pPr>
      <w:r>
        <w:rPr>
          <w:rFonts w:ascii="SimSun" w:hAnsi="SimSun" w:eastAsia="SimSun" w:cs="SimSun"/>
          <w:sz w:val="22"/>
          <w:szCs w:val="22"/>
          <w:strike/>
        </w:rPr>
        <w:tab/>
      </w:r>
      <w:r>
        <w:rPr>
          <w:rFonts w:ascii="SimSun" w:hAnsi="SimSun" w:eastAsia="SimSun" w:cs="SimSun"/>
          <w:sz w:val="22"/>
          <w:szCs w:val="22"/>
          <w:spacing w:val="-71"/>
        </w:rPr>
        <w:t xml:space="preserve"> </w:t>
      </w:r>
      <w:r>
        <w:rPr>
          <w:rFonts w:ascii="SimSun" w:hAnsi="SimSun" w:eastAsia="SimSun" w:cs="SimSun"/>
          <w:sz w:val="22"/>
          <w:szCs w:val="22"/>
          <w:strike/>
          <w:spacing w:val="35"/>
        </w:rPr>
        <w:t xml:space="preserve"> </w:t>
      </w:r>
      <w:r>
        <w:rPr>
          <w:rFonts w:ascii="SimSun" w:hAnsi="SimSun" w:eastAsia="SimSun" w:cs="SimSun"/>
          <w:sz w:val="22"/>
          <w:szCs w:val="22"/>
          <w:spacing w:val="-73"/>
        </w:rPr>
        <w:t xml:space="preserve"> </w:t>
      </w:r>
      <w:r>
        <w:rPr>
          <w:rFonts w:ascii="SimSun" w:hAnsi="SimSun" w:eastAsia="SimSun" w:cs="SimSun"/>
          <w:sz w:val="22"/>
          <w:szCs w:val="22"/>
          <w:strike/>
          <w:spacing w:val="36"/>
        </w:rPr>
        <w:t xml:space="preserve"> </w:t>
      </w:r>
      <w:r>
        <w:rPr>
          <w:rFonts w:ascii="SimSun" w:hAnsi="SimSun" w:eastAsia="SimSun" w:cs="SimSun"/>
          <w:sz w:val="22"/>
          <w:szCs w:val="22"/>
          <w:spacing w:val="-73"/>
        </w:rPr>
        <w:t xml:space="preserve"> </w:t>
      </w:r>
      <w:r>
        <w:rPr>
          <w:rFonts w:ascii="SimSun" w:hAnsi="SimSun" w:eastAsia="SimSun" w:cs="SimSun"/>
          <w:sz w:val="22"/>
          <w:szCs w:val="22"/>
          <w:strike/>
          <w:spacing w:val="35"/>
        </w:rPr>
        <w:t xml:space="preserve"> </w:t>
      </w:r>
      <w:r>
        <w:rPr>
          <w:rFonts w:ascii="SimSun" w:hAnsi="SimSun" w:eastAsia="SimSun" w:cs="SimSun"/>
          <w:sz w:val="22"/>
          <w:szCs w:val="22"/>
          <w:spacing w:val="-73"/>
        </w:rPr>
        <w:t xml:space="preserve"> </w:t>
      </w:r>
      <w:r>
        <w:rPr>
          <w:rFonts w:ascii="SimSun" w:hAnsi="SimSun" w:eastAsia="SimSun" w:cs="SimSun"/>
          <w:sz w:val="22"/>
          <w:szCs w:val="22"/>
          <w:strike/>
          <w:spacing w:val="38"/>
        </w:rPr>
        <w:t xml:space="preserve"> </w:t>
      </w:r>
      <w:r>
        <w:rPr>
          <w:rFonts w:ascii="SimSun" w:hAnsi="SimSun" w:eastAsia="SimSun" w:cs="SimSun"/>
          <w:sz w:val="22"/>
          <w:szCs w:val="22"/>
          <w:spacing w:val="16"/>
        </w:rPr>
        <w:t xml:space="preserve"> </w:t>
      </w:r>
      <w:r>
        <w:rPr>
          <w:rFonts w:ascii="SimSun" w:hAnsi="SimSun" w:eastAsia="SimSun" w:cs="SimSun"/>
          <w:sz w:val="22"/>
          <w:szCs w:val="22"/>
          <w:spacing w:val="-3"/>
        </w:rPr>
        <w:t>污泥路线</w:t>
      </w:r>
    </w:p>
    <w:p>
      <w:pPr>
        <w:ind w:left="795"/>
        <w:spacing w:before="19" w:line="214" w:lineRule="auto"/>
        <w:tabs>
          <w:tab w:val="left" w:pos="1675"/>
        </w:tabs>
        <w:rPr>
          <w:rFonts w:ascii="SimSun" w:hAnsi="SimSun" w:eastAsia="SimSun" w:cs="SimSun"/>
          <w:sz w:val="22"/>
          <w:szCs w:val="22"/>
        </w:rPr>
      </w:pPr>
      <w:r>
        <w:rPr>
          <w:rFonts w:ascii="SimSun" w:hAnsi="SimSun" w:eastAsia="SimSun" w:cs="SimSun"/>
          <w:sz w:val="22"/>
          <w:szCs w:val="22"/>
          <w:strike/>
        </w:rPr>
        <w:tab/>
      </w:r>
      <w:r>
        <w:rPr>
          <w:rFonts w:ascii="SimSun" w:hAnsi="SimSun" w:eastAsia="SimSun" w:cs="SimSun"/>
          <w:sz w:val="22"/>
          <w:szCs w:val="22"/>
          <w:spacing w:val="39"/>
        </w:rPr>
        <w:t xml:space="preserve"> </w:t>
      </w:r>
      <w:r>
        <w:rPr>
          <w:rFonts w:ascii="SimSun" w:hAnsi="SimSun" w:eastAsia="SimSun" w:cs="SimSun"/>
          <w:sz w:val="22"/>
          <w:szCs w:val="22"/>
          <w:spacing w:val="-5"/>
        </w:rPr>
        <w:t>曝气路线</w:t>
      </w:r>
    </w:p>
    <w:p>
      <w:pPr>
        <w:ind w:left="2070"/>
        <w:spacing w:line="219" w:lineRule="auto"/>
        <w:rPr>
          <w:rFonts w:ascii="SimSun" w:hAnsi="SimSun" w:eastAsia="SimSun" w:cs="SimSun"/>
          <w:sz w:val="24"/>
          <w:szCs w:val="24"/>
        </w:rPr>
      </w:pPr>
      <w:r>
        <w:rPr>
          <w:rFonts w:ascii="SimSun" w:hAnsi="SimSun" w:eastAsia="SimSun" w:cs="SimSun"/>
          <w:sz w:val="24"/>
          <w:szCs w:val="24"/>
          <w:spacing w:val="-3"/>
        </w:rPr>
        <w:t>图</w:t>
      </w:r>
      <w:r>
        <w:rPr>
          <w:rFonts w:ascii="Times New Roman" w:hAnsi="Times New Roman" w:eastAsia="Times New Roman" w:cs="Times New Roman"/>
          <w:sz w:val="24"/>
          <w:szCs w:val="24"/>
          <w:spacing w:val="-3"/>
        </w:rPr>
        <w:t>2.11-</w:t>
      </w:r>
      <w:r>
        <w:rPr>
          <w:rFonts w:ascii="Times New Roman" w:hAnsi="Times New Roman" w:eastAsia="Times New Roman" w:cs="Times New Roman"/>
          <w:sz w:val="24"/>
          <w:szCs w:val="24"/>
          <w:spacing w:val="-20"/>
        </w:rPr>
        <w:t xml:space="preserve"> </w:t>
      </w:r>
      <w:r>
        <w:rPr>
          <w:rFonts w:ascii="Times New Roman" w:hAnsi="Times New Roman" w:eastAsia="Times New Roman" w:cs="Times New Roman"/>
          <w:sz w:val="24"/>
          <w:szCs w:val="24"/>
          <w:spacing w:val="-3"/>
        </w:rPr>
        <w:t>1  </w:t>
      </w:r>
      <w:r>
        <w:rPr>
          <w:rFonts w:ascii="SimSun" w:hAnsi="SimSun" w:eastAsia="SimSun" w:cs="SimSun"/>
          <w:sz w:val="24"/>
          <w:szCs w:val="24"/>
          <w:spacing w:val="-3"/>
        </w:rPr>
        <w:t>地埋式一体化污水处理设施工艺流程</w:t>
      </w:r>
    </w:p>
    <w:p>
      <w:pPr>
        <w:ind w:left="63" w:right="232" w:firstLine="480"/>
        <w:spacing w:before="210" w:line="384" w:lineRule="auto"/>
        <w:rPr>
          <w:rFonts w:ascii="SimSun" w:hAnsi="SimSun" w:eastAsia="SimSun" w:cs="SimSun"/>
          <w:sz w:val="24"/>
          <w:szCs w:val="24"/>
        </w:rPr>
      </w:pPr>
      <w:r>
        <w:rPr>
          <w:rFonts w:ascii="SimSun" w:hAnsi="SimSun" w:eastAsia="SimSun" w:cs="SimSun"/>
          <w:sz w:val="24"/>
          <w:szCs w:val="24"/>
          <w:spacing w:val="-3"/>
        </w:rPr>
        <w:t>①格栅：是拦截大颗粒的悬浮物质和切碎凝聚的软体物质（纸屑</w:t>
      </w:r>
      <w:r>
        <w:rPr>
          <w:rFonts w:ascii="SimSun" w:hAnsi="SimSun" w:eastAsia="SimSun" w:cs="SimSun"/>
          <w:sz w:val="24"/>
          <w:szCs w:val="24"/>
          <w:spacing w:val="-4"/>
        </w:rPr>
        <w:t>或事物残渣</w:t>
      </w:r>
      <w:r>
        <w:rPr>
          <w:rFonts w:ascii="SimSun" w:hAnsi="SimSun" w:eastAsia="SimSun" w:cs="SimSun"/>
          <w:sz w:val="24"/>
          <w:szCs w:val="24"/>
        </w:rPr>
        <w:t xml:space="preserve"> </w:t>
      </w:r>
      <w:r>
        <w:rPr>
          <w:rFonts w:ascii="SimSun" w:hAnsi="SimSun" w:eastAsia="SimSun" w:cs="SimSun"/>
          <w:sz w:val="24"/>
          <w:szCs w:val="24"/>
          <w:spacing w:val="-2"/>
        </w:rPr>
        <w:t>等</w:t>
      </w:r>
      <w:r>
        <w:rPr>
          <w:rFonts w:ascii="SimSun" w:hAnsi="SimSun" w:eastAsia="SimSun" w:cs="SimSun"/>
          <w:sz w:val="24"/>
          <w:szCs w:val="24"/>
          <w:spacing w:val="-12"/>
        </w:rPr>
        <w:t>），</w:t>
      </w:r>
      <w:r>
        <w:rPr>
          <w:rFonts w:ascii="SimSun" w:hAnsi="SimSun" w:eastAsia="SimSun" w:cs="SimSun"/>
          <w:sz w:val="24"/>
          <w:szCs w:val="24"/>
          <w:spacing w:val="-2"/>
        </w:rPr>
        <w:t>防止水泵或管道阻塞的重要设备，它是用</w:t>
      </w:r>
      <w:r>
        <w:rPr>
          <w:rFonts w:ascii="SimSun" w:hAnsi="SimSun" w:eastAsia="SimSun" w:cs="SimSun"/>
          <w:sz w:val="24"/>
          <w:szCs w:val="24"/>
          <w:spacing w:val="-3"/>
        </w:rPr>
        <w:t>平行排列的树根铁条制成，间隙</w:t>
      </w:r>
      <w:r>
        <w:rPr>
          <w:rFonts w:ascii="SimSun" w:hAnsi="SimSun" w:eastAsia="SimSun" w:cs="SimSun"/>
          <w:sz w:val="24"/>
          <w:szCs w:val="24"/>
        </w:rPr>
        <w:t xml:space="preserve"> </w:t>
      </w:r>
      <w:r>
        <w:rPr>
          <w:rFonts w:ascii="SimSun" w:hAnsi="SimSun" w:eastAsia="SimSun" w:cs="SimSun"/>
          <w:sz w:val="24"/>
          <w:szCs w:val="24"/>
          <w:spacing w:val="-4"/>
        </w:rPr>
        <w:t>为</w:t>
      </w:r>
      <w:r>
        <w:rPr>
          <w:rFonts w:ascii="Times New Roman" w:hAnsi="Times New Roman" w:eastAsia="Times New Roman" w:cs="Times New Roman"/>
          <w:sz w:val="24"/>
          <w:szCs w:val="24"/>
          <w:spacing w:val="-4"/>
        </w:rPr>
        <w:t>2mm</w:t>
      </w:r>
      <w:r>
        <w:rPr>
          <w:rFonts w:ascii="SimSun" w:hAnsi="SimSun" w:eastAsia="SimSun" w:cs="SimSun"/>
          <w:sz w:val="24"/>
          <w:szCs w:val="24"/>
          <w:spacing w:val="-4"/>
        </w:rPr>
        <w:t>，防止时与水流方向水平线呈</w:t>
      </w:r>
      <w:r>
        <w:rPr>
          <w:rFonts w:ascii="Times New Roman" w:hAnsi="Times New Roman" w:eastAsia="Times New Roman" w:cs="Times New Roman"/>
          <w:sz w:val="24"/>
          <w:szCs w:val="24"/>
          <w:spacing w:val="-4"/>
        </w:rPr>
        <w:t>60</w:t>
      </w:r>
      <w:r>
        <w:rPr>
          <w:rFonts w:ascii="Times New Roman" w:hAnsi="Times New Roman" w:eastAsia="Times New Roman" w:cs="Times New Roman"/>
          <w:sz w:val="24"/>
          <w:szCs w:val="24"/>
          <w:spacing w:val="-29"/>
        </w:rPr>
        <w:t xml:space="preserve"> </w:t>
      </w:r>
      <w:r>
        <w:rPr>
          <w:rFonts w:ascii="SimSun" w:hAnsi="SimSun" w:eastAsia="SimSun" w:cs="SimSun"/>
          <w:sz w:val="24"/>
          <w:szCs w:val="24"/>
          <w:spacing w:val="-4"/>
        </w:rPr>
        <w:t>°角倾斜，以利于清除被阻留的残渣，在</w:t>
      </w:r>
      <w:r>
        <w:rPr>
          <w:rFonts w:ascii="SimSun" w:hAnsi="SimSun" w:eastAsia="SimSun" w:cs="SimSun"/>
          <w:sz w:val="24"/>
          <w:szCs w:val="24"/>
        </w:rPr>
        <w:t xml:space="preserve"> </w:t>
      </w:r>
      <w:r>
        <w:rPr>
          <w:rFonts w:ascii="SimSun" w:hAnsi="SimSun" w:eastAsia="SimSun" w:cs="SimSun"/>
          <w:sz w:val="24"/>
          <w:szCs w:val="24"/>
        </w:rPr>
        <w:t>格栅的上边设置一个能集中消毒污物的构筑物，为防止</w:t>
      </w:r>
      <w:r>
        <w:rPr>
          <w:rFonts w:ascii="SimSun" w:hAnsi="SimSun" w:eastAsia="SimSun" w:cs="SimSun"/>
          <w:sz w:val="24"/>
          <w:szCs w:val="24"/>
          <w:spacing w:val="-1"/>
        </w:rPr>
        <w:t>管道沉淤和阻留物被冲</w:t>
      </w:r>
      <w:r>
        <w:rPr>
          <w:rFonts w:ascii="SimSun" w:hAnsi="SimSun" w:eastAsia="SimSun" w:cs="SimSun"/>
          <w:sz w:val="24"/>
          <w:szCs w:val="24"/>
        </w:rPr>
        <w:t xml:space="preserve">  </w:t>
      </w:r>
      <w:r>
        <w:rPr>
          <w:rFonts w:ascii="SimSun" w:hAnsi="SimSun" w:eastAsia="SimSun" w:cs="SimSun"/>
          <w:sz w:val="24"/>
          <w:szCs w:val="24"/>
          <w:spacing w:val="-3"/>
        </w:rPr>
        <w:t>散，在设计和建筑时应注意格栅前后的废水流速，格栅阻留下的物质因含有大量</w:t>
      </w:r>
    </w:p>
    <w:p>
      <w:pPr>
        <w:ind w:left="84"/>
        <w:spacing w:line="219" w:lineRule="auto"/>
        <w:rPr>
          <w:rFonts w:ascii="SimSun" w:hAnsi="SimSun" w:eastAsia="SimSun" w:cs="SimSun"/>
          <w:sz w:val="24"/>
          <w:szCs w:val="24"/>
        </w:rPr>
      </w:pPr>
      <w:r>
        <w:rPr>
          <w:rFonts w:ascii="SimSun" w:hAnsi="SimSun" w:eastAsia="SimSun" w:cs="SimSun"/>
          <w:sz w:val="24"/>
          <w:szCs w:val="24"/>
          <w:spacing w:val="-2"/>
        </w:rPr>
        <w:t>的病原体，清除时应进行消毒处理。</w:t>
      </w:r>
    </w:p>
    <w:p>
      <w:pPr>
        <w:ind w:left="63" w:right="171" w:firstLine="479"/>
        <w:spacing w:before="219" w:line="384" w:lineRule="auto"/>
        <w:rPr>
          <w:rFonts w:ascii="SimSun" w:hAnsi="SimSun" w:eastAsia="SimSun" w:cs="SimSun"/>
          <w:sz w:val="24"/>
          <w:szCs w:val="24"/>
        </w:rPr>
      </w:pPr>
      <w:r>
        <w:rPr>
          <w:rFonts w:ascii="SimSun" w:hAnsi="SimSun" w:eastAsia="SimSun" w:cs="SimSun"/>
          <w:sz w:val="24"/>
          <w:szCs w:val="24"/>
          <w:spacing w:val="-1"/>
        </w:rPr>
        <w:t>②调节沉淀池：调节水量，水质同时兼有初沉池的作用。</w:t>
      </w:r>
      <w:r>
        <w:rPr>
          <w:rFonts w:ascii="SimSun" w:hAnsi="SimSun" w:eastAsia="SimSun" w:cs="SimSun"/>
          <w:sz w:val="24"/>
          <w:szCs w:val="24"/>
          <w:spacing w:val="-2"/>
        </w:rPr>
        <w:t>医院废水的水量、</w:t>
      </w:r>
      <w:r>
        <w:rPr>
          <w:rFonts w:ascii="SimSun" w:hAnsi="SimSun" w:eastAsia="SimSun" w:cs="SimSun"/>
          <w:sz w:val="24"/>
          <w:szCs w:val="24"/>
        </w:rPr>
        <w:t xml:space="preserve"> </w:t>
      </w:r>
      <w:r>
        <w:rPr>
          <w:rFonts w:ascii="SimSun" w:hAnsi="SimSun" w:eastAsia="SimSun" w:cs="SimSun"/>
          <w:sz w:val="24"/>
          <w:szCs w:val="24"/>
          <w:spacing w:val="-3"/>
        </w:rPr>
        <w:t>水质都是随时间的推移不断变化，有高峰流量和低峰流量，也有高峰浓度和低峰</w:t>
      </w:r>
      <w:r>
        <w:rPr>
          <w:rFonts w:ascii="SimSun" w:hAnsi="SimSun" w:eastAsia="SimSun" w:cs="SimSun"/>
          <w:sz w:val="24"/>
          <w:szCs w:val="24"/>
          <w:spacing w:val="1"/>
        </w:rPr>
        <w:t xml:space="preserve"> </w:t>
      </w:r>
      <w:r>
        <w:rPr>
          <w:rFonts w:ascii="SimSun" w:hAnsi="SimSun" w:eastAsia="SimSun" w:cs="SimSun"/>
          <w:sz w:val="24"/>
          <w:szCs w:val="24"/>
          <w:spacing w:val="-3"/>
        </w:rPr>
        <w:t>浓度。流量和浓度的不均匀往往给处理设备带来不少困难，或者使其无法保持在</w:t>
      </w:r>
      <w:r>
        <w:rPr>
          <w:rFonts w:ascii="SimSun" w:hAnsi="SimSun" w:eastAsia="SimSun" w:cs="SimSun"/>
          <w:sz w:val="24"/>
          <w:szCs w:val="24"/>
          <w:spacing w:val="1"/>
        </w:rPr>
        <w:t xml:space="preserve"> </w:t>
      </w:r>
      <w:r>
        <w:rPr>
          <w:rFonts w:ascii="SimSun" w:hAnsi="SimSun" w:eastAsia="SimSun" w:cs="SimSun"/>
          <w:sz w:val="24"/>
          <w:szCs w:val="24"/>
          <w:spacing w:val="-3"/>
        </w:rPr>
        <w:t>最优的工艺条件下运行；或者使其短时无法工作，甚至遭受破坏（如在过大的冲</w:t>
      </w:r>
      <w:r>
        <w:rPr>
          <w:rFonts w:ascii="SimSun" w:hAnsi="SimSun" w:eastAsia="SimSun" w:cs="SimSun"/>
          <w:sz w:val="24"/>
          <w:szCs w:val="24"/>
          <w:spacing w:val="1"/>
        </w:rPr>
        <w:t xml:space="preserve"> </w:t>
      </w:r>
      <w:r>
        <w:rPr>
          <w:rFonts w:ascii="SimSun" w:hAnsi="SimSun" w:eastAsia="SimSun" w:cs="SimSun"/>
          <w:sz w:val="24"/>
          <w:szCs w:val="24"/>
          <w:spacing w:val="-8"/>
        </w:rPr>
        <w:t>击负荷条件下）。为了改善废水处理设备的工作条件，一般需要对水量进行调节，</w:t>
      </w:r>
    </w:p>
    <w:p>
      <w:pPr>
        <w:ind w:left="63"/>
        <w:spacing w:line="219" w:lineRule="auto"/>
        <w:rPr>
          <w:rFonts w:ascii="SimSun" w:hAnsi="SimSun" w:eastAsia="SimSun" w:cs="SimSun"/>
          <w:sz w:val="24"/>
          <w:szCs w:val="24"/>
        </w:rPr>
      </w:pPr>
      <w:r>
        <w:rPr>
          <w:rFonts w:ascii="SimSun" w:hAnsi="SimSun" w:eastAsia="SimSun" w:cs="SimSun"/>
          <w:sz w:val="24"/>
          <w:szCs w:val="24"/>
          <w:spacing w:val="-2"/>
        </w:rPr>
        <w:t>对水质进行均和。</w:t>
      </w:r>
    </w:p>
    <w:p>
      <w:pPr>
        <w:ind w:left="542"/>
        <w:spacing w:before="217" w:line="217" w:lineRule="auto"/>
        <w:rPr>
          <w:rFonts w:ascii="SimSun" w:hAnsi="SimSun" w:eastAsia="SimSun" w:cs="SimSun"/>
          <w:sz w:val="24"/>
          <w:szCs w:val="24"/>
        </w:rPr>
      </w:pPr>
      <w:r>
        <w:rPr>
          <w:rFonts w:ascii="SimSun" w:hAnsi="SimSun" w:eastAsia="SimSun" w:cs="SimSun"/>
          <w:sz w:val="24"/>
          <w:szCs w:val="24"/>
          <w:spacing w:val="-3"/>
        </w:rPr>
        <w:t>③厌氧好氧池：处理时间短，因此在处理水量相同的条件下，所需</w:t>
      </w:r>
      <w:r>
        <w:rPr>
          <w:rFonts w:ascii="SimSun" w:hAnsi="SimSun" w:eastAsia="SimSun" w:cs="SimSun"/>
          <w:sz w:val="24"/>
          <w:szCs w:val="24"/>
          <w:spacing w:val="-4"/>
        </w:rPr>
        <w:t>装置的设</w:t>
      </w:r>
    </w:p>
    <w:p>
      <w:pPr>
        <w:spacing w:line="217" w:lineRule="auto"/>
        <w:sectPr>
          <w:headerReference w:type="default" r:id="rId41"/>
          <w:footerReference w:type="default" r:id="rId42"/>
          <w:pgSz w:w="11906" w:h="16839"/>
          <w:pgMar w:top="400" w:right="1566" w:bottom="1211" w:left="1745" w:header="0" w:footer="1049" w:gutter="0"/>
        </w:sectPr>
        <w:rPr>
          <w:rFonts w:ascii="SimSun" w:hAnsi="SimSun" w:eastAsia="SimSun" w:cs="SimSun"/>
          <w:sz w:val="24"/>
          <w:szCs w:val="24"/>
        </w:rPr>
      </w:pPr>
    </w:p>
    <w:p>
      <w:pPr>
        <w:pStyle w:val="BodyText"/>
        <w:spacing w:line="287" w:lineRule="auto"/>
        <w:rPr/>
      </w:pPr>
      <w:r/>
    </w:p>
    <w:p>
      <w:pPr>
        <w:pStyle w:val="BodyText"/>
        <w:spacing w:line="287" w:lineRule="auto"/>
        <w:rPr/>
      </w:pPr>
      <w:r/>
    </w:p>
    <w:p>
      <w:pPr>
        <w:pStyle w:val="BodyText"/>
        <w:spacing w:line="288" w:lineRule="auto"/>
        <w:rPr/>
      </w:pPr>
      <w:r/>
    </w:p>
    <w:p>
      <w:pPr>
        <w:pStyle w:val="BodyText"/>
        <w:spacing w:line="288" w:lineRule="auto"/>
        <w:rPr/>
      </w:pPr>
      <w:r/>
    </w:p>
    <w:p>
      <w:pPr>
        <w:ind w:left="26"/>
        <w:spacing w:before="78" w:line="499" w:lineRule="exact"/>
        <w:rPr>
          <w:rFonts w:ascii="SimSun" w:hAnsi="SimSun" w:eastAsia="SimSun" w:cs="SimSun"/>
          <w:sz w:val="24"/>
          <w:szCs w:val="24"/>
        </w:rPr>
      </w:pPr>
      <w:r>
        <w:rPr>
          <w:rFonts w:ascii="SimSun" w:hAnsi="SimSun" w:eastAsia="SimSun" w:cs="SimSun"/>
          <w:sz w:val="24"/>
          <w:szCs w:val="24"/>
          <w:spacing w:val="-3"/>
          <w:position w:val="19"/>
        </w:rPr>
        <w:t>备较小，占地面积小。厌氧好氧池采用前段厌氧后段好氧工艺，好氧段采用</w:t>
      </w:r>
      <w:r>
        <w:rPr>
          <w:rFonts w:ascii="SimSun" w:hAnsi="SimSun" w:eastAsia="SimSun" w:cs="SimSun"/>
          <w:sz w:val="24"/>
          <w:szCs w:val="24"/>
          <w:spacing w:val="-4"/>
          <w:position w:val="19"/>
        </w:rPr>
        <w:t>生物</w:t>
      </w:r>
    </w:p>
    <w:p>
      <w:pPr>
        <w:ind w:left="22"/>
        <w:spacing w:line="218" w:lineRule="auto"/>
        <w:rPr>
          <w:rFonts w:ascii="SimSun" w:hAnsi="SimSun" w:eastAsia="SimSun" w:cs="SimSun"/>
          <w:sz w:val="24"/>
          <w:szCs w:val="24"/>
        </w:rPr>
      </w:pPr>
      <w:r>
        <w:rPr>
          <w:rFonts w:ascii="SimSun" w:hAnsi="SimSun" w:eastAsia="SimSun" w:cs="SimSun"/>
          <w:sz w:val="24"/>
          <w:szCs w:val="24"/>
          <w:spacing w:val="-1"/>
        </w:rPr>
        <w:t>接触氧化法，池内挂填料，不容易发生污泥膨胀。</w:t>
      </w:r>
    </w:p>
    <w:p>
      <w:pPr>
        <w:ind w:left="23" w:right="234" w:firstLine="478"/>
        <w:spacing w:before="213" w:line="385" w:lineRule="auto"/>
        <w:rPr>
          <w:rFonts w:ascii="SimSun" w:hAnsi="SimSun" w:eastAsia="SimSun" w:cs="SimSun"/>
          <w:sz w:val="24"/>
          <w:szCs w:val="24"/>
        </w:rPr>
      </w:pPr>
      <w:r>
        <w:rPr>
          <w:rFonts w:ascii="SimSun" w:hAnsi="SimSun" w:eastAsia="SimSun" w:cs="SimSun"/>
          <w:sz w:val="24"/>
          <w:szCs w:val="24"/>
          <w:spacing w:val="-3"/>
        </w:rPr>
        <w:t>④沉淀池：由于生物接触氧化法产生污泥量少，采用竖流式，水流</w:t>
      </w:r>
      <w:r>
        <w:rPr>
          <w:rFonts w:ascii="SimSun" w:hAnsi="SimSun" w:eastAsia="SimSun" w:cs="SimSun"/>
          <w:sz w:val="24"/>
          <w:szCs w:val="24"/>
          <w:spacing w:val="-4"/>
        </w:rPr>
        <w:t>向上，带</w:t>
      </w:r>
      <w:r>
        <w:rPr>
          <w:rFonts w:ascii="SimSun" w:hAnsi="SimSun" w:eastAsia="SimSun" w:cs="SimSun"/>
          <w:sz w:val="24"/>
          <w:szCs w:val="24"/>
        </w:rPr>
        <w:t xml:space="preserve"> </w:t>
      </w:r>
      <w:r>
        <w:rPr>
          <w:rFonts w:ascii="SimSun" w:hAnsi="SimSun" w:eastAsia="SimSun" w:cs="SimSun"/>
          <w:sz w:val="24"/>
          <w:szCs w:val="24"/>
          <w:spacing w:val="-3"/>
        </w:rPr>
        <w:t>着微颗粒在上升的过程中，相互碰撞，促进絮凝，颗粒变大，沉速随之增大，促</w:t>
      </w:r>
      <w:r>
        <w:rPr>
          <w:rFonts w:ascii="SimSun" w:hAnsi="SimSun" w:eastAsia="SimSun" w:cs="SimSun"/>
          <w:sz w:val="24"/>
          <w:szCs w:val="24"/>
          <w:spacing w:val="1"/>
        </w:rPr>
        <w:t xml:space="preserve"> </w:t>
      </w:r>
      <w:r>
        <w:rPr>
          <w:rFonts w:ascii="SimSun" w:hAnsi="SimSun" w:eastAsia="SimSun" w:cs="SimSun"/>
          <w:sz w:val="24"/>
          <w:szCs w:val="24"/>
          <w:spacing w:val="-6"/>
        </w:rPr>
        <w:t>使颗粒沉降，池底设污泥斗，污泥斗的倾角为</w:t>
      </w:r>
      <w:r>
        <w:rPr>
          <w:rFonts w:ascii="Times New Roman" w:hAnsi="Times New Roman" w:eastAsia="Times New Roman" w:cs="Times New Roman"/>
          <w:sz w:val="24"/>
          <w:szCs w:val="24"/>
          <w:spacing w:val="-6"/>
        </w:rPr>
        <w:t>60</w:t>
      </w:r>
      <w:r>
        <w:rPr>
          <w:rFonts w:ascii="Times New Roman" w:hAnsi="Times New Roman" w:eastAsia="Times New Roman" w:cs="Times New Roman"/>
          <w:sz w:val="24"/>
          <w:szCs w:val="24"/>
          <w:spacing w:val="-11"/>
        </w:rPr>
        <w:t xml:space="preserve"> </w:t>
      </w:r>
      <w:r>
        <w:rPr>
          <w:rFonts w:ascii="SimSun" w:hAnsi="SimSun" w:eastAsia="SimSun" w:cs="SimSun"/>
          <w:sz w:val="24"/>
          <w:szCs w:val="24"/>
          <w:spacing w:val="-6"/>
        </w:rPr>
        <w:t>°</w:t>
      </w:r>
      <w:r>
        <w:rPr>
          <w:rFonts w:ascii="SimSun" w:hAnsi="SimSun" w:eastAsia="SimSun" w:cs="SimSun"/>
          <w:sz w:val="24"/>
          <w:szCs w:val="24"/>
          <w:spacing w:val="-91"/>
        </w:rPr>
        <w:t xml:space="preserve"> </w:t>
      </w:r>
      <w:r>
        <w:rPr>
          <w:rFonts w:ascii="SimSun" w:hAnsi="SimSun" w:eastAsia="SimSun" w:cs="SimSun"/>
          <w:sz w:val="24"/>
          <w:szCs w:val="24"/>
          <w:spacing w:val="-6"/>
        </w:rPr>
        <w:t>,</w:t>
      </w:r>
      <w:r>
        <w:rPr>
          <w:rFonts w:ascii="SimSun" w:hAnsi="SimSun" w:eastAsia="SimSun" w:cs="SimSun"/>
          <w:sz w:val="24"/>
          <w:szCs w:val="24"/>
          <w:spacing w:val="34"/>
        </w:rPr>
        <w:t xml:space="preserve"> </w:t>
      </w:r>
      <w:r>
        <w:rPr>
          <w:rFonts w:ascii="SimSun" w:hAnsi="SimSun" w:eastAsia="SimSun" w:cs="SimSun"/>
          <w:sz w:val="24"/>
          <w:szCs w:val="24"/>
          <w:spacing w:val="-6"/>
        </w:rPr>
        <w:t>污泥可依靠静水压力将污泥</w:t>
      </w:r>
    </w:p>
    <w:p>
      <w:pPr>
        <w:ind w:left="26"/>
        <w:spacing w:line="219" w:lineRule="auto"/>
        <w:rPr>
          <w:rFonts w:ascii="SimSun" w:hAnsi="SimSun" w:eastAsia="SimSun" w:cs="SimSun"/>
          <w:sz w:val="24"/>
          <w:szCs w:val="24"/>
        </w:rPr>
      </w:pPr>
      <w:r>
        <w:rPr>
          <w:rFonts w:ascii="SimSun" w:hAnsi="SimSun" w:eastAsia="SimSun" w:cs="SimSun"/>
          <w:sz w:val="24"/>
          <w:szCs w:val="24"/>
          <w:spacing w:val="-2"/>
        </w:rPr>
        <w:t>从排泥管排出。</w:t>
      </w:r>
    </w:p>
    <w:p>
      <w:pPr>
        <w:ind w:left="21" w:right="173" w:firstLine="483"/>
        <w:spacing w:before="219" w:line="384" w:lineRule="auto"/>
        <w:rPr>
          <w:rFonts w:ascii="SimSun" w:hAnsi="SimSun" w:eastAsia="SimSun" w:cs="SimSun"/>
          <w:sz w:val="24"/>
          <w:szCs w:val="24"/>
        </w:rPr>
      </w:pPr>
      <w:r>
        <w:rPr>
          <w:rFonts w:ascii="SimSun" w:hAnsi="SimSun" w:eastAsia="SimSun" w:cs="SimSun"/>
          <w:sz w:val="24"/>
          <w:szCs w:val="24"/>
          <w:spacing w:val="-3"/>
        </w:rPr>
        <w:t>生活污水经地埋式一体化污水处理装置处理，满足《农村生</w:t>
      </w:r>
      <w:r>
        <w:rPr>
          <w:rFonts w:ascii="SimSun" w:hAnsi="SimSun" w:eastAsia="SimSun" w:cs="SimSun"/>
          <w:sz w:val="24"/>
          <w:szCs w:val="24"/>
          <w:spacing w:val="-4"/>
        </w:rPr>
        <w:t>活污水处理排放</w:t>
      </w:r>
      <w:r>
        <w:rPr>
          <w:rFonts w:ascii="SimSun" w:hAnsi="SimSun" w:eastAsia="SimSun" w:cs="SimSun"/>
          <w:sz w:val="24"/>
          <w:szCs w:val="24"/>
        </w:rPr>
        <w:t xml:space="preserve"> </w:t>
      </w:r>
      <w:r>
        <w:rPr>
          <w:rFonts w:ascii="SimSun" w:hAnsi="SimSun" w:eastAsia="SimSun" w:cs="SimSun"/>
          <w:sz w:val="24"/>
          <w:szCs w:val="24"/>
        </w:rPr>
        <w:t>标准》（</w:t>
      </w:r>
      <w:r>
        <w:rPr>
          <w:rFonts w:ascii="Times New Roman" w:hAnsi="Times New Roman" w:eastAsia="Times New Roman" w:cs="Times New Roman"/>
          <w:sz w:val="24"/>
          <w:szCs w:val="24"/>
        </w:rPr>
        <w:t>DB65 4275-2019</w:t>
      </w:r>
      <w:r>
        <w:rPr>
          <w:rFonts w:ascii="SimSun" w:hAnsi="SimSun" w:eastAsia="SimSun" w:cs="SimSun"/>
          <w:sz w:val="24"/>
          <w:szCs w:val="24"/>
        </w:rPr>
        <w:t>）</w:t>
      </w:r>
      <w:r>
        <w:rPr>
          <w:rFonts w:ascii="Times New Roman" w:hAnsi="Times New Roman" w:eastAsia="Times New Roman" w:cs="Times New Roman"/>
          <w:sz w:val="24"/>
          <w:szCs w:val="24"/>
        </w:rPr>
        <w:t>B</w:t>
      </w:r>
      <w:r>
        <w:rPr>
          <w:rFonts w:ascii="SimSun" w:hAnsi="SimSun" w:eastAsia="SimSun" w:cs="SimSun"/>
          <w:sz w:val="24"/>
          <w:szCs w:val="24"/>
        </w:rPr>
        <w:t>级标准限值后</w:t>
      </w:r>
      <w:r>
        <w:rPr>
          <w:rFonts w:ascii="SimSun" w:hAnsi="SimSun" w:eastAsia="SimSun" w:cs="SimSun"/>
          <w:sz w:val="24"/>
          <w:szCs w:val="24"/>
          <w:spacing w:val="-1"/>
        </w:rPr>
        <w:t>用于厂区绿化。根据《排污许可证申</w:t>
      </w:r>
      <w:r>
        <w:rPr>
          <w:rFonts w:ascii="SimSun" w:hAnsi="SimSun" w:eastAsia="SimSun" w:cs="SimSun"/>
          <w:sz w:val="24"/>
          <w:szCs w:val="24"/>
        </w:rPr>
        <w:t xml:space="preserve"> </w:t>
      </w:r>
      <w:r>
        <w:rPr>
          <w:rFonts w:ascii="SimSun" w:hAnsi="SimSun" w:eastAsia="SimSun" w:cs="SimSun"/>
          <w:sz w:val="24"/>
          <w:szCs w:val="24"/>
          <w:spacing w:val="-1"/>
        </w:rPr>
        <w:t>请与核发技术规范 橡胶和塑料制品工业》（</w:t>
      </w:r>
      <w:r>
        <w:rPr>
          <w:rFonts w:ascii="Times New Roman" w:hAnsi="Times New Roman" w:eastAsia="Times New Roman" w:cs="Times New Roman"/>
          <w:sz w:val="24"/>
          <w:szCs w:val="24"/>
          <w:spacing w:val="-1"/>
        </w:rPr>
        <w:t>HJ1122-2020</w:t>
      </w:r>
      <w:r>
        <w:rPr>
          <w:rFonts w:ascii="SimSun" w:hAnsi="SimSun" w:eastAsia="SimSun" w:cs="SimSun"/>
          <w:sz w:val="24"/>
          <w:szCs w:val="24"/>
          <w:spacing w:val="-1"/>
        </w:rPr>
        <w:t>）表</w:t>
      </w:r>
      <w:r>
        <w:rPr>
          <w:rFonts w:ascii="Times New Roman" w:hAnsi="Times New Roman" w:eastAsia="Times New Roman" w:cs="Times New Roman"/>
          <w:sz w:val="24"/>
          <w:szCs w:val="24"/>
          <w:spacing w:val="-1"/>
        </w:rPr>
        <w:t>A.</w:t>
      </w:r>
      <w:r>
        <w:rPr>
          <w:rFonts w:ascii="Times New Roman" w:hAnsi="Times New Roman" w:eastAsia="Times New Roman" w:cs="Times New Roman"/>
          <w:sz w:val="24"/>
          <w:szCs w:val="24"/>
          <w:spacing w:val="-2"/>
        </w:rPr>
        <w:t>4</w:t>
      </w:r>
      <w:r>
        <w:rPr>
          <w:rFonts w:ascii="Times New Roman" w:hAnsi="Times New Roman" w:eastAsia="Times New Roman" w:cs="Times New Roman"/>
          <w:sz w:val="24"/>
          <w:szCs w:val="24"/>
          <w:spacing w:val="-29"/>
        </w:rPr>
        <w:t xml:space="preserve"> </w:t>
      </w:r>
      <w:r>
        <w:rPr>
          <w:rFonts w:ascii="SimSun" w:hAnsi="SimSun" w:eastAsia="SimSun" w:cs="SimSun"/>
          <w:sz w:val="24"/>
          <w:szCs w:val="24"/>
          <w:spacing w:val="-2"/>
        </w:rPr>
        <w:t>，本项目生活</w:t>
      </w:r>
      <w:r>
        <w:rPr>
          <w:rFonts w:ascii="SimSun" w:hAnsi="SimSun" w:eastAsia="SimSun" w:cs="SimSun"/>
          <w:sz w:val="24"/>
          <w:szCs w:val="24"/>
        </w:rPr>
        <w:t xml:space="preserve">  </w:t>
      </w:r>
      <w:r>
        <w:rPr>
          <w:rFonts w:ascii="SimSun" w:hAnsi="SimSun" w:eastAsia="SimSun" w:cs="SimSun"/>
          <w:sz w:val="24"/>
          <w:szCs w:val="24"/>
          <w:spacing w:val="-1"/>
        </w:rPr>
        <w:t>污水采取的废水处理工艺属于可行性技术。经企业竣工环境保护验</w:t>
      </w:r>
      <w:r>
        <w:rPr>
          <w:rFonts w:ascii="SimSun" w:hAnsi="SimSun" w:eastAsia="SimSun" w:cs="SimSun"/>
          <w:sz w:val="24"/>
          <w:szCs w:val="24"/>
          <w:spacing w:val="-2"/>
        </w:rPr>
        <w:t>收结果显示，</w:t>
      </w:r>
      <w:r>
        <w:rPr>
          <w:rFonts w:ascii="SimSun" w:hAnsi="SimSun" w:eastAsia="SimSun" w:cs="SimSun"/>
          <w:sz w:val="24"/>
          <w:szCs w:val="24"/>
        </w:rPr>
        <w:t xml:space="preserve"> </w:t>
      </w:r>
      <w:r>
        <w:rPr>
          <w:rFonts w:ascii="SimSun" w:hAnsi="SimSun" w:eastAsia="SimSun" w:cs="SimSun"/>
          <w:sz w:val="24"/>
          <w:szCs w:val="24"/>
          <w:spacing w:val="-8"/>
        </w:rPr>
        <w:t>生活污水可实现达标排放。因此，本企业现有生活污水处理方案属于可行性方案，</w:t>
      </w:r>
    </w:p>
    <w:p>
      <w:pPr>
        <w:ind w:left="23"/>
        <w:spacing w:before="1" w:line="218" w:lineRule="auto"/>
        <w:rPr>
          <w:rFonts w:ascii="SimSun" w:hAnsi="SimSun" w:eastAsia="SimSun" w:cs="SimSun"/>
          <w:sz w:val="24"/>
          <w:szCs w:val="24"/>
        </w:rPr>
      </w:pPr>
      <w:r>
        <w:rPr>
          <w:rFonts w:ascii="SimSun" w:hAnsi="SimSun" w:eastAsia="SimSun" w:cs="SimSun"/>
          <w:sz w:val="24"/>
          <w:szCs w:val="24"/>
          <w:spacing w:val="-1"/>
        </w:rPr>
        <w:t>排放去向明确，依托可行。</w:t>
      </w:r>
    </w:p>
    <w:p>
      <w:pPr>
        <w:ind w:left="491"/>
        <w:spacing w:before="217" w:line="219" w:lineRule="auto"/>
        <w:rPr>
          <w:rFonts w:ascii="SimSun" w:hAnsi="SimSun" w:eastAsia="SimSun" w:cs="SimSun"/>
          <w:sz w:val="24"/>
          <w:szCs w:val="24"/>
        </w:rPr>
      </w:pPr>
      <w:r>
        <w:rPr>
          <w:rFonts w:ascii="SimSun" w:hAnsi="SimSun" w:eastAsia="SimSun" w:cs="SimSun"/>
          <w:sz w:val="24"/>
          <w:szCs w:val="24"/>
          <w:spacing w:val="1"/>
        </w:rPr>
        <w:t>“</w:t>
      </w:r>
      <w:r>
        <w:rPr>
          <w:rFonts w:ascii="SimSun" w:hAnsi="SimSun" w:eastAsia="SimSun" w:cs="SimSun"/>
          <w:sz w:val="24"/>
          <w:szCs w:val="24"/>
          <w14:textOutline w14:w="4358" w14:cap="sq" w14:cmpd="sng">
            <w14:solidFill>
              <w14:srgbClr w14:val="000000"/>
            </w14:solidFill>
            <w14:prstDash w14:val="solid"/>
            <w14:bevel/>
          </w14:textOutline>
          <w:spacing w:val="1"/>
        </w:rPr>
        <w:t>补充核算废空压机油产生量，对废空压机油收集、临时贮存、转移</w:t>
      </w:r>
      <w:r>
        <w:rPr>
          <w:rFonts w:ascii="SimSun" w:hAnsi="SimSun" w:eastAsia="SimSun" w:cs="SimSun"/>
          <w:sz w:val="24"/>
          <w:szCs w:val="24"/>
          <w14:textOutline w14:w="4358" w14:cap="sq" w14:cmpd="sng">
            <w14:solidFill>
              <w14:srgbClr w14:val="000000"/>
            </w14:solidFill>
            <w14:prstDash w14:val="solid"/>
            <w14:bevel/>
          </w14:textOutline>
        </w:rPr>
        <w:t>处置</w:t>
      </w:r>
    </w:p>
    <w:p>
      <w:pPr>
        <w:spacing w:before="215" w:line="499" w:lineRule="exact"/>
        <w:jc w:val="right"/>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position w:val="19"/>
        </w:rPr>
        <w:t>等环节完善相应的污染防治措施和环境管理要求，补充</w:t>
      </w:r>
      <w:r>
        <w:rPr>
          <w:rFonts w:ascii="SimSun" w:hAnsi="SimSun" w:eastAsia="SimSun" w:cs="SimSun"/>
          <w:sz w:val="24"/>
          <w:szCs w:val="24"/>
          <w14:textOutline w14:w="4358" w14:cap="sq" w14:cmpd="sng">
            <w14:solidFill>
              <w14:srgbClr w14:val="000000"/>
            </w14:solidFill>
            <w14:prstDash w14:val="solid"/>
            <w14:bevel/>
          </w14:textOutline>
          <w:spacing w:val="2"/>
          <w:position w:val="19"/>
        </w:rPr>
        <w:t>危险废物环境管理计划</w:t>
      </w:r>
      <w:r>
        <w:rPr>
          <w:rFonts w:ascii="SimSun" w:hAnsi="SimSun" w:eastAsia="SimSun" w:cs="SimSun"/>
          <w:sz w:val="24"/>
          <w:szCs w:val="24"/>
          <w:spacing w:val="-85"/>
          <w:position w:val="19"/>
        </w:rPr>
        <w:t xml:space="preserve"> </w:t>
      </w:r>
      <w:r>
        <w:rPr>
          <w:rFonts w:ascii="SimSun" w:hAnsi="SimSun" w:eastAsia="SimSun" w:cs="SimSun"/>
          <w:sz w:val="24"/>
          <w:szCs w:val="24"/>
          <w:spacing w:val="2"/>
          <w:position w:val="19"/>
        </w:rPr>
        <w:t>”</w:t>
      </w:r>
    </w:p>
    <w:p>
      <w:pPr>
        <w:ind w:left="23"/>
        <w:spacing w:line="219" w:lineRule="auto"/>
        <w:rPr>
          <w:rFonts w:ascii="Times New Roman" w:hAnsi="Times New Roman" w:eastAsia="Times New Roman" w:cs="Times New Roman"/>
          <w:sz w:val="24"/>
          <w:szCs w:val="24"/>
        </w:rPr>
      </w:pPr>
      <w:r>
        <w:rPr>
          <w:rFonts w:ascii="SimSun" w:hAnsi="SimSun" w:eastAsia="SimSun" w:cs="SimSun"/>
          <w:sz w:val="24"/>
          <w:szCs w:val="24"/>
          <w:spacing w:val="-2"/>
        </w:rPr>
        <w:t>修改见</w:t>
      </w:r>
      <w:r>
        <w:rPr>
          <w:rFonts w:ascii="Times New Roman" w:hAnsi="Times New Roman" w:eastAsia="Times New Roman" w:cs="Times New Roman"/>
          <w:sz w:val="24"/>
          <w:szCs w:val="24"/>
          <w:spacing w:val="-2"/>
        </w:rPr>
        <w:t>P51</w:t>
      </w:r>
      <w:r>
        <w:rPr>
          <w:rFonts w:ascii="SimSun" w:hAnsi="SimSun" w:eastAsia="SimSun" w:cs="SimSun"/>
          <w:sz w:val="24"/>
          <w:szCs w:val="24"/>
          <w:spacing w:val="-2"/>
        </w:rPr>
        <w:t>和</w:t>
      </w:r>
      <w:r>
        <w:rPr>
          <w:rFonts w:ascii="Times New Roman" w:hAnsi="Times New Roman" w:eastAsia="Times New Roman" w:cs="Times New Roman"/>
          <w:sz w:val="24"/>
          <w:szCs w:val="24"/>
          <w:spacing w:val="-2"/>
        </w:rPr>
        <w:t>52</w:t>
      </w:r>
    </w:p>
    <w:p>
      <w:pPr>
        <w:ind w:left="501"/>
        <w:spacing w:before="217" w:line="217" w:lineRule="auto"/>
        <w:rPr>
          <w:rFonts w:ascii="SimSun" w:hAnsi="SimSun" w:eastAsia="SimSun" w:cs="SimSun"/>
          <w:sz w:val="24"/>
          <w:szCs w:val="24"/>
        </w:rPr>
      </w:pPr>
      <w:r>
        <w:rPr>
          <w:rFonts w:ascii="SimSun" w:hAnsi="SimSun" w:eastAsia="SimSun" w:cs="SimSun"/>
          <w:sz w:val="24"/>
          <w:szCs w:val="24"/>
          <w:spacing w:val="-1"/>
        </w:rPr>
        <w:t>②机械维修产生废机油</w:t>
      </w:r>
    </w:p>
    <w:p>
      <w:pPr>
        <w:ind w:left="23" w:right="199" w:firstLine="480"/>
        <w:spacing w:before="219" w:line="384" w:lineRule="auto"/>
        <w:rPr>
          <w:rFonts w:ascii="SimSun" w:hAnsi="SimSun" w:eastAsia="SimSun" w:cs="SimSun"/>
          <w:sz w:val="24"/>
          <w:szCs w:val="24"/>
        </w:rPr>
      </w:pPr>
      <w:r>
        <w:rPr>
          <w:rFonts w:ascii="SimSun" w:hAnsi="SimSun" w:eastAsia="SimSun" w:cs="SimSun"/>
          <w:sz w:val="24"/>
          <w:szCs w:val="24"/>
        </w:rPr>
        <w:t>本项目运营过程中使用</w:t>
      </w:r>
      <w:r>
        <w:rPr>
          <w:rFonts w:ascii="Times New Roman" w:hAnsi="Times New Roman" w:eastAsia="Times New Roman" w:cs="Times New Roman"/>
          <w:sz w:val="24"/>
          <w:szCs w:val="24"/>
        </w:rPr>
        <w:t>2</w:t>
      </w:r>
      <w:r>
        <w:rPr>
          <w:rFonts w:ascii="SimSun" w:hAnsi="SimSun" w:eastAsia="SimSun" w:cs="SimSun"/>
          <w:sz w:val="24"/>
          <w:szCs w:val="24"/>
        </w:rPr>
        <w:t>台空压机，空压机需定</w:t>
      </w:r>
      <w:r>
        <w:rPr>
          <w:rFonts w:ascii="SimSun" w:hAnsi="SimSun" w:eastAsia="SimSun" w:cs="SimSun"/>
          <w:sz w:val="24"/>
          <w:szCs w:val="24"/>
          <w:spacing w:val="-1"/>
        </w:rPr>
        <w:t>期更换机油，废机油产生量</w:t>
      </w:r>
      <w:r>
        <w:rPr>
          <w:rFonts w:ascii="SimSun" w:hAnsi="SimSun" w:eastAsia="SimSun" w:cs="SimSun"/>
          <w:sz w:val="24"/>
          <w:szCs w:val="24"/>
        </w:rPr>
        <w:t xml:space="preserve"> </w:t>
      </w:r>
      <w:r>
        <w:rPr>
          <w:rFonts w:ascii="SimSun" w:hAnsi="SimSun" w:eastAsia="SimSun" w:cs="SimSun"/>
          <w:sz w:val="24"/>
          <w:szCs w:val="24"/>
          <w:spacing w:val="-2"/>
        </w:rPr>
        <w:t>约为</w:t>
      </w:r>
      <w:r>
        <w:rPr>
          <w:rFonts w:ascii="Times New Roman" w:hAnsi="Times New Roman" w:eastAsia="Times New Roman" w:cs="Times New Roman"/>
          <w:sz w:val="24"/>
          <w:szCs w:val="24"/>
          <w:spacing w:val="-2"/>
        </w:rPr>
        <w:t>0.5t/a</w:t>
      </w:r>
      <w:r>
        <w:rPr>
          <w:rFonts w:ascii="SimSun" w:hAnsi="SimSun" w:eastAsia="SimSun" w:cs="SimSun"/>
          <w:sz w:val="24"/>
          <w:szCs w:val="24"/>
          <w:spacing w:val="-2"/>
        </w:rPr>
        <w:t>，根据《国家危险废物名录》，属名录中</w:t>
      </w:r>
      <w:r>
        <w:rPr>
          <w:rFonts w:ascii="Times New Roman" w:hAnsi="Times New Roman" w:eastAsia="Times New Roman" w:cs="Times New Roman"/>
          <w:sz w:val="24"/>
          <w:szCs w:val="24"/>
          <w:spacing w:val="-2"/>
        </w:rPr>
        <w:t>HW08</w:t>
      </w:r>
      <w:r>
        <w:rPr>
          <w:rFonts w:ascii="SimSun" w:hAnsi="SimSun" w:eastAsia="SimSun" w:cs="SimSun"/>
          <w:sz w:val="24"/>
          <w:szCs w:val="24"/>
          <w:spacing w:val="-2"/>
        </w:rPr>
        <w:t>废矿物油与含</w:t>
      </w:r>
      <w:r>
        <w:rPr>
          <w:rFonts w:ascii="SimSun" w:hAnsi="SimSun" w:eastAsia="SimSun" w:cs="SimSun"/>
          <w:sz w:val="24"/>
          <w:szCs w:val="24"/>
          <w:spacing w:val="-3"/>
        </w:rPr>
        <w:t>矿物油废</w:t>
      </w:r>
      <w:r>
        <w:rPr>
          <w:rFonts w:ascii="SimSun" w:hAnsi="SimSun" w:eastAsia="SimSun" w:cs="SimSun"/>
          <w:sz w:val="24"/>
          <w:szCs w:val="24"/>
        </w:rPr>
        <w:t xml:space="preserve"> </w:t>
      </w:r>
      <w:r>
        <w:rPr>
          <w:rFonts w:ascii="SimSun" w:hAnsi="SimSun" w:eastAsia="SimSun" w:cs="SimSun"/>
          <w:sz w:val="24"/>
          <w:szCs w:val="24"/>
          <w:spacing w:val="-1"/>
        </w:rPr>
        <w:t>物，行业来源为非特定行业，废物代码分别为</w:t>
      </w:r>
      <w:r>
        <w:rPr>
          <w:rFonts w:ascii="Times New Roman" w:hAnsi="Times New Roman" w:eastAsia="Times New Roman" w:cs="Times New Roman"/>
          <w:sz w:val="24"/>
          <w:szCs w:val="24"/>
          <w:spacing w:val="-1"/>
        </w:rPr>
        <w:t>900-214</w:t>
      </w:r>
      <w:r>
        <w:rPr>
          <w:rFonts w:ascii="Times New Roman" w:hAnsi="Times New Roman" w:eastAsia="Times New Roman" w:cs="Times New Roman"/>
          <w:sz w:val="24"/>
          <w:szCs w:val="24"/>
          <w:spacing w:val="-2"/>
        </w:rPr>
        <w:t>-08</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2"/>
        </w:rPr>
        <w:t>，属车辆、机械维修和</w:t>
      </w:r>
      <w:r>
        <w:rPr>
          <w:rFonts w:ascii="SimSun" w:hAnsi="SimSun" w:eastAsia="SimSun" w:cs="SimSun"/>
          <w:sz w:val="24"/>
          <w:szCs w:val="24"/>
        </w:rPr>
        <w:t xml:space="preserve"> </w:t>
      </w:r>
      <w:r>
        <w:rPr>
          <w:rFonts w:ascii="SimSun" w:hAnsi="SimSun" w:eastAsia="SimSun" w:cs="SimSun"/>
          <w:sz w:val="24"/>
          <w:szCs w:val="24"/>
          <w:spacing w:val="-3"/>
        </w:rPr>
        <w:t>拆解过程中产生的废发动机油、制动器油、</w:t>
      </w:r>
      <w:r>
        <w:rPr>
          <w:rFonts w:ascii="SimSun" w:hAnsi="SimSun" w:eastAsia="SimSun" w:cs="SimSun"/>
          <w:sz w:val="24"/>
          <w:szCs w:val="24"/>
          <w:spacing w:val="-71"/>
        </w:rPr>
        <w:t xml:space="preserve"> </w:t>
      </w:r>
      <w:r>
        <w:rPr>
          <w:rFonts w:ascii="SimSun" w:hAnsi="SimSun" w:eastAsia="SimSun" w:cs="SimSun"/>
          <w:sz w:val="24"/>
          <w:szCs w:val="24"/>
          <w:spacing w:val="-3"/>
        </w:rPr>
        <w:t>自动变</w:t>
      </w:r>
      <w:r>
        <w:rPr>
          <w:rFonts w:ascii="SimSun" w:hAnsi="SimSun" w:eastAsia="SimSun" w:cs="SimSun"/>
          <w:sz w:val="24"/>
          <w:szCs w:val="24"/>
          <w:spacing w:val="-4"/>
        </w:rPr>
        <w:t>速器油、齿轮油等废润滑油，</w:t>
      </w:r>
    </w:p>
    <w:p>
      <w:pPr>
        <w:ind w:left="26"/>
        <w:spacing w:before="1" w:line="219" w:lineRule="auto"/>
        <w:rPr>
          <w:rFonts w:ascii="SimSun" w:hAnsi="SimSun" w:eastAsia="SimSun" w:cs="SimSun"/>
          <w:sz w:val="24"/>
          <w:szCs w:val="24"/>
        </w:rPr>
      </w:pPr>
      <w:r>
        <w:rPr>
          <w:rFonts w:ascii="SimSun" w:hAnsi="SimSun" w:eastAsia="SimSun" w:cs="SimSun"/>
          <w:sz w:val="24"/>
          <w:szCs w:val="24"/>
          <w:spacing w:val="-5"/>
        </w:rPr>
        <w:t>危险特性为</w:t>
      </w:r>
      <w:r>
        <w:rPr>
          <w:rFonts w:ascii="Times New Roman" w:hAnsi="Times New Roman" w:eastAsia="Times New Roman" w:cs="Times New Roman"/>
          <w:sz w:val="24"/>
          <w:szCs w:val="24"/>
          <w:spacing w:val="-5"/>
        </w:rPr>
        <w:t>T</w:t>
      </w:r>
      <w:r>
        <w:rPr>
          <w:rFonts w:ascii="Times New Roman" w:hAnsi="Times New Roman" w:eastAsia="Times New Roman" w:cs="Times New Roman"/>
          <w:sz w:val="24"/>
          <w:szCs w:val="24"/>
          <w:spacing w:val="-29"/>
        </w:rPr>
        <w:t xml:space="preserve"> </w:t>
      </w:r>
      <w:r>
        <w:rPr>
          <w:rFonts w:ascii="SimSun" w:hAnsi="SimSun" w:eastAsia="SimSun" w:cs="SimSun"/>
          <w:sz w:val="24"/>
          <w:szCs w:val="24"/>
          <w:spacing w:val="-5"/>
        </w:rPr>
        <w:t>，</w:t>
      </w:r>
      <w:r>
        <w:rPr>
          <w:rFonts w:ascii="Times New Roman" w:hAnsi="Times New Roman" w:eastAsia="Times New Roman" w:cs="Times New Roman"/>
          <w:sz w:val="24"/>
          <w:szCs w:val="24"/>
          <w:spacing w:val="-5"/>
        </w:rPr>
        <w:t>I</w:t>
      </w:r>
      <w:r>
        <w:rPr>
          <w:rFonts w:ascii="SimSun" w:hAnsi="SimSun" w:eastAsia="SimSun" w:cs="SimSun"/>
          <w:sz w:val="24"/>
          <w:szCs w:val="24"/>
          <w:spacing w:val="-5"/>
        </w:rPr>
        <w:t>。</w:t>
      </w:r>
    </w:p>
    <w:p>
      <w:pPr>
        <w:ind w:left="514"/>
        <w:spacing w:before="216"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）危险废物管理要求</w:t>
      </w:r>
    </w:p>
    <w:p>
      <w:pPr>
        <w:ind w:left="506"/>
        <w:spacing w:before="215" w:line="499" w:lineRule="exact"/>
        <w:rPr>
          <w:rFonts w:ascii="SimSun" w:hAnsi="SimSun" w:eastAsia="SimSun" w:cs="SimSun"/>
          <w:sz w:val="24"/>
          <w:szCs w:val="24"/>
        </w:rPr>
      </w:pPr>
      <w:r>
        <w:rPr>
          <w:rFonts w:ascii="SimSun" w:hAnsi="SimSun" w:eastAsia="SimSun" w:cs="SimSun"/>
          <w:sz w:val="24"/>
          <w:szCs w:val="24"/>
          <w:spacing w:val="-3"/>
          <w:position w:val="19"/>
        </w:rPr>
        <w:t>危险废物管理包括危险废物贮存措施、危险废物转运措施</w:t>
      </w:r>
      <w:r>
        <w:rPr>
          <w:rFonts w:ascii="SimSun" w:hAnsi="SimSun" w:eastAsia="SimSun" w:cs="SimSun"/>
          <w:sz w:val="24"/>
          <w:szCs w:val="24"/>
          <w:spacing w:val="-4"/>
          <w:position w:val="19"/>
        </w:rPr>
        <w:t>、危险废物安全处</w:t>
      </w:r>
    </w:p>
    <w:p>
      <w:pPr>
        <w:ind w:left="21"/>
        <w:spacing w:before="1" w:line="218" w:lineRule="auto"/>
        <w:rPr>
          <w:rFonts w:ascii="Times New Roman" w:hAnsi="Times New Roman" w:eastAsia="Times New Roman" w:cs="Times New Roman"/>
          <w:sz w:val="24"/>
          <w:szCs w:val="24"/>
        </w:rPr>
      </w:pPr>
      <w:r>
        <w:rPr>
          <w:rFonts w:ascii="SimSun" w:hAnsi="SimSun" w:eastAsia="SimSun" w:cs="SimSun"/>
          <w:sz w:val="24"/>
          <w:szCs w:val="24"/>
        </w:rPr>
        <w:t>置措施等环节。本次环评要求严格按照《危险废物贮存污</w:t>
      </w:r>
      <w:r>
        <w:rPr>
          <w:rFonts w:ascii="SimSun" w:hAnsi="SimSun" w:eastAsia="SimSun" w:cs="SimSun"/>
          <w:sz w:val="24"/>
          <w:szCs w:val="24"/>
          <w:spacing w:val="-1"/>
        </w:rPr>
        <w:t>染控制标准》（</w:t>
      </w:r>
      <w:r>
        <w:rPr>
          <w:rFonts w:ascii="Times New Roman" w:hAnsi="Times New Roman" w:eastAsia="Times New Roman" w:cs="Times New Roman"/>
          <w:sz w:val="24"/>
          <w:szCs w:val="24"/>
          <w:spacing w:val="-1"/>
        </w:rPr>
        <w:t>GB</w:t>
      </w:r>
    </w:p>
    <w:p>
      <w:pPr>
        <w:ind w:left="36" w:right="261" w:firstLine="5"/>
        <w:spacing w:before="217" w:line="384" w:lineRule="auto"/>
        <w:rPr>
          <w:rFonts w:ascii="SimSun" w:hAnsi="SimSun" w:eastAsia="SimSun" w:cs="SimSun"/>
          <w:sz w:val="24"/>
          <w:szCs w:val="24"/>
        </w:rPr>
      </w:pPr>
      <w:r>
        <w:rPr>
          <w:rFonts w:ascii="Times New Roman" w:hAnsi="Times New Roman" w:eastAsia="Times New Roman" w:cs="Times New Roman"/>
          <w:sz w:val="24"/>
          <w:szCs w:val="24"/>
          <w:spacing w:val="-1"/>
        </w:rPr>
        <w:t>18597-2023</w:t>
      </w:r>
      <w:r>
        <w:rPr>
          <w:rFonts w:ascii="SimSun" w:hAnsi="SimSun" w:eastAsia="SimSun" w:cs="SimSun"/>
          <w:sz w:val="24"/>
          <w:szCs w:val="24"/>
          <w:spacing w:val="-1"/>
        </w:rPr>
        <w:t>）、《危险废物收集 贮存 运输技术规范》（</w:t>
      </w:r>
      <w:r>
        <w:rPr>
          <w:rFonts w:ascii="Times New Roman" w:hAnsi="Times New Roman" w:eastAsia="Times New Roman" w:cs="Times New Roman"/>
          <w:sz w:val="24"/>
          <w:szCs w:val="24"/>
          <w:spacing w:val="-1"/>
        </w:rPr>
        <w:t>HJ2025-2012</w:t>
      </w:r>
      <w:r>
        <w:rPr>
          <w:rFonts w:ascii="SimSun" w:hAnsi="SimSun" w:eastAsia="SimSun" w:cs="SimSun"/>
          <w:sz w:val="24"/>
          <w:szCs w:val="24"/>
          <w:spacing w:val="-1"/>
        </w:rPr>
        <w:t>）和《危</w:t>
      </w:r>
      <w:r>
        <w:rPr>
          <w:rFonts w:ascii="SimSun" w:hAnsi="SimSun" w:eastAsia="SimSun" w:cs="SimSun"/>
          <w:sz w:val="24"/>
          <w:szCs w:val="24"/>
          <w:spacing w:val="15"/>
        </w:rPr>
        <w:t xml:space="preserve"> </w:t>
      </w:r>
      <w:r>
        <w:rPr>
          <w:rFonts w:ascii="SimSun" w:hAnsi="SimSun" w:eastAsia="SimSun" w:cs="SimSun"/>
          <w:sz w:val="24"/>
          <w:szCs w:val="24"/>
          <w:spacing w:val="-1"/>
        </w:rPr>
        <w:t>险废物转移管理办法》（生态环境部 公安部 交通运输部 部令第</w:t>
      </w:r>
      <w:r>
        <w:rPr>
          <w:rFonts w:ascii="Times New Roman" w:hAnsi="Times New Roman" w:eastAsia="Times New Roman" w:cs="Times New Roman"/>
          <w:sz w:val="24"/>
          <w:szCs w:val="24"/>
          <w:spacing w:val="-1"/>
        </w:rPr>
        <w:t>23</w:t>
      </w:r>
      <w:r>
        <w:rPr>
          <w:rFonts w:ascii="SimSun" w:hAnsi="SimSun" w:eastAsia="SimSun" w:cs="SimSun"/>
          <w:sz w:val="24"/>
          <w:szCs w:val="24"/>
          <w:spacing w:val="-1"/>
        </w:rPr>
        <w:t>号）相关要</w:t>
      </w:r>
    </w:p>
    <w:p>
      <w:pPr>
        <w:ind w:left="25"/>
        <w:spacing w:line="219" w:lineRule="auto"/>
        <w:rPr>
          <w:rFonts w:ascii="SimSun" w:hAnsi="SimSun" w:eastAsia="SimSun" w:cs="SimSun"/>
          <w:sz w:val="24"/>
          <w:szCs w:val="24"/>
        </w:rPr>
      </w:pPr>
      <w:r>
        <w:rPr>
          <w:rFonts w:ascii="SimSun" w:hAnsi="SimSun" w:eastAsia="SimSun" w:cs="SimSun"/>
          <w:sz w:val="24"/>
          <w:szCs w:val="24"/>
          <w:spacing w:val="-3"/>
        </w:rPr>
        <w:t>求对其进行贮存、转移及制度性管理。根据国家产生危险废物的单位应当以控制</w:t>
      </w:r>
    </w:p>
    <w:p>
      <w:pPr>
        <w:spacing w:line="219" w:lineRule="auto"/>
        <w:sectPr>
          <w:headerReference w:type="default" r:id="rId3"/>
          <w:footerReference w:type="default" r:id="rId64"/>
          <w:pgSz w:w="11906" w:h="16839"/>
          <w:pgMar w:top="400" w:right="1564" w:bottom="1211" w:left="1785" w:header="0" w:footer="1049" w:gutter="0"/>
        </w:sectPr>
        <w:rPr>
          <w:rFonts w:ascii="SimSun" w:hAnsi="SimSun" w:eastAsia="SimSun" w:cs="SimSun"/>
          <w:sz w:val="24"/>
          <w:szCs w:val="24"/>
        </w:rPr>
      </w:pPr>
    </w:p>
    <w:p>
      <w:pPr>
        <w:pStyle w:val="BodyText"/>
        <w:spacing w:line="287" w:lineRule="auto"/>
        <w:rPr/>
      </w:pPr>
      <w:r/>
    </w:p>
    <w:p>
      <w:pPr>
        <w:pStyle w:val="BodyText"/>
        <w:spacing w:line="287" w:lineRule="auto"/>
        <w:rPr/>
      </w:pPr>
      <w:r/>
    </w:p>
    <w:p>
      <w:pPr>
        <w:pStyle w:val="BodyText"/>
        <w:spacing w:line="288" w:lineRule="auto"/>
        <w:rPr/>
      </w:pPr>
      <w:r/>
    </w:p>
    <w:p>
      <w:pPr>
        <w:pStyle w:val="BodyText"/>
        <w:spacing w:line="288" w:lineRule="auto"/>
        <w:rPr/>
      </w:pPr>
      <w:r/>
    </w:p>
    <w:p>
      <w:pPr>
        <w:ind w:left="26"/>
        <w:spacing w:before="78" w:line="499" w:lineRule="exact"/>
        <w:rPr>
          <w:rFonts w:ascii="SimSun" w:hAnsi="SimSun" w:eastAsia="SimSun" w:cs="SimSun"/>
          <w:sz w:val="24"/>
          <w:szCs w:val="24"/>
        </w:rPr>
      </w:pPr>
      <w:r>
        <w:rPr>
          <w:rFonts w:ascii="SimSun" w:hAnsi="SimSun" w:eastAsia="SimSun" w:cs="SimSun"/>
          <w:sz w:val="24"/>
          <w:szCs w:val="24"/>
          <w:spacing w:val="-3"/>
          <w:position w:val="19"/>
        </w:rPr>
        <w:t>危险废物的环境风险为目标，企业应制定危险废物管理计划和应急预案并报</w:t>
      </w:r>
      <w:r>
        <w:rPr>
          <w:rFonts w:ascii="SimSun" w:hAnsi="SimSun" w:eastAsia="SimSun" w:cs="SimSun"/>
          <w:sz w:val="24"/>
          <w:szCs w:val="24"/>
          <w:spacing w:val="-4"/>
          <w:position w:val="19"/>
        </w:rPr>
        <w:t>所在</w:t>
      </w:r>
    </w:p>
    <w:p>
      <w:pPr>
        <w:ind w:left="23"/>
        <w:spacing w:line="219" w:lineRule="auto"/>
        <w:rPr>
          <w:rFonts w:ascii="SimSun" w:hAnsi="SimSun" w:eastAsia="SimSun" w:cs="SimSun"/>
          <w:sz w:val="24"/>
          <w:szCs w:val="24"/>
        </w:rPr>
      </w:pPr>
      <w:r>
        <w:rPr>
          <w:rFonts w:ascii="SimSun" w:hAnsi="SimSun" w:eastAsia="SimSun" w:cs="SimSun"/>
          <w:sz w:val="24"/>
          <w:szCs w:val="24"/>
          <w:spacing w:val="-1"/>
        </w:rPr>
        <w:t>地县级以上地方环保部门备案。</w:t>
      </w:r>
    </w:p>
    <w:p>
      <w:pPr>
        <w:ind w:left="15" w:firstLine="489"/>
        <w:spacing w:before="213" w:line="385" w:lineRule="auto"/>
        <w:rPr>
          <w:rFonts w:ascii="SimSun" w:hAnsi="SimSun" w:eastAsia="SimSun" w:cs="SimSun"/>
          <w:sz w:val="24"/>
          <w:szCs w:val="24"/>
        </w:rPr>
      </w:pPr>
      <w:r>
        <w:rPr>
          <w:rFonts w:ascii="SimSun" w:hAnsi="SimSun" w:eastAsia="SimSun" w:cs="SimSun"/>
          <w:sz w:val="24"/>
          <w:szCs w:val="24"/>
        </w:rPr>
        <w:t>本项目产生的危险废物依托企业已建暂存间，</w:t>
      </w:r>
      <w:r>
        <w:rPr>
          <w:rFonts w:ascii="SimSun" w:hAnsi="SimSun" w:eastAsia="SimSun" w:cs="SimSun"/>
          <w:sz w:val="24"/>
          <w:szCs w:val="24"/>
          <w:spacing w:val="-1"/>
        </w:rPr>
        <w:t>已建危废间储存种类包含废</w:t>
      </w:r>
      <w:r>
        <w:rPr>
          <w:rFonts w:ascii="SimSun" w:hAnsi="SimSun" w:eastAsia="SimSun" w:cs="SimSun"/>
          <w:sz w:val="24"/>
          <w:szCs w:val="24"/>
        </w:rPr>
        <w:t xml:space="preserve">   </w:t>
      </w:r>
      <w:r>
        <w:rPr>
          <w:rFonts w:ascii="Times New Roman" w:hAnsi="Times New Roman" w:eastAsia="Times New Roman" w:cs="Times New Roman"/>
          <w:sz w:val="24"/>
          <w:szCs w:val="24"/>
          <w:spacing w:val="-3"/>
        </w:rPr>
        <w:t>UV</w:t>
      </w:r>
      <w:r>
        <w:rPr>
          <w:rFonts w:ascii="SimSun" w:hAnsi="SimSun" w:eastAsia="SimSun" w:cs="SimSun"/>
          <w:sz w:val="24"/>
          <w:szCs w:val="24"/>
          <w:spacing w:val="-3"/>
        </w:rPr>
        <w:t>光氧灯管，因此，本项目依托现有危险废物</w:t>
      </w:r>
      <w:r>
        <w:rPr>
          <w:rFonts w:ascii="SimSun" w:hAnsi="SimSun" w:eastAsia="SimSun" w:cs="SimSun"/>
          <w:sz w:val="24"/>
          <w:szCs w:val="24"/>
          <w:spacing w:val="-4"/>
        </w:rPr>
        <w:t>暂存间合理可行，无需进行改造。</w:t>
      </w:r>
      <w:r>
        <w:rPr>
          <w:rFonts w:ascii="SimSun" w:hAnsi="SimSun" w:eastAsia="SimSun" w:cs="SimSun"/>
          <w:sz w:val="24"/>
          <w:szCs w:val="24"/>
        </w:rPr>
        <w:t xml:space="preserve"> </w:t>
      </w:r>
      <w:r>
        <w:rPr>
          <w:rFonts w:ascii="SimSun" w:hAnsi="SimSun" w:eastAsia="SimSun" w:cs="SimSun"/>
          <w:sz w:val="24"/>
          <w:szCs w:val="24"/>
          <w:spacing w:val="-6"/>
        </w:rPr>
        <w:t>危险废物贮存需满足《危险废物贮存污染控制标准》（</w:t>
      </w:r>
      <w:r>
        <w:rPr>
          <w:rFonts w:ascii="Times New Roman" w:hAnsi="Times New Roman" w:eastAsia="Times New Roman" w:cs="Times New Roman"/>
          <w:sz w:val="24"/>
          <w:szCs w:val="24"/>
          <w:spacing w:val="-6"/>
        </w:rPr>
        <w:t>GB</w:t>
      </w:r>
      <w:r>
        <w:rPr>
          <w:rFonts w:ascii="Times New Roman" w:hAnsi="Times New Roman" w:eastAsia="Times New Roman" w:cs="Times New Roman"/>
          <w:sz w:val="24"/>
          <w:szCs w:val="24"/>
          <w:spacing w:val="30"/>
        </w:rPr>
        <w:t xml:space="preserve"> </w:t>
      </w:r>
      <w:r>
        <w:rPr>
          <w:rFonts w:ascii="Times New Roman" w:hAnsi="Times New Roman" w:eastAsia="Times New Roman" w:cs="Times New Roman"/>
          <w:sz w:val="24"/>
          <w:szCs w:val="24"/>
          <w:spacing w:val="-6"/>
        </w:rPr>
        <w:t>18597-202</w:t>
      </w:r>
      <w:r>
        <w:rPr>
          <w:rFonts w:ascii="Times New Roman" w:hAnsi="Times New Roman" w:eastAsia="Times New Roman" w:cs="Times New Roman"/>
          <w:sz w:val="24"/>
          <w:szCs w:val="24"/>
          <w:spacing w:val="-7"/>
        </w:rPr>
        <w:t>3</w:t>
      </w:r>
      <w:r>
        <w:rPr>
          <w:rFonts w:ascii="SimSun" w:hAnsi="SimSun" w:eastAsia="SimSun" w:cs="SimSun"/>
          <w:sz w:val="24"/>
          <w:szCs w:val="24"/>
          <w:spacing w:val="-7"/>
        </w:rPr>
        <w:t>）以及《危 </w:t>
      </w:r>
      <w:r>
        <w:rPr>
          <w:rFonts w:ascii="SimSun" w:hAnsi="SimSun" w:eastAsia="SimSun" w:cs="SimSun"/>
          <w:sz w:val="24"/>
          <w:szCs w:val="24"/>
        </w:rPr>
        <w:t>险废物收集 贮存 运输技术规范》（</w:t>
      </w:r>
      <w:r>
        <w:rPr>
          <w:rFonts w:ascii="Times New Roman" w:hAnsi="Times New Roman" w:eastAsia="Times New Roman" w:cs="Times New Roman"/>
          <w:sz w:val="24"/>
          <w:szCs w:val="24"/>
        </w:rPr>
        <w:t>HJ2025-2012</w:t>
      </w:r>
      <w:r>
        <w:rPr>
          <w:rFonts w:ascii="SimSun" w:hAnsi="SimSun" w:eastAsia="SimSun" w:cs="SimSun"/>
          <w:sz w:val="24"/>
          <w:szCs w:val="24"/>
        </w:rPr>
        <w:t>）要求，委托有资质</w:t>
      </w:r>
      <w:r>
        <w:rPr>
          <w:rFonts w:ascii="SimSun" w:hAnsi="SimSun" w:eastAsia="SimSun" w:cs="SimSun"/>
          <w:sz w:val="24"/>
          <w:szCs w:val="24"/>
          <w:spacing w:val="-1"/>
        </w:rPr>
        <w:t>的单位进</w:t>
      </w:r>
    </w:p>
    <w:p>
      <w:pPr>
        <w:ind w:left="27"/>
        <w:spacing w:line="218" w:lineRule="auto"/>
        <w:rPr>
          <w:rFonts w:ascii="SimSun" w:hAnsi="SimSun" w:eastAsia="SimSun" w:cs="SimSun"/>
          <w:sz w:val="24"/>
          <w:szCs w:val="24"/>
        </w:rPr>
      </w:pPr>
      <w:r>
        <w:rPr>
          <w:rFonts w:ascii="SimSun" w:hAnsi="SimSun" w:eastAsia="SimSun" w:cs="SimSun"/>
          <w:sz w:val="24"/>
          <w:szCs w:val="24"/>
          <w:spacing w:val="-1"/>
        </w:rPr>
        <w:t>行处置。本项目危险废物在收集、转运时需满足以下要求：</w:t>
      </w:r>
    </w:p>
    <w:p>
      <w:pPr>
        <w:ind w:left="502"/>
        <w:spacing w:before="215" w:line="217" w:lineRule="auto"/>
        <w:rPr>
          <w:rFonts w:ascii="SimSun" w:hAnsi="SimSun" w:eastAsia="SimSun" w:cs="SimSun"/>
          <w:sz w:val="24"/>
          <w:szCs w:val="24"/>
        </w:rPr>
      </w:pPr>
      <w:r>
        <w:rPr>
          <w:rFonts w:ascii="SimSun" w:hAnsi="SimSun" w:eastAsia="SimSun" w:cs="SimSun"/>
          <w:sz w:val="24"/>
          <w:szCs w:val="24"/>
          <w:spacing w:val="-2"/>
        </w:rPr>
        <w:t>①危险废物的收集</w:t>
      </w:r>
    </w:p>
    <w:p>
      <w:pPr>
        <w:ind w:left="25" w:right="80" w:firstLine="477"/>
        <w:spacing w:before="216" w:line="385" w:lineRule="auto"/>
        <w:rPr>
          <w:rFonts w:ascii="SimSun" w:hAnsi="SimSun" w:eastAsia="SimSun" w:cs="SimSun"/>
          <w:sz w:val="24"/>
          <w:szCs w:val="24"/>
        </w:rPr>
      </w:pPr>
      <w:r>
        <w:rPr>
          <w:rFonts w:ascii="Times New Roman" w:hAnsi="Times New Roman" w:eastAsia="Times New Roman" w:cs="Times New Roman"/>
          <w:sz w:val="24"/>
          <w:szCs w:val="24"/>
          <w:spacing w:val="-1"/>
        </w:rPr>
        <w:t>a.</w:t>
      </w:r>
      <w:r>
        <w:rPr>
          <w:rFonts w:ascii="SimSun" w:hAnsi="SimSun" w:eastAsia="SimSun" w:cs="SimSun"/>
          <w:sz w:val="24"/>
          <w:szCs w:val="24"/>
          <w:spacing w:val="-1"/>
        </w:rPr>
        <w:t>危险废物产生单位进行的危险废物收集包括两个方面，一是在危险废物产</w:t>
      </w:r>
      <w:r>
        <w:rPr>
          <w:rFonts w:ascii="SimSun" w:hAnsi="SimSun" w:eastAsia="SimSun" w:cs="SimSun"/>
          <w:sz w:val="24"/>
          <w:szCs w:val="24"/>
          <w:spacing w:val="4"/>
        </w:rPr>
        <w:t xml:space="preserve"> </w:t>
      </w:r>
      <w:r>
        <w:rPr>
          <w:rFonts w:ascii="SimSun" w:hAnsi="SimSun" w:eastAsia="SimSun" w:cs="SimSun"/>
          <w:sz w:val="24"/>
          <w:szCs w:val="24"/>
          <w:spacing w:val="-3"/>
        </w:rPr>
        <w:t>生节点将危险废物集中到适当的包装容器中或运输车辆上的活动；二是将已包装</w:t>
      </w:r>
      <w:r>
        <w:rPr>
          <w:rFonts w:ascii="SimSun" w:hAnsi="SimSun" w:eastAsia="SimSun" w:cs="SimSun"/>
          <w:sz w:val="24"/>
          <w:szCs w:val="24"/>
        </w:rPr>
        <w:t xml:space="preserve"> </w:t>
      </w:r>
      <w:r>
        <w:rPr>
          <w:rFonts w:ascii="SimSun" w:hAnsi="SimSun" w:eastAsia="SimSun" w:cs="SimSun"/>
          <w:sz w:val="24"/>
          <w:szCs w:val="24"/>
        </w:rPr>
        <w:t>或装到运输车辆上的危险废物集中到危险废物产</w:t>
      </w:r>
      <w:r>
        <w:rPr>
          <w:rFonts w:ascii="SimSun" w:hAnsi="SimSun" w:eastAsia="SimSun" w:cs="SimSun"/>
          <w:sz w:val="24"/>
          <w:szCs w:val="24"/>
          <w:spacing w:val="-1"/>
        </w:rPr>
        <w:t>生单位内部临时贮存设施的内</w:t>
      </w:r>
    </w:p>
    <w:p>
      <w:pPr>
        <w:ind w:left="26"/>
        <w:spacing w:line="219" w:lineRule="auto"/>
        <w:rPr>
          <w:rFonts w:ascii="SimSun" w:hAnsi="SimSun" w:eastAsia="SimSun" w:cs="SimSun"/>
          <w:sz w:val="24"/>
          <w:szCs w:val="24"/>
        </w:rPr>
      </w:pPr>
      <w:r>
        <w:rPr>
          <w:rFonts w:ascii="SimSun" w:hAnsi="SimSun" w:eastAsia="SimSun" w:cs="SimSun"/>
          <w:sz w:val="24"/>
          <w:szCs w:val="24"/>
          <w:spacing w:val="-4"/>
        </w:rPr>
        <w:t>部转运。</w:t>
      </w:r>
    </w:p>
    <w:p>
      <w:pPr>
        <w:ind w:left="493"/>
        <w:spacing w:before="217" w:line="499" w:lineRule="exact"/>
        <w:rPr>
          <w:rFonts w:ascii="SimSun" w:hAnsi="SimSun" w:eastAsia="SimSun" w:cs="SimSun"/>
          <w:sz w:val="24"/>
          <w:szCs w:val="24"/>
        </w:rPr>
      </w:pPr>
      <w:r>
        <w:rPr>
          <w:rFonts w:ascii="Times New Roman" w:hAnsi="Times New Roman" w:eastAsia="Times New Roman" w:cs="Times New Roman"/>
          <w:sz w:val="24"/>
          <w:szCs w:val="24"/>
          <w:spacing w:val="-1"/>
          <w:position w:val="19"/>
        </w:rPr>
        <w:t>b.</w:t>
      </w:r>
      <w:r>
        <w:rPr>
          <w:rFonts w:ascii="SimSun" w:hAnsi="SimSun" w:eastAsia="SimSun" w:cs="SimSun"/>
          <w:sz w:val="24"/>
          <w:szCs w:val="24"/>
          <w:spacing w:val="-1"/>
          <w:position w:val="19"/>
        </w:rPr>
        <w:t>危险废物的收集应根据危险废物产生的工艺特征、排放周期、危险废物特</w:t>
      </w:r>
    </w:p>
    <w:p>
      <w:pPr>
        <w:ind w:left="26"/>
        <w:spacing w:line="219" w:lineRule="auto"/>
        <w:rPr>
          <w:rFonts w:ascii="SimSun" w:hAnsi="SimSun" w:eastAsia="SimSun" w:cs="SimSun"/>
          <w:sz w:val="24"/>
          <w:szCs w:val="24"/>
        </w:rPr>
      </w:pPr>
      <w:r>
        <w:rPr>
          <w:rFonts w:ascii="SimSun" w:hAnsi="SimSun" w:eastAsia="SimSun" w:cs="SimSun"/>
          <w:sz w:val="24"/>
          <w:szCs w:val="24"/>
          <w:spacing w:val="-1"/>
        </w:rPr>
        <w:t>性、废物管理计划等因素制定收集计划。</w:t>
      </w:r>
    </w:p>
    <w:p>
      <w:pPr>
        <w:ind w:left="502"/>
        <w:spacing w:before="214" w:line="502" w:lineRule="exact"/>
        <w:rPr>
          <w:rFonts w:ascii="SimSun" w:hAnsi="SimSun" w:eastAsia="SimSun" w:cs="SimSun"/>
          <w:sz w:val="24"/>
          <w:szCs w:val="24"/>
        </w:rPr>
      </w:pPr>
      <w:r>
        <w:rPr>
          <w:rFonts w:ascii="Times New Roman" w:hAnsi="Times New Roman" w:eastAsia="Times New Roman" w:cs="Times New Roman"/>
          <w:sz w:val="24"/>
          <w:szCs w:val="24"/>
          <w:spacing w:val="-1"/>
          <w:position w:val="19"/>
        </w:rPr>
        <w:t>c.</w:t>
      </w:r>
      <w:r>
        <w:rPr>
          <w:rFonts w:ascii="SimSun" w:hAnsi="SimSun" w:eastAsia="SimSun" w:cs="SimSun"/>
          <w:sz w:val="24"/>
          <w:szCs w:val="24"/>
          <w:spacing w:val="-1"/>
          <w:position w:val="19"/>
        </w:rPr>
        <w:t>危险废物的收集应制定详细的操作规程，内容至少应包括适用范围、操作</w:t>
      </w:r>
    </w:p>
    <w:p>
      <w:pPr>
        <w:ind w:left="22"/>
        <w:spacing w:line="219" w:lineRule="auto"/>
        <w:rPr>
          <w:rFonts w:ascii="SimSun" w:hAnsi="SimSun" w:eastAsia="SimSun" w:cs="SimSun"/>
          <w:sz w:val="24"/>
          <w:szCs w:val="24"/>
        </w:rPr>
      </w:pPr>
      <w:r>
        <w:rPr>
          <w:rFonts w:ascii="SimSun" w:hAnsi="SimSun" w:eastAsia="SimSun" w:cs="SimSun"/>
          <w:sz w:val="24"/>
          <w:szCs w:val="24"/>
        </w:rPr>
        <w:t>程序和方法、专用设备和工具、转移和交接、安</w:t>
      </w:r>
      <w:r>
        <w:rPr>
          <w:rFonts w:ascii="SimSun" w:hAnsi="SimSun" w:eastAsia="SimSun" w:cs="SimSun"/>
          <w:sz w:val="24"/>
          <w:szCs w:val="24"/>
          <w:spacing w:val="-1"/>
        </w:rPr>
        <w:t>全保障和应急防护等。</w:t>
      </w:r>
    </w:p>
    <w:p>
      <w:pPr>
        <w:ind w:right="46"/>
        <w:spacing w:before="214" w:line="500" w:lineRule="exact"/>
        <w:jc w:val="right"/>
        <w:rPr>
          <w:rFonts w:ascii="SimSun" w:hAnsi="SimSun" w:eastAsia="SimSun" w:cs="SimSun"/>
          <w:sz w:val="24"/>
          <w:szCs w:val="24"/>
        </w:rPr>
      </w:pPr>
      <w:r>
        <w:rPr>
          <w:rFonts w:ascii="Times New Roman" w:hAnsi="Times New Roman" w:eastAsia="Times New Roman" w:cs="Times New Roman"/>
          <w:sz w:val="24"/>
          <w:szCs w:val="24"/>
          <w:position w:val="19"/>
        </w:rPr>
        <w:t>d.</w:t>
      </w:r>
      <w:r>
        <w:rPr>
          <w:rFonts w:ascii="SimSun" w:hAnsi="SimSun" w:eastAsia="SimSun" w:cs="SimSun"/>
          <w:sz w:val="24"/>
          <w:szCs w:val="24"/>
          <w:position w:val="19"/>
        </w:rPr>
        <w:t>危险废物收集和转运作业人员应根据工作需要配备必</w:t>
      </w:r>
      <w:r>
        <w:rPr>
          <w:rFonts w:ascii="SimSun" w:hAnsi="SimSun" w:eastAsia="SimSun" w:cs="SimSun"/>
          <w:sz w:val="24"/>
          <w:szCs w:val="24"/>
          <w:spacing w:val="-1"/>
          <w:position w:val="19"/>
        </w:rPr>
        <w:t>要的个人防护装备，</w:t>
      </w:r>
    </w:p>
    <w:p>
      <w:pPr>
        <w:ind w:left="27"/>
        <w:spacing w:line="219" w:lineRule="auto"/>
        <w:rPr>
          <w:rFonts w:ascii="SimSun" w:hAnsi="SimSun" w:eastAsia="SimSun" w:cs="SimSun"/>
          <w:sz w:val="24"/>
          <w:szCs w:val="24"/>
        </w:rPr>
      </w:pPr>
      <w:r>
        <w:rPr>
          <w:rFonts w:ascii="SimSun" w:hAnsi="SimSun" w:eastAsia="SimSun" w:cs="SimSun"/>
          <w:sz w:val="24"/>
          <w:szCs w:val="24"/>
          <w:spacing w:val="-1"/>
        </w:rPr>
        <w:t>如手套、防护镜、防护服、防毒面具或口罩等。</w:t>
      </w:r>
    </w:p>
    <w:p>
      <w:pPr>
        <w:ind w:left="502"/>
        <w:spacing w:before="216" w:line="219" w:lineRule="auto"/>
        <w:rPr>
          <w:rFonts w:ascii="SimSun" w:hAnsi="SimSun" w:eastAsia="SimSun" w:cs="SimSun"/>
          <w:sz w:val="24"/>
          <w:szCs w:val="24"/>
        </w:rPr>
      </w:pPr>
      <w:r>
        <w:rPr>
          <w:rFonts w:ascii="Times New Roman" w:hAnsi="Times New Roman" w:eastAsia="Times New Roman" w:cs="Times New Roman"/>
          <w:sz w:val="24"/>
          <w:szCs w:val="24"/>
        </w:rPr>
        <w:t>e.</w:t>
      </w:r>
      <w:r>
        <w:rPr>
          <w:rFonts w:ascii="SimSun" w:hAnsi="SimSun" w:eastAsia="SimSun" w:cs="SimSun"/>
          <w:sz w:val="24"/>
          <w:szCs w:val="24"/>
        </w:rPr>
        <w:t>在危险废物的收集和转运过程中，应采取相应</w:t>
      </w:r>
      <w:r>
        <w:rPr>
          <w:rFonts w:ascii="SimSun" w:hAnsi="SimSun" w:eastAsia="SimSun" w:cs="SimSun"/>
          <w:sz w:val="24"/>
          <w:szCs w:val="24"/>
          <w:spacing w:val="-1"/>
        </w:rPr>
        <w:t>的安全防护和污染防治措</w:t>
      </w:r>
    </w:p>
    <w:p>
      <w:pPr>
        <w:ind w:left="22"/>
        <w:spacing w:before="215" w:line="499" w:lineRule="exact"/>
        <w:rPr>
          <w:rFonts w:ascii="SimSun" w:hAnsi="SimSun" w:eastAsia="SimSun" w:cs="SimSun"/>
          <w:sz w:val="24"/>
          <w:szCs w:val="24"/>
        </w:rPr>
      </w:pPr>
      <w:r>
        <w:rPr>
          <w:rFonts w:ascii="SimSun" w:hAnsi="SimSun" w:eastAsia="SimSun" w:cs="SimSun"/>
          <w:sz w:val="24"/>
          <w:szCs w:val="24"/>
          <w:spacing w:val="-3"/>
          <w:position w:val="19"/>
        </w:rPr>
        <w:t>施，包括防爆、防火、防中毒、防感染、防泄露、防飞扬、防雨或其它防止污染</w:t>
      </w:r>
    </w:p>
    <w:p>
      <w:pPr>
        <w:ind w:left="23"/>
        <w:spacing w:line="220" w:lineRule="auto"/>
        <w:rPr>
          <w:rFonts w:ascii="SimSun" w:hAnsi="SimSun" w:eastAsia="SimSun" w:cs="SimSun"/>
          <w:sz w:val="24"/>
          <w:szCs w:val="24"/>
        </w:rPr>
      </w:pPr>
      <w:r>
        <w:rPr>
          <w:rFonts w:ascii="SimSun" w:hAnsi="SimSun" w:eastAsia="SimSun" w:cs="SimSun"/>
          <w:sz w:val="24"/>
          <w:szCs w:val="24"/>
          <w:spacing w:val="-2"/>
        </w:rPr>
        <w:t>环境的措施。</w:t>
      </w:r>
    </w:p>
    <w:p>
      <w:pPr>
        <w:ind w:left="503"/>
        <w:spacing w:before="216" w:line="499" w:lineRule="exact"/>
        <w:rPr>
          <w:rFonts w:ascii="SimSun" w:hAnsi="SimSun" w:eastAsia="SimSun" w:cs="SimSun"/>
          <w:sz w:val="24"/>
          <w:szCs w:val="24"/>
        </w:rPr>
      </w:pPr>
      <w:r>
        <w:rPr>
          <w:rFonts w:ascii="Times New Roman" w:hAnsi="Times New Roman" w:eastAsia="Times New Roman" w:cs="Times New Roman"/>
          <w:sz w:val="24"/>
          <w:szCs w:val="24"/>
          <w:position w:val="19"/>
        </w:rPr>
        <w:t>f.</w:t>
      </w:r>
      <w:r>
        <w:rPr>
          <w:rFonts w:ascii="SimSun" w:hAnsi="SimSun" w:eastAsia="SimSun" w:cs="SimSun"/>
          <w:sz w:val="24"/>
          <w:szCs w:val="24"/>
          <w:position w:val="19"/>
        </w:rPr>
        <w:t>危险废物收集时应根据危险废物的种类、数量、危险特性、物理形态</w:t>
      </w:r>
      <w:r>
        <w:rPr>
          <w:rFonts w:ascii="SimSun" w:hAnsi="SimSun" w:eastAsia="SimSun" w:cs="SimSun"/>
          <w:sz w:val="24"/>
          <w:szCs w:val="24"/>
          <w:spacing w:val="-1"/>
          <w:position w:val="19"/>
        </w:rPr>
        <w:t>、运</w:t>
      </w:r>
    </w:p>
    <w:p>
      <w:pPr>
        <w:ind w:left="22"/>
        <w:spacing w:line="219" w:lineRule="auto"/>
        <w:rPr>
          <w:rFonts w:ascii="SimSun" w:hAnsi="SimSun" w:eastAsia="SimSun" w:cs="SimSun"/>
          <w:sz w:val="24"/>
          <w:szCs w:val="24"/>
        </w:rPr>
      </w:pPr>
      <w:r>
        <w:rPr>
          <w:rFonts w:ascii="SimSun" w:hAnsi="SimSun" w:eastAsia="SimSun" w:cs="SimSun"/>
          <w:sz w:val="24"/>
          <w:szCs w:val="24"/>
          <w:spacing w:val="-1"/>
        </w:rPr>
        <w:t>输要求等因素确定包装形式。</w:t>
      </w:r>
    </w:p>
    <w:p>
      <w:pPr>
        <w:ind w:left="501"/>
        <w:spacing w:before="215" w:line="217" w:lineRule="auto"/>
        <w:rPr>
          <w:rFonts w:ascii="SimSun" w:hAnsi="SimSun" w:eastAsia="SimSun" w:cs="SimSun"/>
          <w:sz w:val="24"/>
          <w:szCs w:val="24"/>
        </w:rPr>
      </w:pPr>
      <w:r>
        <w:rPr>
          <w:rFonts w:ascii="SimSun" w:hAnsi="SimSun" w:eastAsia="SimSun" w:cs="SimSun"/>
          <w:sz w:val="24"/>
          <w:szCs w:val="24"/>
          <w:spacing w:val="-2"/>
        </w:rPr>
        <w:t>②危险废物贮存</w:t>
      </w:r>
    </w:p>
    <w:p>
      <w:pPr>
        <w:ind w:left="502"/>
        <w:spacing w:before="219" w:line="219" w:lineRule="auto"/>
        <w:rPr>
          <w:rFonts w:ascii="SimSun" w:hAnsi="SimSun" w:eastAsia="SimSun" w:cs="SimSun"/>
          <w:sz w:val="24"/>
          <w:szCs w:val="24"/>
        </w:rPr>
      </w:pPr>
      <w:r>
        <w:rPr>
          <w:rFonts w:ascii="Times New Roman" w:hAnsi="Times New Roman" w:eastAsia="Times New Roman" w:cs="Times New Roman"/>
          <w:sz w:val="24"/>
          <w:szCs w:val="24"/>
        </w:rPr>
        <w:t>a.</w:t>
      </w:r>
      <w:r>
        <w:rPr>
          <w:rFonts w:ascii="SimSun" w:hAnsi="SimSun" w:eastAsia="SimSun" w:cs="SimSun"/>
          <w:sz w:val="24"/>
          <w:szCs w:val="24"/>
        </w:rPr>
        <w:t>所有危险废物产生者和危险废物经营者应建造专</w:t>
      </w:r>
      <w:r>
        <w:rPr>
          <w:rFonts w:ascii="SimSun" w:hAnsi="SimSun" w:eastAsia="SimSun" w:cs="SimSun"/>
          <w:sz w:val="24"/>
          <w:szCs w:val="24"/>
          <w:spacing w:val="-1"/>
        </w:rPr>
        <w:t>用的危险废物贮存设施。</w:t>
      </w:r>
    </w:p>
    <w:p>
      <w:pPr>
        <w:ind w:right="69"/>
        <w:spacing w:before="215" w:line="499" w:lineRule="exact"/>
        <w:jc w:val="right"/>
        <w:rPr>
          <w:rFonts w:ascii="SimSun" w:hAnsi="SimSun" w:eastAsia="SimSun" w:cs="SimSun"/>
          <w:sz w:val="24"/>
          <w:szCs w:val="24"/>
        </w:rPr>
      </w:pPr>
      <w:r>
        <w:rPr>
          <w:rFonts w:ascii="Times New Roman" w:hAnsi="Times New Roman" w:eastAsia="Times New Roman" w:cs="Times New Roman"/>
          <w:sz w:val="24"/>
          <w:szCs w:val="24"/>
          <w:spacing w:val="-1"/>
          <w:position w:val="19"/>
        </w:rPr>
        <w:t>b.</w:t>
      </w:r>
      <w:r>
        <w:rPr>
          <w:rFonts w:ascii="SimSun" w:hAnsi="SimSun" w:eastAsia="SimSun" w:cs="SimSun"/>
          <w:sz w:val="24"/>
          <w:szCs w:val="24"/>
          <w:spacing w:val="-1"/>
          <w:position w:val="19"/>
        </w:rPr>
        <w:t>在常温常压下易爆、易燃及排出有毒气体的危险废物必须进行预处理，使</w:t>
      </w:r>
    </w:p>
    <w:p>
      <w:pPr>
        <w:ind w:left="25"/>
        <w:spacing w:before="1" w:line="217" w:lineRule="auto"/>
        <w:rPr>
          <w:rFonts w:ascii="SimSun" w:hAnsi="SimSun" w:eastAsia="SimSun" w:cs="SimSun"/>
          <w:sz w:val="24"/>
          <w:szCs w:val="24"/>
        </w:rPr>
      </w:pPr>
      <w:r>
        <w:rPr>
          <w:rFonts w:ascii="SimSun" w:hAnsi="SimSun" w:eastAsia="SimSun" w:cs="SimSun"/>
          <w:sz w:val="24"/>
          <w:szCs w:val="24"/>
          <w:spacing w:val="-1"/>
        </w:rPr>
        <w:t>之稳定后贮存，否则，按易爆、易燃危险品贮存。</w:t>
      </w:r>
    </w:p>
    <w:p>
      <w:pPr>
        <w:spacing w:line="217" w:lineRule="auto"/>
        <w:sectPr>
          <w:footerReference w:type="default" r:id="rId65"/>
          <w:pgSz w:w="11906" w:h="16839"/>
          <w:pgMar w:top="400" w:right="1719" w:bottom="1211" w:left="1785" w:header="0" w:footer="1049" w:gutter="0"/>
        </w:sectPr>
        <w:rPr>
          <w:rFonts w:ascii="SimSun" w:hAnsi="SimSun" w:eastAsia="SimSun" w:cs="SimSun"/>
          <w:sz w:val="24"/>
          <w:szCs w:val="24"/>
        </w:rPr>
      </w:pPr>
    </w:p>
    <w:p>
      <w:pPr>
        <w:pStyle w:val="BodyText"/>
        <w:spacing w:line="287" w:lineRule="auto"/>
        <w:rPr/>
      </w:pPr>
      <w:r/>
    </w:p>
    <w:p>
      <w:pPr>
        <w:pStyle w:val="BodyText"/>
        <w:spacing w:line="287" w:lineRule="auto"/>
        <w:rPr/>
      </w:pPr>
      <w:r/>
    </w:p>
    <w:p>
      <w:pPr>
        <w:pStyle w:val="BodyText"/>
        <w:spacing w:line="288" w:lineRule="auto"/>
        <w:rPr/>
      </w:pPr>
      <w:r/>
    </w:p>
    <w:p>
      <w:pPr>
        <w:pStyle w:val="BodyText"/>
        <w:spacing w:line="288" w:lineRule="auto"/>
        <w:rPr/>
      </w:pPr>
      <w:r/>
    </w:p>
    <w:p>
      <w:pPr>
        <w:spacing w:before="78" w:line="219" w:lineRule="auto"/>
        <w:jc w:val="right"/>
        <w:rPr>
          <w:rFonts w:ascii="SimSun" w:hAnsi="SimSun" w:eastAsia="SimSun" w:cs="SimSun"/>
          <w:sz w:val="24"/>
          <w:szCs w:val="24"/>
        </w:rPr>
      </w:pPr>
      <w:r>
        <w:rPr>
          <w:rFonts w:ascii="Times New Roman" w:hAnsi="Times New Roman" w:eastAsia="Times New Roman" w:cs="Times New Roman"/>
          <w:sz w:val="24"/>
          <w:szCs w:val="24"/>
          <w:spacing w:val="-2"/>
        </w:rPr>
        <w:t>c.</w:t>
      </w:r>
      <w:r>
        <w:rPr>
          <w:rFonts w:ascii="SimSun" w:hAnsi="SimSun" w:eastAsia="SimSun" w:cs="SimSun"/>
          <w:sz w:val="24"/>
          <w:szCs w:val="24"/>
          <w:spacing w:val="-2"/>
        </w:rPr>
        <w:t>在常温常压下不水解、不挥发的固体危险废物可在贮存设施内分别堆放。</w:t>
      </w:r>
    </w:p>
    <w:p>
      <w:pPr>
        <w:ind w:left="502"/>
        <w:spacing w:before="214" w:line="219" w:lineRule="auto"/>
        <w:rPr>
          <w:rFonts w:ascii="SimSun" w:hAnsi="SimSun" w:eastAsia="SimSun" w:cs="SimSun"/>
          <w:sz w:val="24"/>
          <w:szCs w:val="24"/>
        </w:rPr>
      </w:pPr>
      <w:r>
        <w:rPr>
          <w:rFonts w:ascii="Times New Roman" w:hAnsi="Times New Roman" w:eastAsia="Times New Roman" w:cs="Times New Roman"/>
          <w:sz w:val="24"/>
          <w:szCs w:val="24"/>
          <w:spacing w:val="-1"/>
        </w:rPr>
        <w:t>d.</w:t>
      </w:r>
      <w:r>
        <w:rPr>
          <w:rFonts w:ascii="SimSun" w:hAnsi="SimSun" w:eastAsia="SimSun" w:cs="SimSun"/>
          <w:sz w:val="24"/>
          <w:szCs w:val="24"/>
          <w:spacing w:val="-1"/>
        </w:rPr>
        <w:t>必须将危险废物装入容器内。</w:t>
      </w:r>
    </w:p>
    <w:p>
      <w:pPr>
        <w:ind w:left="502"/>
        <w:spacing w:before="214" w:line="219" w:lineRule="auto"/>
        <w:rPr>
          <w:rFonts w:ascii="SimSun" w:hAnsi="SimSun" w:eastAsia="SimSun" w:cs="SimSun"/>
          <w:sz w:val="24"/>
          <w:szCs w:val="24"/>
        </w:rPr>
      </w:pPr>
      <w:r>
        <w:rPr>
          <w:rFonts w:ascii="Times New Roman" w:hAnsi="Times New Roman" w:eastAsia="Times New Roman" w:cs="Times New Roman"/>
          <w:sz w:val="24"/>
          <w:szCs w:val="24"/>
          <w:spacing w:val="-1"/>
        </w:rPr>
        <w:t>e.</w:t>
      </w:r>
      <w:r>
        <w:rPr>
          <w:rFonts w:ascii="SimSun" w:hAnsi="SimSun" w:eastAsia="SimSun" w:cs="SimSun"/>
          <w:sz w:val="24"/>
          <w:szCs w:val="24"/>
          <w:spacing w:val="-1"/>
        </w:rPr>
        <w:t>禁止将不相容（相互反应）的危险废物在同一容器内混装。</w:t>
      </w:r>
    </w:p>
    <w:p>
      <w:pPr>
        <w:ind w:left="503"/>
        <w:spacing w:before="216" w:line="219" w:lineRule="auto"/>
        <w:rPr>
          <w:rFonts w:ascii="SimSun" w:hAnsi="SimSun" w:eastAsia="SimSun" w:cs="SimSun"/>
          <w:sz w:val="24"/>
          <w:szCs w:val="24"/>
        </w:rPr>
      </w:pPr>
      <w:r>
        <w:rPr>
          <w:rFonts w:ascii="Times New Roman" w:hAnsi="Times New Roman" w:eastAsia="Times New Roman" w:cs="Times New Roman"/>
          <w:sz w:val="24"/>
          <w:szCs w:val="24"/>
          <w:spacing w:val="-1"/>
        </w:rPr>
        <w:t>f.</w:t>
      </w:r>
      <w:r>
        <w:rPr>
          <w:rFonts w:ascii="SimSun" w:hAnsi="SimSun" w:eastAsia="SimSun" w:cs="SimSun"/>
          <w:sz w:val="24"/>
          <w:szCs w:val="24"/>
          <w:spacing w:val="-1"/>
        </w:rPr>
        <w:t>无法装入常用容器的危险废物可用防漏胶袋等盛装。</w:t>
      </w:r>
    </w:p>
    <w:p>
      <w:pPr>
        <w:ind w:right="13"/>
        <w:spacing w:before="214" w:line="500" w:lineRule="exact"/>
        <w:jc w:val="right"/>
        <w:rPr>
          <w:rFonts w:ascii="SimSun" w:hAnsi="SimSun" w:eastAsia="SimSun" w:cs="SimSun"/>
          <w:sz w:val="24"/>
          <w:szCs w:val="24"/>
        </w:rPr>
      </w:pPr>
      <w:r>
        <w:rPr>
          <w:rFonts w:ascii="Times New Roman" w:hAnsi="Times New Roman" w:eastAsia="Times New Roman" w:cs="Times New Roman"/>
          <w:sz w:val="24"/>
          <w:szCs w:val="24"/>
          <w:spacing w:val="-1"/>
          <w:position w:val="20"/>
        </w:rPr>
        <w:t>g.</w:t>
      </w:r>
      <w:r>
        <w:rPr>
          <w:rFonts w:ascii="SimSun" w:hAnsi="SimSun" w:eastAsia="SimSun" w:cs="SimSun"/>
          <w:sz w:val="24"/>
          <w:szCs w:val="24"/>
          <w:spacing w:val="-1"/>
          <w:position w:val="20"/>
        </w:rPr>
        <w:t>装载液体、半固体危险废物的容器内须留足够空间，容</w:t>
      </w:r>
      <w:r>
        <w:rPr>
          <w:rFonts w:ascii="SimSun" w:hAnsi="SimSun" w:eastAsia="SimSun" w:cs="SimSun"/>
          <w:sz w:val="24"/>
          <w:szCs w:val="24"/>
          <w:spacing w:val="-2"/>
          <w:position w:val="20"/>
        </w:rPr>
        <w:t>器顶部与液体表面</w:t>
      </w:r>
    </w:p>
    <w:p>
      <w:pPr>
        <w:ind w:left="25"/>
        <w:spacing w:line="219" w:lineRule="auto"/>
        <w:rPr>
          <w:rFonts w:ascii="SimSun" w:hAnsi="SimSun" w:eastAsia="SimSun" w:cs="SimSun"/>
          <w:sz w:val="24"/>
          <w:szCs w:val="24"/>
        </w:rPr>
      </w:pPr>
      <w:r>
        <w:rPr>
          <w:rFonts w:ascii="SimSun" w:hAnsi="SimSun" w:eastAsia="SimSun" w:cs="SimSun"/>
          <w:sz w:val="24"/>
          <w:szCs w:val="24"/>
          <w:spacing w:val="-1"/>
        </w:rPr>
        <w:t>之间保留</w:t>
      </w:r>
      <w:r>
        <w:rPr>
          <w:rFonts w:ascii="Times New Roman" w:hAnsi="Times New Roman" w:eastAsia="Times New Roman" w:cs="Times New Roman"/>
          <w:sz w:val="24"/>
          <w:szCs w:val="24"/>
          <w:spacing w:val="-1"/>
        </w:rPr>
        <w:t>100</w:t>
      </w:r>
      <w:r>
        <w:rPr>
          <w:rFonts w:ascii="SimSun" w:hAnsi="SimSun" w:eastAsia="SimSun" w:cs="SimSun"/>
          <w:sz w:val="24"/>
          <w:szCs w:val="24"/>
          <w:spacing w:val="-1"/>
        </w:rPr>
        <w:t>毫米以上的空间。</w:t>
      </w:r>
    </w:p>
    <w:p>
      <w:pPr>
        <w:ind w:left="495"/>
        <w:spacing w:before="217" w:line="219" w:lineRule="auto"/>
        <w:rPr>
          <w:rFonts w:ascii="SimSun" w:hAnsi="SimSun" w:eastAsia="SimSun" w:cs="SimSun"/>
          <w:sz w:val="24"/>
          <w:szCs w:val="24"/>
        </w:rPr>
      </w:pPr>
      <w:r>
        <w:rPr>
          <w:rFonts w:ascii="Times New Roman" w:hAnsi="Times New Roman" w:eastAsia="Times New Roman" w:cs="Times New Roman"/>
          <w:sz w:val="24"/>
          <w:szCs w:val="24"/>
        </w:rPr>
        <w:t>h.</w:t>
      </w:r>
      <w:r>
        <w:rPr>
          <w:rFonts w:ascii="SimSun" w:hAnsi="SimSun" w:eastAsia="SimSun" w:cs="SimSun"/>
          <w:sz w:val="24"/>
          <w:szCs w:val="24"/>
        </w:rPr>
        <w:t>盛装危险废物的容器上必须粘贴符合标准的</w:t>
      </w:r>
      <w:r>
        <w:rPr>
          <w:rFonts w:ascii="SimSun" w:hAnsi="SimSun" w:eastAsia="SimSun" w:cs="SimSun"/>
          <w:sz w:val="24"/>
          <w:szCs w:val="24"/>
          <w:spacing w:val="-1"/>
        </w:rPr>
        <w:t>标签。</w:t>
      </w:r>
    </w:p>
    <w:p>
      <w:pPr>
        <w:ind w:left="475"/>
        <w:spacing w:before="214" w:line="212" w:lineRule="auto"/>
        <w:rPr>
          <w:rFonts w:ascii="SimSun" w:hAnsi="SimSun" w:eastAsia="SimSun" w:cs="SimSun"/>
          <w:sz w:val="24"/>
          <w:szCs w:val="24"/>
        </w:rPr>
      </w:pPr>
      <w:r>
        <w:rPr>
          <w:rFonts w:ascii="Times New Roman" w:hAnsi="Times New Roman" w:eastAsia="Times New Roman" w:cs="Times New Roman"/>
          <w:sz w:val="24"/>
          <w:szCs w:val="24"/>
        </w:rPr>
        <w:t>j.</w:t>
      </w:r>
      <w:r>
        <w:rPr>
          <w:rFonts w:ascii="SimSun" w:hAnsi="SimSun" w:eastAsia="SimSun" w:cs="SimSun"/>
          <w:sz w:val="24"/>
          <w:szCs w:val="24"/>
        </w:rPr>
        <w:t>危险废物贮存设施在施工前应做环境影响评价。</w:t>
      </w:r>
    </w:p>
    <w:p>
      <w:pPr>
        <w:ind w:left="501"/>
        <w:spacing w:before="224" w:line="217" w:lineRule="auto"/>
        <w:rPr>
          <w:rFonts w:ascii="SimSun" w:hAnsi="SimSun" w:eastAsia="SimSun" w:cs="SimSun"/>
          <w:sz w:val="24"/>
          <w:szCs w:val="24"/>
        </w:rPr>
      </w:pPr>
      <w:r>
        <w:rPr>
          <w:rFonts w:ascii="SimSun" w:hAnsi="SimSun" w:eastAsia="SimSun" w:cs="SimSun"/>
          <w:sz w:val="24"/>
          <w:szCs w:val="24"/>
          <w:spacing w:val="-1"/>
        </w:rPr>
        <w:t>③危险废物贮存容器</w:t>
      </w:r>
    </w:p>
    <w:p>
      <w:pPr>
        <w:ind w:left="502"/>
        <w:spacing w:before="220" w:line="219" w:lineRule="auto"/>
        <w:rPr>
          <w:rFonts w:ascii="SimSun" w:hAnsi="SimSun" w:eastAsia="SimSun" w:cs="SimSun"/>
          <w:sz w:val="24"/>
          <w:szCs w:val="24"/>
        </w:rPr>
      </w:pPr>
      <w:r>
        <w:rPr>
          <w:rFonts w:ascii="Times New Roman" w:hAnsi="Times New Roman" w:eastAsia="Times New Roman" w:cs="Times New Roman"/>
          <w:sz w:val="24"/>
          <w:szCs w:val="24"/>
          <w:spacing w:val="-1"/>
        </w:rPr>
        <w:t>a.</w:t>
      </w:r>
      <w:r>
        <w:rPr>
          <w:rFonts w:ascii="SimSun" w:hAnsi="SimSun" w:eastAsia="SimSun" w:cs="SimSun"/>
          <w:sz w:val="24"/>
          <w:szCs w:val="24"/>
          <w:spacing w:val="-1"/>
        </w:rPr>
        <w:t>应当使用符合标准的容器盛装危险废物。</w:t>
      </w:r>
    </w:p>
    <w:p>
      <w:pPr>
        <w:ind w:left="493"/>
        <w:spacing w:before="213" w:line="219" w:lineRule="auto"/>
        <w:rPr>
          <w:rFonts w:ascii="SimSun" w:hAnsi="SimSun" w:eastAsia="SimSun" w:cs="SimSun"/>
          <w:sz w:val="24"/>
          <w:szCs w:val="24"/>
        </w:rPr>
      </w:pPr>
      <w:r>
        <w:rPr>
          <w:rFonts w:ascii="Times New Roman" w:hAnsi="Times New Roman" w:eastAsia="Times New Roman" w:cs="Times New Roman"/>
          <w:sz w:val="24"/>
          <w:szCs w:val="24"/>
        </w:rPr>
        <w:t>b.</w:t>
      </w:r>
      <w:r>
        <w:rPr>
          <w:rFonts w:ascii="SimSun" w:hAnsi="SimSun" w:eastAsia="SimSun" w:cs="SimSun"/>
          <w:sz w:val="24"/>
          <w:szCs w:val="24"/>
        </w:rPr>
        <w:t>装载危险废物的容器及材质要满足相应的强度要求。</w:t>
      </w:r>
    </w:p>
    <w:p>
      <w:pPr>
        <w:ind w:left="502"/>
        <w:spacing w:before="216" w:line="219" w:lineRule="auto"/>
        <w:rPr>
          <w:rFonts w:ascii="SimSun" w:hAnsi="SimSun" w:eastAsia="SimSun" w:cs="SimSun"/>
          <w:sz w:val="24"/>
          <w:szCs w:val="24"/>
        </w:rPr>
      </w:pPr>
      <w:r>
        <w:rPr>
          <w:rFonts w:ascii="Times New Roman" w:hAnsi="Times New Roman" w:eastAsia="Times New Roman" w:cs="Times New Roman"/>
          <w:sz w:val="24"/>
          <w:szCs w:val="24"/>
          <w:spacing w:val="-1"/>
        </w:rPr>
        <w:t>c.</w:t>
      </w:r>
      <w:r>
        <w:rPr>
          <w:rFonts w:ascii="SimSun" w:hAnsi="SimSun" w:eastAsia="SimSun" w:cs="SimSun"/>
          <w:sz w:val="24"/>
          <w:szCs w:val="24"/>
          <w:spacing w:val="-1"/>
        </w:rPr>
        <w:t>装载危险废物的容器必须完好无损。</w:t>
      </w:r>
    </w:p>
    <w:p>
      <w:pPr>
        <w:ind w:left="502"/>
        <w:spacing w:before="216" w:line="219" w:lineRule="auto"/>
        <w:rPr>
          <w:rFonts w:ascii="SimSun" w:hAnsi="SimSun" w:eastAsia="SimSun" w:cs="SimSun"/>
          <w:sz w:val="24"/>
          <w:szCs w:val="24"/>
        </w:rPr>
      </w:pPr>
      <w:r>
        <w:rPr>
          <w:rFonts w:ascii="Times New Roman" w:hAnsi="Times New Roman" w:eastAsia="Times New Roman" w:cs="Times New Roman"/>
          <w:sz w:val="24"/>
          <w:szCs w:val="24"/>
        </w:rPr>
        <w:t>d.</w:t>
      </w:r>
      <w:r>
        <w:rPr>
          <w:rFonts w:ascii="SimSun" w:hAnsi="SimSun" w:eastAsia="SimSun" w:cs="SimSun"/>
          <w:sz w:val="24"/>
          <w:szCs w:val="24"/>
        </w:rPr>
        <w:t>盛装危险废物的容器材质和衬里要与危险废物相</w:t>
      </w:r>
      <w:r>
        <w:rPr>
          <w:rFonts w:ascii="SimSun" w:hAnsi="SimSun" w:eastAsia="SimSun" w:cs="SimSun"/>
          <w:sz w:val="24"/>
          <w:szCs w:val="24"/>
          <w:spacing w:val="-1"/>
        </w:rPr>
        <w:t>容（不相互反应）。</w:t>
      </w:r>
    </w:p>
    <w:p>
      <w:pPr>
        <w:ind w:left="502"/>
        <w:spacing w:before="215" w:line="219" w:lineRule="auto"/>
        <w:rPr>
          <w:rFonts w:ascii="SimSun" w:hAnsi="SimSun" w:eastAsia="SimSun" w:cs="SimSun"/>
          <w:sz w:val="24"/>
          <w:szCs w:val="24"/>
        </w:rPr>
      </w:pPr>
      <w:r>
        <w:rPr>
          <w:rFonts w:ascii="Times New Roman" w:hAnsi="Times New Roman" w:eastAsia="Times New Roman" w:cs="Times New Roman"/>
          <w:sz w:val="24"/>
          <w:szCs w:val="24"/>
        </w:rPr>
        <w:t>e.</w:t>
      </w:r>
      <w:r>
        <w:rPr>
          <w:rFonts w:ascii="SimSun" w:hAnsi="SimSun" w:eastAsia="SimSun" w:cs="SimSun"/>
          <w:sz w:val="24"/>
          <w:szCs w:val="24"/>
        </w:rPr>
        <w:t>液体危险废物可注入开孔直径不超过</w:t>
      </w:r>
      <w:r>
        <w:rPr>
          <w:rFonts w:ascii="Times New Roman" w:hAnsi="Times New Roman" w:eastAsia="Times New Roman" w:cs="Times New Roman"/>
          <w:sz w:val="24"/>
          <w:szCs w:val="24"/>
        </w:rPr>
        <w:t>70</w:t>
      </w:r>
      <w:r>
        <w:rPr>
          <w:rFonts w:ascii="SimSun" w:hAnsi="SimSun" w:eastAsia="SimSun" w:cs="SimSun"/>
          <w:sz w:val="24"/>
          <w:szCs w:val="24"/>
          <w:spacing w:val="-1"/>
        </w:rPr>
        <w:t>毫米并有放气孔的桶中。</w:t>
      </w:r>
    </w:p>
    <w:p>
      <w:pPr>
        <w:ind w:left="501"/>
        <w:spacing w:before="214" w:line="217" w:lineRule="auto"/>
        <w:rPr>
          <w:rFonts w:ascii="SimSun" w:hAnsi="SimSun" w:eastAsia="SimSun" w:cs="SimSun"/>
          <w:sz w:val="24"/>
          <w:szCs w:val="24"/>
        </w:rPr>
      </w:pPr>
      <w:r>
        <w:rPr>
          <w:rFonts w:ascii="SimSun" w:hAnsi="SimSun" w:eastAsia="SimSun" w:cs="SimSun"/>
          <w:sz w:val="24"/>
          <w:szCs w:val="24"/>
          <w:spacing w:val="-1"/>
        </w:rPr>
        <w:t>④危险废物管理计划</w:t>
      </w:r>
    </w:p>
    <w:p>
      <w:pPr>
        <w:ind w:left="24" w:right="13" w:firstLine="479"/>
        <w:spacing w:before="218" w:line="385" w:lineRule="auto"/>
        <w:rPr>
          <w:rFonts w:ascii="SimSun" w:hAnsi="SimSun" w:eastAsia="SimSun" w:cs="SimSun"/>
          <w:sz w:val="24"/>
          <w:szCs w:val="24"/>
        </w:rPr>
      </w:pPr>
      <w:r>
        <w:rPr>
          <w:rFonts w:ascii="SimSun" w:hAnsi="SimSun" w:eastAsia="SimSun" w:cs="SimSun"/>
          <w:sz w:val="24"/>
          <w:szCs w:val="24"/>
          <w:spacing w:val="-2"/>
        </w:rPr>
        <w:t>根据《危险废物管理计划和管理台账制定技术导则》（</w:t>
      </w:r>
      <w:r>
        <w:rPr>
          <w:rFonts w:ascii="Times New Roman" w:hAnsi="Times New Roman" w:eastAsia="Times New Roman" w:cs="Times New Roman"/>
          <w:sz w:val="24"/>
          <w:szCs w:val="24"/>
          <w:spacing w:val="-2"/>
        </w:rPr>
        <w:t>HJ</w:t>
      </w:r>
      <w:r>
        <w:rPr>
          <w:rFonts w:ascii="Times New Roman" w:hAnsi="Times New Roman" w:eastAsia="Times New Roman" w:cs="Times New Roman"/>
          <w:sz w:val="24"/>
          <w:szCs w:val="24"/>
          <w:spacing w:val="29"/>
        </w:rPr>
        <w:t xml:space="preserve"> </w:t>
      </w:r>
      <w:r>
        <w:rPr>
          <w:rFonts w:ascii="Times New Roman" w:hAnsi="Times New Roman" w:eastAsia="Times New Roman" w:cs="Times New Roman"/>
          <w:sz w:val="24"/>
          <w:szCs w:val="24"/>
          <w:spacing w:val="-2"/>
        </w:rPr>
        <w:t>1259-2022</w:t>
      </w:r>
      <w:r>
        <w:rPr>
          <w:rFonts w:ascii="SimSun" w:hAnsi="SimSun" w:eastAsia="SimSun" w:cs="SimSun"/>
          <w:sz w:val="24"/>
          <w:szCs w:val="24"/>
          <w:spacing w:val="6"/>
        </w:rPr>
        <w:t>），</w:t>
      </w:r>
      <w:r>
        <w:rPr>
          <w:rFonts w:ascii="SimSun" w:hAnsi="SimSun" w:eastAsia="SimSun" w:cs="SimSun"/>
          <w:sz w:val="24"/>
          <w:szCs w:val="24"/>
          <w:spacing w:val="-2"/>
        </w:rPr>
        <w:t>本</w:t>
      </w:r>
      <w:r>
        <w:rPr>
          <w:rFonts w:ascii="SimSun" w:hAnsi="SimSun" w:eastAsia="SimSun" w:cs="SimSun"/>
          <w:sz w:val="24"/>
          <w:szCs w:val="24"/>
        </w:rPr>
        <w:t xml:space="preserve"> </w:t>
      </w:r>
      <w:r>
        <w:rPr>
          <w:rFonts w:ascii="SimSun" w:hAnsi="SimSun" w:eastAsia="SimSun" w:cs="SimSun"/>
          <w:sz w:val="24"/>
          <w:szCs w:val="24"/>
          <w:spacing w:val="-2"/>
        </w:rPr>
        <w:t>项目属于“</w:t>
      </w:r>
      <w:r>
        <w:rPr>
          <w:rFonts w:ascii="SimSun" w:hAnsi="SimSun" w:eastAsia="SimSun" w:cs="SimSun"/>
          <w:sz w:val="24"/>
          <w:szCs w:val="24"/>
          <w:spacing w:val="-78"/>
        </w:rPr>
        <w:t xml:space="preserve"> </w:t>
      </w:r>
      <w:r>
        <w:rPr>
          <w:rFonts w:ascii="SimSun" w:hAnsi="SimSun" w:eastAsia="SimSun" w:cs="SimSun"/>
          <w:sz w:val="24"/>
          <w:szCs w:val="24"/>
          <w:spacing w:val="-2"/>
        </w:rPr>
        <w:t>同一生产经营场所危险废物年产生量</w:t>
      </w:r>
      <w:r>
        <w:rPr>
          <w:rFonts w:ascii="Times New Roman" w:hAnsi="Times New Roman" w:eastAsia="Times New Roman" w:cs="Times New Roman"/>
          <w:sz w:val="24"/>
          <w:szCs w:val="24"/>
          <w:spacing w:val="-2"/>
        </w:rPr>
        <w:t>10t</w:t>
      </w:r>
      <w:r>
        <w:rPr>
          <w:rFonts w:ascii="SimSun" w:hAnsi="SimSun" w:eastAsia="SimSun" w:cs="SimSun"/>
          <w:sz w:val="24"/>
          <w:szCs w:val="24"/>
          <w:spacing w:val="-2"/>
        </w:rPr>
        <w:t>以下且未纳入危险废物环境 </w:t>
      </w:r>
      <w:r>
        <w:rPr>
          <w:rFonts w:ascii="SimSun" w:hAnsi="SimSun" w:eastAsia="SimSun" w:cs="SimSun"/>
          <w:sz w:val="24"/>
          <w:szCs w:val="24"/>
          <w:spacing w:val="-1"/>
        </w:rPr>
        <w:t>重点监管单位的单位</w:t>
      </w:r>
      <w:r>
        <w:rPr>
          <w:rFonts w:ascii="SimSun" w:hAnsi="SimSun" w:eastAsia="SimSun" w:cs="SimSun"/>
          <w:sz w:val="24"/>
          <w:szCs w:val="24"/>
          <w:spacing w:val="-88"/>
        </w:rPr>
        <w:t xml:space="preserve"> </w:t>
      </w:r>
      <w:r>
        <w:rPr>
          <w:rFonts w:ascii="SimSun" w:hAnsi="SimSun" w:eastAsia="SimSun" w:cs="SimSun"/>
          <w:sz w:val="24"/>
          <w:szCs w:val="24"/>
          <w:spacing w:val="-1"/>
        </w:rPr>
        <w:t>” ，属于危险废物登记管理单位，危</w:t>
      </w:r>
      <w:r>
        <w:rPr>
          <w:rFonts w:ascii="SimSun" w:hAnsi="SimSun" w:eastAsia="SimSun" w:cs="SimSun"/>
          <w:sz w:val="24"/>
          <w:szCs w:val="24"/>
          <w:spacing w:val="-2"/>
        </w:rPr>
        <w:t>险废物管理计划制定</w:t>
      </w:r>
    </w:p>
    <w:p>
      <w:pPr>
        <w:ind w:left="27"/>
        <w:spacing w:line="220" w:lineRule="auto"/>
        <w:rPr>
          <w:rFonts w:ascii="SimSun" w:hAnsi="SimSun" w:eastAsia="SimSun" w:cs="SimSun"/>
          <w:sz w:val="24"/>
          <w:szCs w:val="24"/>
        </w:rPr>
      </w:pPr>
      <w:r>
        <w:rPr>
          <w:rFonts w:ascii="SimSun" w:hAnsi="SimSun" w:eastAsia="SimSun" w:cs="SimSun"/>
          <w:sz w:val="24"/>
          <w:szCs w:val="24"/>
          <w:spacing w:val="-5"/>
        </w:rPr>
        <w:t>如下：</w:t>
      </w:r>
    </w:p>
    <w:p>
      <w:pPr>
        <w:ind w:left="23" w:right="13" w:firstLine="479"/>
        <w:spacing w:before="213" w:line="385" w:lineRule="auto"/>
        <w:rPr>
          <w:rFonts w:ascii="SimSun" w:hAnsi="SimSun" w:eastAsia="SimSun" w:cs="SimSun"/>
          <w:sz w:val="24"/>
          <w:szCs w:val="24"/>
        </w:rPr>
      </w:pPr>
      <w:r>
        <w:rPr>
          <w:rFonts w:ascii="Times New Roman" w:hAnsi="Times New Roman" w:eastAsia="Times New Roman" w:cs="Times New Roman"/>
          <w:sz w:val="24"/>
          <w:szCs w:val="24"/>
          <w:spacing w:val="-1"/>
        </w:rPr>
        <w:t>a.</w:t>
      </w:r>
      <w:r>
        <w:rPr>
          <w:rFonts w:ascii="SimSun" w:hAnsi="SimSun" w:eastAsia="SimSun" w:cs="SimSun"/>
          <w:sz w:val="24"/>
          <w:szCs w:val="24"/>
          <w:spacing w:val="-1"/>
        </w:rPr>
        <w:t>制订单位：同一法人单位或者其他组织所属但位于不同生产经营场所的单</w:t>
      </w:r>
      <w:r>
        <w:rPr>
          <w:rFonts w:ascii="SimSun" w:hAnsi="SimSun" w:eastAsia="SimSun" w:cs="SimSun"/>
          <w:sz w:val="24"/>
          <w:szCs w:val="24"/>
          <w:spacing w:val="4"/>
        </w:rPr>
        <w:t xml:space="preserve"> </w:t>
      </w:r>
      <w:r>
        <w:rPr>
          <w:rFonts w:ascii="SimSun" w:hAnsi="SimSun" w:eastAsia="SimSun" w:cs="SimSun"/>
          <w:sz w:val="24"/>
          <w:szCs w:val="24"/>
          <w:spacing w:val="-3"/>
        </w:rPr>
        <w:t>位，应当以每个生产经营场所为单位，分别制定危险废物管理计划，并通过国家</w:t>
      </w:r>
    </w:p>
    <w:p>
      <w:pPr>
        <w:ind w:left="26"/>
        <w:spacing w:line="219" w:lineRule="auto"/>
        <w:rPr>
          <w:rFonts w:ascii="SimSun" w:hAnsi="SimSun" w:eastAsia="SimSun" w:cs="SimSun"/>
          <w:sz w:val="24"/>
          <w:szCs w:val="24"/>
        </w:rPr>
      </w:pPr>
      <w:r>
        <w:rPr>
          <w:rFonts w:ascii="SimSun" w:hAnsi="SimSun" w:eastAsia="SimSun" w:cs="SimSun"/>
          <w:sz w:val="24"/>
          <w:szCs w:val="24"/>
          <w:spacing w:val="-1"/>
        </w:rPr>
        <w:t>危险废物信息管理系统向生产经营场所所在地生态环境主管部门备案。</w:t>
      </w:r>
    </w:p>
    <w:p>
      <w:pPr>
        <w:ind w:left="23" w:right="13" w:firstLine="470"/>
        <w:spacing w:before="217" w:line="384" w:lineRule="auto"/>
        <w:rPr>
          <w:rFonts w:ascii="SimSun" w:hAnsi="SimSun" w:eastAsia="SimSun" w:cs="SimSun"/>
          <w:sz w:val="24"/>
          <w:szCs w:val="24"/>
        </w:rPr>
      </w:pPr>
      <w:r>
        <w:rPr>
          <w:rFonts w:ascii="Times New Roman" w:hAnsi="Times New Roman" w:eastAsia="Times New Roman" w:cs="Times New Roman"/>
          <w:sz w:val="24"/>
          <w:szCs w:val="24"/>
          <w:spacing w:val="-1"/>
        </w:rPr>
        <w:t>b.</w:t>
      </w:r>
      <w:r>
        <w:rPr>
          <w:rFonts w:ascii="SimSun" w:hAnsi="SimSun" w:eastAsia="SimSun" w:cs="SimSun"/>
          <w:sz w:val="24"/>
          <w:szCs w:val="24"/>
          <w:spacing w:val="-1"/>
        </w:rPr>
        <w:t>制定形式及时限要求：产生危险废物的单位应当按年度制定危险废物管理</w:t>
      </w:r>
      <w:r>
        <w:rPr>
          <w:rFonts w:ascii="SimSun" w:hAnsi="SimSun" w:eastAsia="SimSun" w:cs="SimSun"/>
          <w:sz w:val="24"/>
          <w:szCs w:val="24"/>
        </w:rPr>
        <w:t xml:space="preserve"> </w:t>
      </w:r>
      <w:r>
        <w:rPr>
          <w:rFonts w:ascii="SimSun" w:hAnsi="SimSun" w:eastAsia="SimSun" w:cs="SimSun"/>
          <w:sz w:val="24"/>
          <w:szCs w:val="24"/>
        </w:rPr>
        <w:t>计划。产生危险废物的单位应当于每年</w:t>
      </w:r>
      <w:r>
        <w:rPr>
          <w:rFonts w:ascii="Times New Roman" w:hAnsi="Times New Roman" w:eastAsia="Times New Roman" w:cs="Times New Roman"/>
          <w:sz w:val="24"/>
          <w:szCs w:val="24"/>
        </w:rPr>
        <w:t>3</w:t>
      </w:r>
      <w:r>
        <w:rPr>
          <w:rFonts w:ascii="SimSun" w:hAnsi="SimSun" w:eastAsia="SimSun" w:cs="SimSun"/>
          <w:sz w:val="24"/>
          <w:szCs w:val="24"/>
        </w:rPr>
        <w:t>月</w:t>
      </w:r>
      <w:r>
        <w:rPr>
          <w:rFonts w:ascii="Times New Roman" w:hAnsi="Times New Roman" w:eastAsia="Times New Roman" w:cs="Times New Roman"/>
          <w:sz w:val="24"/>
          <w:szCs w:val="24"/>
        </w:rPr>
        <w:t>31</w:t>
      </w:r>
      <w:r>
        <w:rPr>
          <w:rFonts w:ascii="SimSun" w:hAnsi="SimSun" w:eastAsia="SimSun" w:cs="SimSun"/>
          <w:sz w:val="24"/>
          <w:szCs w:val="24"/>
        </w:rPr>
        <w:t>日前通过</w:t>
      </w:r>
      <w:r>
        <w:rPr>
          <w:rFonts w:ascii="SimSun" w:hAnsi="SimSun" w:eastAsia="SimSun" w:cs="SimSun"/>
          <w:sz w:val="24"/>
          <w:szCs w:val="24"/>
          <w:spacing w:val="-1"/>
        </w:rPr>
        <w:t>国家危险废物信息管理系</w:t>
      </w:r>
      <w:r>
        <w:rPr>
          <w:rFonts w:ascii="SimSun" w:hAnsi="SimSun" w:eastAsia="SimSun" w:cs="SimSun"/>
          <w:sz w:val="24"/>
          <w:szCs w:val="24"/>
        </w:rPr>
        <w:t xml:space="preserve"> </w:t>
      </w:r>
      <w:r>
        <w:rPr>
          <w:rFonts w:ascii="SimSun" w:hAnsi="SimSun" w:eastAsia="SimSun" w:cs="SimSun"/>
          <w:sz w:val="24"/>
          <w:szCs w:val="24"/>
          <w:spacing w:val="-3"/>
        </w:rPr>
        <w:t>统在线填写并提交当年度的危险废物管理计划，由国家危险废物信息管理系统自</w:t>
      </w:r>
      <w:r>
        <w:rPr>
          <w:rFonts w:ascii="SimSun" w:hAnsi="SimSun" w:eastAsia="SimSun" w:cs="SimSun"/>
          <w:sz w:val="24"/>
          <w:szCs w:val="24"/>
          <w:spacing w:val="1"/>
        </w:rPr>
        <w:t xml:space="preserve"> </w:t>
      </w:r>
      <w:r>
        <w:rPr>
          <w:rFonts w:ascii="SimSun" w:hAnsi="SimSun" w:eastAsia="SimSun" w:cs="SimSun"/>
          <w:sz w:val="24"/>
          <w:szCs w:val="24"/>
        </w:rPr>
        <w:t>动生成备案编号和回执，完成备案。 危险废物管理计</w:t>
      </w:r>
      <w:r>
        <w:rPr>
          <w:rFonts w:ascii="SimSun" w:hAnsi="SimSun" w:eastAsia="SimSun" w:cs="SimSun"/>
          <w:sz w:val="24"/>
          <w:szCs w:val="24"/>
          <w:spacing w:val="-1"/>
        </w:rPr>
        <w:t>划备案内容需要调整的，</w:t>
      </w:r>
    </w:p>
    <w:p>
      <w:pPr>
        <w:ind w:left="23"/>
        <w:spacing w:line="219" w:lineRule="auto"/>
        <w:rPr>
          <w:rFonts w:ascii="SimSun" w:hAnsi="SimSun" w:eastAsia="SimSun" w:cs="SimSun"/>
          <w:sz w:val="24"/>
          <w:szCs w:val="24"/>
        </w:rPr>
      </w:pPr>
      <w:r>
        <w:rPr>
          <w:rFonts w:ascii="SimSun" w:hAnsi="SimSun" w:eastAsia="SimSun" w:cs="SimSun"/>
          <w:sz w:val="24"/>
          <w:szCs w:val="24"/>
          <w:spacing w:val="-1"/>
        </w:rPr>
        <w:t>产生危险废物的单位应当及时变更。</w:t>
      </w:r>
    </w:p>
    <w:p>
      <w:pPr>
        <w:spacing w:line="219" w:lineRule="auto"/>
        <w:sectPr>
          <w:footerReference w:type="default" r:id="rId66"/>
          <w:pgSz w:w="11906" w:h="16839"/>
          <w:pgMar w:top="400" w:right="1785" w:bottom="1211" w:left="1785" w:header="0" w:footer="1049" w:gutter="0"/>
        </w:sectPr>
        <w:rPr>
          <w:rFonts w:ascii="SimSun" w:hAnsi="SimSun" w:eastAsia="SimSun" w:cs="SimSun"/>
          <w:sz w:val="24"/>
          <w:szCs w:val="24"/>
        </w:rPr>
      </w:pPr>
    </w:p>
    <w:p>
      <w:pPr>
        <w:pStyle w:val="BodyText"/>
        <w:spacing w:line="287" w:lineRule="auto"/>
        <w:rPr/>
      </w:pPr>
      <w:r/>
    </w:p>
    <w:p>
      <w:pPr>
        <w:pStyle w:val="BodyText"/>
        <w:spacing w:line="287" w:lineRule="auto"/>
        <w:rPr/>
      </w:pPr>
      <w:r/>
    </w:p>
    <w:p>
      <w:pPr>
        <w:pStyle w:val="BodyText"/>
        <w:spacing w:line="288" w:lineRule="auto"/>
        <w:rPr/>
      </w:pPr>
      <w:r/>
    </w:p>
    <w:p>
      <w:pPr>
        <w:pStyle w:val="BodyText"/>
        <w:spacing w:line="288" w:lineRule="auto"/>
        <w:rPr/>
      </w:pPr>
      <w:r/>
    </w:p>
    <w:p>
      <w:pPr>
        <w:ind w:left="622"/>
        <w:spacing w:before="78" w:line="499" w:lineRule="exact"/>
        <w:rPr>
          <w:rFonts w:ascii="SimSun" w:hAnsi="SimSun" w:eastAsia="SimSun" w:cs="SimSun"/>
          <w:sz w:val="24"/>
          <w:szCs w:val="24"/>
        </w:rPr>
      </w:pPr>
      <w:r>
        <w:rPr>
          <w:rFonts w:ascii="Times New Roman" w:hAnsi="Times New Roman" w:eastAsia="Times New Roman" w:cs="Times New Roman"/>
          <w:sz w:val="24"/>
          <w:szCs w:val="24"/>
          <w:position w:val="19"/>
        </w:rPr>
        <w:t>c.  </w:t>
      </w:r>
      <w:r>
        <w:rPr>
          <w:rFonts w:ascii="SimSun" w:hAnsi="SimSun" w:eastAsia="SimSun" w:cs="SimSun"/>
          <w:sz w:val="24"/>
          <w:szCs w:val="24"/>
          <w:position w:val="19"/>
        </w:rPr>
        <w:t>一般原则：危险废物登记管理单位的管理计划</w:t>
      </w:r>
      <w:r>
        <w:rPr>
          <w:rFonts w:ascii="SimSun" w:hAnsi="SimSun" w:eastAsia="SimSun" w:cs="SimSun"/>
          <w:sz w:val="24"/>
          <w:szCs w:val="24"/>
          <w:spacing w:val="-1"/>
          <w:position w:val="19"/>
        </w:rPr>
        <w:t>制定内容应包括单位基本</w:t>
      </w:r>
    </w:p>
    <w:p>
      <w:pPr>
        <w:ind w:left="143"/>
        <w:spacing w:line="219" w:lineRule="auto"/>
        <w:rPr>
          <w:rFonts w:ascii="SimSun" w:hAnsi="SimSun" w:eastAsia="SimSun" w:cs="SimSun"/>
          <w:sz w:val="24"/>
          <w:szCs w:val="24"/>
        </w:rPr>
      </w:pPr>
      <w:r>
        <w:rPr>
          <w:rFonts w:ascii="SimSun" w:hAnsi="SimSun" w:eastAsia="SimSun" w:cs="SimSun"/>
          <w:sz w:val="24"/>
          <w:szCs w:val="24"/>
          <w:spacing w:val="-1"/>
        </w:rPr>
        <w:t>信息、危险废物产生情况信息、危险废物转移情况信息。</w:t>
      </w:r>
    </w:p>
    <w:p>
      <w:pPr>
        <w:ind w:left="611"/>
        <w:spacing w:before="213" w:line="219" w:lineRule="auto"/>
        <w:rPr>
          <w:rFonts w:ascii="Times New Roman" w:hAnsi="Times New Roman" w:eastAsia="Times New Roman" w:cs="Times New Roman"/>
          <w:sz w:val="24"/>
          <w:szCs w:val="24"/>
        </w:rPr>
      </w:pPr>
      <w:r>
        <w:rPr>
          <w:rFonts w:ascii="SimSun" w:hAnsi="SimSun" w:eastAsia="SimSun" w:cs="SimSun"/>
          <w:sz w:val="24"/>
          <w:szCs w:val="24"/>
          <w:spacing w:val="-1"/>
        </w:rPr>
        <w:t>“</w:t>
      </w:r>
      <w:r>
        <w:rPr>
          <w:rFonts w:ascii="SimSun" w:hAnsi="SimSun" w:eastAsia="SimSun" w:cs="SimSun"/>
          <w:sz w:val="24"/>
          <w:szCs w:val="24"/>
          <w14:textOutline w14:w="4358" w14:cap="sq" w14:cmpd="sng">
            <w14:solidFill>
              <w14:srgbClr w14:val="000000"/>
            </w14:solidFill>
            <w14:prstDash w14:val="solid"/>
            <w14:bevel/>
          </w14:textOutline>
          <w:spacing w:val="-1"/>
        </w:rPr>
        <w:t>完善危废暂存设施依托可行性分析</w:t>
      </w:r>
      <w:r>
        <w:rPr>
          <w:rFonts w:ascii="SimSun" w:hAnsi="SimSun" w:eastAsia="SimSun" w:cs="SimSun"/>
          <w:sz w:val="24"/>
          <w:szCs w:val="24"/>
          <w:spacing w:val="-81"/>
        </w:rPr>
        <w:t xml:space="preserve"> </w:t>
      </w:r>
      <w:r>
        <w:rPr>
          <w:rFonts w:ascii="SimSun" w:hAnsi="SimSun" w:eastAsia="SimSun" w:cs="SimSun"/>
          <w:sz w:val="24"/>
          <w:szCs w:val="24"/>
          <w:spacing w:val="-1"/>
        </w:rPr>
        <w:t>”修改见</w:t>
      </w:r>
      <w:r>
        <w:rPr>
          <w:rFonts w:ascii="Times New Roman" w:hAnsi="Times New Roman" w:eastAsia="Times New Roman" w:cs="Times New Roman"/>
          <w:sz w:val="24"/>
          <w:szCs w:val="24"/>
          <w:spacing w:val="-1"/>
        </w:rPr>
        <w:t>P30</w:t>
      </w:r>
    </w:p>
    <w:p>
      <w:pPr>
        <w:ind w:left="634"/>
        <w:spacing w:before="216"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）危险废物暂存间依托可行性分析</w:t>
      </w:r>
    </w:p>
    <w:p>
      <w:pPr>
        <w:ind w:left="146" w:right="112" w:firstLine="478"/>
        <w:spacing w:before="215" w:line="385" w:lineRule="auto"/>
        <w:rPr>
          <w:rFonts w:ascii="SimSun" w:hAnsi="SimSun" w:eastAsia="SimSun" w:cs="SimSun"/>
          <w:sz w:val="24"/>
          <w:szCs w:val="24"/>
        </w:rPr>
      </w:pPr>
      <w:r>
        <w:rPr>
          <w:rFonts w:ascii="SimSun" w:hAnsi="SimSun" w:eastAsia="SimSun" w:cs="SimSun"/>
          <w:sz w:val="24"/>
          <w:szCs w:val="24"/>
          <w:spacing w:val="-3"/>
        </w:rPr>
        <w:t>本项目空压机更换的废机油、废气处理过程产生的废催化剂、</w:t>
      </w:r>
      <w:r>
        <w:rPr>
          <w:rFonts w:ascii="SimSun" w:hAnsi="SimSun" w:eastAsia="SimSun" w:cs="SimSun"/>
          <w:sz w:val="24"/>
          <w:szCs w:val="24"/>
          <w:spacing w:val="-4"/>
        </w:rPr>
        <w:t>废活性炭属于</w:t>
      </w:r>
      <w:r>
        <w:rPr>
          <w:rFonts w:ascii="SimSun" w:hAnsi="SimSun" w:eastAsia="SimSun" w:cs="SimSun"/>
          <w:sz w:val="24"/>
          <w:szCs w:val="24"/>
        </w:rPr>
        <w:t xml:space="preserve"> </w:t>
      </w:r>
      <w:r>
        <w:rPr>
          <w:rFonts w:ascii="SimSun" w:hAnsi="SimSun" w:eastAsia="SimSun" w:cs="SimSun"/>
          <w:sz w:val="24"/>
          <w:szCs w:val="24"/>
          <w:spacing w:val="-3"/>
        </w:rPr>
        <w:t>危险废物，危险废物依托企业已建一座</w:t>
      </w:r>
      <w:r>
        <w:rPr>
          <w:rFonts w:ascii="Times New Roman" w:hAnsi="Times New Roman" w:eastAsia="Times New Roman" w:cs="Times New Roman"/>
          <w:sz w:val="24"/>
          <w:szCs w:val="24"/>
          <w:spacing w:val="-3"/>
        </w:rPr>
        <w:t>15</w:t>
      </w:r>
      <w:r>
        <w:rPr>
          <w:rFonts w:ascii="SimSun" w:hAnsi="SimSun" w:eastAsia="SimSun" w:cs="SimSun"/>
          <w:sz w:val="24"/>
          <w:szCs w:val="24"/>
          <w:spacing w:val="-3"/>
        </w:rPr>
        <w:t>㎡危废暂存间暂存。企业现有危险废物</w:t>
      </w:r>
    </w:p>
    <w:p>
      <w:pPr>
        <w:ind w:left="143"/>
        <w:spacing w:line="219" w:lineRule="auto"/>
        <w:rPr>
          <w:rFonts w:ascii="SimSun" w:hAnsi="SimSun" w:eastAsia="SimSun" w:cs="SimSun"/>
          <w:sz w:val="24"/>
          <w:szCs w:val="24"/>
        </w:rPr>
      </w:pPr>
      <w:r>
        <w:rPr>
          <w:rFonts w:ascii="SimSun" w:hAnsi="SimSun" w:eastAsia="SimSun" w:cs="SimSun"/>
          <w:sz w:val="24"/>
          <w:szCs w:val="24"/>
          <w:spacing w:val="-3"/>
        </w:rPr>
        <w:t>产生量为</w:t>
      </w:r>
      <w:r>
        <w:rPr>
          <w:rFonts w:ascii="Times New Roman" w:hAnsi="Times New Roman" w:eastAsia="Times New Roman" w:cs="Times New Roman"/>
          <w:sz w:val="24"/>
          <w:szCs w:val="24"/>
          <w:spacing w:val="-3"/>
        </w:rPr>
        <w:t>0.6t/a</w:t>
      </w:r>
      <w:r>
        <w:rPr>
          <w:rFonts w:ascii="Times New Roman" w:hAnsi="Times New Roman" w:eastAsia="Times New Roman" w:cs="Times New Roman"/>
          <w:sz w:val="24"/>
          <w:szCs w:val="24"/>
          <w:spacing w:val="-21"/>
        </w:rPr>
        <w:t xml:space="preserve"> </w:t>
      </w:r>
      <w:r>
        <w:rPr>
          <w:rFonts w:ascii="SimSun" w:hAnsi="SimSun" w:eastAsia="SimSun" w:cs="SimSun"/>
          <w:sz w:val="24"/>
          <w:szCs w:val="24"/>
          <w:spacing w:val="-3"/>
        </w:rPr>
        <w:t>，实际最大占地面积为</w:t>
      </w:r>
      <w:r>
        <w:rPr>
          <w:rFonts w:ascii="Times New Roman" w:hAnsi="Times New Roman" w:eastAsia="Times New Roman" w:cs="Times New Roman"/>
          <w:sz w:val="24"/>
          <w:szCs w:val="24"/>
          <w:spacing w:val="-3"/>
        </w:rPr>
        <w:t>5</w:t>
      </w:r>
      <w:r>
        <w:rPr>
          <w:rFonts w:ascii="SimSun" w:hAnsi="SimSun" w:eastAsia="SimSun" w:cs="SimSun"/>
          <w:sz w:val="24"/>
          <w:szCs w:val="24"/>
          <w:spacing w:val="-3"/>
        </w:rPr>
        <w:t>㎡。</w:t>
      </w:r>
    </w:p>
    <w:p>
      <w:pPr>
        <w:ind w:left="142" w:right="32" w:firstLine="481"/>
        <w:spacing w:before="213" w:line="385" w:lineRule="auto"/>
        <w:rPr>
          <w:rFonts w:ascii="SimSun" w:hAnsi="SimSun" w:eastAsia="SimSun" w:cs="SimSun"/>
          <w:sz w:val="24"/>
          <w:szCs w:val="24"/>
        </w:rPr>
      </w:pPr>
      <w:r>
        <w:rPr>
          <w:rFonts w:ascii="SimSun" w:hAnsi="SimSun" w:eastAsia="SimSun" w:cs="SimSun"/>
          <w:sz w:val="24"/>
          <w:szCs w:val="24"/>
          <w:spacing w:val="-5"/>
        </w:rPr>
        <w:t>本项目危险废物废催化剂、废活性炭</w:t>
      </w:r>
      <w:r>
        <w:rPr>
          <w:rFonts w:ascii="Times New Roman" w:hAnsi="Times New Roman" w:eastAsia="Times New Roman" w:cs="Times New Roman"/>
          <w:sz w:val="24"/>
          <w:szCs w:val="24"/>
          <w:spacing w:val="-5"/>
        </w:rPr>
        <w:t>2</w:t>
      </w:r>
      <w:r>
        <w:rPr>
          <w:rFonts w:ascii="SimSun" w:hAnsi="SimSun" w:eastAsia="SimSun" w:cs="SimSun"/>
          <w:sz w:val="24"/>
          <w:szCs w:val="24"/>
          <w:spacing w:val="-5"/>
        </w:rPr>
        <w:t>年更换一次，</w:t>
      </w:r>
      <w:r>
        <w:rPr>
          <w:rFonts w:ascii="SimSun" w:hAnsi="SimSun" w:eastAsia="SimSun" w:cs="SimSun"/>
          <w:sz w:val="24"/>
          <w:szCs w:val="24"/>
          <w:spacing w:val="-6"/>
        </w:rPr>
        <w:t>废催化剂产生量为</w:t>
      </w:r>
      <w:r>
        <w:rPr>
          <w:rFonts w:ascii="Times New Roman" w:hAnsi="Times New Roman" w:eastAsia="Times New Roman" w:cs="Times New Roman"/>
          <w:sz w:val="24"/>
          <w:szCs w:val="24"/>
          <w:spacing w:val="-6"/>
        </w:rPr>
        <w:t>0.5t/a</w:t>
      </w:r>
      <w:r>
        <w:rPr>
          <w:rFonts w:ascii="SimSun" w:hAnsi="SimSun" w:eastAsia="SimSun" w:cs="SimSun"/>
          <w:sz w:val="24"/>
          <w:szCs w:val="24"/>
          <w:spacing w:val="-6"/>
        </w:rPr>
        <w:t>、</w:t>
      </w:r>
      <w:r>
        <w:rPr>
          <w:rFonts w:ascii="SimSun" w:hAnsi="SimSun" w:eastAsia="SimSun" w:cs="SimSun"/>
          <w:sz w:val="24"/>
          <w:szCs w:val="24"/>
        </w:rPr>
        <w:t xml:space="preserve"> </w:t>
      </w:r>
      <w:r>
        <w:rPr>
          <w:rFonts w:ascii="SimSun" w:hAnsi="SimSun" w:eastAsia="SimSun" w:cs="SimSun"/>
          <w:sz w:val="24"/>
          <w:szCs w:val="24"/>
          <w:spacing w:val="-3"/>
        </w:rPr>
        <w:t>废活性炭产生量为</w:t>
      </w:r>
      <w:r>
        <w:rPr>
          <w:rFonts w:ascii="Times New Roman" w:hAnsi="Times New Roman" w:eastAsia="Times New Roman" w:cs="Times New Roman"/>
          <w:sz w:val="24"/>
          <w:szCs w:val="24"/>
          <w:spacing w:val="-3"/>
        </w:rPr>
        <w:t>0.5t/a</w:t>
      </w:r>
      <w:r>
        <w:rPr>
          <w:rFonts w:ascii="SimSun" w:hAnsi="SimSun" w:eastAsia="SimSun" w:cs="SimSun"/>
          <w:sz w:val="24"/>
          <w:szCs w:val="24"/>
          <w:spacing w:val="-3"/>
        </w:rPr>
        <w:t>，需要占地存储占地面积</w:t>
      </w:r>
      <w:r>
        <w:rPr>
          <w:rFonts w:ascii="Times New Roman" w:hAnsi="Times New Roman" w:eastAsia="Times New Roman" w:cs="Times New Roman"/>
          <w:sz w:val="24"/>
          <w:szCs w:val="24"/>
          <w:spacing w:val="-3"/>
        </w:rPr>
        <w:t>3</w:t>
      </w:r>
      <w:r>
        <w:rPr>
          <w:rFonts w:ascii="SimSun" w:hAnsi="SimSun" w:eastAsia="SimSun" w:cs="SimSun"/>
          <w:sz w:val="24"/>
          <w:szCs w:val="24"/>
          <w:spacing w:val="-3"/>
        </w:rPr>
        <w:t>㎡；废机油年产生</w:t>
      </w:r>
      <w:r>
        <w:rPr>
          <w:rFonts w:ascii="Times New Roman" w:hAnsi="Times New Roman" w:eastAsia="Times New Roman" w:cs="Times New Roman"/>
          <w:sz w:val="24"/>
          <w:szCs w:val="24"/>
          <w:spacing w:val="-3"/>
        </w:rPr>
        <w:t>0.5t/a</w:t>
      </w:r>
      <w:r>
        <w:rPr>
          <w:rFonts w:ascii="SimSun" w:hAnsi="SimSun" w:eastAsia="SimSun" w:cs="SimSun"/>
          <w:sz w:val="24"/>
          <w:szCs w:val="24"/>
          <w:spacing w:val="-3"/>
        </w:rPr>
        <w:t>，需要 </w:t>
      </w:r>
      <w:r>
        <w:rPr>
          <w:rFonts w:ascii="SimSun" w:hAnsi="SimSun" w:eastAsia="SimSun" w:cs="SimSun"/>
          <w:sz w:val="24"/>
          <w:szCs w:val="24"/>
          <w:spacing w:val="-2"/>
        </w:rPr>
        <w:t>存储占地面积</w:t>
      </w:r>
      <w:r>
        <w:rPr>
          <w:rFonts w:ascii="Times New Roman" w:hAnsi="Times New Roman" w:eastAsia="Times New Roman" w:cs="Times New Roman"/>
          <w:sz w:val="24"/>
          <w:szCs w:val="24"/>
          <w:spacing w:val="-2"/>
        </w:rPr>
        <w:t>5</w:t>
      </w:r>
      <w:r>
        <w:rPr>
          <w:rFonts w:ascii="SimSun" w:hAnsi="SimSun" w:eastAsia="SimSun" w:cs="SimSun"/>
          <w:sz w:val="24"/>
          <w:szCs w:val="24"/>
          <w:spacing w:val="-2"/>
        </w:rPr>
        <w:t>㎡</w:t>
      </w:r>
      <w:r>
        <w:rPr>
          <w:rFonts w:ascii="SimSun" w:hAnsi="SimSun" w:eastAsia="SimSun" w:cs="SimSun"/>
          <w:sz w:val="24"/>
          <w:szCs w:val="24"/>
          <w:spacing w:val="-58"/>
        </w:rPr>
        <w:t xml:space="preserve"> </w:t>
      </w:r>
      <w:r>
        <w:rPr>
          <w:rFonts w:ascii="SimSun" w:hAnsi="SimSun" w:eastAsia="SimSun" w:cs="SimSun"/>
          <w:sz w:val="24"/>
          <w:szCs w:val="24"/>
          <w:spacing w:val="-2"/>
        </w:rPr>
        <w:t>。企业现有剩余</w:t>
      </w:r>
      <w:r>
        <w:rPr>
          <w:rFonts w:ascii="Times New Roman" w:hAnsi="Times New Roman" w:eastAsia="Times New Roman" w:cs="Times New Roman"/>
          <w:sz w:val="24"/>
          <w:szCs w:val="24"/>
          <w:spacing w:val="-2"/>
        </w:rPr>
        <w:t>10</w:t>
      </w:r>
      <w:r>
        <w:rPr>
          <w:rFonts w:ascii="SimSun" w:hAnsi="SimSun" w:eastAsia="SimSun" w:cs="SimSun"/>
          <w:sz w:val="24"/>
          <w:szCs w:val="24"/>
          <w:spacing w:val="-2"/>
        </w:rPr>
        <w:t>㎡暂存空间供本项目使用，剩余暂存面积可</w:t>
      </w:r>
    </w:p>
    <w:p>
      <w:pPr>
        <w:ind w:left="143"/>
        <w:spacing w:before="1" w:line="218" w:lineRule="auto"/>
        <w:rPr>
          <w:rFonts w:ascii="SimSun" w:hAnsi="SimSun" w:eastAsia="SimSun" w:cs="SimSun"/>
          <w:sz w:val="24"/>
          <w:szCs w:val="24"/>
        </w:rPr>
      </w:pPr>
      <w:r>
        <w:rPr>
          <w:rFonts w:ascii="SimSun" w:hAnsi="SimSun" w:eastAsia="SimSun" w:cs="SimSun"/>
          <w:sz w:val="24"/>
          <w:szCs w:val="24"/>
          <w:spacing w:val="-1"/>
        </w:rPr>
        <w:t>满足本项目危险废物暂存。</w:t>
      </w:r>
    </w:p>
    <w:p>
      <w:pPr>
        <w:ind w:left="143" w:right="112" w:firstLine="483"/>
        <w:spacing w:before="215" w:line="385" w:lineRule="auto"/>
        <w:rPr>
          <w:rFonts w:ascii="SimSun" w:hAnsi="SimSun" w:eastAsia="SimSun" w:cs="SimSun"/>
          <w:sz w:val="24"/>
          <w:szCs w:val="24"/>
        </w:rPr>
      </w:pPr>
      <w:r>
        <w:rPr>
          <w:rFonts w:ascii="SimSun" w:hAnsi="SimSun" w:eastAsia="SimSun" w:cs="SimSun"/>
          <w:sz w:val="24"/>
          <w:szCs w:val="24"/>
          <w:spacing w:val="-1"/>
        </w:rPr>
        <w:t>企业现有危废暂存间存储废</w:t>
      </w:r>
      <w:r>
        <w:rPr>
          <w:rFonts w:ascii="Times New Roman" w:hAnsi="Times New Roman" w:eastAsia="Times New Roman" w:cs="Times New Roman"/>
          <w:sz w:val="24"/>
          <w:szCs w:val="24"/>
          <w:spacing w:val="-1"/>
        </w:rPr>
        <w:t>UV</w:t>
      </w:r>
      <w:r>
        <w:rPr>
          <w:rFonts w:ascii="SimSun" w:hAnsi="SimSun" w:eastAsia="SimSun" w:cs="SimSun"/>
          <w:sz w:val="24"/>
          <w:szCs w:val="24"/>
          <w:spacing w:val="-1"/>
        </w:rPr>
        <w:t>光氧灯管、废机油，与本项目危险废物种类</w:t>
      </w:r>
      <w:r>
        <w:rPr>
          <w:rFonts w:ascii="SimSun" w:hAnsi="SimSun" w:eastAsia="SimSun" w:cs="SimSun"/>
          <w:sz w:val="24"/>
          <w:szCs w:val="24"/>
          <w:spacing w:val="17"/>
        </w:rPr>
        <w:t xml:space="preserve"> </w:t>
      </w:r>
      <w:r>
        <w:rPr>
          <w:rFonts w:ascii="SimSun" w:hAnsi="SimSun" w:eastAsia="SimSun" w:cs="SimSun"/>
          <w:sz w:val="24"/>
          <w:szCs w:val="24"/>
          <w:spacing w:val="-3"/>
        </w:rPr>
        <w:t>相容。危险废物暂存间内已按照重点防渗要求进行建设，已通过环境保护竣工验</w:t>
      </w:r>
    </w:p>
    <w:p>
      <w:pPr>
        <w:ind w:left="151"/>
        <w:spacing w:line="218" w:lineRule="auto"/>
        <w:rPr>
          <w:rFonts w:ascii="SimSun" w:hAnsi="SimSun" w:eastAsia="SimSun" w:cs="SimSun"/>
          <w:sz w:val="24"/>
          <w:szCs w:val="24"/>
        </w:rPr>
      </w:pPr>
      <w:r>
        <w:rPr>
          <w:rFonts w:ascii="SimSun" w:hAnsi="SimSun" w:eastAsia="SimSun" w:cs="SimSun"/>
          <w:sz w:val="24"/>
          <w:szCs w:val="24"/>
          <w:spacing w:val="-1"/>
        </w:rPr>
        <w:t>收工作，本项目无需整改。因此，企业现有危废暂存间依托可行。</w:t>
      </w:r>
    </w:p>
    <w:p>
      <w:pPr>
        <w:pStyle w:val="BodyText"/>
        <w:spacing w:line="317" w:lineRule="auto"/>
        <w:rPr/>
      </w:pPr>
      <w:r/>
    </w:p>
    <w:p>
      <w:pPr>
        <w:pStyle w:val="BodyText"/>
        <w:spacing w:line="317" w:lineRule="auto"/>
        <w:rPr/>
      </w:pPr>
      <w:r/>
    </w:p>
    <w:p>
      <w:pPr>
        <w:ind w:left="143"/>
        <w:spacing w:before="92" w:line="220" w:lineRule="auto"/>
        <w:rPr>
          <w:rFonts w:ascii="SimSun" w:hAnsi="SimSun" w:eastAsia="SimSun" w:cs="SimSun"/>
          <w:sz w:val="28"/>
          <w:szCs w:val="28"/>
        </w:rPr>
      </w:pPr>
      <w:r>
        <w:rPr>
          <w:rFonts w:ascii="Times New Roman" w:hAnsi="Times New Roman" w:eastAsia="Times New Roman" w:cs="Times New Roman"/>
          <w:sz w:val="28"/>
          <w:szCs w:val="28"/>
          <w:b/>
          <w:bCs/>
          <w:spacing w:val="1"/>
        </w:rPr>
        <w:t>s</w:t>
      </w:r>
      <w:r>
        <w:rPr>
          <w:rFonts w:ascii="Times New Roman" w:hAnsi="Times New Roman" w:eastAsia="Times New Roman" w:cs="Times New Roman"/>
          <w:sz w:val="28"/>
          <w:szCs w:val="28"/>
          <w:b/>
          <w:bCs/>
          <w:spacing w:val="-40"/>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
        </w:rPr>
        <w:t>、完善环保投资、竣工环境保护验收和环境</w:t>
      </w:r>
      <w:r>
        <w:rPr>
          <w:rFonts w:ascii="SimSun" w:hAnsi="SimSun" w:eastAsia="SimSun" w:cs="SimSun"/>
          <w:sz w:val="28"/>
          <w:szCs w:val="28"/>
          <w14:textOutline w14:w="5103" w14:cap="sq" w14:cmpd="sng">
            <w14:solidFill>
              <w14:srgbClr w14:val="000000"/>
            </w14:solidFill>
            <w14:prstDash w14:val="solid"/>
            <w14:bevel/>
          </w14:textOutline>
        </w:rPr>
        <w:t>保护措施监督检查清单</w:t>
      </w:r>
    </w:p>
    <w:p>
      <w:pPr>
        <w:ind w:left="168"/>
        <w:spacing w:before="226" w:line="219" w:lineRule="auto"/>
        <w:outlineLvl w:val="0"/>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3"/>
        </w:rPr>
        <w:t>的内容；完善相关附件。</w:t>
      </w:r>
    </w:p>
    <w:p>
      <w:pPr>
        <w:ind w:left="649"/>
        <w:spacing w:before="214" w:line="219" w:lineRule="auto"/>
        <w:rPr>
          <w:rFonts w:ascii="SimSun" w:hAnsi="SimSun" w:eastAsia="SimSun" w:cs="SimSun"/>
          <w:sz w:val="24"/>
          <w:szCs w:val="24"/>
        </w:rPr>
      </w:pPr>
      <w:r>
        <w:rPr>
          <w:rFonts w:ascii="SimSun" w:hAnsi="SimSun" w:eastAsia="SimSun" w:cs="SimSun"/>
          <w:sz w:val="24"/>
          <w:szCs w:val="24"/>
          <w:spacing w:val="-4"/>
        </w:rPr>
        <w:t>已修改，见</w:t>
      </w:r>
      <w:r>
        <w:rPr>
          <w:rFonts w:ascii="Times New Roman" w:hAnsi="Times New Roman" w:eastAsia="Times New Roman" w:cs="Times New Roman"/>
          <w:sz w:val="24"/>
          <w:szCs w:val="24"/>
          <w:spacing w:val="-4"/>
        </w:rPr>
        <w:t>P65</w:t>
      </w:r>
      <w:r>
        <w:rPr>
          <w:rFonts w:ascii="SimSun" w:hAnsi="SimSun" w:eastAsia="SimSun" w:cs="SimSun"/>
          <w:sz w:val="24"/>
          <w:szCs w:val="24"/>
          <w:spacing w:val="-4"/>
        </w:rPr>
        <w:t>。</w:t>
      </w:r>
    </w:p>
    <w:p>
      <w:pPr>
        <w:ind w:left="2619"/>
        <w:spacing w:before="217" w:line="219" w:lineRule="auto"/>
        <w:rPr>
          <w:rFonts w:ascii="SimSun" w:hAnsi="SimSun" w:eastAsia="SimSun" w:cs="SimSun"/>
          <w:sz w:val="24"/>
          <w:szCs w:val="24"/>
        </w:rPr>
      </w:pPr>
      <w:r>
        <w:rPr>
          <w:rFonts w:ascii="SimSun" w:hAnsi="SimSun" w:eastAsia="SimSun" w:cs="SimSun"/>
          <w:sz w:val="24"/>
          <w:szCs w:val="24"/>
          <w:spacing w:val="-1"/>
        </w:rPr>
        <w:t>五、环境保护措施监督检查清单</w:t>
      </w:r>
    </w:p>
    <w:p>
      <w:pPr>
        <w:spacing w:line="65" w:lineRule="auto"/>
        <w:rPr>
          <w:rFonts w:ascii="Arial"/>
          <w:sz w:val="2"/>
        </w:rPr>
      </w:pPr>
      <w:r>
        <w:rPr>
          <w:rFonts w:ascii="Arial"/>
          <w:sz w:val="2"/>
        </w:rPr>
      </w:r>
    </w:p>
    <w:tbl>
      <w:tblPr>
        <w:tblStyle w:val="TableNormal"/>
        <w:tblW w:w="854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40"/>
        <w:gridCol w:w="694"/>
        <w:gridCol w:w="1172"/>
        <w:gridCol w:w="1070"/>
        <w:gridCol w:w="2024"/>
        <w:gridCol w:w="3047"/>
      </w:tblGrid>
      <w:tr>
        <w:trPr>
          <w:trHeight w:val="1102" w:hRule="atLeast"/>
        </w:trPr>
        <w:tc>
          <w:tcPr>
            <w:tcW w:w="1234" w:type="dxa"/>
            <w:vAlign w:val="top"/>
            <w:gridSpan w:val="2"/>
          </w:tcPr>
          <w:p>
            <w:pPr>
              <w:pStyle w:val="TableText"/>
              <w:ind w:left="448"/>
              <w:spacing w:before="126" w:line="360" w:lineRule="exact"/>
              <w:rPr>
                <w:sz w:val="20"/>
                <w:szCs w:val="20"/>
              </w:rPr>
            </w:pPr>
            <w:r>
              <w:drawing>
                <wp:anchor distT="0" distB="0" distL="0" distR="0" simplePos="0" relativeHeight="251783168" behindDoc="1" locked="0" layoutInCell="1" allowOverlap="1">
                  <wp:simplePos x="0" y="0"/>
                  <wp:positionH relativeFrom="column">
                    <wp:posOffset>-3175</wp:posOffset>
                  </wp:positionH>
                  <wp:positionV relativeFrom="paragraph">
                    <wp:posOffset>-3175</wp:posOffset>
                  </wp:positionV>
                  <wp:extent cx="787450" cy="719379"/>
                  <wp:effectExtent l="0" t="0" r="0" b="0"/>
                  <wp:wrapNone/>
                  <wp:docPr id="78" name="IM 78"/>
                  <wp:cNvGraphicFramePr/>
                  <a:graphic>
                    <a:graphicData uri="http://schemas.openxmlformats.org/drawingml/2006/picture">
                      <pic:pic>
                        <pic:nvPicPr>
                          <pic:cNvPr id="78" name="IM 78"/>
                          <pic:cNvPicPr/>
                        </pic:nvPicPr>
                        <pic:blipFill>
                          <a:blip r:embed="rId68"/>
                          <a:stretch>
                            <a:fillRect/>
                          </a:stretch>
                        </pic:blipFill>
                        <pic:spPr>
                          <a:xfrm rot="0">
                            <a:off x="0" y="0"/>
                            <a:ext cx="787450" cy="719379"/>
                          </a:xfrm>
                          <a:prstGeom prst="rect">
                            <a:avLst/>
                          </a:prstGeom>
                        </pic:spPr>
                      </pic:pic>
                    </a:graphicData>
                  </a:graphic>
                </wp:anchor>
              </w:drawing>
            </w:r>
            <w:r>
              <w:rPr>
                <w:sz w:val="20"/>
                <w:szCs w:val="20"/>
                <w:spacing w:val="-8"/>
                <w:position w:val="11"/>
              </w:rPr>
              <w:t>内容</w:t>
            </w:r>
          </w:p>
          <w:p>
            <w:pPr>
              <w:pStyle w:val="TableText"/>
              <w:ind w:left="423"/>
              <w:spacing w:line="227" w:lineRule="auto"/>
              <w:rPr>
                <w:sz w:val="20"/>
                <w:szCs w:val="20"/>
              </w:rPr>
            </w:pPr>
            <w:r>
              <w:rPr>
                <w:sz w:val="20"/>
                <w:szCs w:val="20"/>
                <w:spacing w:val="4"/>
              </w:rPr>
              <w:t>要素</w:t>
            </w:r>
          </w:p>
        </w:tc>
        <w:tc>
          <w:tcPr>
            <w:tcW w:w="1172" w:type="dxa"/>
            <w:vAlign w:val="top"/>
          </w:tcPr>
          <w:p>
            <w:pPr>
              <w:pStyle w:val="TableText"/>
              <w:ind w:left="112"/>
              <w:spacing w:before="126" w:line="228" w:lineRule="auto"/>
              <w:rPr>
                <w:sz w:val="20"/>
                <w:szCs w:val="20"/>
              </w:rPr>
            </w:pPr>
            <w:r>
              <w:rPr>
                <w:sz w:val="20"/>
                <w:szCs w:val="20"/>
                <w:spacing w:val="-11"/>
              </w:rPr>
              <w:t>排放口（编</w:t>
            </w:r>
          </w:p>
          <w:p>
            <w:pPr>
              <w:pStyle w:val="TableText"/>
              <w:ind w:left="117"/>
              <w:spacing w:before="113" w:line="229" w:lineRule="auto"/>
              <w:rPr>
                <w:sz w:val="20"/>
                <w:szCs w:val="20"/>
              </w:rPr>
            </w:pPr>
            <w:r>
              <w:rPr>
                <w:sz w:val="20"/>
                <w:szCs w:val="20"/>
                <w:spacing w:val="4"/>
              </w:rPr>
              <w:t>号、名称）</w:t>
            </w:r>
          </w:p>
          <w:p>
            <w:pPr>
              <w:pStyle w:val="TableText"/>
              <w:ind w:left="239"/>
              <w:spacing w:before="112" w:line="226" w:lineRule="auto"/>
              <w:rPr>
                <w:sz w:val="20"/>
                <w:szCs w:val="20"/>
              </w:rPr>
            </w:pPr>
            <w:r>
              <w:rPr>
                <w:rFonts w:ascii="Times New Roman" w:hAnsi="Times New Roman" w:eastAsia="Times New Roman" w:cs="Times New Roman"/>
                <w:sz w:val="20"/>
                <w:szCs w:val="20"/>
                <w:spacing w:val="7"/>
              </w:rPr>
              <w:t>/</w:t>
            </w:r>
            <w:r>
              <w:rPr>
                <w:sz w:val="20"/>
                <w:szCs w:val="20"/>
                <w:spacing w:val="7"/>
              </w:rPr>
              <w:t>污染源</w:t>
            </w:r>
          </w:p>
        </w:tc>
        <w:tc>
          <w:tcPr>
            <w:tcW w:w="1070" w:type="dxa"/>
            <w:vAlign w:val="top"/>
          </w:tcPr>
          <w:p>
            <w:pPr>
              <w:rPr>
                <w:rFonts w:ascii="Arial"/>
                <w:sz w:val="21"/>
              </w:rPr>
            </w:pPr>
            <w:r/>
          </w:p>
          <w:p>
            <w:pPr>
              <w:pStyle w:val="TableText"/>
              <w:ind w:left="226"/>
              <w:spacing w:before="65" w:line="228" w:lineRule="auto"/>
              <w:rPr>
                <w:sz w:val="20"/>
                <w:szCs w:val="20"/>
              </w:rPr>
            </w:pPr>
            <w:r>
              <w:rPr>
                <w:sz w:val="20"/>
                <w:szCs w:val="20"/>
                <w:spacing w:val="6"/>
              </w:rPr>
              <w:t>污染物</w:t>
            </w:r>
          </w:p>
          <w:p>
            <w:pPr>
              <w:pStyle w:val="TableText"/>
              <w:ind w:left="333"/>
              <w:spacing w:before="112" w:line="228" w:lineRule="auto"/>
              <w:rPr>
                <w:sz w:val="20"/>
                <w:szCs w:val="20"/>
              </w:rPr>
            </w:pPr>
            <w:r>
              <w:rPr>
                <w:sz w:val="20"/>
                <w:szCs w:val="20"/>
                <w:spacing w:val="3"/>
              </w:rPr>
              <w:t>项目</w:t>
            </w:r>
          </w:p>
        </w:tc>
        <w:tc>
          <w:tcPr>
            <w:tcW w:w="2024" w:type="dxa"/>
            <w:vAlign w:val="top"/>
          </w:tcPr>
          <w:p>
            <w:pPr>
              <w:spacing w:line="419" w:lineRule="auto"/>
              <w:rPr>
                <w:rFonts w:ascii="Arial"/>
                <w:sz w:val="21"/>
              </w:rPr>
            </w:pPr>
            <w:r/>
          </w:p>
          <w:p>
            <w:pPr>
              <w:pStyle w:val="TableText"/>
              <w:ind w:left="388"/>
              <w:spacing w:before="65" w:line="228" w:lineRule="auto"/>
              <w:rPr>
                <w:sz w:val="20"/>
                <w:szCs w:val="20"/>
              </w:rPr>
            </w:pPr>
            <w:r>
              <w:rPr>
                <w:sz w:val="20"/>
                <w:szCs w:val="20"/>
                <w:spacing w:val="8"/>
              </w:rPr>
              <w:t>环境保护措施</w:t>
            </w:r>
          </w:p>
        </w:tc>
        <w:tc>
          <w:tcPr>
            <w:tcW w:w="3047" w:type="dxa"/>
            <w:vAlign w:val="top"/>
          </w:tcPr>
          <w:p>
            <w:pPr>
              <w:spacing w:line="418" w:lineRule="auto"/>
              <w:rPr>
                <w:rFonts w:ascii="Arial"/>
                <w:sz w:val="21"/>
              </w:rPr>
            </w:pPr>
            <w:r/>
          </w:p>
          <w:p>
            <w:pPr>
              <w:pStyle w:val="TableText"/>
              <w:ind w:left="1109"/>
              <w:spacing w:before="65" w:line="228" w:lineRule="auto"/>
              <w:rPr>
                <w:sz w:val="20"/>
                <w:szCs w:val="20"/>
              </w:rPr>
            </w:pPr>
            <w:r>
              <w:rPr>
                <w:sz w:val="20"/>
                <w:szCs w:val="20"/>
                <w:spacing w:val="7"/>
              </w:rPr>
              <w:t>执行标准</w:t>
            </w:r>
          </w:p>
        </w:tc>
      </w:tr>
      <w:tr>
        <w:trPr>
          <w:trHeight w:val="1203" w:hRule="atLeast"/>
        </w:trPr>
        <w:tc>
          <w:tcPr>
            <w:tcW w:w="540" w:type="dxa"/>
            <w:vAlign w:val="top"/>
            <w:vMerge w:val="restart"/>
            <w:textDirection w:val="tbRlV"/>
            <w:tcBorders>
              <w:bottom w:val="nil"/>
            </w:tcBorders>
          </w:tcPr>
          <w:p>
            <w:pPr>
              <w:pStyle w:val="TableText"/>
              <w:ind w:left="846"/>
              <w:spacing w:before="154" w:line="216" w:lineRule="auto"/>
              <w:rPr>
                <w:sz w:val="20"/>
                <w:szCs w:val="20"/>
              </w:rPr>
            </w:pPr>
            <w:r>
              <w:rPr>
                <w:sz w:val="20"/>
                <w:szCs w:val="20"/>
                <w:spacing w:val="8"/>
              </w:rPr>
              <w:t>大</w:t>
            </w:r>
            <w:r>
              <w:rPr>
                <w:sz w:val="20"/>
                <w:szCs w:val="20"/>
                <w:spacing w:val="94"/>
              </w:rPr>
              <w:t xml:space="preserve"> </w:t>
            </w:r>
            <w:r>
              <w:rPr>
                <w:sz w:val="20"/>
                <w:szCs w:val="20"/>
                <w:spacing w:val="8"/>
              </w:rPr>
              <w:t>气</w:t>
            </w:r>
            <w:r>
              <w:rPr>
                <w:sz w:val="20"/>
                <w:szCs w:val="20"/>
                <w:spacing w:val="92"/>
              </w:rPr>
              <w:t xml:space="preserve"> </w:t>
            </w:r>
            <w:r>
              <w:rPr>
                <w:sz w:val="20"/>
                <w:szCs w:val="20"/>
                <w:spacing w:val="8"/>
              </w:rPr>
              <w:t>环</w:t>
            </w:r>
            <w:r>
              <w:rPr>
                <w:sz w:val="20"/>
                <w:szCs w:val="20"/>
                <w:spacing w:val="89"/>
              </w:rPr>
              <w:t xml:space="preserve"> </w:t>
            </w:r>
            <w:r>
              <w:rPr>
                <w:sz w:val="20"/>
                <w:szCs w:val="20"/>
                <w:spacing w:val="8"/>
              </w:rPr>
              <w:t>境</w:t>
            </w:r>
          </w:p>
        </w:tc>
        <w:tc>
          <w:tcPr>
            <w:tcW w:w="694" w:type="dxa"/>
            <w:vAlign w:val="top"/>
          </w:tcPr>
          <w:p>
            <w:pPr>
              <w:spacing w:line="282" w:lineRule="auto"/>
              <w:rPr>
                <w:rFonts w:ascii="Arial"/>
                <w:sz w:val="21"/>
              </w:rPr>
            </w:pPr>
            <w:r/>
          </w:p>
          <w:p>
            <w:pPr>
              <w:pStyle w:val="TableText"/>
              <w:ind w:left="140"/>
              <w:spacing w:before="65" w:line="228" w:lineRule="auto"/>
              <w:rPr>
                <w:sz w:val="20"/>
                <w:szCs w:val="20"/>
              </w:rPr>
            </w:pPr>
            <w:r>
              <w:rPr>
                <w:sz w:val="20"/>
                <w:szCs w:val="20"/>
                <w:spacing w:val="4"/>
              </w:rPr>
              <w:t>有组</w:t>
            </w:r>
          </w:p>
          <w:p>
            <w:pPr>
              <w:pStyle w:val="TableText"/>
              <w:ind w:left="248"/>
              <w:spacing w:before="112" w:line="232" w:lineRule="auto"/>
              <w:rPr>
                <w:sz w:val="20"/>
                <w:szCs w:val="20"/>
              </w:rPr>
            </w:pPr>
            <w:r>
              <w:rPr>
                <w:sz w:val="20"/>
                <w:szCs w:val="20"/>
              </w:rPr>
              <w:t>织</w:t>
            </w:r>
          </w:p>
        </w:tc>
        <w:tc>
          <w:tcPr>
            <w:tcW w:w="1172" w:type="dxa"/>
            <w:vAlign w:val="top"/>
          </w:tcPr>
          <w:p>
            <w:pPr>
              <w:spacing w:line="282" w:lineRule="auto"/>
              <w:rPr>
                <w:rFonts w:ascii="Arial"/>
                <w:sz w:val="21"/>
              </w:rPr>
            </w:pPr>
            <w:r/>
          </w:p>
          <w:p>
            <w:pPr>
              <w:pStyle w:val="TableText"/>
              <w:ind w:left="170"/>
              <w:spacing w:before="65" w:line="228" w:lineRule="auto"/>
              <w:rPr>
                <w:sz w:val="20"/>
                <w:szCs w:val="20"/>
              </w:rPr>
            </w:pPr>
            <w:r>
              <w:rPr>
                <w:sz w:val="20"/>
                <w:szCs w:val="20"/>
                <w:spacing w:val="7"/>
              </w:rPr>
              <w:t>地膜生产</w:t>
            </w:r>
          </w:p>
          <w:p>
            <w:pPr>
              <w:pStyle w:val="TableText"/>
              <w:ind w:left="275"/>
              <w:spacing w:before="113" w:line="229" w:lineRule="auto"/>
              <w:rPr>
                <w:sz w:val="20"/>
                <w:szCs w:val="20"/>
              </w:rPr>
            </w:pPr>
            <w:r>
              <w:rPr>
                <w:sz w:val="20"/>
                <w:szCs w:val="20"/>
                <w:spacing w:val="6"/>
              </w:rPr>
              <w:t>排放口</w:t>
            </w:r>
          </w:p>
        </w:tc>
        <w:tc>
          <w:tcPr>
            <w:tcW w:w="1070" w:type="dxa"/>
            <w:vAlign w:val="top"/>
          </w:tcPr>
          <w:p>
            <w:pPr>
              <w:spacing w:line="283" w:lineRule="auto"/>
              <w:rPr>
                <w:rFonts w:ascii="Arial"/>
                <w:sz w:val="21"/>
              </w:rPr>
            </w:pPr>
            <w:r/>
          </w:p>
          <w:p>
            <w:pPr>
              <w:pStyle w:val="TableText"/>
              <w:ind w:left="436" w:right="116" w:hanging="314"/>
              <w:spacing w:before="65" w:line="280" w:lineRule="auto"/>
              <w:rPr>
                <w:sz w:val="20"/>
                <w:szCs w:val="20"/>
              </w:rPr>
            </w:pPr>
            <w:r>
              <w:rPr>
                <w:sz w:val="20"/>
                <w:szCs w:val="20"/>
                <w:spacing w:val="6"/>
              </w:rPr>
              <w:t>非甲烷总</w:t>
            </w:r>
            <w:r>
              <w:rPr>
                <w:sz w:val="20"/>
                <w:szCs w:val="20"/>
                <w:spacing w:val="1"/>
              </w:rPr>
              <w:t xml:space="preserve"> </w:t>
            </w:r>
            <w:r>
              <w:rPr>
                <w:sz w:val="20"/>
                <w:szCs w:val="20"/>
              </w:rPr>
              <w:t>烃</w:t>
            </w:r>
          </w:p>
        </w:tc>
        <w:tc>
          <w:tcPr>
            <w:tcW w:w="2024" w:type="dxa"/>
            <w:vAlign w:val="top"/>
          </w:tcPr>
          <w:p>
            <w:pPr>
              <w:pStyle w:val="TableText"/>
              <w:ind w:left="122"/>
              <w:spacing w:before="209" w:line="227" w:lineRule="auto"/>
              <w:rPr>
                <w:sz w:val="20"/>
                <w:szCs w:val="20"/>
              </w:rPr>
            </w:pPr>
            <w:r>
              <w:rPr>
                <w:sz w:val="20"/>
                <w:szCs w:val="20"/>
                <w:spacing w:val="7"/>
              </w:rPr>
              <w:t>活性炭吸附</w:t>
            </w:r>
            <w:r>
              <w:rPr>
                <w:rFonts w:ascii="Times New Roman" w:hAnsi="Times New Roman" w:eastAsia="Times New Roman" w:cs="Times New Roman"/>
                <w:sz w:val="20"/>
                <w:szCs w:val="20"/>
                <w:spacing w:val="7"/>
              </w:rPr>
              <w:t>+</w:t>
            </w:r>
            <w:r>
              <w:rPr>
                <w:sz w:val="20"/>
                <w:szCs w:val="20"/>
                <w:spacing w:val="7"/>
              </w:rPr>
              <w:t>直接催</w:t>
            </w:r>
          </w:p>
          <w:p>
            <w:pPr>
              <w:pStyle w:val="TableText"/>
              <w:ind w:left="142"/>
              <w:spacing w:before="54" w:line="227" w:lineRule="auto"/>
              <w:rPr>
                <w:sz w:val="20"/>
                <w:szCs w:val="20"/>
              </w:rPr>
            </w:pPr>
            <w:r>
              <w:rPr>
                <w:sz w:val="20"/>
                <w:szCs w:val="20"/>
                <w:spacing w:val="7"/>
              </w:rPr>
              <w:t>化燃烧法</w:t>
            </w:r>
            <w:r>
              <w:rPr>
                <w:rFonts w:ascii="Times New Roman" w:hAnsi="Times New Roman" w:eastAsia="Times New Roman" w:cs="Times New Roman"/>
                <w:sz w:val="20"/>
                <w:szCs w:val="20"/>
                <w:spacing w:val="7"/>
              </w:rPr>
              <w:t>+15m</w:t>
            </w:r>
            <w:r>
              <w:rPr>
                <w:sz w:val="20"/>
                <w:szCs w:val="20"/>
                <w:spacing w:val="7"/>
              </w:rPr>
              <w:t>排气</w:t>
            </w:r>
          </w:p>
          <w:p>
            <w:pPr>
              <w:pStyle w:val="TableText"/>
              <w:ind w:left="917"/>
              <w:spacing w:before="53" w:line="228" w:lineRule="auto"/>
              <w:rPr>
                <w:sz w:val="20"/>
                <w:szCs w:val="20"/>
              </w:rPr>
            </w:pPr>
            <w:r>
              <w:rPr>
                <w:sz w:val="20"/>
                <w:szCs w:val="20"/>
              </w:rPr>
              <w:t>筒</w:t>
            </w:r>
          </w:p>
        </w:tc>
        <w:tc>
          <w:tcPr>
            <w:tcW w:w="3047" w:type="dxa"/>
            <w:vAlign w:val="top"/>
          </w:tcPr>
          <w:p>
            <w:pPr>
              <w:pStyle w:val="TableText"/>
              <w:ind w:left="166" w:right="156" w:firstLine="2"/>
              <w:spacing w:before="61" w:line="261" w:lineRule="auto"/>
              <w:jc w:val="both"/>
              <w:rPr>
                <w:sz w:val="20"/>
                <w:szCs w:val="20"/>
              </w:rPr>
            </w:pPr>
            <w:r>
              <w:rPr>
                <w:sz w:val="20"/>
                <w:szCs w:val="20"/>
                <w:spacing w:val="8"/>
              </w:rPr>
              <w:t>《合成树脂工业污染物排放标</w:t>
            </w:r>
            <w:r>
              <w:rPr>
                <w:sz w:val="20"/>
                <w:szCs w:val="20"/>
                <w:spacing w:val="10"/>
              </w:rPr>
              <w:t xml:space="preserve"> </w:t>
            </w:r>
            <w:r>
              <w:rPr>
                <w:sz w:val="20"/>
                <w:szCs w:val="20"/>
                <w:spacing w:val="7"/>
              </w:rPr>
              <w:t>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7"/>
              </w:rPr>
              <w:t>31572-2015</w:t>
            </w:r>
            <w:r>
              <w:rPr>
                <w:sz w:val="20"/>
                <w:szCs w:val="20"/>
                <w:spacing w:val="7"/>
              </w:rPr>
              <w:t>）中表</w:t>
            </w:r>
            <w:r>
              <w:rPr>
                <w:rFonts w:ascii="Times New Roman" w:hAnsi="Times New Roman" w:eastAsia="Times New Roman" w:cs="Times New Roman"/>
                <w:sz w:val="20"/>
                <w:szCs w:val="20"/>
                <w:spacing w:val="7"/>
              </w:rPr>
              <w:t>5 </w:t>
            </w:r>
            <w:r>
              <w:rPr>
                <w:sz w:val="20"/>
                <w:szCs w:val="20"/>
                <w:spacing w:val="9"/>
              </w:rPr>
              <w:t>大气污染物特别排放限值要求</w:t>
            </w:r>
            <w:r>
              <w:rPr>
                <w:sz w:val="20"/>
                <w:szCs w:val="20"/>
              </w:rPr>
              <w:t xml:space="preserve"> </w:t>
            </w:r>
            <w:r>
              <w:rPr>
                <w:sz w:val="20"/>
                <w:szCs w:val="20"/>
                <w:spacing w:val="16"/>
              </w:rPr>
              <w:t>（非甲烷总烃≤</w:t>
            </w:r>
            <w:r>
              <w:rPr>
                <w:rFonts w:ascii="Times New Roman" w:hAnsi="Times New Roman" w:eastAsia="Times New Roman" w:cs="Times New Roman"/>
                <w:sz w:val="20"/>
                <w:szCs w:val="20"/>
                <w:spacing w:val="16"/>
              </w:rPr>
              <w:t>60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16"/>
              </w:rPr>
              <w:t>/m</w:t>
            </w:r>
            <w:r>
              <w:rPr>
                <w:sz w:val="20"/>
                <w:szCs w:val="20"/>
                <w:spacing w:val="16"/>
              </w:rPr>
              <w:t>³)</w:t>
            </w:r>
          </w:p>
        </w:tc>
      </w:tr>
      <w:tr>
        <w:trPr>
          <w:trHeight w:val="1806" w:hRule="atLeast"/>
        </w:trPr>
        <w:tc>
          <w:tcPr>
            <w:tcW w:w="540" w:type="dxa"/>
            <w:vAlign w:val="top"/>
            <w:vMerge w:val="continue"/>
            <w:textDirection w:val="tbRlV"/>
            <w:tcBorders>
              <w:top w:val="nil"/>
            </w:tcBorders>
          </w:tcPr>
          <w:p>
            <w:pPr>
              <w:rPr>
                <w:rFonts w:ascii="Arial"/>
                <w:sz w:val="21"/>
              </w:rPr>
            </w:pPr>
            <w:r/>
          </w:p>
        </w:tc>
        <w:tc>
          <w:tcPr>
            <w:tcW w:w="694" w:type="dxa"/>
            <w:vAlign w:val="top"/>
          </w:tcPr>
          <w:p>
            <w:pPr>
              <w:spacing w:line="291" w:lineRule="auto"/>
              <w:rPr>
                <w:rFonts w:ascii="Arial"/>
                <w:sz w:val="21"/>
              </w:rPr>
            </w:pPr>
            <w:r/>
          </w:p>
          <w:p>
            <w:pPr>
              <w:spacing w:line="291" w:lineRule="auto"/>
              <w:rPr>
                <w:rFonts w:ascii="Arial"/>
                <w:sz w:val="21"/>
              </w:rPr>
            </w:pPr>
            <w:r/>
          </w:p>
          <w:p>
            <w:pPr>
              <w:pStyle w:val="TableText"/>
              <w:ind w:left="141"/>
              <w:spacing w:before="65" w:line="228" w:lineRule="auto"/>
              <w:rPr>
                <w:sz w:val="20"/>
                <w:szCs w:val="20"/>
              </w:rPr>
            </w:pPr>
            <w:r>
              <w:rPr>
                <w:sz w:val="20"/>
                <w:szCs w:val="20"/>
                <w:spacing w:val="3"/>
              </w:rPr>
              <w:t>无组</w:t>
            </w:r>
          </w:p>
          <w:p>
            <w:pPr>
              <w:pStyle w:val="TableText"/>
              <w:ind w:left="248"/>
              <w:spacing w:before="112" w:line="232" w:lineRule="auto"/>
              <w:rPr>
                <w:sz w:val="20"/>
                <w:szCs w:val="20"/>
              </w:rPr>
            </w:pPr>
            <w:r>
              <w:rPr>
                <w:sz w:val="20"/>
                <w:szCs w:val="20"/>
              </w:rPr>
              <w:t>织</w:t>
            </w:r>
          </w:p>
        </w:tc>
        <w:tc>
          <w:tcPr>
            <w:tcW w:w="1172" w:type="dxa"/>
            <w:vAlign w:val="top"/>
          </w:tcPr>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pStyle w:val="TableText"/>
              <w:ind w:left="172"/>
              <w:spacing w:before="65" w:line="228" w:lineRule="auto"/>
              <w:rPr>
                <w:sz w:val="20"/>
                <w:szCs w:val="20"/>
              </w:rPr>
            </w:pPr>
            <w:r>
              <w:rPr>
                <w:sz w:val="20"/>
                <w:szCs w:val="20"/>
                <w:spacing w:val="6"/>
              </w:rPr>
              <w:t>生产车间</w:t>
            </w:r>
          </w:p>
        </w:tc>
        <w:tc>
          <w:tcPr>
            <w:tcW w:w="1070" w:type="dxa"/>
            <w:vAlign w:val="top"/>
          </w:tcPr>
          <w:p>
            <w:pPr>
              <w:spacing w:line="291" w:lineRule="auto"/>
              <w:rPr>
                <w:rFonts w:ascii="Arial"/>
                <w:sz w:val="21"/>
              </w:rPr>
            </w:pPr>
            <w:r/>
          </w:p>
          <w:p>
            <w:pPr>
              <w:spacing w:line="292" w:lineRule="auto"/>
              <w:rPr>
                <w:rFonts w:ascii="Arial"/>
                <w:sz w:val="21"/>
              </w:rPr>
            </w:pPr>
            <w:r/>
          </w:p>
          <w:p>
            <w:pPr>
              <w:pStyle w:val="TableText"/>
              <w:ind w:left="436" w:right="116" w:hanging="314"/>
              <w:spacing w:before="65" w:line="280" w:lineRule="auto"/>
              <w:rPr>
                <w:sz w:val="20"/>
                <w:szCs w:val="20"/>
              </w:rPr>
            </w:pPr>
            <w:r>
              <w:rPr>
                <w:sz w:val="20"/>
                <w:szCs w:val="20"/>
                <w:spacing w:val="6"/>
              </w:rPr>
              <w:t>非甲烷总</w:t>
            </w:r>
            <w:r>
              <w:rPr>
                <w:sz w:val="20"/>
                <w:szCs w:val="20"/>
                <w:spacing w:val="1"/>
              </w:rPr>
              <w:t xml:space="preserve"> </w:t>
            </w:r>
            <w:r>
              <w:rPr>
                <w:sz w:val="20"/>
                <w:szCs w:val="20"/>
              </w:rPr>
              <w:t>烃</w:t>
            </w:r>
          </w:p>
        </w:tc>
        <w:tc>
          <w:tcPr>
            <w:tcW w:w="2024" w:type="dxa"/>
            <w:vAlign w:val="top"/>
          </w:tcPr>
          <w:p>
            <w:pPr>
              <w:spacing w:line="296" w:lineRule="auto"/>
              <w:rPr>
                <w:rFonts w:ascii="Arial"/>
                <w:sz w:val="21"/>
              </w:rPr>
            </w:pPr>
            <w:r/>
          </w:p>
          <w:p>
            <w:pPr>
              <w:spacing w:line="297" w:lineRule="auto"/>
              <w:rPr>
                <w:rFonts w:ascii="Arial"/>
                <w:sz w:val="21"/>
              </w:rPr>
            </w:pPr>
            <w:r/>
          </w:p>
          <w:p>
            <w:pPr>
              <w:pStyle w:val="TableText"/>
              <w:ind w:left="601" w:right="74" w:hanging="487"/>
              <w:spacing w:before="65" w:line="253" w:lineRule="auto"/>
              <w:rPr>
                <w:sz w:val="20"/>
                <w:szCs w:val="20"/>
              </w:rPr>
            </w:pPr>
            <w:r>
              <w:rPr>
                <w:sz w:val="20"/>
                <w:szCs w:val="20"/>
                <w:spacing w:val="3"/>
              </w:rPr>
              <w:t>加强集气罩密闭性，</w:t>
            </w:r>
            <w:r>
              <w:rPr>
                <w:sz w:val="20"/>
                <w:szCs w:val="20"/>
                <w:spacing w:val="1"/>
              </w:rPr>
              <w:t xml:space="preserve"> </w:t>
            </w:r>
            <w:r>
              <w:rPr>
                <w:sz w:val="20"/>
                <w:szCs w:val="20"/>
                <w:spacing w:val="6"/>
              </w:rPr>
              <w:t>定期通风</w:t>
            </w:r>
          </w:p>
        </w:tc>
        <w:tc>
          <w:tcPr>
            <w:tcW w:w="3047" w:type="dxa"/>
            <w:vAlign w:val="top"/>
          </w:tcPr>
          <w:p>
            <w:pPr>
              <w:pStyle w:val="TableText"/>
              <w:ind w:left="164" w:right="156" w:firstLine="4"/>
              <w:spacing w:before="111" w:line="311" w:lineRule="auto"/>
              <w:jc w:val="both"/>
              <w:rPr>
                <w:sz w:val="20"/>
                <w:szCs w:val="20"/>
              </w:rPr>
            </w:pPr>
            <w:r>
              <w:rPr>
                <w:sz w:val="20"/>
                <w:szCs w:val="20"/>
                <w:spacing w:val="8"/>
              </w:rPr>
              <w:t>《合成树脂工业污染物排放标</w:t>
            </w:r>
            <w:r>
              <w:rPr>
                <w:sz w:val="20"/>
                <w:szCs w:val="20"/>
                <w:spacing w:val="10"/>
              </w:rPr>
              <w:t xml:space="preserve"> </w:t>
            </w:r>
            <w:r>
              <w:rPr>
                <w:sz w:val="20"/>
                <w:szCs w:val="20"/>
                <w:spacing w:val="8"/>
              </w:rPr>
              <w:t>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8"/>
              </w:rPr>
              <w:t>31572-2015</w:t>
            </w:r>
            <w:r>
              <w:rPr>
                <w:sz w:val="20"/>
                <w:szCs w:val="20"/>
                <w:spacing w:val="8"/>
              </w:rPr>
              <w:t>）中表</w:t>
            </w:r>
            <w:r>
              <w:rPr>
                <w:rFonts w:ascii="Times New Roman" w:hAnsi="Times New Roman" w:eastAsia="Times New Roman" w:cs="Times New Roman"/>
                <w:sz w:val="20"/>
                <w:szCs w:val="20"/>
                <w:spacing w:val="8"/>
              </w:rPr>
              <w:t>9 </w:t>
            </w:r>
            <w:r>
              <w:rPr>
                <w:sz w:val="20"/>
                <w:szCs w:val="20"/>
                <w:spacing w:val="9"/>
              </w:rPr>
              <w:t>企业边界大气污染物浓度限值</w:t>
            </w:r>
            <w:r>
              <w:rPr>
                <w:sz w:val="20"/>
                <w:szCs w:val="20"/>
                <w:spacing w:val="2"/>
              </w:rPr>
              <w:t xml:space="preserve"> </w:t>
            </w:r>
            <w:r>
              <w:rPr>
                <w:sz w:val="20"/>
                <w:szCs w:val="20"/>
              </w:rPr>
              <w:t>（非甲烷总烃≤</w:t>
            </w:r>
            <w:r>
              <w:rPr>
                <w:rFonts w:ascii="Times New Roman" w:hAnsi="Times New Roman" w:eastAsia="Times New Roman" w:cs="Times New Roman"/>
                <w:sz w:val="20"/>
                <w:szCs w:val="20"/>
              </w:rPr>
              <w:t>4.0mg/m</w:t>
            </w:r>
            <w:r>
              <w:rPr>
                <w:sz w:val="20"/>
                <w:szCs w:val="20"/>
              </w:rPr>
              <w:t>³)</w:t>
            </w:r>
            <w:r>
              <w:rPr>
                <w:sz w:val="20"/>
                <w:szCs w:val="20"/>
                <w:spacing w:val="56"/>
              </w:rPr>
              <w:t xml:space="preserve"> </w:t>
            </w:r>
            <w:r>
              <w:rPr>
                <w:sz w:val="20"/>
                <w:szCs w:val="20"/>
              </w:rPr>
              <w:t>;  </w:t>
            </w:r>
            <w:r>
              <w:rPr>
                <w:sz w:val="20"/>
                <w:szCs w:val="20"/>
                <w:spacing w:val="9"/>
              </w:rPr>
              <w:t>厂区内执行《挥发性有机物无</w:t>
            </w:r>
          </w:p>
        </w:tc>
      </w:tr>
    </w:tbl>
    <w:p>
      <w:pPr>
        <w:pStyle w:val="BodyText"/>
        <w:rPr/>
      </w:pPr>
      <w:r/>
    </w:p>
    <w:p>
      <w:pPr>
        <w:sectPr>
          <w:footerReference w:type="default" r:id="rId67"/>
          <w:pgSz w:w="11906" w:h="16839"/>
          <w:pgMar w:top="400" w:right="1687" w:bottom="1211" w:left="1665"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18"/>
        <w:gridCol w:w="695"/>
        <w:gridCol w:w="760"/>
        <w:gridCol w:w="412"/>
        <w:gridCol w:w="695"/>
        <w:gridCol w:w="375"/>
        <w:gridCol w:w="1084"/>
        <w:gridCol w:w="680"/>
        <w:gridCol w:w="260"/>
        <w:gridCol w:w="3047"/>
      </w:tblGrid>
      <w:tr>
        <w:trPr>
          <w:trHeight w:val="1284" w:hRule="atLeast"/>
        </w:trPr>
        <w:tc>
          <w:tcPr>
            <w:tcW w:w="518" w:type="dxa"/>
            <w:vAlign w:val="top"/>
          </w:tcPr>
          <w:p>
            <w:pPr>
              <w:rPr>
                <w:rFonts w:ascii="Arial"/>
                <w:sz w:val="21"/>
              </w:rPr>
            </w:pPr>
            <w:r/>
          </w:p>
        </w:tc>
        <w:tc>
          <w:tcPr>
            <w:tcW w:w="695" w:type="dxa"/>
            <w:vAlign w:val="top"/>
          </w:tcPr>
          <w:p>
            <w:pPr>
              <w:rPr>
                <w:rFonts w:ascii="Arial"/>
                <w:sz w:val="21"/>
              </w:rPr>
            </w:pPr>
            <w:r/>
          </w:p>
        </w:tc>
        <w:tc>
          <w:tcPr>
            <w:tcW w:w="1172" w:type="dxa"/>
            <w:vAlign w:val="top"/>
            <w:gridSpan w:val="2"/>
          </w:tcPr>
          <w:p>
            <w:pPr>
              <w:rPr>
                <w:rFonts w:ascii="Arial"/>
                <w:sz w:val="21"/>
              </w:rPr>
            </w:pPr>
            <w:r/>
          </w:p>
        </w:tc>
        <w:tc>
          <w:tcPr>
            <w:tcW w:w="1070" w:type="dxa"/>
            <w:vAlign w:val="top"/>
            <w:gridSpan w:val="2"/>
          </w:tcPr>
          <w:p>
            <w:pPr>
              <w:rPr>
                <w:rFonts w:ascii="Arial"/>
                <w:sz w:val="21"/>
              </w:rPr>
            </w:pPr>
            <w:r/>
          </w:p>
        </w:tc>
        <w:tc>
          <w:tcPr>
            <w:tcW w:w="2024" w:type="dxa"/>
            <w:vAlign w:val="top"/>
            <w:gridSpan w:val="3"/>
          </w:tcPr>
          <w:p>
            <w:pPr>
              <w:rPr>
                <w:rFonts w:ascii="Arial"/>
                <w:sz w:val="21"/>
              </w:rPr>
            </w:pPr>
            <w:r/>
          </w:p>
        </w:tc>
        <w:tc>
          <w:tcPr>
            <w:tcW w:w="3047" w:type="dxa"/>
            <w:vAlign w:val="top"/>
          </w:tcPr>
          <w:p>
            <w:pPr>
              <w:pStyle w:val="TableText"/>
              <w:ind w:left="586"/>
              <w:spacing w:before="114" w:line="228" w:lineRule="auto"/>
              <w:rPr>
                <w:sz w:val="20"/>
                <w:szCs w:val="20"/>
              </w:rPr>
            </w:pPr>
            <w:r>
              <w:rPr>
                <w:sz w:val="20"/>
                <w:szCs w:val="20"/>
                <w:spacing w:val="7"/>
              </w:rPr>
              <w:t>组织排放控制标准》</w:t>
            </w:r>
          </w:p>
          <w:p>
            <w:pPr>
              <w:pStyle w:val="TableText"/>
              <w:ind w:left="1108" w:right="109" w:hanging="985"/>
              <w:spacing w:before="112" w:line="280" w:lineRule="auto"/>
              <w:rPr>
                <w:sz w:val="20"/>
                <w:szCs w:val="20"/>
              </w:rPr>
            </w:pPr>
            <w:r>
              <w:rPr>
                <w:sz w:val="20"/>
                <w:szCs w:val="20"/>
                <w:spacing w:val="2"/>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2"/>
              </w:rPr>
              <w:t>37822-2019</w:t>
            </w:r>
            <w:r>
              <w:rPr>
                <w:sz w:val="20"/>
                <w:szCs w:val="20"/>
                <w:spacing w:val="2"/>
              </w:rPr>
              <w:t>）表</w:t>
            </w:r>
            <w:r>
              <w:rPr>
                <w:rFonts w:ascii="Times New Roman" w:hAnsi="Times New Roman" w:eastAsia="Times New Roman" w:cs="Times New Roman"/>
                <w:sz w:val="20"/>
                <w:szCs w:val="20"/>
                <w:spacing w:val="2"/>
              </w:rPr>
              <w:t>A.</w:t>
            </w:r>
            <w:r>
              <w:rPr>
                <w:rFonts w:ascii="Times New Roman" w:hAnsi="Times New Roman" w:eastAsia="Times New Roman" w:cs="Times New Roman"/>
                <w:sz w:val="20"/>
                <w:szCs w:val="20"/>
                <w:spacing w:val="-19"/>
              </w:rPr>
              <w:t xml:space="preserve"> </w:t>
            </w:r>
            <w:r>
              <w:rPr>
                <w:rFonts w:ascii="Times New Roman" w:hAnsi="Times New Roman" w:eastAsia="Times New Roman" w:cs="Times New Roman"/>
                <w:sz w:val="20"/>
                <w:szCs w:val="20"/>
                <w:spacing w:val="2"/>
              </w:rPr>
              <w:t>1</w:t>
            </w:r>
            <w:r>
              <w:rPr>
                <w:sz w:val="20"/>
                <w:szCs w:val="20"/>
                <w:spacing w:val="2"/>
              </w:rPr>
              <w:t>特别排</w:t>
            </w:r>
            <w:r>
              <w:rPr>
                <w:sz w:val="20"/>
                <w:szCs w:val="20"/>
              </w:rPr>
              <w:t xml:space="preserve"> </w:t>
            </w:r>
            <w:r>
              <w:rPr>
                <w:sz w:val="20"/>
                <w:szCs w:val="20"/>
                <w:spacing w:val="5"/>
              </w:rPr>
              <w:t>放限值。</w:t>
            </w:r>
          </w:p>
        </w:tc>
      </w:tr>
      <w:tr>
        <w:trPr>
          <w:trHeight w:val="590" w:hRule="atLeast"/>
        </w:trPr>
        <w:tc>
          <w:tcPr>
            <w:tcW w:w="1213" w:type="dxa"/>
            <w:vAlign w:val="top"/>
            <w:gridSpan w:val="2"/>
            <w:vMerge w:val="restart"/>
            <w:tcBorders>
              <w:bottom w:val="nil"/>
            </w:tcBorders>
          </w:tcPr>
          <w:p>
            <w:pPr>
              <w:spacing w:line="281" w:lineRule="auto"/>
              <w:rPr>
                <w:rFonts w:ascii="Arial"/>
                <w:sz w:val="21"/>
              </w:rPr>
            </w:pPr>
            <w:r/>
          </w:p>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pStyle w:val="TableText"/>
              <w:ind w:left="419"/>
              <w:spacing w:before="65" w:line="228" w:lineRule="auto"/>
              <w:rPr>
                <w:sz w:val="20"/>
                <w:szCs w:val="20"/>
              </w:rPr>
            </w:pPr>
            <w:r>
              <w:rPr>
                <w:sz w:val="20"/>
                <w:szCs w:val="20"/>
                <w:spacing w:val="-5"/>
              </w:rPr>
              <w:t>固废</w:t>
            </w:r>
          </w:p>
        </w:tc>
        <w:tc>
          <w:tcPr>
            <w:tcW w:w="1172" w:type="dxa"/>
            <w:vAlign w:val="top"/>
            <w:gridSpan w:val="2"/>
          </w:tcPr>
          <w:p>
            <w:pPr>
              <w:pStyle w:val="TableText"/>
              <w:ind w:left="169"/>
              <w:spacing w:before="221" w:line="228" w:lineRule="auto"/>
              <w:rPr>
                <w:sz w:val="20"/>
                <w:szCs w:val="20"/>
              </w:rPr>
            </w:pPr>
            <w:r>
              <w:rPr>
                <w:sz w:val="20"/>
                <w:szCs w:val="20"/>
                <w:spacing w:val="7"/>
              </w:rPr>
              <w:t>废弃包装</w:t>
            </w:r>
          </w:p>
        </w:tc>
        <w:tc>
          <w:tcPr>
            <w:tcW w:w="1070" w:type="dxa"/>
            <w:vAlign w:val="top"/>
            <w:gridSpan w:val="2"/>
          </w:tcPr>
          <w:p>
            <w:pPr>
              <w:pStyle w:val="TableText"/>
              <w:ind w:left="118"/>
              <w:spacing w:before="221" w:line="228" w:lineRule="auto"/>
              <w:rPr>
                <w:sz w:val="20"/>
                <w:szCs w:val="20"/>
              </w:rPr>
            </w:pPr>
            <w:r>
              <w:rPr>
                <w:sz w:val="20"/>
                <w:szCs w:val="20"/>
                <w:spacing w:val="7"/>
              </w:rPr>
              <w:t>废弃包装</w:t>
            </w:r>
          </w:p>
        </w:tc>
        <w:tc>
          <w:tcPr>
            <w:tcW w:w="2024" w:type="dxa"/>
            <w:vAlign w:val="top"/>
            <w:gridSpan w:val="3"/>
          </w:tcPr>
          <w:p>
            <w:pPr>
              <w:pStyle w:val="TableText"/>
              <w:ind w:left="392"/>
              <w:spacing w:before="221" w:line="228" w:lineRule="auto"/>
              <w:rPr>
                <w:sz w:val="20"/>
                <w:szCs w:val="20"/>
              </w:rPr>
            </w:pPr>
            <w:r>
              <w:rPr>
                <w:sz w:val="20"/>
                <w:szCs w:val="20"/>
                <w:spacing w:val="7"/>
              </w:rPr>
              <w:t>外售回收单位</w:t>
            </w:r>
          </w:p>
        </w:tc>
        <w:tc>
          <w:tcPr>
            <w:tcW w:w="3047" w:type="dxa"/>
            <w:vAlign w:val="top"/>
            <w:vMerge w:val="restart"/>
            <w:tcBorders>
              <w:bottom w:val="nil"/>
            </w:tcBorders>
          </w:tcPr>
          <w:p>
            <w:pPr>
              <w:pStyle w:val="TableText"/>
              <w:ind w:left="690" w:right="157" w:hanging="521"/>
              <w:spacing w:before="109" w:line="280" w:lineRule="auto"/>
              <w:rPr>
                <w:sz w:val="20"/>
                <w:szCs w:val="20"/>
              </w:rPr>
            </w:pPr>
            <w:r>
              <w:rPr>
                <w:sz w:val="20"/>
                <w:szCs w:val="20"/>
                <w:spacing w:val="8"/>
              </w:rPr>
              <w:t>《一般工业固体废物贮存和填</w:t>
            </w:r>
            <w:r>
              <w:rPr>
                <w:sz w:val="20"/>
                <w:szCs w:val="20"/>
                <w:spacing w:val="10"/>
              </w:rPr>
              <w:t xml:space="preserve"> </w:t>
            </w:r>
            <w:r>
              <w:rPr>
                <w:sz w:val="20"/>
                <w:szCs w:val="20"/>
                <w:spacing w:val="7"/>
              </w:rPr>
              <w:t>埋污染控制标准》</w:t>
            </w:r>
          </w:p>
          <w:p>
            <w:pPr>
              <w:pStyle w:val="TableText"/>
              <w:ind w:left="675"/>
              <w:spacing w:before="112" w:line="227" w:lineRule="auto"/>
              <w:rPr>
                <w:sz w:val="20"/>
                <w:szCs w:val="20"/>
              </w:rPr>
            </w:pPr>
            <w:r>
              <w:rPr>
                <w:sz w:val="20"/>
                <w:szCs w:val="20"/>
                <w:spacing w:val="4"/>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4"/>
              </w:rPr>
              <w:t>18599-2020</w:t>
            </w:r>
            <w:r>
              <w:rPr>
                <w:sz w:val="20"/>
                <w:szCs w:val="20"/>
                <w:spacing w:val="4"/>
              </w:rPr>
              <w:t>）</w:t>
            </w:r>
          </w:p>
        </w:tc>
      </w:tr>
      <w:tr>
        <w:trPr>
          <w:trHeight w:val="490" w:hRule="atLeast"/>
        </w:trPr>
        <w:tc>
          <w:tcPr>
            <w:tcW w:w="1213" w:type="dxa"/>
            <w:vAlign w:val="top"/>
            <w:gridSpan w:val="2"/>
            <w:vMerge w:val="continue"/>
            <w:tcBorders>
              <w:top w:val="nil"/>
              <w:bottom w:val="nil"/>
            </w:tcBorders>
          </w:tcPr>
          <w:p>
            <w:pPr>
              <w:rPr>
                <w:rFonts w:ascii="Arial"/>
                <w:sz w:val="21"/>
              </w:rPr>
            </w:pPr>
            <w:r/>
          </w:p>
        </w:tc>
        <w:tc>
          <w:tcPr>
            <w:tcW w:w="1172" w:type="dxa"/>
            <w:vAlign w:val="top"/>
            <w:gridSpan w:val="2"/>
          </w:tcPr>
          <w:p>
            <w:pPr>
              <w:pStyle w:val="TableText"/>
              <w:ind w:left="173"/>
              <w:spacing w:before="171" w:line="228" w:lineRule="auto"/>
              <w:rPr>
                <w:sz w:val="20"/>
                <w:szCs w:val="20"/>
              </w:rPr>
            </w:pPr>
            <w:r>
              <w:rPr>
                <w:sz w:val="20"/>
                <w:szCs w:val="20"/>
                <w:spacing w:val="6"/>
              </w:rPr>
              <w:t>不合格品</w:t>
            </w:r>
          </w:p>
        </w:tc>
        <w:tc>
          <w:tcPr>
            <w:tcW w:w="1070" w:type="dxa"/>
            <w:vAlign w:val="top"/>
            <w:gridSpan w:val="2"/>
          </w:tcPr>
          <w:p>
            <w:pPr>
              <w:pStyle w:val="TableText"/>
              <w:ind w:left="122"/>
              <w:spacing w:before="171" w:line="228" w:lineRule="auto"/>
              <w:rPr>
                <w:sz w:val="20"/>
                <w:szCs w:val="20"/>
              </w:rPr>
            </w:pPr>
            <w:r>
              <w:rPr>
                <w:sz w:val="20"/>
                <w:szCs w:val="20"/>
                <w:spacing w:val="6"/>
              </w:rPr>
              <w:t>不合格品</w:t>
            </w:r>
          </w:p>
        </w:tc>
        <w:tc>
          <w:tcPr>
            <w:tcW w:w="2024" w:type="dxa"/>
            <w:vAlign w:val="top"/>
            <w:gridSpan w:val="3"/>
          </w:tcPr>
          <w:p>
            <w:pPr>
              <w:pStyle w:val="TableText"/>
              <w:ind w:left="617"/>
              <w:spacing w:before="171" w:line="228" w:lineRule="auto"/>
              <w:rPr>
                <w:sz w:val="20"/>
                <w:szCs w:val="20"/>
              </w:rPr>
            </w:pPr>
            <w:r>
              <w:rPr>
                <w:sz w:val="20"/>
                <w:szCs w:val="20"/>
                <w:spacing w:val="2"/>
              </w:rPr>
              <w:t>回用生产</w:t>
            </w:r>
          </w:p>
        </w:tc>
        <w:tc>
          <w:tcPr>
            <w:tcW w:w="3047" w:type="dxa"/>
            <w:vAlign w:val="top"/>
            <w:vMerge w:val="continue"/>
            <w:tcBorders>
              <w:top w:val="nil"/>
            </w:tcBorders>
          </w:tcPr>
          <w:p>
            <w:pPr>
              <w:rPr>
                <w:rFonts w:ascii="Arial"/>
                <w:sz w:val="21"/>
              </w:rPr>
            </w:pPr>
            <w:r/>
          </w:p>
        </w:tc>
      </w:tr>
      <w:tr>
        <w:trPr>
          <w:trHeight w:val="1085" w:hRule="atLeast"/>
        </w:trPr>
        <w:tc>
          <w:tcPr>
            <w:tcW w:w="1213" w:type="dxa"/>
            <w:vAlign w:val="top"/>
            <w:gridSpan w:val="2"/>
            <w:vMerge w:val="continue"/>
            <w:tcBorders>
              <w:top w:val="nil"/>
              <w:bottom w:val="nil"/>
            </w:tcBorders>
          </w:tcPr>
          <w:p>
            <w:pPr>
              <w:rPr>
                <w:rFonts w:ascii="Arial"/>
                <w:sz w:val="21"/>
              </w:rPr>
            </w:pPr>
            <w:r/>
          </w:p>
        </w:tc>
        <w:tc>
          <w:tcPr>
            <w:tcW w:w="1172" w:type="dxa"/>
            <w:vAlign w:val="top"/>
            <w:gridSpan w:val="2"/>
          </w:tcPr>
          <w:p>
            <w:pPr>
              <w:spacing w:line="401" w:lineRule="auto"/>
              <w:rPr>
                <w:rFonts w:ascii="Arial"/>
                <w:sz w:val="21"/>
              </w:rPr>
            </w:pPr>
            <w:r/>
          </w:p>
          <w:p>
            <w:pPr>
              <w:pStyle w:val="TableText"/>
              <w:ind w:left="169"/>
              <w:spacing w:before="65" w:line="228" w:lineRule="auto"/>
              <w:rPr>
                <w:sz w:val="20"/>
                <w:szCs w:val="20"/>
              </w:rPr>
            </w:pPr>
            <w:r>
              <w:rPr>
                <w:sz w:val="20"/>
                <w:szCs w:val="20"/>
                <w:spacing w:val="7"/>
              </w:rPr>
              <w:t>废气治理</w:t>
            </w:r>
          </w:p>
        </w:tc>
        <w:tc>
          <w:tcPr>
            <w:tcW w:w="1070" w:type="dxa"/>
            <w:vAlign w:val="top"/>
            <w:gridSpan w:val="2"/>
          </w:tcPr>
          <w:p>
            <w:pPr>
              <w:pStyle w:val="TableText"/>
              <w:ind w:left="223"/>
              <w:spacing w:before="108" w:line="228" w:lineRule="auto"/>
              <w:rPr>
                <w:sz w:val="20"/>
                <w:szCs w:val="20"/>
              </w:rPr>
            </w:pPr>
            <w:r>
              <w:rPr>
                <w:sz w:val="20"/>
                <w:szCs w:val="20"/>
                <w:spacing w:val="7"/>
              </w:rPr>
              <w:t>废催化</w:t>
            </w:r>
          </w:p>
          <w:p>
            <w:pPr>
              <w:pStyle w:val="TableText"/>
              <w:ind w:left="119"/>
              <w:spacing w:before="113" w:line="227" w:lineRule="auto"/>
              <w:rPr>
                <w:sz w:val="20"/>
                <w:szCs w:val="20"/>
              </w:rPr>
            </w:pPr>
            <w:r>
              <w:rPr>
                <w:sz w:val="20"/>
                <w:szCs w:val="20"/>
                <w:spacing w:val="7"/>
              </w:rPr>
              <w:t>剂、废活</w:t>
            </w:r>
          </w:p>
          <w:p>
            <w:pPr>
              <w:pStyle w:val="TableText"/>
              <w:ind w:left="332"/>
              <w:spacing w:before="114" w:line="227" w:lineRule="auto"/>
              <w:rPr>
                <w:sz w:val="20"/>
                <w:szCs w:val="20"/>
              </w:rPr>
            </w:pPr>
            <w:r>
              <w:rPr>
                <w:sz w:val="20"/>
                <w:szCs w:val="20"/>
                <w:spacing w:val="3"/>
              </w:rPr>
              <w:t>性炭</w:t>
            </w:r>
          </w:p>
        </w:tc>
        <w:tc>
          <w:tcPr>
            <w:tcW w:w="2024" w:type="dxa"/>
            <w:vAlign w:val="top"/>
            <w:gridSpan w:val="3"/>
            <w:vMerge w:val="restart"/>
            <w:tcBorders>
              <w:bottom w:val="nil"/>
            </w:tcBorders>
          </w:tcPr>
          <w:p>
            <w:pPr>
              <w:pStyle w:val="TableText"/>
              <w:ind w:left="183"/>
              <w:spacing w:before="293" w:line="228" w:lineRule="auto"/>
              <w:rPr>
                <w:sz w:val="20"/>
                <w:szCs w:val="20"/>
              </w:rPr>
            </w:pPr>
            <w:r>
              <w:rPr>
                <w:sz w:val="20"/>
                <w:szCs w:val="20"/>
                <w:spacing w:val="7"/>
              </w:rPr>
              <w:t>暂存危险废物暂存</w:t>
            </w:r>
          </w:p>
          <w:p>
            <w:pPr>
              <w:pStyle w:val="TableText"/>
              <w:ind w:left="130"/>
              <w:spacing w:before="113" w:line="228" w:lineRule="auto"/>
              <w:rPr>
                <w:sz w:val="20"/>
                <w:szCs w:val="20"/>
              </w:rPr>
            </w:pPr>
            <w:r>
              <w:rPr>
                <w:sz w:val="20"/>
                <w:szCs w:val="20"/>
                <w:spacing w:val="-2"/>
              </w:rPr>
              <w:t>间，委托有资质单位</w:t>
            </w:r>
          </w:p>
          <w:p>
            <w:pPr>
              <w:pStyle w:val="TableText"/>
              <w:ind w:left="393"/>
              <w:spacing w:before="112" w:line="228" w:lineRule="auto"/>
              <w:rPr>
                <w:sz w:val="20"/>
                <w:szCs w:val="20"/>
              </w:rPr>
            </w:pPr>
            <w:r>
              <w:rPr>
                <w:sz w:val="20"/>
                <w:szCs w:val="20"/>
                <w:spacing w:val="7"/>
              </w:rPr>
              <w:t>定期收运处置</w:t>
            </w:r>
          </w:p>
        </w:tc>
        <w:tc>
          <w:tcPr>
            <w:tcW w:w="3047" w:type="dxa"/>
            <w:vAlign w:val="top"/>
            <w:vMerge w:val="restart"/>
            <w:tcBorders>
              <w:bottom w:val="nil"/>
            </w:tcBorders>
          </w:tcPr>
          <w:p>
            <w:pPr>
              <w:spacing w:line="405" w:lineRule="auto"/>
              <w:rPr>
                <w:rFonts w:ascii="Arial"/>
                <w:sz w:val="21"/>
              </w:rPr>
            </w:pPr>
            <w:r/>
          </w:p>
          <w:p>
            <w:pPr>
              <w:pStyle w:val="TableText"/>
              <w:ind w:left="456" w:right="262" w:hanging="181"/>
              <w:spacing w:before="65" w:line="281" w:lineRule="auto"/>
              <w:rPr>
                <w:sz w:val="20"/>
                <w:szCs w:val="20"/>
              </w:rPr>
            </w:pPr>
            <w:r>
              <w:rPr>
                <w:sz w:val="20"/>
                <w:szCs w:val="20"/>
                <w:spacing w:val="8"/>
              </w:rPr>
              <w:t>《危险废物贮存污染控制标</w:t>
            </w:r>
            <w:r>
              <w:rPr>
                <w:sz w:val="20"/>
                <w:szCs w:val="20"/>
                <w:spacing w:val="7"/>
              </w:rPr>
              <w:t xml:space="preserve"> </w:t>
            </w:r>
            <w:r>
              <w:rPr>
                <w:sz w:val="20"/>
                <w:szCs w:val="20"/>
                <w:spacing w:val="5"/>
              </w:rPr>
              <w:t>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5"/>
              </w:rPr>
              <w:t>18597-2023</w:t>
            </w:r>
            <w:r>
              <w:rPr>
                <w:sz w:val="20"/>
                <w:szCs w:val="20"/>
                <w:spacing w:val="5"/>
              </w:rPr>
              <w:t>）</w:t>
            </w:r>
          </w:p>
        </w:tc>
      </w:tr>
      <w:tr>
        <w:trPr>
          <w:trHeight w:val="365" w:hRule="atLeast"/>
        </w:trPr>
        <w:tc>
          <w:tcPr>
            <w:tcW w:w="1213" w:type="dxa"/>
            <w:vAlign w:val="top"/>
            <w:gridSpan w:val="2"/>
            <w:vMerge w:val="continue"/>
            <w:tcBorders>
              <w:top w:val="nil"/>
            </w:tcBorders>
          </w:tcPr>
          <w:p>
            <w:pPr>
              <w:rPr>
                <w:rFonts w:ascii="Arial"/>
                <w:sz w:val="21"/>
              </w:rPr>
            </w:pPr>
            <w:r/>
          </w:p>
        </w:tc>
        <w:tc>
          <w:tcPr>
            <w:tcW w:w="1172" w:type="dxa"/>
            <w:vAlign w:val="top"/>
            <w:gridSpan w:val="2"/>
          </w:tcPr>
          <w:p>
            <w:pPr>
              <w:pStyle w:val="TableText"/>
              <w:ind w:left="169"/>
              <w:spacing w:before="108" w:line="227" w:lineRule="auto"/>
              <w:rPr>
                <w:sz w:val="20"/>
                <w:szCs w:val="20"/>
              </w:rPr>
            </w:pPr>
            <w:r>
              <w:rPr>
                <w:sz w:val="20"/>
                <w:szCs w:val="20"/>
                <w:spacing w:val="7"/>
              </w:rPr>
              <w:t>机械维修</w:t>
            </w:r>
          </w:p>
        </w:tc>
        <w:tc>
          <w:tcPr>
            <w:tcW w:w="1070" w:type="dxa"/>
            <w:vAlign w:val="top"/>
            <w:gridSpan w:val="2"/>
          </w:tcPr>
          <w:p>
            <w:pPr>
              <w:pStyle w:val="TableText"/>
              <w:ind w:left="223"/>
              <w:spacing w:before="108" w:line="227" w:lineRule="auto"/>
              <w:rPr>
                <w:sz w:val="20"/>
                <w:szCs w:val="20"/>
              </w:rPr>
            </w:pPr>
            <w:r>
              <w:rPr>
                <w:sz w:val="20"/>
                <w:szCs w:val="20"/>
                <w:spacing w:val="7"/>
              </w:rPr>
              <w:t>废机油</w:t>
            </w:r>
          </w:p>
        </w:tc>
        <w:tc>
          <w:tcPr>
            <w:tcW w:w="2024" w:type="dxa"/>
            <w:vAlign w:val="top"/>
            <w:gridSpan w:val="3"/>
            <w:vMerge w:val="continue"/>
            <w:tcBorders>
              <w:top w:val="nil"/>
            </w:tcBorders>
          </w:tcPr>
          <w:p>
            <w:pPr>
              <w:rPr>
                <w:rFonts w:ascii="Arial"/>
                <w:sz w:val="21"/>
              </w:rPr>
            </w:pPr>
            <w:r/>
          </w:p>
        </w:tc>
        <w:tc>
          <w:tcPr>
            <w:tcW w:w="3047" w:type="dxa"/>
            <w:vAlign w:val="top"/>
            <w:vMerge w:val="continue"/>
            <w:tcBorders>
              <w:top w:val="nil"/>
            </w:tcBorders>
          </w:tcPr>
          <w:p>
            <w:pPr>
              <w:rPr>
                <w:rFonts w:ascii="Arial"/>
                <w:sz w:val="21"/>
              </w:rPr>
            </w:pPr>
            <w:r/>
          </w:p>
        </w:tc>
      </w:tr>
      <w:tr>
        <w:trPr>
          <w:trHeight w:val="1132" w:hRule="atLeast"/>
        </w:trPr>
        <w:tc>
          <w:tcPr>
            <w:tcW w:w="1213" w:type="dxa"/>
            <w:vAlign w:val="top"/>
            <w:gridSpan w:val="2"/>
          </w:tcPr>
          <w:p>
            <w:pPr>
              <w:spacing w:line="427" w:lineRule="auto"/>
              <w:rPr>
                <w:rFonts w:ascii="Arial"/>
                <w:sz w:val="21"/>
              </w:rPr>
            </w:pPr>
            <w:r/>
          </w:p>
          <w:p>
            <w:pPr>
              <w:pStyle w:val="TableText"/>
              <w:ind w:left="411"/>
              <w:spacing w:before="65" w:line="228" w:lineRule="auto"/>
              <w:rPr>
                <w:sz w:val="20"/>
                <w:szCs w:val="20"/>
              </w:rPr>
            </w:pPr>
            <w:r>
              <w:rPr>
                <w:sz w:val="20"/>
                <w:szCs w:val="20"/>
                <w:spacing w:val="-1"/>
              </w:rPr>
              <w:t>噪声</w:t>
            </w:r>
          </w:p>
        </w:tc>
        <w:tc>
          <w:tcPr>
            <w:tcW w:w="1172" w:type="dxa"/>
            <w:vAlign w:val="top"/>
            <w:gridSpan w:val="2"/>
          </w:tcPr>
          <w:p>
            <w:pPr>
              <w:spacing w:line="426" w:lineRule="auto"/>
              <w:rPr>
                <w:rFonts w:ascii="Arial"/>
                <w:sz w:val="21"/>
              </w:rPr>
            </w:pPr>
            <w:r/>
          </w:p>
          <w:p>
            <w:pPr>
              <w:pStyle w:val="TableText"/>
              <w:ind w:left="171"/>
              <w:spacing w:before="65" w:line="228" w:lineRule="auto"/>
              <w:rPr>
                <w:sz w:val="20"/>
                <w:szCs w:val="20"/>
              </w:rPr>
            </w:pPr>
            <w:r>
              <w:rPr>
                <w:sz w:val="20"/>
                <w:szCs w:val="20"/>
                <w:spacing w:val="6"/>
              </w:rPr>
              <w:t>生产车间</w:t>
            </w:r>
          </w:p>
        </w:tc>
        <w:tc>
          <w:tcPr>
            <w:tcW w:w="1070" w:type="dxa"/>
            <w:vAlign w:val="top"/>
            <w:gridSpan w:val="2"/>
          </w:tcPr>
          <w:p>
            <w:pPr>
              <w:spacing w:line="248" w:lineRule="auto"/>
              <w:rPr>
                <w:rFonts w:ascii="Arial"/>
                <w:sz w:val="21"/>
              </w:rPr>
            </w:pPr>
            <w:r/>
          </w:p>
          <w:p>
            <w:pPr>
              <w:pStyle w:val="TableText"/>
              <w:ind w:left="128" w:right="116" w:hanging="8"/>
              <w:spacing w:before="65" w:line="280" w:lineRule="auto"/>
              <w:rPr>
                <w:sz w:val="20"/>
                <w:szCs w:val="20"/>
              </w:rPr>
            </w:pPr>
            <w:r>
              <w:rPr>
                <w:sz w:val="20"/>
                <w:szCs w:val="20"/>
                <w:spacing w:val="6"/>
              </w:rPr>
              <w:t>主要产生</w:t>
            </w:r>
            <w:r>
              <w:rPr>
                <w:sz w:val="20"/>
                <w:szCs w:val="20"/>
                <w:spacing w:val="2"/>
              </w:rPr>
              <w:t xml:space="preserve"> </w:t>
            </w:r>
            <w:r>
              <w:rPr>
                <w:sz w:val="20"/>
                <w:szCs w:val="20"/>
                <w:spacing w:val="4"/>
              </w:rPr>
              <w:t>噪声设备</w:t>
            </w:r>
          </w:p>
        </w:tc>
        <w:tc>
          <w:tcPr>
            <w:tcW w:w="2024" w:type="dxa"/>
            <w:vAlign w:val="top"/>
            <w:gridSpan w:val="3"/>
          </w:tcPr>
          <w:p>
            <w:pPr>
              <w:pStyle w:val="TableText"/>
              <w:ind w:left="176"/>
              <w:spacing w:before="133" w:line="228" w:lineRule="auto"/>
              <w:rPr>
                <w:sz w:val="20"/>
                <w:szCs w:val="20"/>
              </w:rPr>
            </w:pPr>
            <w:r>
              <w:rPr>
                <w:sz w:val="20"/>
                <w:szCs w:val="20"/>
                <w:spacing w:val="10"/>
              </w:rPr>
              <w:t>选用具有减震、降</w:t>
            </w:r>
          </w:p>
          <w:p>
            <w:pPr>
              <w:pStyle w:val="TableText"/>
              <w:ind w:left="124"/>
              <w:spacing w:before="113" w:line="228" w:lineRule="auto"/>
              <w:rPr>
                <w:sz w:val="20"/>
                <w:szCs w:val="20"/>
              </w:rPr>
            </w:pPr>
            <w:r>
              <w:rPr>
                <w:sz w:val="20"/>
                <w:szCs w:val="20"/>
                <w:spacing w:val="-2"/>
              </w:rPr>
              <w:t>噪、隔声、消声设计</w:t>
            </w:r>
          </w:p>
          <w:p>
            <w:pPr>
              <w:pStyle w:val="TableText"/>
              <w:ind w:left="719"/>
              <w:spacing w:before="112" w:line="229" w:lineRule="auto"/>
              <w:rPr>
                <w:sz w:val="20"/>
                <w:szCs w:val="20"/>
              </w:rPr>
            </w:pPr>
            <w:r>
              <w:rPr>
                <w:sz w:val="20"/>
                <w:szCs w:val="20"/>
                <w:spacing w:val="1"/>
              </w:rPr>
              <w:t>的设备</w:t>
            </w:r>
          </w:p>
        </w:tc>
        <w:tc>
          <w:tcPr>
            <w:tcW w:w="3047" w:type="dxa"/>
            <w:vAlign w:val="top"/>
          </w:tcPr>
          <w:p>
            <w:pPr>
              <w:pStyle w:val="TableText"/>
              <w:ind w:left="114" w:right="107" w:firstLine="54"/>
              <w:spacing w:before="134" w:line="280" w:lineRule="auto"/>
              <w:rPr>
                <w:rFonts w:ascii="Times New Roman" w:hAnsi="Times New Roman" w:eastAsia="Times New Roman" w:cs="Times New Roman"/>
                <w:sz w:val="20"/>
                <w:szCs w:val="20"/>
              </w:rPr>
            </w:pPr>
            <w:r>
              <w:rPr>
                <w:sz w:val="20"/>
                <w:szCs w:val="20"/>
                <w:spacing w:val="8"/>
              </w:rPr>
              <w:t>《工业企业厂界环境噪声排放</w:t>
            </w:r>
            <w:r>
              <w:rPr>
                <w:sz w:val="20"/>
                <w:szCs w:val="20"/>
                <w:spacing w:val="10"/>
              </w:rPr>
              <w:t xml:space="preserve"> </w:t>
            </w:r>
            <w:r>
              <w:rPr>
                <w:sz w:val="20"/>
                <w:szCs w:val="20"/>
                <w:spacing w:val="4"/>
              </w:rPr>
              <w:t>标准》（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4"/>
              </w:rPr>
              <w:t>12348-2008</w:t>
            </w:r>
            <w:r>
              <w:rPr>
                <w:sz w:val="20"/>
                <w:szCs w:val="20"/>
                <w:spacing w:val="4"/>
              </w:rPr>
              <w:t>）中的</w:t>
            </w:r>
            <w:r>
              <w:rPr>
                <w:rFonts w:ascii="Times New Roman" w:hAnsi="Times New Roman" w:eastAsia="Times New Roman" w:cs="Times New Roman"/>
                <w:sz w:val="20"/>
                <w:szCs w:val="20"/>
                <w:spacing w:val="4"/>
              </w:rPr>
              <w:t>2</w:t>
            </w:r>
          </w:p>
          <w:p>
            <w:pPr>
              <w:pStyle w:val="TableText"/>
              <w:ind w:left="1212"/>
              <w:spacing w:before="112" w:line="228" w:lineRule="auto"/>
              <w:rPr>
                <w:sz w:val="20"/>
                <w:szCs w:val="20"/>
              </w:rPr>
            </w:pPr>
            <w:r>
              <w:rPr>
                <w:sz w:val="20"/>
                <w:szCs w:val="20"/>
                <w:spacing w:val="6"/>
              </w:rPr>
              <w:t>类标准</w:t>
            </w:r>
          </w:p>
        </w:tc>
      </w:tr>
      <w:tr>
        <w:trPr>
          <w:trHeight w:val="405" w:hRule="atLeast"/>
        </w:trPr>
        <w:tc>
          <w:tcPr>
            <w:tcW w:w="1213" w:type="dxa"/>
            <w:vAlign w:val="top"/>
            <w:gridSpan w:val="2"/>
          </w:tcPr>
          <w:p>
            <w:pPr>
              <w:pStyle w:val="TableText"/>
              <w:ind w:left="217"/>
              <w:spacing w:before="129" w:line="228" w:lineRule="auto"/>
              <w:rPr>
                <w:sz w:val="20"/>
                <w:szCs w:val="20"/>
              </w:rPr>
            </w:pPr>
            <w:r>
              <w:rPr>
                <w:sz w:val="20"/>
                <w:szCs w:val="20"/>
                <w:spacing w:val="1"/>
              </w:rPr>
              <w:t>电磁辐射</w:t>
            </w:r>
          </w:p>
        </w:tc>
        <w:tc>
          <w:tcPr>
            <w:tcW w:w="7313" w:type="dxa"/>
            <w:vAlign w:val="top"/>
            <w:gridSpan w:val="8"/>
          </w:tcPr>
          <w:p>
            <w:pPr>
              <w:pStyle w:val="TableText"/>
              <w:ind w:left="3555"/>
              <w:spacing w:before="142" w:line="228" w:lineRule="auto"/>
              <w:rPr>
                <w:sz w:val="20"/>
                <w:szCs w:val="20"/>
              </w:rPr>
            </w:pPr>
            <w:r>
              <w:rPr>
                <w:sz w:val="20"/>
                <w:szCs w:val="20"/>
              </w:rPr>
              <w:t>无</w:t>
            </w:r>
          </w:p>
        </w:tc>
      </w:tr>
      <w:tr>
        <w:trPr>
          <w:trHeight w:val="1085" w:hRule="atLeast"/>
        </w:trPr>
        <w:tc>
          <w:tcPr>
            <w:tcW w:w="1213" w:type="dxa"/>
            <w:vAlign w:val="top"/>
            <w:gridSpan w:val="2"/>
          </w:tcPr>
          <w:p>
            <w:pPr>
              <w:pStyle w:val="TableText"/>
              <w:ind w:left="198" w:right="185" w:hanging="5"/>
              <w:spacing w:before="109" w:line="297" w:lineRule="auto"/>
              <w:jc w:val="both"/>
              <w:rPr>
                <w:sz w:val="20"/>
                <w:szCs w:val="20"/>
              </w:rPr>
            </w:pPr>
            <w:r>
              <w:rPr>
                <w:sz w:val="20"/>
                <w:szCs w:val="20"/>
                <w:spacing w:val="7"/>
              </w:rPr>
              <w:t>土壤及地</w:t>
            </w:r>
            <w:r>
              <w:rPr>
                <w:sz w:val="20"/>
                <w:szCs w:val="20"/>
              </w:rPr>
              <w:t xml:space="preserve"> </w:t>
            </w:r>
            <w:r>
              <w:rPr>
                <w:sz w:val="20"/>
                <w:szCs w:val="20"/>
                <w:spacing w:val="5"/>
              </w:rPr>
              <w:t>下水污染</w:t>
            </w:r>
            <w:r>
              <w:rPr>
                <w:sz w:val="20"/>
                <w:szCs w:val="20"/>
                <w:spacing w:val="2"/>
              </w:rPr>
              <w:t xml:space="preserve"> </w:t>
            </w:r>
            <w:r>
              <w:rPr>
                <w:sz w:val="20"/>
                <w:szCs w:val="20"/>
                <w:spacing w:val="5"/>
              </w:rPr>
              <w:t>防治措施</w:t>
            </w:r>
          </w:p>
        </w:tc>
        <w:tc>
          <w:tcPr>
            <w:tcW w:w="7313" w:type="dxa"/>
            <w:vAlign w:val="top"/>
            <w:gridSpan w:val="8"/>
          </w:tcPr>
          <w:p>
            <w:pPr>
              <w:spacing w:line="415" w:lineRule="auto"/>
              <w:rPr>
                <w:rFonts w:ascii="Arial"/>
                <w:sz w:val="21"/>
              </w:rPr>
            </w:pPr>
            <w:r/>
          </w:p>
          <w:p>
            <w:pPr>
              <w:pStyle w:val="TableText"/>
              <w:ind w:left="1454"/>
              <w:spacing w:before="65" w:line="228" w:lineRule="auto"/>
              <w:rPr>
                <w:sz w:val="20"/>
                <w:szCs w:val="20"/>
              </w:rPr>
            </w:pPr>
            <w:r>
              <w:rPr>
                <w:sz w:val="20"/>
                <w:szCs w:val="20"/>
                <w:spacing w:val="9"/>
              </w:rPr>
              <w:t>相关内容见水环境影响分析及固废环境影响分析</w:t>
            </w:r>
          </w:p>
        </w:tc>
      </w:tr>
      <w:tr>
        <w:trPr>
          <w:trHeight w:val="725" w:hRule="atLeast"/>
        </w:trPr>
        <w:tc>
          <w:tcPr>
            <w:tcW w:w="1213" w:type="dxa"/>
            <w:vAlign w:val="top"/>
            <w:gridSpan w:val="2"/>
          </w:tcPr>
          <w:p>
            <w:pPr>
              <w:pStyle w:val="TableText"/>
              <w:ind w:left="401" w:right="185" w:hanging="207"/>
              <w:spacing w:before="110" w:line="279" w:lineRule="auto"/>
              <w:rPr>
                <w:sz w:val="20"/>
                <w:szCs w:val="20"/>
              </w:rPr>
            </w:pPr>
            <w:r>
              <w:rPr>
                <w:sz w:val="20"/>
                <w:szCs w:val="20"/>
                <w:spacing w:val="6"/>
              </w:rPr>
              <w:t>生态保护</w:t>
            </w:r>
            <w:r>
              <w:rPr>
                <w:sz w:val="20"/>
                <w:szCs w:val="20"/>
                <w:spacing w:val="2"/>
              </w:rPr>
              <w:t xml:space="preserve"> </w:t>
            </w:r>
            <w:r>
              <w:rPr>
                <w:sz w:val="20"/>
                <w:szCs w:val="20"/>
                <w:spacing w:val="4"/>
              </w:rPr>
              <w:t>措施</w:t>
            </w:r>
          </w:p>
        </w:tc>
        <w:tc>
          <w:tcPr>
            <w:tcW w:w="7313" w:type="dxa"/>
            <w:vAlign w:val="top"/>
            <w:gridSpan w:val="8"/>
          </w:tcPr>
          <w:p>
            <w:pPr>
              <w:spacing w:line="264" w:lineRule="auto"/>
              <w:rPr>
                <w:rFonts w:ascii="Arial"/>
                <w:sz w:val="21"/>
              </w:rPr>
            </w:pPr>
            <w:r/>
          </w:p>
          <w:p>
            <w:pPr>
              <w:pStyle w:val="TableText"/>
              <w:ind w:left="2505"/>
              <w:spacing w:before="65" w:line="228" w:lineRule="auto"/>
              <w:rPr>
                <w:sz w:val="20"/>
                <w:szCs w:val="20"/>
              </w:rPr>
            </w:pPr>
            <w:r>
              <w:rPr>
                <w:sz w:val="20"/>
                <w:szCs w:val="20"/>
                <w:spacing w:val="7"/>
              </w:rPr>
              <w:t>相关内容见</w:t>
            </w:r>
            <w:r>
              <w:rPr>
                <w:rFonts w:ascii="Times New Roman" w:hAnsi="Times New Roman" w:eastAsia="Times New Roman" w:cs="Times New Roman"/>
                <w:sz w:val="20"/>
                <w:szCs w:val="20"/>
                <w:spacing w:val="7"/>
              </w:rPr>
              <w:t>4.2.5</w:t>
            </w:r>
            <w:r>
              <w:rPr>
                <w:sz w:val="20"/>
                <w:szCs w:val="20"/>
                <w:spacing w:val="7"/>
              </w:rPr>
              <w:t>生态环境影响</w:t>
            </w:r>
          </w:p>
        </w:tc>
      </w:tr>
      <w:tr>
        <w:trPr>
          <w:trHeight w:val="725" w:hRule="atLeast"/>
        </w:trPr>
        <w:tc>
          <w:tcPr>
            <w:tcW w:w="1213" w:type="dxa"/>
            <w:vAlign w:val="top"/>
            <w:gridSpan w:val="2"/>
          </w:tcPr>
          <w:p>
            <w:pPr>
              <w:pStyle w:val="TableText"/>
              <w:ind w:left="205" w:right="185" w:hanging="13"/>
              <w:spacing w:before="110" w:line="279" w:lineRule="auto"/>
              <w:rPr>
                <w:sz w:val="20"/>
                <w:szCs w:val="20"/>
              </w:rPr>
            </w:pPr>
            <w:r>
              <w:rPr>
                <w:sz w:val="20"/>
                <w:szCs w:val="20"/>
                <w:spacing w:val="7"/>
              </w:rPr>
              <w:t>环境风险</w:t>
            </w:r>
            <w:r>
              <w:rPr>
                <w:sz w:val="20"/>
                <w:szCs w:val="20"/>
              </w:rPr>
              <w:t xml:space="preserve"> </w:t>
            </w:r>
            <w:r>
              <w:rPr>
                <w:sz w:val="20"/>
                <w:szCs w:val="20"/>
                <w:spacing w:val="4"/>
              </w:rPr>
              <w:t>防范措施</w:t>
            </w:r>
          </w:p>
        </w:tc>
        <w:tc>
          <w:tcPr>
            <w:tcW w:w="7313" w:type="dxa"/>
            <w:vAlign w:val="top"/>
            <w:gridSpan w:val="8"/>
          </w:tcPr>
          <w:p>
            <w:pPr>
              <w:spacing w:line="264" w:lineRule="auto"/>
              <w:rPr>
                <w:rFonts w:ascii="Arial"/>
                <w:sz w:val="21"/>
              </w:rPr>
            </w:pPr>
            <w:r/>
          </w:p>
          <w:p>
            <w:pPr>
              <w:pStyle w:val="TableText"/>
              <w:ind w:left="2085"/>
              <w:spacing w:before="65" w:line="228" w:lineRule="auto"/>
              <w:rPr>
                <w:sz w:val="20"/>
                <w:szCs w:val="20"/>
              </w:rPr>
            </w:pPr>
            <w:r>
              <w:rPr>
                <w:sz w:val="20"/>
                <w:szCs w:val="20"/>
                <w:spacing w:val="7"/>
              </w:rPr>
              <w:t>相关内容见</w:t>
            </w:r>
            <w:r>
              <w:rPr>
                <w:rFonts w:ascii="Times New Roman" w:hAnsi="Times New Roman" w:eastAsia="Times New Roman" w:cs="Times New Roman"/>
                <w:sz w:val="20"/>
                <w:szCs w:val="20"/>
                <w:spacing w:val="7"/>
              </w:rPr>
              <w:t>4.2.6</w:t>
            </w:r>
            <w:r>
              <w:rPr>
                <w:sz w:val="20"/>
                <w:szCs w:val="20"/>
                <w:spacing w:val="7"/>
              </w:rPr>
              <w:t>环境风险防范措施实施</w:t>
            </w:r>
          </w:p>
        </w:tc>
      </w:tr>
      <w:tr>
        <w:trPr>
          <w:trHeight w:val="2833" w:hRule="atLeast"/>
        </w:trPr>
        <w:tc>
          <w:tcPr>
            <w:tcW w:w="1213" w:type="dxa"/>
            <w:vAlign w:val="top"/>
            <w:gridSpan w:val="2"/>
            <w:vMerge w:val="restart"/>
            <w:tcBorders>
              <w:bottom w:val="nil"/>
            </w:tcBorders>
          </w:tcPr>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34"/>
              <w:spacing w:before="78" w:line="499" w:lineRule="exact"/>
              <w:rPr/>
            </w:pPr>
            <w:r>
              <w:rPr>
                <w:spacing w:val="-3"/>
                <w:position w:val="19"/>
              </w:rPr>
              <w:t>其他环境</w:t>
            </w:r>
          </w:p>
          <w:p>
            <w:pPr>
              <w:pStyle w:val="TableText"/>
              <w:ind w:left="139"/>
              <w:spacing w:line="219" w:lineRule="auto"/>
              <w:rPr/>
            </w:pPr>
            <w:r>
              <w:rPr>
                <w:spacing w:val="-4"/>
              </w:rPr>
              <w:t>管理要求</w:t>
            </w:r>
          </w:p>
        </w:tc>
        <w:tc>
          <w:tcPr>
            <w:tcW w:w="7313" w:type="dxa"/>
            <w:vAlign w:val="top"/>
            <w:gridSpan w:val="8"/>
            <w:tcBorders>
              <w:bottom w:val="single" w:color="000000" w:sz="10" w:space="0"/>
            </w:tcBorders>
          </w:tcPr>
          <w:p>
            <w:pPr>
              <w:pStyle w:val="TableText"/>
              <w:ind w:left="113"/>
              <w:spacing w:before="160" w:line="220" w:lineRule="auto"/>
              <w:outlineLvl w:val="1"/>
              <w:rPr>
                <w:sz w:val="28"/>
                <w:szCs w:val="28"/>
              </w:rPr>
            </w:pPr>
            <w:r>
              <w:rPr>
                <w:rFonts w:ascii="Times New Roman" w:hAnsi="Times New Roman" w:eastAsia="Times New Roman" w:cs="Times New Roman"/>
                <w:sz w:val="28"/>
                <w:szCs w:val="28"/>
                <w:b/>
                <w:bCs/>
                <w:spacing w:val="-1"/>
              </w:rPr>
              <w:t>5.1“</w:t>
            </w:r>
            <w:r>
              <w:rPr>
                <w:sz w:val="28"/>
                <w:szCs w:val="28"/>
                <w14:textOutline w14:w="5103" w14:cap="sq" w14:cmpd="sng">
                  <w14:solidFill>
                    <w14:srgbClr w14:val="000000"/>
                  </w14:solidFill>
                  <w14:prstDash w14:val="solid"/>
                  <w14:bevel/>
                </w14:textOutline>
                <w:spacing w:val="-1"/>
              </w:rPr>
              <w:t>三同时</w:t>
            </w:r>
            <w:r>
              <w:rPr>
                <w:rFonts w:ascii="Times New Roman" w:hAnsi="Times New Roman" w:eastAsia="Times New Roman" w:cs="Times New Roman"/>
                <w:sz w:val="28"/>
                <w:szCs w:val="28"/>
                <w:b/>
                <w:bCs/>
                <w:spacing w:val="-1"/>
              </w:rPr>
              <w:t>”</w:t>
            </w:r>
            <w:r>
              <w:rPr>
                <w:sz w:val="28"/>
                <w:szCs w:val="28"/>
                <w14:textOutline w14:w="5103" w14:cap="sq" w14:cmpd="sng">
                  <w14:solidFill>
                    <w14:srgbClr w14:val="000000"/>
                  </w14:solidFill>
                  <w14:prstDash w14:val="solid"/>
                  <w14:bevel/>
                </w14:textOutline>
                <w:spacing w:val="-1"/>
              </w:rPr>
              <w:t>验收</w:t>
            </w:r>
          </w:p>
          <w:p>
            <w:pPr>
              <w:pStyle w:val="TableText"/>
              <w:ind w:left="119" w:right="62" w:firstLine="476"/>
              <w:spacing w:before="203" w:line="384" w:lineRule="auto"/>
              <w:jc w:val="both"/>
              <w:rPr/>
            </w:pPr>
            <w:r>
              <w:rPr>
                <w:spacing w:val="-4"/>
              </w:rPr>
              <w:t>建设单位在本项目建成投产后生产工况达到设计规模</w:t>
            </w:r>
            <w:r>
              <w:rPr>
                <w:spacing w:val="-5"/>
              </w:rPr>
              <w:t>时，应按照</w:t>
            </w:r>
            <w:r>
              <w:rPr/>
              <w:t xml:space="preserve"> </w:t>
            </w:r>
            <w:r>
              <w:rPr>
                <w:spacing w:val="-3"/>
              </w:rPr>
              <w:t>《建设项目竣工环境保护验收暂行办法》，及时组织竣工验收申请，</w:t>
            </w:r>
          </w:p>
          <w:p>
            <w:pPr>
              <w:pStyle w:val="TableText"/>
              <w:ind w:left="111"/>
              <w:spacing w:line="219" w:lineRule="auto"/>
              <w:rPr/>
            </w:pPr>
            <w:r>
              <w:rPr>
                <w:spacing w:val="-2"/>
              </w:rPr>
              <w:t>进行验收。</w:t>
            </w:r>
          </w:p>
          <w:p>
            <w:pPr>
              <w:pStyle w:val="TableText"/>
              <w:ind w:left="593"/>
              <w:spacing w:before="216" w:line="219" w:lineRule="auto"/>
              <w:rPr/>
            </w:pPr>
            <w:r>
              <w:rPr>
                <w:spacing w:val="-3"/>
              </w:rPr>
              <w:t>环评建议的验收一览表见表</w:t>
            </w:r>
            <w:r>
              <w:rPr>
                <w:rFonts w:ascii="Times New Roman" w:hAnsi="Times New Roman" w:eastAsia="Times New Roman" w:cs="Times New Roman"/>
                <w:spacing w:val="-3"/>
              </w:rPr>
              <w:t>5.1-</w:t>
            </w:r>
            <w:r>
              <w:rPr>
                <w:rFonts w:ascii="Times New Roman" w:hAnsi="Times New Roman" w:eastAsia="Times New Roman" w:cs="Times New Roman"/>
                <w:spacing w:val="-18"/>
              </w:rPr>
              <w:t xml:space="preserve"> </w:t>
            </w:r>
            <w:r>
              <w:rPr>
                <w:rFonts w:ascii="Times New Roman" w:hAnsi="Times New Roman" w:eastAsia="Times New Roman" w:cs="Times New Roman"/>
                <w:spacing w:val="-3"/>
              </w:rPr>
              <w:t>1</w:t>
            </w:r>
            <w:r>
              <w:rPr>
                <w:spacing w:val="-3"/>
              </w:rPr>
              <w:t>。</w:t>
            </w:r>
          </w:p>
          <w:p>
            <w:pPr>
              <w:pStyle w:val="TableText"/>
              <w:ind w:left="1427"/>
              <w:spacing w:before="63" w:line="213" w:lineRule="auto"/>
              <w:rPr/>
            </w:pPr>
            <w:r>
              <w:rPr>
                <w14:textOutline w14:w="4358" w14:cap="sq" w14:cmpd="sng">
                  <w14:solidFill>
                    <w14:srgbClr w14:val="000000"/>
                  </w14:solidFill>
                  <w14:prstDash w14:val="solid"/>
                  <w14:bevel/>
                </w14:textOutline>
                <w:spacing w:val="-1"/>
              </w:rPr>
              <w:t>表5.1-1</w:t>
            </w:r>
            <w:r>
              <w:rPr>
                <w:spacing w:val="-1"/>
              </w:rPr>
              <w:t xml:space="preserve">  </w:t>
            </w:r>
            <w:r>
              <w:rPr>
                <w14:textOutline w14:w="4358" w14:cap="sq" w14:cmpd="sng">
                  <w14:solidFill>
                    <w14:srgbClr w14:val="000000"/>
                  </w14:solidFill>
                  <w14:prstDash w14:val="solid"/>
                  <w14:bevel/>
                </w14:textOutline>
                <w:spacing w:val="-1"/>
              </w:rPr>
              <w:t>环保设施“三同时</w:t>
            </w:r>
            <w:r>
              <w:rPr>
                <w:spacing w:val="-84"/>
              </w:rPr>
              <w:t xml:space="preserve"> </w:t>
            </w:r>
            <w:r>
              <w:rPr>
                <w14:textOutline w14:w="4358" w14:cap="sq" w14:cmpd="sng">
                  <w14:solidFill>
                    <w14:srgbClr w14:val="000000"/>
                  </w14:solidFill>
                  <w14:prstDash w14:val="solid"/>
                  <w14:bevel/>
                </w14:textOutline>
                <w:spacing w:val="-1"/>
              </w:rPr>
              <w:t>”竣工验收一览表</w:t>
            </w:r>
          </w:p>
        </w:tc>
      </w:tr>
      <w:tr>
        <w:trPr>
          <w:trHeight w:val="715" w:hRule="atLeast"/>
        </w:trPr>
        <w:tc>
          <w:tcPr>
            <w:tcW w:w="1213" w:type="dxa"/>
            <w:vAlign w:val="top"/>
            <w:gridSpan w:val="2"/>
            <w:vMerge w:val="continue"/>
            <w:tcBorders>
              <w:top w:val="nil"/>
              <w:bottom w:val="nil"/>
            </w:tcBorders>
          </w:tcPr>
          <w:p>
            <w:pPr>
              <w:rPr>
                <w:rFonts w:ascii="Arial"/>
                <w:sz w:val="21"/>
              </w:rPr>
            </w:pPr>
            <w:r/>
          </w:p>
        </w:tc>
        <w:tc>
          <w:tcPr>
            <w:tcW w:w="760" w:type="dxa"/>
            <w:vAlign w:val="top"/>
            <w:tcBorders>
              <w:top w:val="single" w:color="000000" w:sz="10" w:space="0"/>
            </w:tcBorders>
          </w:tcPr>
          <w:p>
            <w:pPr>
              <w:pStyle w:val="TableText"/>
              <w:ind w:left="337" w:right="14" w:hanging="214"/>
              <w:spacing w:before="102" w:line="278" w:lineRule="auto"/>
              <w:rPr>
                <w:sz w:val="20"/>
                <w:szCs w:val="20"/>
              </w:rPr>
            </w:pPr>
            <w:r>
              <w:rPr>
                <w:sz w:val="20"/>
                <w:szCs w:val="20"/>
                <w:spacing w:val="5"/>
              </w:rPr>
              <w:t>处理对</w:t>
            </w:r>
            <w:r>
              <w:rPr>
                <w:sz w:val="20"/>
                <w:szCs w:val="20"/>
              </w:rPr>
              <w:t xml:space="preserve"> </w:t>
            </w:r>
            <w:r>
              <w:rPr>
                <w:sz w:val="20"/>
                <w:szCs w:val="20"/>
              </w:rPr>
              <w:t>象</w:t>
            </w:r>
          </w:p>
        </w:tc>
        <w:tc>
          <w:tcPr>
            <w:tcW w:w="1107" w:type="dxa"/>
            <w:vAlign w:val="top"/>
            <w:gridSpan w:val="2"/>
            <w:tcBorders>
              <w:top w:val="single" w:color="000000" w:sz="10" w:space="0"/>
            </w:tcBorders>
          </w:tcPr>
          <w:p>
            <w:pPr>
              <w:pStyle w:val="TableText"/>
              <w:ind w:left="244"/>
              <w:spacing w:before="283" w:line="228" w:lineRule="auto"/>
              <w:rPr>
                <w:sz w:val="20"/>
                <w:szCs w:val="20"/>
              </w:rPr>
            </w:pPr>
            <w:r>
              <w:rPr>
                <w:sz w:val="20"/>
                <w:szCs w:val="20"/>
                <w:spacing w:val="6"/>
              </w:rPr>
              <w:t>污染源</w:t>
            </w:r>
          </w:p>
        </w:tc>
        <w:tc>
          <w:tcPr>
            <w:tcW w:w="1459" w:type="dxa"/>
            <w:vAlign w:val="top"/>
            <w:gridSpan w:val="2"/>
            <w:tcBorders>
              <w:top w:val="single" w:color="000000" w:sz="10" w:space="0"/>
            </w:tcBorders>
          </w:tcPr>
          <w:p>
            <w:pPr>
              <w:pStyle w:val="TableText"/>
              <w:ind w:left="107"/>
              <w:spacing w:before="283" w:line="228" w:lineRule="auto"/>
              <w:rPr>
                <w:sz w:val="20"/>
                <w:szCs w:val="20"/>
              </w:rPr>
            </w:pPr>
            <w:r>
              <w:rPr>
                <w:sz w:val="20"/>
                <w:szCs w:val="20"/>
                <w:spacing w:val="7"/>
              </w:rPr>
              <w:t>污染防治措施</w:t>
            </w:r>
          </w:p>
        </w:tc>
        <w:tc>
          <w:tcPr>
            <w:tcW w:w="680" w:type="dxa"/>
            <w:vAlign w:val="top"/>
            <w:tcBorders>
              <w:top w:val="single" w:color="000000" w:sz="10" w:space="0"/>
            </w:tcBorders>
          </w:tcPr>
          <w:p>
            <w:pPr>
              <w:pStyle w:val="TableText"/>
              <w:ind w:left="33"/>
              <w:spacing w:before="102" w:line="231" w:lineRule="auto"/>
              <w:rPr>
                <w:sz w:val="20"/>
                <w:szCs w:val="20"/>
              </w:rPr>
            </w:pPr>
            <w:r>
              <w:rPr>
                <w:sz w:val="20"/>
                <w:szCs w:val="20"/>
                <w:spacing w:val="6"/>
              </w:rPr>
              <w:t>主要污</w:t>
            </w:r>
          </w:p>
          <w:p>
            <w:pPr>
              <w:pStyle w:val="TableText"/>
              <w:ind w:left="140"/>
              <w:spacing w:before="110" w:line="223" w:lineRule="auto"/>
              <w:rPr>
                <w:sz w:val="20"/>
                <w:szCs w:val="20"/>
              </w:rPr>
            </w:pPr>
            <w:r>
              <w:rPr>
                <w:sz w:val="20"/>
                <w:szCs w:val="20"/>
                <w:spacing w:val="3"/>
              </w:rPr>
              <w:t>染物</w:t>
            </w:r>
          </w:p>
        </w:tc>
        <w:tc>
          <w:tcPr>
            <w:tcW w:w="3307" w:type="dxa"/>
            <w:vAlign w:val="top"/>
            <w:gridSpan w:val="2"/>
            <w:tcBorders>
              <w:top w:val="single" w:color="000000" w:sz="10" w:space="0"/>
            </w:tcBorders>
          </w:tcPr>
          <w:p>
            <w:pPr>
              <w:pStyle w:val="TableText"/>
              <w:ind w:left="1186"/>
              <w:spacing w:before="282" w:line="228" w:lineRule="auto"/>
              <w:rPr>
                <w:sz w:val="20"/>
                <w:szCs w:val="20"/>
              </w:rPr>
            </w:pPr>
            <w:r>
              <w:rPr>
                <w:sz w:val="20"/>
                <w:szCs w:val="20"/>
                <w:spacing w:val="7"/>
              </w:rPr>
              <w:t>验收要求</w:t>
            </w:r>
          </w:p>
        </w:tc>
      </w:tr>
      <w:tr>
        <w:trPr>
          <w:trHeight w:val="1204" w:hRule="atLeast"/>
        </w:trPr>
        <w:tc>
          <w:tcPr>
            <w:tcW w:w="1213" w:type="dxa"/>
            <w:vAlign w:val="top"/>
            <w:gridSpan w:val="2"/>
            <w:vMerge w:val="continue"/>
            <w:tcBorders>
              <w:top w:val="nil"/>
              <w:bottom w:val="nil"/>
            </w:tcBorders>
          </w:tcPr>
          <w:p>
            <w:pPr>
              <w:rPr>
                <w:rFonts w:ascii="Arial"/>
                <w:sz w:val="21"/>
              </w:rPr>
            </w:pPr>
            <w:r/>
          </w:p>
        </w:tc>
        <w:tc>
          <w:tcPr>
            <w:tcW w:w="760"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224"/>
              <w:spacing w:before="65" w:line="228" w:lineRule="auto"/>
              <w:rPr>
                <w:sz w:val="20"/>
                <w:szCs w:val="20"/>
              </w:rPr>
            </w:pPr>
            <w:r>
              <w:rPr>
                <w:sz w:val="20"/>
                <w:szCs w:val="20"/>
                <w:spacing w:val="5"/>
              </w:rPr>
              <w:t>废气</w:t>
            </w:r>
          </w:p>
        </w:tc>
        <w:tc>
          <w:tcPr>
            <w:tcW w:w="1107" w:type="dxa"/>
            <w:vAlign w:val="top"/>
            <w:gridSpan w:val="2"/>
          </w:tcPr>
          <w:p>
            <w:pPr>
              <w:spacing w:line="285" w:lineRule="auto"/>
              <w:rPr>
                <w:rFonts w:ascii="Arial"/>
                <w:sz w:val="21"/>
              </w:rPr>
            </w:pPr>
            <w:r/>
          </w:p>
          <w:p>
            <w:pPr>
              <w:pStyle w:val="TableText"/>
              <w:ind w:left="348" w:right="27" w:hanging="314"/>
              <w:spacing w:before="65" w:line="281" w:lineRule="auto"/>
              <w:rPr>
                <w:sz w:val="20"/>
                <w:szCs w:val="20"/>
              </w:rPr>
            </w:pPr>
            <w:r>
              <w:rPr>
                <w:sz w:val="20"/>
                <w:szCs w:val="20"/>
                <w:spacing w:val="8"/>
              </w:rPr>
              <w:t>地膜生产排</w:t>
            </w:r>
            <w:r>
              <w:rPr>
                <w:sz w:val="20"/>
                <w:szCs w:val="20"/>
              </w:rPr>
              <w:t xml:space="preserve"> </w:t>
            </w:r>
            <w:r>
              <w:rPr>
                <w:sz w:val="20"/>
                <w:szCs w:val="20"/>
                <w:spacing w:val="4"/>
              </w:rPr>
              <w:t>放口</w:t>
            </w:r>
          </w:p>
        </w:tc>
        <w:tc>
          <w:tcPr>
            <w:tcW w:w="1459" w:type="dxa"/>
            <w:vAlign w:val="top"/>
            <w:gridSpan w:val="2"/>
          </w:tcPr>
          <w:p>
            <w:pPr>
              <w:pStyle w:val="TableText"/>
              <w:ind w:left="51"/>
              <w:spacing w:before="213" w:line="227" w:lineRule="auto"/>
              <w:rPr>
                <w:sz w:val="20"/>
                <w:szCs w:val="20"/>
              </w:rPr>
            </w:pPr>
            <w:r>
              <w:rPr>
                <w:sz w:val="20"/>
                <w:szCs w:val="20"/>
                <w:spacing w:val="7"/>
              </w:rPr>
              <w:t>活性炭吸附</w:t>
            </w:r>
            <w:r>
              <w:rPr>
                <w:rFonts w:ascii="Times New Roman" w:hAnsi="Times New Roman" w:eastAsia="Times New Roman" w:cs="Times New Roman"/>
                <w:sz w:val="20"/>
                <w:szCs w:val="20"/>
                <w:spacing w:val="7"/>
              </w:rPr>
              <w:t>+</w:t>
            </w:r>
            <w:r>
              <w:rPr>
                <w:sz w:val="20"/>
                <w:szCs w:val="20"/>
                <w:spacing w:val="7"/>
              </w:rPr>
              <w:t>直</w:t>
            </w:r>
          </w:p>
          <w:p>
            <w:pPr>
              <w:pStyle w:val="TableText"/>
              <w:ind w:left="104"/>
              <w:spacing w:before="54" w:line="227" w:lineRule="auto"/>
              <w:rPr>
                <w:sz w:val="20"/>
                <w:szCs w:val="20"/>
              </w:rPr>
            </w:pPr>
            <w:r>
              <w:rPr>
                <w:sz w:val="20"/>
                <w:szCs w:val="20"/>
                <w:spacing w:val="8"/>
              </w:rPr>
              <w:t>接催化燃烧法</w:t>
            </w:r>
          </w:p>
          <w:p>
            <w:pPr>
              <w:pStyle w:val="TableText"/>
              <w:ind w:left="170"/>
              <w:spacing w:before="53" w:line="228" w:lineRule="auto"/>
              <w:rPr>
                <w:sz w:val="20"/>
                <w:szCs w:val="20"/>
              </w:rPr>
            </w:pPr>
            <w:r>
              <w:rPr>
                <w:rFonts w:ascii="Times New Roman" w:hAnsi="Times New Roman" w:eastAsia="Times New Roman" w:cs="Times New Roman"/>
                <w:sz w:val="20"/>
                <w:szCs w:val="20"/>
                <w:spacing w:val="6"/>
              </w:rPr>
              <w:t>+15m</w:t>
            </w:r>
            <w:r>
              <w:rPr>
                <w:sz w:val="20"/>
                <w:szCs w:val="20"/>
                <w:spacing w:val="6"/>
              </w:rPr>
              <w:t>排气筒</w:t>
            </w:r>
          </w:p>
        </w:tc>
        <w:tc>
          <w:tcPr>
            <w:tcW w:w="680" w:type="dxa"/>
            <w:vAlign w:val="top"/>
          </w:tcPr>
          <w:p>
            <w:pPr>
              <w:spacing w:line="286" w:lineRule="auto"/>
              <w:rPr>
                <w:rFonts w:ascii="Arial"/>
                <w:sz w:val="21"/>
              </w:rPr>
            </w:pPr>
            <w:r/>
          </w:p>
          <w:p>
            <w:pPr>
              <w:pStyle w:val="TableText"/>
              <w:ind w:left="34"/>
              <w:spacing w:before="65" w:line="228" w:lineRule="auto"/>
              <w:rPr>
                <w:sz w:val="20"/>
                <w:szCs w:val="20"/>
              </w:rPr>
            </w:pPr>
            <w:r>
              <w:rPr>
                <w:sz w:val="20"/>
                <w:szCs w:val="20"/>
                <w:spacing w:val="5"/>
              </w:rPr>
              <w:t>非甲烷</w:t>
            </w:r>
          </w:p>
          <w:p>
            <w:pPr>
              <w:pStyle w:val="TableText"/>
              <w:ind w:left="142"/>
              <w:spacing w:before="113" w:line="228" w:lineRule="auto"/>
              <w:rPr>
                <w:sz w:val="20"/>
                <w:szCs w:val="20"/>
              </w:rPr>
            </w:pPr>
            <w:r>
              <w:rPr>
                <w:sz w:val="20"/>
                <w:szCs w:val="20"/>
                <w:spacing w:val="2"/>
              </w:rPr>
              <w:t>总烃</w:t>
            </w:r>
          </w:p>
        </w:tc>
        <w:tc>
          <w:tcPr>
            <w:tcW w:w="3307" w:type="dxa"/>
            <w:vAlign w:val="top"/>
            <w:gridSpan w:val="2"/>
          </w:tcPr>
          <w:p>
            <w:pPr>
              <w:pStyle w:val="TableText"/>
              <w:ind w:left="38"/>
              <w:spacing w:before="62" w:line="228" w:lineRule="auto"/>
              <w:rPr>
                <w:sz w:val="20"/>
                <w:szCs w:val="20"/>
              </w:rPr>
            </w:pPr>
            <w:r>
              <w:rPr>
                <w:sz w:val="20"/>
                <w:szCs w:val="20"/>
                <w:spacing w:val="8"/>
              </w:rPr>
              <w:t>《合成树脂工业污染物排放标准》</w:t>
            </w:r>
          </w:p>
          <w:p>
            <w:pPr>
              <w:pStyle w:val="TableText"/>
              <w:ind w:left="71"/>
              <w:spacing w:before="53" w:line="228" w:lineRule="auto"/>
              <w:rPr>
                <w:sz w:val="20"/>
                <w:szCs w:val="20"/>
              </w:rPr>
            </w:pPr>
            <w:r>
              <w:rPr>
                <w:sz w:val="20"/>
                <w:szCs w:val="20"/>
                <w:spacing w:val="6"/>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31572-2015</w:t>
            </w:r>
            <w:r>
              <w:rPr>
                <w:sz w:val="20"/>
                <w:szCs w:val="20"/>
                <w:spacing w:val="6"/>
              </w:rPr>
              <w:t>）中表</w:t>
            </w:r>
            <w:r>
              <w:rPr>
                <w:rFonts w:ascii="Times New Roman" w:hAnsi="Times New Roman" w:eastAsia="Times New Roman" w:cs="Times New Roman"/>
                <w:sz w:val="20"/>
                <w:szCs w:val="20"/>
                <w:spacing w:val="6"/>
              </w:rPr>
              <w:t>5</w:t>
            </w:r>
            <w:r>
              <w:rPr>
                <w:sz w:val="20"/>
                <w:szCs w:val="20"/>
                <w:spacing w:val="6"/>
              </w:rPr>
              <w:t>大气污染</w:t>
            </w:r>
          </w:p>
          <w:p>
            <w:pPr>
              <w:pStyle w:val="TableText"/>
              <w:ind w:left="661"/>
              <w:spacing w:before="52" w:line="228" w:lineRule="auto"/>
              <w:rPr>
                <w:sz w:val="20"/>
                <w:szCs w:val="20"/>
              </w:rPr>
            </w:pPr>
            <w:r>
              <w:rPr>
                <w:sz w:val="20"/>
                <w:szCs w:val="20"/>
                <w:spacing w:val="8"/>
              </w:rPr>
              <w:t>物特别排放限值要求</w:t>
            </w:r>
          </w:p>
          <w:p>
            <w:pPr>
              <w:pStyle w:val="TableText"/>
              <w:ind w:left="374"/>
              <w:spacing w:before="53" w:line="214" w:lineRule="auto"/>
              <w:rPr>
                <w:sz w:val="20"/>
                <w:szCs w:val="20"/>
              </w:rPr>
            </w:pPr>
            <w:r>
              <w:rPr>
                <w:sz w:val="20"/>
                <w:szCs w:val="20"/>
                <w:spacing w:val="6"/>
              </w:rPr>
              <w:t>（非甲烷总烃≤</w:t>
            </w:r>
            <w:r>
              <w:rPr>
                <w:rFonts w:ascii="Times New Roman" w:hAnsi="Times New Roman" w:eastAsia="Times New Roman" w:cs="Times New Roman"/>
                <w:sz w:val="20"/>
                <w:szCs w:val="20"/>
                <w:spacing w:val="6"/>
              </w:rPr>
              <w:t>60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6"/>
              </w:rPr>
              <w:t>/m</w:t>
            </w:r>
            <w:r>
              <w:rPr>
                <w:sz w:val="20"/>
                <w:szCs w:val="20"/>
                <w:spacing w:val="6"/>
              </w:rPr>
              <w:t>³)</w:t>
            </w:r>
          </w:p>
        </w:tc>
      </w:tr>
      <w:tr>
        <w:trPr>
          <w:trHeight w:val="1097" w:hRule="atLeast"/>
        </w:trPr>
        <w:tc>
          <w:tcPr>
            <w:tcW w:w="1213" w:type="dxa"/>
            <w:vAlign w:val="top"/>
            <w:gridSpan w:val="2"/>
            <w:vMerge w:val="continue"/>
            <w:tcBorders>
              <w:top w:val="nil"/>
            </w:tcBorders>
          </w:tcPr>
          <w:p>
            <w:pPr>
              <w:rPr>
                <w:rFonts w:ascii="Arial"/>
                <w:sz w:val="21"/>
              </w:rPr>
            </w:pPr>
            <w:r/>
          </w:p>
        </w:tc>
        <w:tc>
          <w:tcPr>
            <w:tcW w:w="760" w:type="dxa"/>
            <w:vAlign w:val="top"/>
            <w:vMerge w:val="continue"/>
            <w:tcBorders>
              <w:top w:val="nil"/>
            </w:tcBorders>
          </w:tcPr>
          <w:p>
            <w:pPr>
              <w:rPr>
                <w:rFonts w:ascii="Arial"/>
                <w:sz w:val="21"/>
              </w:rPr>
            </w:pPr>
            <w:r/>
          </w:p>
        </w:tc>
        <w:tc>
          <w:tcPr>
            <w:tcW w:w="1107" w:type="dxa"/>
            <w:vAlign w:val="top"/>
            <w:gridSpan w:val="2"/>
          </w:tcPr>
          <w:p>
            <w:pPr>
              <w:spacing w:line="405" w:lineRule="auto"/>
              <w:rPr>
                <w:rFonts w:ascii="Arial"/>
                <w:sz w:val="21"/>
              </w:rPr>
            </w:pPr>
            <w:r/>
          </w:p>
          <w:p>
            <w:pPr>
              <w:pStyle w:val="TableText"/>
              <w:ind w:left="141"/>
              <w:spacing w:before="65" w:line="228" w:lineRule="auto"/>
              <w:rPr>
                <w:sz w:val="20"/>
                <w:szCs w:val="20"/>
              </w:rPr>
            </w:pPr>
            <w:r>
              <w:rPr>
                <w:sz w:val="20"/>
                <w:szCs w:val="20"/>
                <w:spacing w:val="6"/>
              </w:rPr>
              <w:t>生产车间</w:t>
            </w:r>
          </w:p>
        </w:tc>
        <w:tc>
          <w:tcPr>
            <w:tcW w:w="1459" w:type="dxa"/>
            <w:vAlign w:val="top"/>
            <w:gridSpan w:val="2"/>
          </w:tcPr>
          <w:p>
            <w:pPr>
              <w:pStyle w:val="TableText"/>
              <w:ind w:left="32" w:right="2" w:firstLine="73"/>
              <w:spacing w:before="304" w:line="253" w:lineRule="auto"/>
              <w:rPr>
                <w:sz w:val="20"/>
                <w:szCs w:val="20"/>
              </w:rPr>
            </w:pPr>
            <w:r>
              <w:rPr>
                <w:sz w:val="20"/>
                <w:szCs w:val="20"/>
                <w:spacing w:val="8"/>
              </w:rPr>
              <w:t>加强集气罩密</w:t>
            </w:r>
            <w:r>
              <w:rPr>
                <w:sz w:val="20"/>
                <w:szCs w:val="20"/>
              </w:rPr>
              <w:t xml:space="preserve">  </w:t>
            </w:r>
            <w:r>
              <w:rPr>
                <w:sz w:val="20"/>
                <w:szCs w:val="20"/>
                <w:spacing w:val="2"/>
              </w:rPr>
              <w:t>闭性，定期通风</w:t>
            </w:r>
          </w:p>
        </w:tc>
        <w:tc>
          <w:tcPr>
            <w:tcW w:w="680" w:type="dxa"/>
            <w:vAlign w:val="top"/>
          </w:tcPr>
          <w:p>
            <w:pPr>
              <w:pStyle w:val="TableText"/>
              <w:ind w:left="34"/>
              <w:spacing w:before="293" w:line="228" w:lineRule="auto"/>
              <w:rPr>
                <w:sz w:val="20"/>
                <w:szCs w:val="20"/>
              </w:rPr>
            </w:pPr>
            <w:r>
              <w:rPr>
                <w:sz w:val="20"/>
                <w:szCs w:val="20"/>
                <w:spacing w:val="5"/>
              </w:rPr>
              <w:t>非甲烷</w:t>
            </w:r>
          </w:p>
          <w:p>
            <w:pPr>
              <w:pStyle w:val="TableText"/>
              <w:ind w:left="142"/>
              <w:spacing w:before="113" w:line="228" w:lineRule="auto"/>
              <w:rPr>
                <w:sz w:val="20"/>
                <w:szCs w:val="20"/>
              </w:rPr>
            </w:pPr>
            <w:r>
              <w:rPr>
                <w:sz w:val="20"/>
                <w:szCs w:val="20"/>
                <w:spacing w:val="2"/>
              </w:rPr>
              <w:t>总烃</w:t>
            </w:r>
          </w:p>
        </w:tc>
        <w:tc>
          <w:tcPr>
            <w:tcW w:w="3307" w:type="dxa"/>
            <w:vAlign w:val="top"/>
            <w:gridSpan w:val="2"/>
          </w:tcPr>
          <w:p>
            <w:pPr>
              <w:pStyle w:val="TableText"/>
              <w:ind w:left="35" w:right="128" w:firstLine="2"/>
              <w:spacing w:before="114" w:line="297" w:lineRule="auto"/>
              <w:jc w:val="both"/>
              <w:rPr>
                <w:sz w:val="20"/>
                <w:szCs w:val="20"/>
              </w:rPr>
            </w:pPr>
            <w:r>
              <w:rPr>
                <w:sz w:val="20"/>
                <w:szCs w:val="20"/>
                <w:spacing w:val="8"/>
              </w:rPr>
              <w:t>《合成树脂工业污染物排放标准》</w:t>
            </w:r>
            <w:r>
              <w:rPr>
                <w:sz w:val="20"/>
                <w:szCs w:val="20"/>
                <w:spacing w:val="1"/>
              </w:rPr>
              <w:t xml:space="preserve"> </w:t>
            </w:r>
            <w:r>
              <w:rPr>
                <w:sz w:val="20"/>
                <w:szCs w:val="20"/>
                <w:spacing w:val="8"/>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8"/>
              </w:rPr>
              <w:t>31572-2015</w:t>
            </w:r>
            <w:r>
              <w:rPr>
                <w:sz w:val="20"/>
                <w:szCs w:val="20"/>
                <w:spacing w:val="8"/>
              </w:rPr>
              <w:t>）中表</w:t>
            </w:r>
            <w:r>
              <w:rPr>
                <w:rFonts w:ascii="Times New Roman" w:hAnsi="Times New Roman" w:eastAsia="Times New Roman" w:cs="Times New Roman"/>
                <w:sz w:val="20"/>
                <w:szCs w:val="20"/>
                <w:spacing w:val="8"/>
              </w:rPr>
              <w:t>9</w:t>
            </w:r>
            <w:r>
              <w:rPr>
                <w:sz w:val="20"/>
                <w:szCs w:val="20"/>
                <w:spacing w:val="8"/>
              </w:rPr>
              <w:t>企业边界</w:t>
            </w:r>
            <w:r>
              <w:rPr>
                <w:sz w:val="20"/>
                <w:szCs w:val="20"/>
                <w:spacing w:val="9"/>
              </w:rPr>
              <w:t xml:space="preserve"> </w:t>
            </w:r>
            <w:r>
              <w:rPr>
                <w:sz w:val="20"/>
                <w:szCs w:val="20"/>
                <w:spacing w:val="9"/>
              </w:rPr>
              <w:t>大气污染物浓度限值（非甲烷总烃</w:t>
            </w:r>
          </w:p>
        </w:tc>
      </w:tr>
    </w:tbl>
    <w:p>
      <w:pPr>
        <w:pStyle w:val="BodyText"/>
        <w:rPr/>
      </w:pPr>
      <w:r/>
    </w:p>
    <w:p>
      <w:pPr>
        <w:sectPr>
          <w:footerReference w:type="default" r:id="rId69"/>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3"/>
        <w:gridCol w:w="761"/>
        <w:gridCol w:w="331"/>
        <w:gridCol w:w="776"/>
        <w:gridCol w:w="777"/>
        <w:gridCol w:w="682"/>
        <w:gridCol w:w="680"/>
        <w:gridCol w:w="2618"/>
        <w:gridCol w:w="688"/>
      </w:tblGrid>
      <w:tr>
        <w:trPr>
          <w:trHeight w:val="1459" w:hRule="atLeast"/>
        </w:trPr>
        <w:tc>
          <w:tcPr>
            <w:tcW w:w="1213" w:type="dxa"/>
            <w:vAlign w:val="top"/>
            <w:vMerge w:val="restart"/>
            <w:tcBorders>
              <w:bottom w:val="nil"/>
            </w:tcBorders>
          </w:tcPr>
          <w:p>
            <w:pPr>
              <w:rPr>
                <w:rFonts w:ascii="Arial"/>
                <w:sz w:val="21"/>
              </w:rPr>
            </w:pPr>
            <w:r/>
          </w:p>
        </w:tc>
        <w:tc>
          <w:tcPr>
            <w:tcW w:w="761" w:type="dxa"/>
            <w:vAlign w:val="top"/>
          </w:tcPr>
          <w:p>
            <w:pPr>
              <w:rPr>
                <w:rFonts w:ascii="Arial"/>
                <w:sz w:val="21"/>
              </w:rPr>
            </w:pPr>
            <w:r/>
          </w:p>
        </w:tc>
        <w:tc>
          <w:tcPr>
            <w:tcW w:w="1107" w:type="dxa"/>
            <w:vAlign w:val="top"/>
            <w:gridSpan w:val="2"/>
          </w:tcPr>
          <w:p>
            <w:pPr>
              <w:rPr>
                <w:rFonts w:ascii="Arial"/>
                <w:sz w:val="21"/>
              </w:rPr>
            </w:pPr>
            <w:r/>
          </w:p>
        </w:tc>
        <w:tc>
          <w:tcPr>
            <w:tcW w:w="1459" w:type="dxa"/>
            <w:vAlign w:val="top"/>
            <w:gridSpan w:val="2"/>
          </w:tcPr>
          <w:p>
            <w:pPr>
              <w:rPr>
                <w:rFonts w:ascii="Arial"/>
                <w:sz w:val="21"/>
              </w:rPr>
            </w:pPr>
            <w:r/>
          </w:p>
        </w:tc>
        <w:tc>
          <w:tcPr>
            <w:tcW w:w="680" w:type="dxa"/>
            <w:vAlign w:val="top"/>
          </w:tcPr>
          <w:p>
            <w:pPr>
              <w:rPr>
                <w:rFonts w:ascii="Arial"/>
                <w:sz w:val="21"/>
              </w:rPr>
            </w:pPr>
            <w:r/>
          </w:p>
        </w:tc>
        <w:tc>
          <w:tcPr>
            <w:tcW w:w="3306" w:type="dxa"/>
            <w:vAlign w:val="top"/>
            <w:gridSpan w:val="2"/>
          </w:tcPr>
          <w:p>
            <w:pPr>
              <w:pStyle w:val="TableText"/>
              <w:ind w:left="136" w:right="123" w:hanging="100"/>
              <w:spacing w:before="122" w:line="280" w:lineRule="auto"/>
              <w:rPr>
                <w:sz w:val="20"/>
                <w:szCs w:val="20"/>
              </w:rPr>
            </w:pPr>
            <w:r>
              <w:rPr>
                <w:sz w:val="20"/>
                <w:szCs w:val="20"/>
              </w:rPr>
              <w:t>≤</w:t>
            </w:r>
            <w:r>
              <w:rPr>
                <w:rFonts w:ascii="Times New Roman" w:hAnsi="Times New Roman" w:eastAsia="Times New Roman" w:cs="Times New Roman"/>
                <w:sz w:val="20"/>
                <w:szCs w:val="20"/>
              </w:rPr>
              <w:t>4.0mg/m</w:t>
            </w:r>
            <w:r>
              <w:rPr>
                <w:sz w:val="20"/>
                <w:szCs w:val="20"/>
              </w:rPr>
              <w:t>³)</w:t>
            </w:r>
            <w:r>
              <w:rPr>
                <w:sz w:val="20"/>
                <w:szCs w:val="20"/>
                <w:spacing w:val="56"/>
              </w:rPr>
              <w:t xml:space="preserve"> </w:t>
            </w:r>
            <w:r>
              <w:rPr>
                <w:sz w:val="20"/>
                <w:szCs w:val="20"/>
              </w:rPr>
              <w:t>;</w:t>
            </w:r>
            <w:r>
              <w:rPr>
                <w:sz w:val="20"/>
                <w:szCs w:val="20"/>
                <w:spacing w:val="66"/>
              </w:rPr>
              <w:t xml:space="preserve"> </w:t>
            </w:r>
            <w:r>
              <w:rPr>
                <w:sz w:val="20"/>
                <w:szCs w:val="20"/>
              </w:rPr>
              <w:t>厂区内执行《挥发 </w:t>
            </w:r>
            <w:r>
              <w:rPr>
                <w:sz w:val="20"/>
                <w:szCs w:val="20"/>
                <w:spacing w:val="8"/>
              </w:rPr>
              <w:t>性有机物无组织排放控制标准》</w:t>
            </w:r>
          </w:p>
          <w:p>
            <w:pPr>
              <w:pStyle w:val="TableText"/>
              <w:ind w:left="127" w:right="109" w:hanging="107"/>
              <w:spacing w:before="113" w:line="277" w:lineRule="auto"/>
              <w:rPr>
                <w:sz w:val="20"/>
                <w:szCs w:val="20"/>
              </w:rPr>
            </w:pPr>
            <w:r>
              <w:rPr>
                <w:sz w:val="20"/>
                <w:szCs w:val="20"/>
              </w:rPr>
              <w:t>（</w:t>
            </w:r>
            <w:r>
              <w:rPr>
                <w:rFonts w:ascii="Times New Roman" w:hAnsi="Times New Roman" w:eastAsia="Times New Roman" w:cs="Times New Roman"/>
                <w:sz w:val="20"/>
                <w:szCs w:val="20"/>
              </w:rPr>
              <w:t>GB37822-2019</w:t>
            </w:r>
            <w:r>
              <w:rPr>
                <w:sz w:val="20"/>
                <w:szCs w:val="20"/>
              </w:rPr>
              <w:t>）表</w:t>
            </w:r>
            <w:r>
              <w:rPr>
                <w:rFonts w:ascii="Times New Roman" w:hAnsi="Times New Roman" w:eastAsia="Times New Roman" w:cs="Times New Roman"/>
                <w:sz w:val="20"/>
                <w:szCs w:val="20"/>
              </w:rPr>
              <w:t>A.</w:t>
            </w:r>
            <w:r>
              <w:rPr>
                <w:rFonts w:ascii="Times New Roman" w:hAnsi="Times New Roman" w:eastAsia="Times New Roman" w:cs="Times New Roman"/>
                <w:sz w:val="20"/>
                <w:szCs w:val="20"/>
                <w:spacing w:val="-19"/>
              </w:rPr>
              <w:t xml:space="preserve"> </w:t>
            </w:r>
            <w:r>
              <w:rPr>
                <w:rFonts w:ascii="Times New Roman" w:hAnsi="Times New Roman" w:eastAsia="Times New Roman" w:cs="Times New Roman"/>
                <w:sz w:val="20"/>
                <w:szCs w:val="20"/>
              </w:rPr>
              <w:t>1</w:t>
            </w:r>
            <w:r>
              <w:rPr>
                <w:sz w:val="20"/>
                <w:szCs w:val="20"/>
              </w:rPr>
              <w:t>特别排放限 </w:t>
            </w:r>
            <w:r>
              <w:rPr>
                <w:sz w:val="20"/>
                <w:szCs w:val="20"/>
                <w:spacing w:val="7"/>
              </w:rPr>
              <w:t>值（非甲烷总烃≤</w:t>
            </w:r>
            <w:r>
              <w:rPr>
                <w:rFonts w:ascii="Times New Roman" w:hAnsi="Times New Roman" w:eastAsia="Times New Roman" w:cs="Times New Roman"/>
                <w:sz w:val="20"/>
                <w:szCs w:val="20"/>
                <w:spacing w:val="7"/>
              </w:rPr>
              <w:t>6.0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7"/>
              </w:rPr>
              <w:t>/m</w:t>
            </w:r>
            <w:r>
              <w:rPr>
                <w:sz w:val="20"/>
                <w:szCs w:val="20"/>
                <w:spacing w:val="7"/>
              </w:rPr>
              <w:t>³) 。</w:t>
            </w:r>
          </w:p>
        </w:tc>
      </w:tr>
      <w:tr>
        <w:trPr>
          <w:trHeight w:val="495" w:hRule="atLeast"/>
        </w:trPr>
        <w:tc>
          <w:tcPr>
            <w:tcW w:w="1213" w:type="dxa"/>
            <w:vAlign w:val="top"/>
            <w:vMerge w:val="continue"/>
            <w:tcBorders>
              <w:top w:val="nil"/>
              <w:bottom w:val="nil"/>
            </w:tcBorders>
          </w:tcPr>
          <w:p>
            <w:pPr>
              <w:rPr>
                <w:rFonts w:ascii="Arial"/>
                <w:sz w:val="21"/>
              </w:rPr>
            </w:pPr>
            <w:r/>
          </w:p>
        </w:tc>
        <w:tc>
          <w:tcPr>
            <w:tcW w:w="761" w:type="dxa"/>
            <w:vAlign w:val="top"/>
            <w:vMerge w:val="restart"/>
            <w:tcBorders>
              <w:bottom w:val="nil"/>
            </w:tcBorders>
          </w:tcPr>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pStyle w:val="TableText"/>
              <w:ind w:left="243"/>
              <w:spacing w:before="65" w:line="228" w:lineRule="auto"/>
              <w:rPr>
                <w:sz w:val="20"/>
                <w:szCs w:val="20"/>
              </w:rPr>
            </w:pPr>
            <w:r>
              <w:rPr>
                <w:sz w:val="20"/>
                <w:szCs w:val="20"/>
                <w:spacing w:val="-5"/>
              </w:rPr>
              <w:t>固废</w:t>
            </w:r>
          </w:p>
        </w:tc>
        <w:tc>
          <w:tcPr>
            <w:tcW w:w="1107" w:type="dxa"/>
            <w:vAlign w:val="top"/>
            <w:gridSpan w:val="2"/>
          </w:tcPr>
          <w:p>
            <w:pPr>
              <w:pStyle w:val="TableText"/>
              <w:ind w:left="32"/>
              <w:spacing w:before="173" w:line="228" w:lineRule="auto"/>
              <w:rPr>
                <w:sz w:val="20"/>
                <w:szCs w:val="20"/>
              </w:rPr>
            </w:pPr>
            <w:r>
              <w:rPr>
                <w:sz w:val="20"/>
                <w:szCs w:val="20"/>
                <w:spacing w:val="8"/>
              </w:rPr>
              <w:t>废弃包装物</w:t>
            </w:r>
          </w:p>
        </w:tc>
        <w:tc>
          <w:tcPr>
            <w:tcW w:w="2139" w:type="dxa"/>
            <w:vAlign w:val="top"/>
            <w:gridSpan w:val="3"/>
          </w:tcPr>
          <w:p>
            <w:pPr>
              <w:pStyle w:val="TableText"/>
              <w:ind w:left="449"/>
              <w:spacing w:before="173" w:line="228" w:lineRule="auto"/>
              <w:rPr>
                <w:sz w:val="20"/>
                <w:szCs w:val="20"/>
              </w:rPr>
            </w:pPr>
            <w:r>
              <w:rPr>
                <w:sz w:val="20"/>
                <w:szCs w:val="20"/>
                <w:spacing w:val="7"/>
              </w:rPr>
              <w:t>外售回收单位</w:t>
            </w:r>
          </w:p>
        </w:tc>
        <w:tc>
          <w:tcPr>
            <w:tcW w:w="3306" w:type="dxa"/>
            <w:vAlign w:val="top"/>
            <w:gridSpan w:val="2"/>
            <w:vMerge w:val="restart"/>
            <w:tcBorders>
              <w:bottom w:val="nil"/>
            </w:tcBorders>
          </w:tcPr>
          <w:p>
            <w:pPr>
              <w:pStyle w:val="TableText"/>
              <w:ind w:left="116" w:right="128" w:hanging="79"/>
              <w:spacing w:before="189" w:line="280" w:lineRule="auto"/>
              <w:rPr>
                <w:sz w:val="20"/>
                <w:szCs w:val="20"/>
              </w:rPr>
            </w:pPr>
            <w:r>
              <w:rPr>
                <w:sz w:val="20"/>
                <w:szCs w:val="20"/>
                <w:spacing w:val="9"/>
              </w:rPr>
              <w:t>《一般工业固体废物贮存和填埋污</w:t>
            </w:r>
            <w:r>
              <w:rPr>
                <w:sz w:val="20"/>
                <w:szCs w:val="20"/>
              </w:rPr>
              <w:t xml:space="preserve"> </w:t>
            </w:r>
            <w:r>
              <w:rPr>
                <w:sz w:val="20"/>
                <w:szCs w:val="20"/>
                <w:spacing w:val="6"/>
              </w:rPr>
              <w:t>染控制标准》（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18599-2020</w:t>
            </w:r>
            <w:r>
              <w:rPr>
                <w:sz w:val="20"/>
                <w:szCs w:val="20"/>
                <w:spacing w:val="6"/>
              </w:rPr>
              <w:t>）</w:t>
            </w:r>
          </w:p>
        </w:tc>
      </w:tr>
      <w:tr>
        <w:trPr>
          <w:trHeight w:val="385" w:hRule="atLeast"/>
        </w:trPr>
        <w:tc>
          <w:tcPr>
            <w:tcW w:w="1213" w:type="dxa"/>
            <w:vAlign w:val="top"/>
            <w:vMerge w:val="continue"/>
            <w:tcBorders>
              <w:top w:val="nil"/>
              <w:bottom w:val="nil"/>
            </w:tcBorders>
          </w:tcPr>
          <w:p>
            <w:pPr>
              <w:rPr>
                <w:rFonts w:ascii="Arial"/>
                <w:sz w:val="21"/>
              </w:rPr>
            </w:pPr>
            <w:r/>
          </w:p>
        </w:tc>
        <w:tc>
          <w:tcPr>
            <w:tcW w:w="761" w:type="dxa"/>
            <w:vAlign w:val="top"/>
            <w:vMerge w:val="continue"/>
            <w:tcBorders>
              <w:top w:val="nil"/>
              <w:bottom w:val="nil"/>
            </w:tcBorders>
          </w:tcPr>
          <w:p>
            <w:pPr>
              <w:rPr>
                <w:rFonts w:ascii="Arial"/>
                <w:sz w:val="21"/>
              </w:rPr>
            </w:pPr>
            <w:r/>
          </w:p>
        </w:tc>
        <w:tc>
          <w:tcPr>
            <w:tcW w:w="1107" w:type="dxa"/>
            <w:vAlign w:val="top"/>
            <w:gridSpan w:val="2"/>
          </w:tcPr>
          <w:p>
            <w:pPr>
              <w:pStyle w:val="TableText"/>
              <w:ind w:left="142"/>
              <w:spacing w:before="120" w:line="228" w:lineRule="auto"/>
              <w:rPr>
                <w:sz w:val="20"/>
                <w:szCs w:val="20"/>
              </w:rPr>
            </w:pPr>
            <w:r>
              <w:rPr>
                <w:sz w:val="20"/>
                <w:szCs w:val="20"/>
                <w:spacing w:val="6"/>
              </w:rPr>
              <w:t>不合格品</w:t>
            </w:r>
          </w:p>
        </w:tc>
        <w:tc>
          <w:tcPr>
            <w:tcW w:w="2139" w:type="dxa"/>
            <w:vAlign w:val="top"/>
            <w:gridSpan w:val="3"/>
          </w:tcPr>
          <w:p>
            <w:pPr>
              <w:pStyle w:val="TableText"/>
              <w:ind w:left="674"/>
              <w:spacing w:before="120" w:line="228" w:lineRule="auto"/>
              <w:rPr>
                <w:sz w:val="20"/>
                <w:szCs w:val="20"/>
              </w:rPr>
            </w:pPr>
            <w:r>
              <w:rPr>
                <w:sz w:val="20"/>
                <w:szCs w:val="20"/>
                <w:spacing w:val="2"/>
              </w:rPr>
              <w:t>回用生产</w:t>
            </w:r>
          </w:p>
        </w:tc>
        <w:tc>
          <w:tcPr>
            <w:tcW w:w="3306" w:type="dxa"/>
            <w:vAlign w:val="top"/>
            <w:gridSpan w:val="2"/>
            <w:vMerge w:val="continue"/>
            <w:tcBorders>
              <w:top w:val="nil"/>
            </w:tcBorders>
          </w:tcPr>
          <w:p>
            <w:pPr>
              <w:rPr>
                <w:rFonts w:ascii="Arial"/>
                <w:sz w:val="21"/>
              </w:rPr>
            </w:pPr>
            <w:r/>
          </w:p>
        </w:tc>
      </w:tr>
      <w:tr>
        <w:trPr>
          <w:trHeight w:val="1444" w:hRule="atLeast"/>
        </w:trPr>
        <w:tc>
          <w:tcPr>
            <w:tcW w:w="1213" w:type="dxa"/>
            <w:vAlign w:val="top"/>
            <w:vMerge w:val="continue"/>
            <w:tcBorders>
              <w:top w:val="nil"/>
              <w:bottom w:val="nil"/>
            </w:tcBorders>
          </w:tcPr>
          <w:p>
            <w:pPr>
              <w:rPr>
                <w:rFonts w:ascii="Arial"/>
                <w:sz w:val="21"/>
              </w:rPr>
            </w:pPr>
            <w:r/>
          </w:p>
        </w:tc>
        <w:tc>
          <w:tcPr>
            <w:tcW w:w="761" w:type="dxa"/>
            <w:vAlign w:val="top"/>
            <w:vMerge w:val="continue"/>
            <w:tcBorders>
              <w:top w:val="nil"/>
            </w:tcBorders>
          </w:tcPr>
          <w:p>
            <w:pPr>
              <w:rPr>
                <w:rFonts w:ascii="Arial"/>
                <w:sz w:val="21"/>
              </w:rPr>
            </w:pPr>
            <w:r/>
          </w:p>
        </w:tc>
        <w:tc>
          <w:tcPr>
            <w:tcW w:w="1107" w:type="dxa"/>
            <w:vAlign w:val="top"/>
            <w:gridSpan w:val="2"/>
          </w:tcPr>
          <w:p>
            <w:pPr>
              <w:spacing w:line="290" w:lineRule="auto"/>
              <w:rPr>
                <w:rFonts w:ascii="Arial"/>
                <w:sz w:val="21"/>
              </w:rPr>
            </w:pPr>
            <w:r/>
          </w:p>
          <w:p>
            <w:pPr>
              <w:spacing w:line="291" w:lineRule="auto"/>
              <w:rPr>
                <w:rFonts w:ascii="Arial"/>
                <w:sz w:val="21"/>
              </w:rPr>
            </w:pPr>
            <w:r/>
          </w:p>
          <w:p>
            <w:pPr>
              <w:pStyle w:val="TableText"/>
              <w:ind w:left="137"/>
              <w:spacing w:before="65" w:line="228" w:lineRule="auto"/>
              <w:rPr>
                <w:sz w:val="20"/>
                <w:szCs w:val="20"/>
              </w:rPr>
            </w:pPr>
            <w:r>
              <w:rPr>
                <w:sz w:val="20"/>
                <w:szCs w:val="20"/>
                <w:spacing w:val="7"/>
              </w:rPr>
              <w:t>废气治理</w:t>
            </w:r>
          </w:p>
        </w:tc>
        <w:tc>
          <w:tcPr>
            <w:tcW w:w="2139" w:type="dxa"/>
            <w:vAlign w:val="top"/>
            <w:gridSpan w:val="3"/>
          </w:tcPr>
          <w:p>
            <w:pPr>
              <w:pStyle w:val="TableText"/>
              <w:ind w:left="24" w:right="19"/>
              <w:spacing w:before="111" w:line="297" w:lineRule="auto"/>
              <w:rPr>
                <w:sz w:val="20"/>
                <w:szCs w:val="20"/>
              </w:rPr>
            </w:pPr>
            <w:r>
              <w:rPr>
                <w:sz w:val="20"/>
                <w:szCs w:val="20"/>
                <w:spacing w:val="9"/>
              </w:rPr>
              <w:t>废催化剂、废活性炭、</w:t>
            </w:r>
            <w:r>
              <w:rPr>
                <w:sz w:val="20"/>
                <w:szCs w:val="20"/>
              </w:rPr>
              <w:t xml:space="preserve"> </w:t>
            </w:r>
            <w:r>
              <w:rPr>
                <w:sz w:val="20"/>
                <w:szCs w:val="20"/>
                <w:spacing w:val="9"/>
              </w:rPr>
              <w:t>废机油：暂存危险废物</w:t>
            </w:r>
            <w:r>
              <w:rPr>
                <w:sz w:val="20"/>
                <w:szCs w:val="20"/>
              </w:rPr>
              <w:t xml:space="preserve"> </w:t>
            </w:r>
            <w:r>
              <w:rPr>
                <w:sz w:val="20"/>
                <w:szCs w:val="20"/>
                <w:spacing w:val="9"/>
              </w:rPr>
              <w:t>暂存间，委托有资质单</w:t>
            </w:r>
          </w:p>
          <w:p>
            <w:pPr>
              <w:pStyle w:val="TableText"/>
              <w:ind w:left="339"/>
              <w:spacing w:before="112" w:line="226" w:lineRule="auto"/>
              <w:rPr>
                <w:sz w:val="20"/>
                <w:szCs w:val="20"/>
              </w:rPr>
            </w:pPr>
            <w:r>
              <w:rPr>
                <w:sz w:val="20"/>
                <w:szCs w:val="20"/>
                <w:spacing w:val="8"/>
              </w:rPr>
              <w:t>位定期收运处置</w:t>
            </w:r>
          </w:p>
        </w:tc>
        <w:tc>
          <w:tcPr>
            <w:tcW w:w="3306" w:type="dxa"/>
            <w:vAlign w:val="top"/>
            <w:gridSpan w:val="2"/>
          </w:tcPr>
          <w:p>
            <w:pPr>
              <w:spacing w:line="401" w:lineRule="auto"/>
              <w:rPr>
                <w:rFonts w:ascii="Arial"/>
                <w:sz w:val="21"/>
              </w:rPr>
            </w:pPr>
            <w:r/>
          </w:p>
          <w:p>
            <w:pPr>
              <w:pStyle w:val="TableText"/>
              <w:ind w:left="140"/>
              <w:spacing w:before="65" w:line="228" w:lineRule="auto"/>
              <w:rPr>
                <w:sz w:val="20"/>
                <w:szCs w:val="20"/>
              </w:rPr>
            </w:pPr>
            <w:r>
              <w:rPr>
                <w:sz w:val="20"/>
                <w:szCs w:val="20"/>
                <w:spacing w:val="8"/>
              </w:rPr>
              <w:t>《危险废物贮存污染控制标准》</w:t>
            </w:r>
          </w:p>
          <w:p>
            <w:pPr>
              <w:pStyle w:val="TableText"/>
              <w:ind w:left="752"/>
              <w:spacing w:before="113"/>
              <w:rPr>
                <w:sz w:val="20"/>
                <w:szCs w:val="20"/>
              </w:rPr>
            </w:pPr>
            <w:r>
              <w:rPr>
                <w:sz w:val="20"/>
                <w:szCs w:val="20"/>
                <w:spacing w:val="4"/>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4"/>
              </w:rPr>
              <w:t>18597-2023</w:t>
            </w:r>
            <w:r>
              <w:rPr>
                <w:sz w:val="20"/>
                <w:szCs w:val="20"/>
                <w:spacing w:val="4"/>
              </w:rPr>
              <w:t>）</w:t>
            </w:r>
          </w:p>
        </w:tc>
      </w:tr>
      <w:tr>
        <w:trPr>
          <w:trHeight w:val="1084" w:hRule="atLeast"/>
        </w:trPr>
        <w:tc>
          <w:tcPr>
            <w:tcW w:w="1213" w:type="dxa"/>
            <w:vAlign w:val="top"/>
            <w:vMerge w:val="continue"/>
            <w:tcBorders>
              <w:top w:val="nil"/>
              <w:bottom w:val="nil"/>
            </w:tcBorders>
          </w:tcPr>
          <w:p>
            <w:pPr>
              <w:rPr>
                <w:rFonts w:ascii="Arial"/>
                <w:sz w:val="21"/>
              </w:rPr>
            </w:pPr>
            <w:r/>
          </w:p>
        </w:tc>
        <w:tc>
          <w:tcPr>
            <w:tcW w:w="761" w:type="dxa"/>
            <w:vAlign w:val="top"/>
          </w:tcPr>
          <w:p>
            <w:pPr>
              <w:spacing w:line="403" w:lineRule="auto"/>
              <w:rPr>
                <w:rFonts w:ascii="Arial"/>
                <w:sz w:val="21"/>
              </w:rPr>
            </w:pPr>
            <w:r/>
          </w:p>
          <w:p>
            <w:pPr>
              <w:pStyle w:val="TableText"/>
              <w:ind w:left="235"/>
              <w:spacing w:before="65" w:line="228" w:lineRule="auto"/>
              <w:rPr>
                <w:sz w:val="20"/>
                <w:szCs w:val="20"/>
              </w:rPr>
            </w:pPr>
            <w:r>
              <w:rPr>
                <w:sz w:val="20"/>
                <w:szCs w:val="20"/>
                <w:spacing w:val="-1"/>
              </w:rPr>
              <w:t>噪声</w:t>
            </w:r>
          </w:p>
        </w:tc>
        <w:tc>
          <w:tcPr>
            <w:tcW w:w="3246" w:type="dxa"/>
            <w:vAlign w:val="top"/>
            <w:gridSpan w:val="5"/>
          </w:tcPr>
          <w:p>
            <w:pPr>
              <w:pStyle w:val="TableText"/>
              <w:ind w:left="1106" w:right="47" w:hanging="1055"/>
              <w:spacing w:before="289" w:line="281" w:lineRule="auto"/>
              <w:rPr>
                <w:sz w:val="20"/>
                <w:szCs w:val="20"/>
              </w:rPr>
            </w:pPr>
            <w:r>
              <w:rPr>
                <w:sz w:val="20"/>
                <w:szCs w:val="20"/>
                <w:spacing w:val="9"/>
              </w:rPr>
              <w:t>选用具有减震、降噪、隔声、消声</w:t>
            </w:r>
            <w:r>
              <w:rPr>
                <w:sz w:val="20"/>
                <w:szCs w:val="20"/>
                <w:spacing w:val="5"/>
              </w:rPr>
              <w:t xml:space="preserve"> </w:t>
            </w:r>
            <w:r>
              <w:rPr>
                <w:sz w:val="20"/>
                <w:szCs w:val="20"/>
                <w:spacing w:val="7"/>
              </w:rPr>
              <w:t>设计的设备</w:t>
            </w:r>
          </w:p>
        </w:tc>
        <w:tc>
          <w:tcPr>
            <w:tcW w:w="3306" w:type="dxa"/>
            <w:vAlign w:val="top"/>
            <w:gridSpan w:val="2"/>
          </w:tcPr>
          <w:p>
            <w:pPr>
              <w:pStyle w:val="TableText"/>
              <w:ind w:left="140"/>
              <w:spacing w:before="110" w:line="228" w:lineRule="auto"/>
              <w:rPr>
                <w:sz w:val="20"/>
                <w:szCs w:val="20"/>
              </w:rPr>
            </w:pPr>
            <w:r>
              <w:rPr>
                <w:sz w:val="20"/>
                <w:szCs w:val="20"/>
                <w:spacing w:val="8"/>
              </w:rPr>
              <w:t>《工业企业厂界环境噪声排放标</w:t>
            </w:r>
          </w:p>
          <w:p>
            <w:pPr>
              <w:pStyle w:val="TableText"/>
              <w:ind w:left="62"/>
              <w:spacing w:before="112" w:line="228" w:lineRule="auto"/>
              <w:rPr>
                <w:sz w:val="20"/>
                <w:szCs w:val="20"/>
              </w:rPr>
            </w:pPr>
            <w:r>
              <w:rPr>
                <w:sz w:val="20"/>
                <w:szCs w:val="20"/>
                <w:spacing w:val="7"/>
              </w:rPr>
              <w:t>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7"/>
              </w:rPr>
              <w:t>12348-2008</w:t>
            </w:r>
            <w:r>
              <w:rPr>
                <w:sz w:val="20"/>
                <w:szCs w:val="20"/>
                <w:spacing w:val="7"/>
              </w:rPr>
              <w:t>）中的</w:t>
            </w:r>
            <w:r>
              <w:rPr>
                <w:rFonts w:ascii="Times New Roman" w:hAnsi="Times New Roman" w:eastAsia="Times New Roman" w:cs="Times New Roman"/>
                <w:sz w:val="20"/>
                <w:szCs w:val="20"/>
                <w:spacing w:val="7"/>
              </w:rPr>
              <w:t>2</w:t>
            </w:r>
            <w:r>
              <w:rPr>
                <w:sz w:val="20"/>
                <w:szCs w:val="20"/>
                <w:spacing w:val="7"/>
              </w:rPr>
              <w:t>类标</w:t>
            </w:r>
          </w:p>
          <w:p>
            <w:pPr>
              <w:pStyle w:val="TableText"/>
              <w:ind w:left="1502"/>
              <w:spacing w:before="113" w:line="225" w:lineRule="auto"/>
              <w:rPr>
                <w:sz w:val="20"/>
                <w:szCs w:val="20"/>
              </w:rPr>
            </w:pPr>
            <w:r>
              <w:rPr>
                <w:sz w:val="20"/>
                <w:szCs w:val="20"/>
              </w:rPr>
              <w:t>准</w:t>
            </w:r>
          </w:p>
        </w:tc>
      </w:tr>
      <w:tr>
        <w:trPr>
          <w:trHeight w:val="374" w:hRule="atLeast"/>
        </w:trPr>
        <w:tc>
          <w:tcPr>
            <w:tcW w:w="1213" w:type="dxa"/>
            <w:vAlign w:val="top"/>
            <w:vMerge w:val="continue"/>
            <w:tcBorders>
              <w:top w:val="nil"/>
              <w:bottom w:val="nil"/>
            </w:tcBorders>
          </w:tcPr>
          <w:p>
            <w:pPr>
              <w:rPr>
                <w:rFonts w:ascii="Arial"/>
                <w:sz w:val="21"/>
              </w:rPr>
            </w:pPr>
            <w:r/>
          </w:p>
        </w:tc>
        <w:tc>
          <w:tcPr>
            <w:tcW w:w="761" w:type="dxa"/>
            <w:vAlign w:val="top"/>
            <w:tcBorders>
              <w:bottom w:val="single" w:color="000000" w:sz="10" w:space="0"/>
            </w:tcBorders>
          </w:tcPr>
          <w:p>
            <w:pPr>
              <w:pStyle w:val="TableText"/>
              <w:ind w:right="15"/>
              <w:spacing w:before="110" w:line="228" w:lineRule="auto"/>
              <w:jc w:val="right"/>
              <w:rPr>
                <w:sz w:val="20"/>
                <w:szCs w:val="20"/>
              </w:rPr>
            </w:pPr>
            <w:r>
              <w:rPr>
                <w:sz w:val="20"/>
                <w:szCs w:val="20"/>
                <w:spacing w:val="6"/>
              </w:rPr>
              <w:t>地下水</w:t>
            </w:r>
          </w:p>
        </w:tc>
        <w:tc>
          <w:tcPr>
            <w:tcW w:w="3246" w:type="dxa"/>
            <w:vAlign w:val="top"/>
            <w:gridSpan w:val="5"/>
            <w:tcBorders>
              <w:bottom w:val="single" w:color="000000" w:sz="10" w:space="0"/>
            </w:tcBorders>
          </w:tcPr>
          <w:p>
            <w:pPr>
              <w:pStyle w:val="TableText"/>
              <w:ind w:left="1209"/>
              <w:spacing w:before="111" w:line="228" w:lineRule="auto"/>
              <w:rPr>
                <w:sz w:val="20"/>
                <w:szCs w:val="20"/>
              </w:rPr>
            </w:pPr>
            <w:r>
              <w:rPr>
                <w:sz w:val="20"/>
                <w:szCs w:val="20"/>
                <w:spacing w:val="6"/>
              </w:rPr>
              <w:t>分区防渗</w:t>
            </w:r>
          </w:p>
        </w:tc>
        <w:tc>
          <w:tcPr>
            <w:tcW w:w="3306" w:type="dxa"/>
            <w:vAlign w:val="top"/>
            <w:gridSpan w:val="2"/>
            <w:tcBorders>
              <w:bottom w:val="single" w:color="000000" w:sz="10" w:space="0"/>
            </w:tcBorders>
          </w:tcPr>
          <w:p>
            <w:pPr>
              <w:ind w:left="1569"/>
              <w:spacing w:before="14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1824" w:hRule="atLeast"/>
        </w:trPr>
        <w:tc>
          <w:tcPr>
            <w:tcW w:w="1213" w:type="dxa"/>
            <w:vAlign w:val="top"/>
            <w:vMerge w:val="continue"/>
            <w:tcBorders>
              <w:top w:val="nil"/>
              <w:bottom w:val="nil"/>
            </w:tcBorders>
          </w:tcPr>
          <w:p>
            <w:pPr>
              <w:rPr>
                <w:rFonts w:ascii="Arial"/>
                <w:sz w:val="21"/>
              </w:rPr>
            </w:pPr>
            <w:r/>
          </w:p>
        </w:tc>
        <w:tc>
          <w:tcPr>
            <w:tcW w:w="7313" w:type="dxa"/>
            <w:vAlign w:val="top"/>
            <w:gridSpan w:val="8"/>
            <w:tcBorders>
              <w:bottom w:val="single" w:color="000000" w:sz="10" w:space="0"/>
              <w:top w:val="single" w:color="000000" w:sz="10" w:space="0"/>
            </w:tcBorders>
          </w:tcPr>
          <w:p>
            <w:pPr>
              <w:pStyle w:val="TableText"/>
              <w:ind w:left="113"/>
              <w:spacing w:before="153" w:line="220" w:lineRule="auto"/>
              <w:outlineLvl w:val="1"/>
              <w:rPr>
                <w:sz w:val="28"/>
                <w:szCs w:val="28"/>
              </w:rPr>
            </w:pPr>
            <w:r>
              <w:rPr>
                <w:rFonts w:ascii="Times New Roman" w:hAnsi="Times New Roman" w:eastAsia="Times New Roman" w:cs="Times New Roman"/>
                <w:sz w:val="28"/>
                <w:szCs w:val="28"/>
                <w:b/>
                <w:bCs/>
                <w:spacing w:val="-1"/>
              </w:rPr>
              <w:t>5.2</w:t>
            </w:r>
            <w:r>
              <w:rPr>
                <w:sz w:val="28"/>
                <w:szCs w:val="28"/>
                <w14:textOutline w14:w="5103" w14:cap="sq" w14:cmpd="sng">
                  <w14:solidFill>
                    <w14:srgbClr w14:val="000000"/>
                  </w14:solidFill>
                  <w14:prstDash w14:val="solid"/>
                  <w14:bevel/>
                </w14:textOutline>
                <w:spacing w:val="-1"/>
              </w:rPr>
              <w:t>环保投资概算</w:t>
            </w:r>
          </w:p>
          <w:p>
            <w:pPr>
              <w:pStyle w:val="TableText"/>
              <w:spacing w:before="200" w:line="219" w:lineRule="auto"/>
              <w:jc w:val="right"/>
              <w:rPr/>
            </w:pPr>
            <w:r>
              <w:rPr>
                <w:spacing w:val="-7"/>
              </w:rPr>
              <w:t>本项目总投资</w:t>
            </w:r>
            <w:r>
              <w:rPr>
                <w:rFonts w:ascii="Times New Roman" w:hAnsi="Times New Roman" w:eastAsia="Times New Roman" w:cs="Times New Roman"/>
                <w:spacing w:val="-7"/>
              </w:rPr>
              <w:t>50</w:t>
            </w:r>
            <w:r>
              <w:rPr>
                <w:spacing w:val="-7"/>
              </w:rPr>
              <w:t>万元，其中环保投资</w:t>
            </w:r>
            <w:r>
              <w:rPr>
                <w:rFonts w:ascii="Times New Roman" w:hAnsi="Times New Roman" w:eastAsia="Times New Roman" w:cs="Times New Roman"/>
                <w:spacing w:val="-7"/>
              </w:rPr>
              <w:t>13</w:t>
            </w:r>
            <w:r>
              <w:rPr>
                <w:spacing w:val="-7"/>
              </w:rPr>
              <w:t>万元</w:t>
            </w:r>
            <w:r>
              <w:rPr>
                <w:spacing w:val="-8"/>
              </w:rPr>
              <w:t>，占总投资额的</w:t>
            </w:r>
            <w:r>
              <w:rPr>
                <w:rFonts w:ascii="Times New Roman" w:hAnsi="Times New Roman" w:eastAsia="Times New Roman" w:cs="Times New Roman"/>
                <w:spacing w:val="-8"/>
              </w:rPr>
              <w:t>26%</w:t>
            </w:r>
            <w:r>
              <w:rPr>
                <w:spacing w:val="-8"/>
              </w:rPr>
              <w:t>。</w:t>
            </w:r>
          </w:p>
          <w:p>
            <w:pPr>
              <w:pStyle w:val="TableText"/>
              <w:ind w:left="116"/>
              <w:spacing w:before="215" w:line="219" w:lineRule="auto"/>
              <w:rPr/>
            </w:pPr>
            <w:r>
              <w:rPr>
                <w:spacing w:val="-5"/>
              </w:rPr>
              <w:t>详见表</w:t>
            </w:r>
            <w:r>
              <w:rPr>
                <w:rFonts w:ascii="Times New Roman" w:hAnsi="Times New Roman" w:eastAsia="Times New Roman" w:cs="Times New Roman"/>
                <w:spacing w:val="-5"/>
              </w:rPr>
              <w:t>5.2-</w:t>
            </w:r>
            <w:r>
              <w:rPr>
                <w:rFonts w:ascii="Times New Roman" w:hAnsi="Times New Roman" w:eastAsia="Times New Roman" w:cs="Times New Roman"/>
                <w:spacing w:val="-29"/>
              </w:rPr>
              <w:t xml:space="preserve"> </w:t>
            </w:r>
            <w:r>
              <w:rPr>
                <w:rFonts w:ascii="Times New Roman" w:hAnsi="Times New Roman" w:eastAsia="Times New Roman" w:cs="Times New Roman"/>
                <w:spacing w:val="-5"/>
              </w:rPr>
              <w:t>1</w:t>
            </w:r>
            <w:r>
              <w:rPr>
                <w:spacing w:val="-5"/>
              </w:rPr>
              <w:t>。</w:t>
            </w:r>
          </w:p>
          <w:p>
            <w:pPr>
              <w:pStyle w:val="TableText"/>
              <w:ind w:left="1550"/>
              <w:spacing w:before="65" w:line="212" w:lineRule="auto"/>
              <w:rPr/>
            </w:pPr>
            <w:r>
              <w:rPr>
                <w14:textOutline w14:w="4358" w14:cap="sq" w14:cmpd="sng">
                  <w14:solidFill>
                    <w14:srgbClr w14:val="000000"/>
                  </w14:solidFill>
                  <w14:prstDash w14:val="solid"/>
                  <w14:bevel/>
                </w14:textOutline>
              </w:rPr>
              <w:t>表5.2-1环保投资概算一览表（单位：万元）</w:t>
            </w:r>
          </w:p>
        </w:tc>
      </w:tr>
      <w:tr>
        <w:trPr>
          <w:trHeight w:val="399" w:hRule="atLeast"/>
        </w:trPr>
        <w:tc>
          <w:tcPr>
            <w:tcW w:w="1213" w:type="dxa"/>
            <w:vAlign w:val="top"/>
            <w:vMerge w:val="continue"/>
            <w:tcBorders>
              <w:top w:val="nil"/>
              <w:bottom w:val="nil"/>
            </w:tcBorders>
          </w:tcPr>
          <w:p>
            <w:pPr>
              <w:rPr>
                <w:rFonts w:ascii="Arial"/>
                <w:sz w:val="21"/>
              </w:rPr>
            </w:pPr>
            <w:r/>
          </w:p>
        </w:tc>
        <w:tc>
          <w:tcPr>
            <w:tcW w:w="1092" w:type="dxa"/>
            <w:vAlign w:val="top"/>
            <w:gridSpan w:val="2"/>
            <w:tcBorders>
              <w:top w:val="single" w:color="000000" w:sz="10" w:space="0"/>
            </w:tcBorders>
          </w:tcPr>
          <w:p>
            <w:pPr>
              <w:pStyle w:val="TableText"/>
              <w:ind w:left="291"/>
              <w:spacing w:before="126" w:line="228" w:lineRule="auto"/>
              <w:rPr>
                <w:sz w:val="20"/>
                <w:szCs w:val="20"/>
              </w:rPr>
            </w:pPr>
            <w:r>
              <w:rPr>
                <w:sz w:val="20"/>
                <w:szCs w:val="20"/>
                <w:spacing w:val="-2"/>
              </w:rPr>
              <w:t>项</w:t>
            </w:r>
            <w:r>
              <w:rPr>
                <w:sz w:val="20"/>
                <w:szCs w:val="20"/>
                <w:spacing w:val="29"/>
              </w:rPr>
              <w:t xml:space="preserve">  </w:t>
            </w:r>
            <w:r>
              <w:rPr>
                <w:sz w:val="20"/>
                <w:szCs w:val="20"/>
                <w:spacing w:val="-2"/>
              </w:rPr>
              <w:t>目</w:t>
            </w:r>
          </w:p>
        </w:tc>
        <w:tc>
          <w:tcPr>
            <w:tcW w:w="1553" w:type="dxa"/>
            <w:vAlign w:val="top"/>
            <w:gridSpan w:val="2"/>
            <w:tcBorders>
              <w:top w:val="single" w:color="000000" w:sz="10" w:space="0"/>
            </w:tcBorders>
          </w:tcPr>
          <w:p>
            <w:pPr>
              <w:pStyle w:val="TableText"/>
              <w:ind w:left="467"/>
              <w:spacing w:before="126" w:line="228" w:lineRule="auto"/>
              <w:rPr>
                <w:sz w:val="20"/>
                <w:szCs w:val="20"/>
              </w:rPr>
            </w:pPr>
            <w:r>
              <w:rPr>
                <w:sz w:val="20"/>
                <w:szCs w:val="20"/>
                <w:spacing w:val="6"/>
              </w:rPr>
              <w:t>污染源</w:t>
            </w:r>
          </w:p>
        </w:tc>
        <w:tc>
          <w:tcPr>
            <w:tcW w:w="3980" w:type="dxa"/>
            <w:vAlign w:val="top"/>
            <w:gridSpan w:val="3"/>
            <w:tcBorders>
              <w:top w:val="single" w:color="000000" w:sz="10" w:space="0"/>
            </w:tcBorders>
          </w:tcPr>
          <w:p>
            <w:pPr>
              <w:pStyle w:val="TableText"/>
              <w:ind w:left="1812"/>
              <w:spacing w:before="125" w:line="228" w:lineRule="auto"/>
              <w:rPr>
                <w:sz w:val="20"/>
                <w:szCs w:val="20"/>
              </w:rPr>
            </w:pPr>
            <w:r>
              <w:rPr>
                <w:sz w:val="20"/>
                <w:szCs w:val="20"/>
                <w:spacing w:val="-8"/>
              </w:rPr>
              <w:t>内容</w:t>
            </w:r>
          </w:p>
        </w:tc>
        <w:tc>
          <w:tcPr>
            <w:tcW w:w="688" w:type="dxa"/>
            <w:vAlign w:val="top"/>
            <w:tcBorders>
              <w:top w:val="single" w:color="000000" w:sz="10" w:space="0"/>
            </w:tcBorders>
          </w:tcPr>
          <w:p>
            <w:pPr>
              <w:pStyle w:val="TableText"/>
              <w:ind w:left="87"/>
              <w:spacing w:before="126" w:line="228" w:lineRule="auto"/>
              <w:rPr>
                <w:sz w:val="20"/>
                <w:szCs w:val="20"/>
              </w:rPr>
            </w:pPr>
            <w:r>
              <w:rPr>
                <w:sz w:val="20"/>
                <w:szCs w:val="20"/>
                <w:spacing w:val="3"/>
              </w:rPr>
              <w:t>投资</w:t>
            </w:r>
          </w:p>
        </w:tc>
      </w:tr>
      <w:tr>
        <w:trPr>
          <w:trHeight w:val="567" w:hRule="atLeast"/>
        </w:trPr>
        <w:tc>
          <w:tcPr>
            <w:tcW w:w="1213" w:type="dxa"/>
            <w:vAlign w:val="top"/>
            <w:vMerge w:val="continue"/>
            <w:tcBorders>
              <w:top w:val="nil"/>
              <w:bottom w:val="nil"/>
            </w:tcBorders>
          </w:tcPr>
          <w:p>
            <w:pPr>
              <w:rPr>
                <w:rFonts w:ascii="Arial"/>
                <w:sz w:val="21"/>
              </w:rPr>
            </w:pPr>
            <w:r/>
          </w:p>
        </w:tc>
        <w:tc>
          <w:tcPr>
            <w:tcW w:w="1092" w:type="dxa"/>
            <w:vAlign w:val="top"/>
            <w:gridSpan w:val="2"/>
          </w:tcPr>
          <w:p>
            <w:pPr>
              <w:pStyle w:val="TableText"/>
              <w:ind w:left="183"/>
              <w:spacing w:before="214" w:line="228" w:lineRule="auto"/>
              <w:rPr>
                <w:sz w:val="20"/>
                <w:szCs w:val="20"/>
              </w:rPr>
            </w:pPr>
            <w:r>
              <w:rPr>
                <w:sz w:val="20"/>
                <w:szCs w:val="20"/>
                <w:spacing w:val="7"/>
              </w:rPr>
              <w:t>废气处理</w:t>
            </w:r>
          </w:p>
        </w:tc>
        <w:tc>
          <w:tcPr>
            <w:tcW w:w="1553" w:type="dxa"/>
            <w:vAlign w:val="top"/>
            <w:gridSpan w:val="2"/>
          </w:tcPr>
          <w:p>
            <w:pPr>
              <w:pStyle w:val="TableText"/>
              <w:ind w:left="45"/>
              <w:spacing w:before="213" w:line="228" w:lineRule="auto"/>
              <w:rPr>
                <w:sz w:val="20"/>
                <w:szCs w:val="20"/>
              </w:rPr>
            </w:pPr>
            <w:r>
              <w:rPr>
                <w:sz w:val="20"/>
                <w:szCs w:val="20"/>
                <w:spacing w:val="8"/>
              </w:rPr>
              <w:t>地膜生产线废气</w:t>
            </w:r>
          </w:p>
        </w:tc>
        <w:tc>
          <w:tcPr>
            <w:tcW w:w="3980" w:type="dxa"/>
            <w:vAlign w:val="top"/>
            <w:gridSpan w:val="3"/>
          </w:tcPr>
          <w:p>
            <w:pPr>
              <w:pStyle w:val="TableText"/>
              <w:ind w:left="120"/>
              <w:spacing w:before="213" w:line="227" w:lineRule="auto"/>
              <w:rPr>
                <w:sz w:val="20"/>
                <w:szCs w:val="20"/>
              </w:rPr>
            </w:pPr>
            <w:r>
              <w:rPr>
                <w:sz w:val="20"/>
                <w:szCs w:val="20"/>
                <w:spacing w:val="8"/>
              </w:rPr>
              <w:t>活性炭吸附</w:t>
            </w:r>
            <w:r>
              <w:rPr>
                <w:rFonts w:ascii="Times New Roman" w:hAnsi="Times New Roman" w:eastAsia="Times New Roman" w:cs="Times New Roman"/>
                <w:sz w:val="20"/>
                <w:szCs w:val="20"/>
                <w:spacing w:val="8"/>
              </w:rPr>
              <w:t>+</w:t>
            </w:r>
            <w:r>
              <w:rPr>
                <w:sz w:val="20"/>
                <w:szCs w:val="20"/>
                <w:spacing w:val="8"/>
              </w:rPr>
              <w:t>直接催化燃烧法</w:t>
            </w:r>
            <w:r>
              <w:rPr>
                <w:rFonts w:ascii="Times New Roman" w:hAnsi="Times New Roman" w:eastAsia="Times New Roman" w:cs="Times New Roman"/>
                <w:sz w:val="20"/>
                <w:szCs w:val="20"/>
                <w:spacing w:val="8"/>
              </w:rPr>
              <w:t>+15m</w:t>
            </w:r>
            <w:r>
              <w:rPr>
                <w:sz w:val="20"/>
                <w:szCs w:val="20"/>
                <w:spacing w:val="8"/>
              </w:rPr>
              <w:t>排气筒</w:t>
            </w:r>
          </w:p>
        </w:tc>
        <w:tc>
          <w:tcPr>
            <w:tcW w:w="688" w:type="dxa"/>
            <w:vAlign w:val="top"/>
          </w:tcPr>
          <w:p>
            <w:pPr>
              <w:ind w:left="248"/>
              <w:spacing w:before="2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443" w:hRule="atLeast"/>
        </w:trPr>
        <w:tc>
          <w:tcPr>
            <w:tcW w:w="1213" w:type="dxa"/>
            <w:vAlign w:val="top"/>
            <w:vMerge w:val="continue"/>
            <w:tcBorders>
              <w:top w:val="nil"/>
              <w:bottom w:val="nil"/>
            </w:tcBorders>
          </w:tcPr>
          <w:p>
            <w:pPr>
              <w:rPr>
                <w:rFonts w:ascii="Arial"/>
                <w:sz w:val="21"/>
              </w:rPr>
            </w:pPr>
            <w:r/>
          </w:p>
        </w:tc>
        <w:tc>
          <w:tcPr>
            <w:tcW w:w="1092" w:type="dxa"/>
            <w:vAlign w:val="top"/>
            <w:gridSpan w:val="2"/>
            <w:vMerge w:val="restart"/>
            <w:tcBorders>
              <w:bottom w:val="nil"/>
            </w:tcBorders>
          </w:tcPr>
          <w:p>
            <w:pPr>
              <w:spacing w:line="278" w:lineRule="auto"/>
              <w:rPr>
                <w:rFonts w:ascii="Arial"/>
                <w:sz w:val="21"/>
              </w:rPr>
            </w:pPr>
            <w:r/>
          </w:p>
          <w:p>
            <w:pPr>
              <w:pStyle w:val="TableText"/>
              <w:ind w:left="183"/>
              <w:spacing w:before="65" w:line="228" w:lineRule="auto"/>
              <w:rPr>
                <w:sz w:val="20"/>
                <w:szCs w:val="20"/>
              </w:rPr>
            </w:pPr>
            <w:r>
              <w:rPr>
                <w:sz w:val="20"/>
                <w:szCs w:val="20"/>
                <w:spacing w:val="7"/>
              </w:rPr>
              <w:t>废固治理</w:t>
            </w:r>
          </w:p>
        </w:tc>
        <w:tc>
          <w:tcPr>
            <w:tcW w:w="1553" w:type="dxa"/>
            <w:vAlign w:val="top"/>
            <w:gridSpan w:val="2"/>
          </w:tcPr>
          <w:p>
            <w:pPr>
              <w:pStyle w:val="TableText"/>
              <w:ind w:left="363"/>
              <w:spacing w:before="153" w:line="228" w:lineRule="auto"/>
              <w:rPr>
                <w:sz w:val="20"/>
                <w:szCs w:val="20"/>
              </w:rPr>
            </w:pPr>
            <w:r>
              <w:rPr>
                <w:sz w:val="20"/>
                <w:szCs w:val="20"/>
                <w:spacing w:val="6"/>
              </w:rPr>
              <w:t>一般固废</w:t>
            </w:r>
          </w:p>
        </w:tc>
        <w:tc>
          <w:tcPr>
            <w:tcW w:w="3980" w:type="dxa"/>
            <w:vAlign w:val="top"/>
            <w:gridSpan w:val="3"/>
          </w:tcPr>
          <w:p>
            <w:pPr>
              <w:pStyle w:val="TableText"/>
              <w:ind w:left="1689"/>
              <w:spacing w:before="152" w:line="228" w:lineRule="auto"/>
              <w:rPr>
                <w:sz w:val="20"/>
                <w:szCs w:val="20"/>
              </w:rPr>
            </w:pPr>
            <w:r>
              <w:rPr>
                <w:sz w:val="20"/>
                <w:szCs w:val="20"/>
                <w:spacing w:val="4"/>
              </w:rPr>
              <w:t>收集箱</w:t>
            </w:r>
          </w:p>
        </w:tc>
        <w:tc>
          <w:tcPr>
            <w:tcW w:w="688" w:type="dxa"/>
            <w:vAlign w:val="top"/>
          </w:tcPr>
          <w:p>
            <w:pPr>
              <w:ind w:left="163"/>
              <w:spacing w:before="1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r>
      <w:tr>
        <w:trPr>
          <w:trHeight w:val="382" w:hRule="atLeast"/>
        </w:trPr>
        <w:tc>
          <w:tcPr>
            <w:tcW w:w="1213" w:type="dxa"/>
            <w:vAlign w:val="top"/>
            <w:vMerge w:val="continue"/>
            <w:tcBorders>
              <w:top w:val="nil"/>
              <w:bottom w:val="nil"/>
            </w:tcBorders>
          </w:tcPr>
          <w:p>
            <w:pPr>
              <w:rPr>
                <w:rFonts w:ascii="Arial"/>
                <w:sz w:val="21"/>
              </w:rPr>
            </w:pPr>
            <w:r/>
          </w:p>
        </w:tc>
        <w:tc>
          <w:tcPr>
            <w:tcW w:w="1092" w:type="dxa"/>
            <w:vAlign w:val="top"/>
            <w:gridSpan w:val="2"/>
            <w:vMerge w:val="continue"/>
            <w:tcBorders>
              <w:top w:val="nil"/>
            </w:tcBorders>
          </w:tcPr>
          <w:p>
            <w:pPr>
              <w:rPr>
                <w:rFonts w:ascii="Arial"/>
                <w:sz w:val="21"/>
              </w:rPr>
            </w:pPr>
            <w:r/>
          </w:p>
        </w:tc>
        <w:tc>
          <w:tcPr>
            <w:tcW w:w="1553" w:type="dxa"/>
            <w:vAlign w:val="top"/>
            <w:gridSpan w:val="2"/>
          </w:tcPr>
          <w:p>
            <w:pPr>
              <w:pStyle w:val="TableText"/>
              <w:ind w:left="362"/>
              <w:spacing w:before="120" w:line="228" w:lineRule="auto"/>
              <w:rPr>
                <w:sz w:val="20"/>
                <w:szCs w:val="20"/>
              </w:rPr>
            </w:pPr>
            <w:r>
              <w:rPr>
                <w:sz w:val="20"/>
                <w:szCs w:val="20"/>
                <w:spacing w:val="6"/>
              </w:rPr>
              <w:t>危险废物</w:t>
            </w:r>
          </w:p>
        </w:tc>
        <w:tc>
          <w:tcPr>
            <w:tcW w:w="3980" w:type="dxa"/>
            <w:vAlign w:val="top"/>
            <w:gridSpan w:val="3"/>
          </w:tcPr>
          <w:p>
            <w:pPr>
              <w:pStyle w:val="TableText"/>
              <w:ind w:left="1370"/>
              <w:spacing w:before="120" w:line="228" w:lineRule="auto"/>
              <w:rPr>
                <w:sz w:val="20"/>
                <w:szCs w:val="20"/>
              </w:rPr>
            </w:pPr>
            <w:r>
              <w:rPr>
                <w:sz w:val="20"/>
                <w:szCs w:val="20"/>
                <w:spacing w:val="7"/>
              </w:rPr>
              <w:t>危废委托处置</w:t>
            </w:r>
          </w:p>
        </w:tc>
        <w:tc>
          <w:tcPr>
            <w:tcW w:w="688" w:type="dxa"/>
            <w:vAlign w:val="top"/>
          </w:tcPr>
          <w:p>
            <w:pPr>
              <w:ind w:left="259"/>
              <w:spacing w:before="15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rPr>
          <w:trHeight w:val="382" w:hRule="atLeast"/>
        </w:trPr>
        <w:tc>
          <w:tcPr>
            <w:tcW w:w="1213" w:type="dxa"/>
            <w:vAlign w:val="top"/>
            <w:vMerge w:val="continue"/>
            <w:tcBorders>
              <w:top w:val="nil"/>
              <w:bottom w:val="nil"/>
            </w:tcBorders>
          </w:tcPr>
          <w:p>
            <w:pPr>
              <w:rPr>
                <w:rFonts w:ascii="Arial"/>
                <w:sz w:val="21"/>
              </w:rPr>
            </w:pPr>
            <w:r/>
          </w:p>
        </w:tc>
        <w:tc>
          <w:tcPr>
            <w:tcW w:w="1092" w:type="dxa"/>
            <w:vAlign w:val="top"/>
            <w:gridSpan w:val="2"/>
          </w:tcPr>
          <w:p>
            <w:pPr>
              <w:pStyle w:val="TableText"/>
              <w:ind w:left="194"/>
              <w:spacing w:before="122" w:line="228" w:lineRule="auto"/>
              <w:rPr>
                <w:sz w:val="20"/>
                <w:szCs w:val="20"/>
              </w:rPr>
            </w:pPr>
            <w:r>
              <w:rPr>
                <w:sz w:val="20"/>
                <w:szCs w:val="20"/>
                <w:spacing w:val="4"/>
              </w:rPr>
              <w:t>噪声治理</w:t>
            </w:r>
          </w:p>
        </w:tc>
        <w:tc>
          <w:tcPr>
            <w:tcW w:w="1553" w:type="dxa"/>
            <w:vAlign w:val="top"/>
            <w:gridSpan w:val="2"/>
          </w:tcPr>
          <w:p>
            <w:pPr>
              <w:pStyle w:val="TableText"/>
              <w:ind w:left="358"/>
              <w:spacing w:before="122" w:line="227" w:lineRule="auto"/>
              <w:rPr>
                <w:sz w:val="20"/>
                <w:szCs w:val="20"/>
              </w:rPr>
            </w:pPr>
            <w:r>
              <w:rPr>
                <w:sz w:val="20"/>
                <w:szCs w:val="20"/>
                <w:spacing w:val="7"/>
              </w:rPr>
              <w:t>机械噪声</w:t>
            </w:r>
          </w:p>
        </w:tc>
        <w:tc>
          <w:tcPr>
            <w:tcW w:w="3980" w:type="dxa"/>
            <w:vAlign w:val="top"/>
            <w:gridSpan w:val="3"/>
          </w:tcPr>
          <w:p>
            <w:pPr>
              <w:pStyle w:val="TableText"/>
              <w:ind w:left="1063"/>
              <w:spacing w:before="121" w:line="228" w:lineRule="auto"/>
              <w:rPr>
                <w:sz w:val="20"/>
                <w:szCs w:val="20"/>
              </w:rPr>
            </w:pPr>
            <w:r>
              <w:rPr>
                <w:sz w:val="20"/>
                <w:szCs w:val="20"/>
                <w:spacing w:val="7"/>
              </w:rPr>
              <w:t>隔声降噪、绿化措施</w:t>
            </w:r>
          </w:p>
        </w:tc>
        <w:tc>
          <w:tcPr>
            <w:tcW w:w="688" w:type="dxa"/>
            <w:vAlign w:val="top"/>
          </w:tcPr>
          <w:p>
            <w:pPr>
              <w:ind w:left="163"/>
              <w:spacing w:before="1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r>
      <w:tr>
        <w:trPr>
          <w:trHeight w:val="382" w:hRule="atLeast"/>
        </w:trPr>
        <w:tc>
          <w:tcPr>
            <w:tcW w:w="1213" w:type="dxa"/>
            <w:vAlign w:val="top"/>
            <w:vMerge w:val="continue"/>
            <w:tcBorders>
              <w:top w:val="nil"/>
              <w:bottom w:val="nil"/>
            </w:tcBorders>
          </w:tcPr>
          <w:p>
            <w:pPr>
              <w:rPr>
                <w:rFonts w:ascii="Arial"/>
                <w:sz w:val="21"/>
              </w:rPr>
            </w:pPr>
            <w:r/>
          </w:p>
        </w:tc>
        <w:tc>
          <w:tcPr>
            <w:tcW w:w="2645" w:type="dxa"/>
            <w:vAlign w:val="top"/>
            <w:gridSpan w:val="4"/>
          </w:tcPr>
          <w:p>
            <w:pPr>
              <w:pStyle w:val="TableText"/>
              <w:ind w:left="959"/>
              <w:spacing w:before="122" w:line="228" w:lineRule="auto"/>
              <w:rPr>
                <w:sz w:val="20"/>
                <w:szCs w:val="20"/>
              </w:rPr>
            </w:pPr>
            <w:r>
              <w:rPr>
                <w:sz w:val="20"/>
                <w:szCs w:val="20"/>
                <w:spacing w:val="7"/>
              </w:rPr>
              <w:t>环境风险</w:t>
            </w:r>
          </w:p>
        </w:tc>
        <w:tc>
          <w:tcPr>
            <w:tcW w:w="3980" w:type="dxa"/>
            <w:vAlign w:val="top"/>
            <w:gridSpan w:val="3"/>
          </w:tcPr>
          <w:p>
            <w:pPr>
              <w:pStyle w:val="TableText"/>
              <w:ind w:left="841"/>
              <w:spacing w:before="122" w:line="228" w:lineRule="auto"/>
              <w:rPr>
                <w:sz w:val="20"/>
                <w:szCs w:val="20"/>
              </w:rPr>
            </w:pPr>
            <w:r>
              <w:rPr>
                <w:sz w:val="20"/>
                <w:szCs w:val="20"/>
                <w:spacing w:val="9"/>
              </w:rPr>
              <w:t>环境风险防范及应急措施</w:t>
            </w:r>
          </w:p>
        </w:tc>
        <w:tc>
          <w:tcPr>
            <w:tcW w:w="688" w:type="dxa"/>
            <w:vAlign w:val="top"/>
          </w:tcPr>
          <w:p>
            <w:pPr>
              <w:ind w:left="239"/>
              <w:spacing w:before="1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trPr>
          <w:trHeight w:val="725" w:hRule="atLeast"/>
        </w:trPr>
        <w:tc>
          <w:tcPr>
            <w:tcW w:w="1213" w:type="dxa"/>
            <w:vAlign w:val="top"/>
            <w:vMerge w:val="continue"/>
            <w:tcBorders>
              <w:top w:val="nil"/>
              <w:bottom w:val="nil"/>
            </w:tcBorders>
          </w:tcPr>
          <w:p>
            <w:pPr>
              <w:rPr>
                <w:rFonts w:ascii="Arial"/>
                <w:sz w:val="21"/>
              </w:rPr>
            </w:pPr>
            <w:r/>
          </w:p>
        </w:tc>
        <w:tc>
          <w:tcPr>
            <w:tcW w:w="2645" w:type="dxa"/>
            <w:vAlign w:val="top"/>
            <w:gridSpan w:val="4"/>
          </w:tcPr>
          <w:p>
            <w:pPr>
              <w:pStyle w:val="TableText"/>
              <w:ind w:left="1171"/>
              <w:spacing w:before="294" w:line="228" w:lineRule="auto"/>
              <w:rPr>
                <w:sz w:val="20"/>
                <w:szCs w:val="20"/>
              </w:rPr>
            </w:pPr>
            <w:r>
              <w:rPr>
                <w:sz w:val="20"/>
                <w:szCs w:val="20"/>
                <w:spacing w:val="4"/>
              </w:rPr>
              <w:t>其他</w:t>
            </w:r>
          </w:p>
        </w:tc>
        <w:tc>
          <w:tcPr>
            <w:tcW w:w="3980" w:type="dxa"/>
            <w:vAlign w:val="top"/>
            <w:gridSpan w:val="3"/>
          </w:tcPr>
          <w:p>
            <w:pPr>
              <w:pStyle w:val="TableText"/>
              <w:ind w:left="33" w:firstLine="2"/>
              <w:spacing w:before="114" w:line="277" w:lineRule="auto"/>
              <w:rPr>
                <w:sz w:val="20"/>
                <w:szCs w:val="20"/>
              </w:rPr>
            </w:pPr>
            <w:r>
              <w:rPr>
                <w:sz w:val="20"/>
                <w:szCs w:val="20"/>
                <w:spacing w:val="-4"/>
              </w:rPr>
              <w:t>水土保持、厂区绿化、施工期污染防治措施、</w:t>
            </w:r>
            <w:r>
              <w:rPr>
                <w:sz w:val="20"/>
                <w:szCs w:val="20"/>
                <w:spacing w:val="18"/>
              </w:rPr>
              <w:t xml:space="preserve"> </w:t>
            </w:r>
            <w:r>
              <w:rPr>
                <w:sz w:val="20"/>
                <w:szCs w:val="20"/>
                <w:spacing w:val="3"/>
              </w:rPr>
              <w:t>环境管理与监控、消防系统、排污口规范化</w:t>
            </w:r>
          </w:p>
        </w:tc>
        <w:tc>
          <w:tcPr>
            <w:tcW w:w="688" w:type="dxa"/>
            <w:vAlign w:val="top"/>
          </w:tcPr>
          <w:p>
            <w:pPr>
              <w:spacing w:line="270" w:lineRule="auto"/>
              <w:rPr>
                <w:rFonts w:ascii="Arial"/>
                <w:sz w:val="21"/>
              </w:rPr>
            </w:pPr>
            <w:r/>
          </w:p>
          <w:p>
            <w:pPr>
              <w:ind w:left="25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rPr>
          <w:trHeight w:val="456" w:hRule="atLeast"/>
        </w:trPr>
        <w:tc>
          <w:tcPr>
            <w:tcW w:w="1213" w:type="dxa"/>
            <w:vAlign w:val="top"/>
            <w:vMerge w:val="continue"/>
            <w:tcBorders>
              <w:top w:val="nil"/>
            </w:tcBorders>
          </w:tcPr>
          <w:p>
            <w:pPr>
              <w:rPr>
                <w:rFonts w:ascii="Arial"/>
                <w:sz w:val="21"/>
              </w:rPr>
            </w:pPr>
            <w:r/>
          </w:p>
        </w:tc>
        <w:tc>
          <w:tcPr>
            <w:tcW w:w="6625" w:type="dxa"/>
            <w:vAlign w:val="top"/>
            <w:gridSpan w:val="7"/>
          </w:tcPr>
          <w:p>
            <w:pPr>
              <w:pStyle w:val="TableText"/>
              <w:ind w:left="3058"/>
              <w:spacing w:before="142" w:line="229" w:lineRule="auto"/>
              <w:rPr>
                <w:sz w:val="20"/>
                <w:szCs w:val="20"/>
              </w:rPr>
            </w:pPr>
            <w:r>
              <w:rPr>
                <w:sz w:val="20"/>
                <w:szCs w:val="20"/>
              </w:rPr>
              <w:t>合</w:t>
            </w:r>
            <w:r>
              <w:rPr>
                <w:sz w:val="20"/>
                <w:szCs w:val="20"/>
                <w:spacing w:val="9"/>
              </w:rPr>
              <w:t xml:space="preserve">  </w:t>
            </w:r>
            <w:r>
              <w:rPr>
                <w:sz w:val="20"/>
                <w:szCs w:val="20"/>
              </w:rPr>
              <w:t>计</w:t>
            </w:r>
          </w:p>
        </w:tc>
        <w:tc>
          <w:tcPr>
            <w:tcW w:w="688" w:type="dxa"/>
            <w:vAlign w:val="top"/>
          </w:tcPr>
          <w:p>
            <w:pPr>
              <w:ind w:left="207"/>
              <w:spacing w:before="17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13</w:t>
            </w:r>
          </w:p>
        </w:tc>
      </w:tr>
    </w:tbl>
    <w:p>
      <w:pPr>
        <w:pStyle w:val="BodyText"/>
        <w:spacing w:line="306" w:lineRule="auto"/>
        <w:rPr/>
      </w:pPr>
      <w:r/>
    </w:p>
    <w:p>
      <w:pPr>
        <w:pStyle w:val="BodyText"/>
        <w:spacing w:line="307" w:lineRule="auto"/>
        <w:rPr/>
      </w:pPr>
      <w:r/>
    </w:p>
    <w:p>
      <w:pPr>
        <w:ind w:left="124"/>
        <w:spacing w:before="91" w:line="221" w:lineRule="auto"/>
        <w:outlineLvl w:val="0"/>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专家：雷玉国</w:t>
      </w:r>
    </w:p>
    <w:p>
      <w:pPr>
        <w:ind w:left="131"/>
        <w:spacing w:before="224" w:line="219" w:lineRule="auto"/>
        <w:outlineLvl w:val="0"/>
        <w:rPr>
          <w:rFonts w:ascii="SimSun" w:hAnsi="SimSun" w:eastAsia="SimSun" w:cs="SimSun"/>
          <w:sz w:val="28"/>
          <w:szCs w:val="28"/>
        </w:rPr>
      </w:pPr>
      <w:r>
        <w:rPr>
          <w:rFonts w:ascii="Times New Roman" w:hAnsi="Times New Roman" w:eastAsia="Times New Roman" w:cs="Times New Roman"/>
          <w:sz w:val="28"/>
          <w:szCs w:val="28"/>
          <w:b/>
          <w:bCs/>
          <w:spacing w:val="-4"/>
        </w:rPr>
        <w:t>1</w:t>
      </w:r>
      <w:r>
        <w:rPr>
          <w:rFonts w:ascii="SimSun" w:hAnsi="SimSun" w:eastAsia="SimSun" w:cs="SimSun"/>
          <w:sz w:val="28"/>
          <w:szCs w:val="28"/>
          <w14:textOutline w14:w="5103" w14:cap="sq" w14:cmpd="sng">
            <w14:solidFill>
              <w14:srgbClr w14:val="000000"/>
            </w14:solidFill>
            <w14:prstDash w14:val="solid"/>
            <w14:bevel/>
          </w14:textOutline>
          <w:spacing w:val="-4"/>
        </w:rPr>
        <w:t>、完善其他符合性分析，补充本项目与</w:t>
      </w:r>
      <w:r>
        <w:rPr>
          <w:rFonts w:ascii="Times New Roman" w:hAnsi="Times New Roman" w:eastAsia="Times New Roman" w:cs="Times New Roman"/>
          <w:sz w:val="28"/>
          <w:szCs w:val="28"/>
          <w:b/>
          <w:bCs/>
          <w:spacing w:val="-4"/>
        </w:rPr>
        <w:t>“</w:t>
      </w:r>
      <w:r>
        <w:rPr>
          <w:rFonts w:ascii="SimSun" w:hAnsi="SimSun" w:eastAsia="SimSun" w:cs="SimSun"/>
          <w:sz w:val="28"/>
          <w:szCs w:val="28"/>
          <w14:textOutline w14:w="5103" w14:cap="sq" w14:cmpd="sng">
            <w14:solidFill>
              <w14:srgbClr w14:val="000000"/>
            </w14:solidFill>
            <w14:prstDash w14:val="solid"/>
            <w14:bevel/>
          </w14:textOutline>
          <w:spacing w:val="-4"/>
        </w:rPr>
        <w:t>关于加快解决当前挥发性有</w:t>
      </w:r>
    </w:p>
    <w:p>
      <w:pPr>
        <w:ind w:left="122"/>
        <w:spacing w:before="227" w:line="219"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机物治理突出问题的通知</w:t>
      </w:r>
      <w:r>
        <w:rPr>
          <w:rFonts w:ascii="Times New Roman" w:hAnsi="Times New Roman" w:eastAsia="Times New Roman" w:cs="Times New Roman"/>
          <w:sz w:val="28"/>
          <w:szCs w:val="28"/>
          <w:b/>
          <w:bCs/>
          <w:spacing w:val="-2"/>
        </w:rPr>
        <w:t>”</w:t>
      </w:r>
      <w:r>
        <w:rPr>
          <w:rFonts w:ascii="Times New Roman" w:hAnsi="Times New Roman" w:eastAsia="Times New Roman" w:cs="Times New Roman"/>
          <w:sz w:val="28"/>
          <w:szCs w:val="28"/>
          <w:b/>
          <w:bCs/>
          <w:spacing w:val="-23"/>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的符合性分析。</w:t>
      </w:r>
    </w:p>
    <w:p>
      <w:pPr>
        <w:ind w:left="628"/>
        <w:spacing w:before="216" w:line="219" w:lineRule="auto"/>
        <w:rPr>
          <w:rFonts w:ascii="Times New Roman" w:hAnsi="Times New Roman" w:eastAsia="Times New Roman" w:cs="Times New Roman"/>
          <w:sz w:val="24"/>
          <w:szCs w:val="24"/>
        </w:rPr>
      </w:pPr>
      <w:r>
        <w:rPr>
          <w:rFonts w:ascii="SimSun" w:hAnsi="SimSun" w:eastAsia="SimSun" w:cs="SimSun"/>
          <w:sz w:val="24"/>
          <w:szCs w:val="24"/>
          <w:spacing w:val="-5"/>
        </w:rPr>
        <w:t>已修改，见</w:t>
      </w:r>
      <w:r>
        <w:rPr>
          <w:rFonts w:ascii="Times New Roman" w:hAnsi="Times New Roman" w:eastAsia="Times New Roman" w:cs="Times New Roman"/>
          <w:sz w:val="24"/>
          <w:szCs w:val="24"/>
          <w:spacing w:val="-5"/>
        </w:rPr>
        <w:t>P11</w:t>
      </w:r>
    </w:p>
    <w:p>
      <w:pPr>
        <w:spacing w:line="219" w:lineRule="auto"/>
        <w:sectPr>
          <w:footerReference w:type="default" r:id="rId70"/>
          <w:pgSz w:w="11906" w:h="16839"/>
          <w:pgMar w:top="400" w:right="1687" w:bottom="1211" w:left="1687" w:header="0" w:footer="1049" w:gutter="0"/>
        </w:sectPr>
        <w:rPr>
          <w:rFonts w:ascii="Times New Roman" w:hAnsi="Times New Roman" w:eastAsia="Times New Roman" w:cs="Times New Roman"/>
          <w:sz w:val="24"/>
          <w:szCs w:val="24"/>
        </w:rPr>
      </w:pPr>
    </w:p>
    <w:p>
      <w:pPr>
        <w:pStyle w:val="BodyText"/>
        <w:spacing w:line="287" w:lineRule="auto"/>
        <w:rPr/>
      </w:pPr>
      <w:r/>
    </w:p>
    <w:p>
      <w:pPr>
        <w:pStyle w:val="BodyText"/>
        <w:spacing w:line="287" w:lineRule="auto"/>
        <w:rPr/>
      </w:pPr>
      <w:r/>
    </w:p>
    <w:p>
      <w:pPr>
        <w:pStyle w:val="BodyText"/>
        <w:spacing w:line="288" w:lineRule="auto"/>
        <w:rPr/>
      </w:pPr>
      <w:r/>
    </w:p>
    <w:p>
      <w:pPr>
        <w:pStyle w:val="BodyText"/>
        <w:spacing w:line="288" w:lineRule="auto"/>
        <w:rPr/>
      </w:pPr>
      <w:r/>
    </w:p>
    <w:p>
      <w:pPr>
        <w:ind w:left="618"/>
        <w:spacing w:before="78" w:line="499" w:lineRule="exact"/>
        <w:rPr>
          <w:rFonts w:ascii="SimSun" w:hAnsi="SimSun" w:eastAsia="SimSun" w:cs="SimSun"/>
          <w:sz w:val="24"/>
          <w:szCs w:val="24"/>
        </w:rPr>
      </w:pPr>
      <w:r>
        <w:rPr>
          <w:rFonts w:ascii="SimSun" w:hAnsi="SimSun" w:eastAsia="SimSun" w:cs="SimSun"/>
          <w:sz w:val="24"/>
          <w:szCs w:val="24"/>
          <w:spacing w:val="-3"/>
          <w:position w:val="19"/>
        </w:rPr>
        <w:t>（</w:t>
      </w:r>
      <w:r>
        <w:rPr>
          <w:rFonts w:ascii="Times New Roman" w:hAnsi="Times New Roman" w:eastAsia="Times New Roman" w:cs="Times New Roman"/>
          <w:sz w:val="24"/>
          <w:szCs w:val="24"/>
          <w:spacing w:val="-3"/>
          <w:position w:val="19"/>
        </w:rPr>
        <w:t>10</w:t>
      </w:r>
      <w:r>
        <w:rPr>
          <w:rFonts w:ascii="SimSun" w:hAnsi="SimSun" w:eastAsia="SimSun" w:cs="SimSun"/>
          <w:sz w:val="24"/>
          <w:szCs w:val="24"/>
          <w:spacing w:val="-3"/>
          <w:position w:val="19"/>
        </w:rPr>
        <w:t>）与《关于加快解决当前挥发性有机物</w:t>
      </w:r>
      <w:r>
        <w:rPr>
          <w:rFonts w:ascii="SimSun" w:hAnsi="SimSun" w:eastAsia="SimSun" w:cs="SimSun"/>
          <w:sz w:val="24"/>
          <w:szCs w:val="24"/>
          <w:spacing w:val="-4"/>
          <w:position w:val="19"/>
        </w:rPr>
        <w:t>治理突出问题的通知》符合性分</w:t>
      </w:r>
    </w:p>
    <w:p>
      <w:pPr>
        <w:ind w:left="128"/>
        <w:spacing w:line="220" w:lineRule="auto"/>
        <w:rPr>
          <w:rFonts w:ascii="SimSun" w:hAnsi="SimSun" w:eastAsia="SimSun" w:cs="SimSun"/>
          <w:sz w:val="24"/>
          <w:szCs w:val="24"/>
        </w:rPr>
      </w:pPr>
      <w:r>
        <w:rPr>
          <w:rFonts w:ascii="SimSun" w:hAnsi="SimSun" w:eastAsia="SimSun" w:cs="SimSun"/>
          <w:sz w:val="24"/>
          <w:szCs w:val="24"/>
        </w:rPr>
        <w:t>析</w:t>
      </w:r>
    </w:p>
    <w:p>
      <w:pPr>
        <w:ind w:left="606"/>
        <w:spacing w:before="213" w:line="501" w:lineRule="exact"/>
        <w:rPr>
          <w:rFonts w:ascii="SimSun" w:hAnsi="SimSun" w:eastAsia="SimSun" w:cs="SimSun"/>
          <w:sz w:val="24"/>
          <w:szCs w:val="24"/>
        </w:rPr>
      </w:pPr>
      <w:r>
        <w:rPr>
          <w:rFonts w:ascii="SimSun" w:hAnsi="SimSun" w:eastAsia="SimSun" w:cs="SimSun"/>
          <w:sz w:val="24"/>
          <w:szCs w:val="24"/>
          <w:spacing w:val="-3"/>
          <w:position w:val="20"/>
        </w:rPr>
        <w:t>根据《关于加快解决当前挥发性有机物治理突出问题的通知》文件内容，与</w:t>
      </w:r>
    </w:p>
    <w:p>
      <w:pPr>
        <w:ind w:left="127"/>
        <w:spacing w:line="218" w:lineRule="auto"/>
        <w:rPr>
          <w:rFonts w:ascii="SimSun" w:hAnsi="SimSun" w:eastAsia="SimSun" w:cs="SimSun"/>
          <w:sz w:val="24"/>
          <w:szCs w:val="24"/>
        </w:rPr>
      </w:pPr>
      <w:r>
        <w:rPr>
          <w:rFonts w:ascii="SimSun" w:hAnsi="SimSun" w:eastAsia="SimSun" w:cs="SimSun"/>
          <w:sz w:val="24"/>
          <w:szCs w:val="24"/>
          <w:spacing w:val="-1"/>
        </w:rPr>
        <w:t>本项目有关的突出问题符合性分析内容见表</w:t>
      </w:r>
      <w:r>
        <w:rPr>
          <w:rFonts w:ascii="Times New Roman" w:hAnsi="Times New Roman" w:eastAsia="Times New Roman" w:cs="Times New Roman"/>
          <w:sz w:val="24"/>
          <w:szCs w:val="24"/>
          <w:spacing w:val="-1"/>
        </w:rPr>
        <w:t>1.1-5</w:t>
      </w:r>
      <w:r>
        <w:rPr>
          <w:rFonts w:ascii="SimSun" w:hAnsi="SimSun" w:eastAsia="SimSun" w:cs="SimSun"/>
          <w:sz w:val="24"/>
          <w:szCs w:val="24"/>
          <w:spacing w:val="-1"/>
        </w:rPr>
        <w:t>。</w:t>
      </w:r>
    </w:p>
    <w:p>
      <w:pPr>
        <w:ind w:left="606"/>
        <w:spacing w:before="215" w:line="499" w:lineRule="exact"/>
        <w:rPr>
          <w:rFonts w:ascii="SimSun" w:hAnsi="SimSun" w:eastAsia="SimSun" w:cs="SimSun"/>
          <w:sz w:val="24"/>
          <w:szCs w:val="24"/>
        </w:rPr>
      </w:pPr>
      <w:r>
        <w:rPr>
          <w:rFonts w:ascii="SimSun" w:hAnsi="SimSun" w:eastAsia="SimSun" w:cs="SimSun"/>
          <w:sz w:val="24"/>
          <w:szCs w:val="24"/>
          <w:spacing w:val="-3"/>
          <w:position w:val="19"/>
        </w:rPr>
        <w:t>根据符合性分析结果可知，本项目符合《关于加快解决当前挥发</w:t>
      </w:r>
      <w:r>
        <w:rPr>
          <w:rFonts w:ascii="SimSun" w:hAnsi="SimSun" w:eastAsia="SimSun" w:cs="SimSun"/>
          <w:sz w:val="24"/>
          <w:szCs w:val="24"/>
          <w:spacing w:val="-4"/>
          <w:position w:val="19"/>
        </w:rPr>
        <w:t>性有机物治</w:t>
      </w:r>
    </w:p>
    <w:p>
      <w:pPr>
        <w:ind w:left="129"/>
        <w:spacing w:line="219" w:lineRule="auto"/>
        <w:rPr>
          <w:rFonts w:ascii="SimSun" w:hAnsi="SimSun" w:eastAsia="SimSun" w:cs="SimSun"/>
          <w:sz w:val="24"/>
          <w:szCs w:val="24"/>
        </w:rPr>
      </w:pPr>
      <w:r>
        <w:rPr>
          <w:rFonts w:ascii="SimSun" w:hAnsi="SimSun" w:eastAsia="SimSun" w:cs="SimSun"/>
          <w:sz w:val="24"/>
          <w:szCs w:val="24"/>
          <w:spacing w:val="-1"/>
        </w:rPr>
        <w:t>理突出问题的通知》文件中指出的突出问题。</w:t>
      </w:r>
    </w:p>
    <w:p>
      <w:pPr>
        <w:ind w:left="233"/>
        <w:spacing w:before="135" w:line="219"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sz w:val="24"/>
          <w:szCs w:val="24"/>
          <w:b/>
          <w:bCs/>
        </w:rPr>
        <w:t>1.1-5</w:t>
      </w:r>
      <w:r>
        <w:rPr>
          <w:rFonts w:ascii="Times New Roman" w:hAnsi="Times New Roman" w:eastAsia="Times New Roman" w:cs="Times New Roman"/>
          <w:sz w:val="24"/>
          <w:szCs w:val="24"/>
          <w:b/>
          <w:bCs/>
          <w:spacing w:val="9"/>
        </w:rPr>
        <w:t xml:space="preserve">  </w:t>
      </w:r>
      <w:r>
        <w:rPr>
          <w:rFonts w:ascii="SimSun" w:hAnsi="SimSun" w:eastAsia="SimSun" w:cs="SimSun"/>
          <w:sz w:val="24"/>
          <w:szCs w:val="24"/>
          <w14:textOutline w14:w="4358" w14:cap="sq" w14:cmpd="sng">
            <w14:solidFill>
              <w14:srgbClr w14:val="000000"/>
            </w14:solidFill>
            <w14:prstDash w14:val="solid"/>
            <w14:bevel/>
          </w14:textOutline>
        </w:rPr>
        <w:t>《关于加快解决当前挥发性有机物治理突出问题的通知》符合性分析</w:t>
      </w:r>
    </w:p>
    <w:p>
      <w:pPr>
        <w:spacing w:line="22" w:lineRule="auto"/>
        <w:rPr>
          <w:rFonts w:ascii="Arial"/>
          <w:sz w:val="2"/>
        </w:rPr>
      </w:pPr>
      <w:r>
        <w:rPr>
          <w:rFonts w:ascii="Arial"/>
          <w:sz w:val="2"/>
        </w:rPr>
      </w:r>
    </w:p>
    <w:tbl>
      <w:tblPr>
        <w:tblStyle w:val="TableNormal"/>
        <w:tblW w:w="8515"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48"/>
        <w:gridCol w:w="4171"/>
        <w:gridCol w:w="3006"/>
        <w:gridCol w:w="690"/>
      </w:tblGrid>
      <w:tr>
        <w:trPr>
          <w:trHeight w:val="728" w:hRule="atLeast"/>
        </w:trPr>
        <w:tc>
          <w:tcPr>
            <w:tcW w:w="648" w:type="dxa"/>
            <w:vAlign w:val="top"/>
            <w:tcBorders>
              <w:left w:val="single" w:color="000000" w:sz="10" w:space="0"/>
              <w:top w:val="single" w:color="000000" w:sz="10" w:space="0"/>
            </w:tcBorders>
          </w:tcPr>
          <w:p>
            <w:pPr>
              <w:pStyle w:val="TableText"/>
              <w:ind w:left="104"/>
              <w:spacing w:before="294" w:line="229" w:lineRule="auto"/>
              <w:rPr>
                <w:sz w:val="20"/>
                <w:szCs w:val="20"/>
              </w:rPr>
            </w:pPr>
            <w:r>
              <w:rPr>
                <w:sz w:val="20"/>
                <w:szCs w:val="20"/>
                <w:spacing w:val="5"/>
              </w:rPr>
              <w:t>序号</w:t>
            </w:r>
          </w:p>
        </w:tc>
        <w:tc>
          <w:tcPr>
            <w:tcW w:w="4171" w:type="dxa"/>
            <w:vAlign w:val="top"/>
            <w:tcBorders>
              <w:top w:val="single" w:color="000000" w:sz="10" w:space="0"/>
            </w:tcBorders>
          </w:tcPr>
          <w:p>
            <w:pPr>
              <w:pStyle w:val="TableText"/>
              <w:ind w:left="1667"/>
              <w:spacing w:before="293" w:line="228" w:lineRule="auto"/>
              <w:rPr>
                <w:sz w:val="20"/>
                <w:szCs w:val="20"/>
              </w:rPr>
            </w:pPr>
            <w:r>
              <w:rPr>
                <w:sz w:val="20"/>
                <w:szCs w:val="20"/>
                <w:spacing w:val="6"/>
              </w:rPr>
              <w:t>文件内容</w:t>
            </w:r>
          </w:p>
        </w:tc>
        <w:tc>
          <w:tcPr>
            <w:tcW w:w="3006" w:type="dxa"/>
            <w:vAlign w:val="top"/>
            <w:tcBorders>
              <w:top w:val="single" w:color="000000" w:sz="10" w:space="0"/>
            </w:tcBorders>
          </w:tcPr>
          <w:p>
            <w:pPr>
              <w:pStyle w:val="TableText"/>
              <w:ind w:left="781"/>
              <w:spacing w:before="293" w:line="227" w:lineRule="auto"/>
              <w:rPr>
                <w:sz w:val="20"/>
                <w:szCs w:val="20"/>
              </w:rPr>
            </w:pPr>
            <w:r>
              <w:rPr>
                <w:sz w:val="20"/>
                <w:szCs w:val="20"/>
                <w:spacing w:val="8"/>
              </w:rPr>
              <w:t>本项目建设情况</w:t>
            </w:r>
          </w:p>
        </w:tc>
        <w:tc>
          <w:tcPr>
            <w:tcW w:w="690" w:type="dxa"/>
            <w:vAlign w:val="top"/>
            <w:tcBorders>
              <w:right w:val="single" w:color="000000" w:sz="10" w:space="0"/>
              <w:top w:val="single" w:color="000000" w:sz="10" w:space="0"/>
            </w:tcBorders>
          </w:tcPr>
          <w:p>
            <w:pPr>
              <w:pStyle w:val="TableText"/>
              <w:ind w:left="147"/>
              <w:spacing w:before="113" w:line="228" w:lineRule="auto"/>
              <w:rPr>
                <w:sz w:val="20"/>
                <w:szCs w:val="20"/>
              </w:rPr>
            </w:pPr>
            <w:r>
              <w:rPr>
                <w:sz w:val="20"/>
                <w:szCs w:val="20"/>
                <w:spacing w:val="3"/>
              </w:rPr>
              <w:t>符合</w:t>
            </w:r>
          </w:p>
          <w:p>
            <w:pPr>
              <w:pStyle w:val="TableText"/>
              <w:ind w:left="253"/>
              <w:spacing w:before="113" w:line="225" w:lineRule="auto"/>
              <w:rPr>
                <w:sz w:val="20"/>
                <w:szCs w:val="20"/>
              </w:rPr>
            </w:pPr>
            <w:r>
              <w:rPr>
                <w:sz w:val="20"/>
                <w:szCs w:val="20"/>
              </w:rPr>
              <w:t>性</w:t>
            </w:r>
          </w:p>
        </w:tc>
      </w:tr>
      <w:tr>
        <w:trPr>
          <w:trHeight w:val="2518" w:hRule="atLeast"/>
        </w:trPr>
        <w:tc>
          <w:tcPr>
            <w:tcW w:w="648" w:type="dxa"/>
            <w:vAlign w:val="top"/>
            <w:vMerge w:val="restart"/>
            <w:tcBorders>
              <w:left w:val="single" w:color="000000" w:sz="10" w:space="0"/>
              <w:bottom w:val="nil"/>
            </w:tcBorders>
          </w:tcPr>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05" w:right="118" w:firstLine="3"/>
              <w:spacing w:before="65" w:line="297" w:lineRule="auto"/>
              <w:jc w:val="both"/>
              <w:rPr>
                <w:sz w:val="20"/>
                <w:szCs w:val="20"/>
              </w:rPr>
            </w:pPr>
            <w:r>
              <w:rPr>
                <w:sz w:val="20"/>
                <w:szCs w:val="20"/>
                <w:spacing w:val="3"/>
              </w:rPr>
              <w:t>五废</w:t>
            </w:r>
            <w:r>
              <w:rPr>
                <w:sz w:val="20"/>
                <w:szCs w:val="20"/>
              </w:rPr>
              <w:t xml:space="preserve"> </w:t>
            </w:r>
            <w:r>
              <w:rPr>
                <w:sz w:val="20"/>
                <w:szCs w:val="20"/>
                <w:spacing w:val="4"/>
              </w:rPr>
              <w:t>气收</w:t>
            </w:r>
            <w:r>
              <w:rPr>
                <w:sz w:val="20"/>
                <w:szCs w:val="20"/>
              </w:rPr>
              <w:t xml:space="preserve"> </w:t>
            </w:r>
            <w:r>
              <w:rPr>
                <w:sz w:val="20"/>
                <w:szCs w:val="20"/>
                <w:spacing w:val="4"/>
              </w:rPr>
              <w:t>集率</w:t>
            </w:r>
          </w:p>
        </w:tc>
        <w:tc>
          <w:tcPr>
            <w:tcW w:w="4171" w:type="dxa"/>
            <w:vAlign w:val="top"/>
          </w:tcPr>
          <w:p>
            <w:pPr>
              <w:spacing w:line="405" w:lineRule="auto"/>
              <w:rPr>
                <w:rFonts w:ascii="Arial"/>
                <w:sz w:val="21"/>
              </w:rPr>
            </w:pPr>
            <w:r/>
          </w:p>
          <w:p>
            <w:pPr>
              <w:pStyle w:val="TableText"/>
              <w:ind w:left="102" w:right="105"/>
              <w:spacing w:before="65" w:line="311" w:lineRule="auto"/>
              <w:jc w:val="both"/>
              <w:rPr>
                <w:sz w:val="20"/>
                <w:szCs w:val="20"/>
              </w:rPr>
            </w:pPr>
            <w:r>
              <w:rPr>
                <w:sz w:val="20"/>
                <w:szCs w:val="20"/>
                <w:spacing w:val="8"/>
              </w:rPr>
              <w:t>存在的突出问题。敞开式生产未配备收集设</w:t>
            </w:r>
            <w:r>
              <w:rPr>
                <w:sz w:val="20"/>
                <w:szCs w:val="20"/>
                <w:spacing w:val="4"/>
              </w:rPr>
              <w:t xml:space="preserve"> </w:t>
            </w:r>
            <w:r>
              <w:rPr>
                <w:sz w:val="20"/>
                <w:szCs w:val="20"/>
                <w:spacing w:val="13"/>
              </w:rPr>
              <w:t>施，未对</w:t>
            </w:r>
            <w:r>
              <w:rPr>
                <w:rFonts w:ascii="Times New Roman" w:hAnsi="Times New Roman" w:eastAsia="Times New Roman" w:cs="Times New Roman"/>
                <w:sz w:val="20"/>
                <w:szCs w:val="20"/>
              </w:rPr>
              <w:t>VOCs</w:t>
            </w:r>
            <w:r>
              <w:rPr>
                <w:sz w:val="20"/>
                <w:szCs w:val="20"/>
                <w:spacing w:val="13"/>
              </w:rPr>
              <w:t>废气进行分质收集，废气收</w:t>
            </w:r>
            <w:r>
              <w:rPr>
                <w:sz w:val="20"/>
                <w:szCs w:val="20"/>
                <w:spacing w:val="7"/>
              </w:rPr>
              <w:t xml:space="preserve"> </w:t>
            </w:r>
            <w:r>
              <w:rPr>
                <w:sz w:val="20"/>
                <w:szCs w:val="20"/>
                <w:spacing w:val="8"/>
              </w:rPr>
              <w:t>集系统排风罩（局部密闭式集气罩）控制风</w:t>
            </w:r>
            <w:r>
              <w:rPr>
                <w:sz w:val="20"/>
                <w:szCs w:val="20"/>
                <w:spacing w:val="4"/>
              </w:rPr>
              <w:t xml:space="preserve"> </w:t>
            </w:r>
            <w:r>
              <w:rPr>
                <w:sz w:val="20"/>
                <w:szCs w:val="20"/>
                <w:spacing w:val="8"/>
              </w:rPr>
              <w:t>速达不到标准要求，废气收集系统输送管道</w:t>
            </w:r>
            <w:r>
              <w:rPr>
                <w:sz w:val="20"/>
                <w:szCs w:val="20"/>
                <w:spacing w:val="4"/>
              </w:rPr>
              <w:t xml:space="preserve"> </w:t>
            </w:r>
            <w:r>
              <w:rPr>
                <w:sz w:val="20"/>
                <w:szCs w:val="20"/>
                <w:spacing w:val="14"/>
              </w:rPr>
              <w:t>破损、泄漏严重，生产设备密闭不严等。</w:t>
            </w:r>
          </w:p>
        </w:tc>
        <w:tc>
          <w:tcPr>
            <w:tcW w:w="3006" w:type="dxa"/>
            <w:vAlign w:val="top"/>
          </w:tcPr>
          <w:p>
            <w:pPr>
              <w:pStyle w:val="TableText"/>
              <w:ind w:left="147" w:right="131" w:firstLine="110"/>
              <w:spacing w:before="109" w:line="315" w:lineRule="auto"/>
              <w:rPr>
                <w:sz w:val="20"/>
                <w:szCs w:val="20"/>
              </w:rPr>
            </w:pPr>
            <w:r>
              <w:rPr>
                <w:sz w:val="20"/>
                <w:szCs w:val="20"/>
                <w:spacing w:val="8"/>
              </w:rPr>
              <w:t>项目生产运营期对主要产生</w:t>
            </w:r>
            <w:r>
              <w:rPr>
                <w:sz w:val="20"/>
                <w:szCs w:val="20"/>
                <w:spacing w:val="4"/>
              </w:rPr>
              <w:t xml:space="preserve">  </w:t>
            </w:r>
            <w:r>
              <w:rPr>
                <w:rFonts w:ascii="Times New Roman" w:hAnsi="Times New Roman" w:eastAsia="Times New Roman" w:cs="Times New Roman"/>
                <w:sz w:val="20"/>
                <w:szCs w:val="20"/>
              </w:rPr>
              <w:t>VOCs</w:t>
            </w:r>
            <w:r>
              <w:rPr>
                <w:sz w:val="20"/>
                <w:szCs w:val="20"/>
                <w:spacing w:val="16"/>
              </w:rPr>
              <w:t>废气工段设置局部密闭</w:t>
            </w:r>
            <w:r>
              <w:rPr>
                <w:sz w:val="20"/>
                <w:szCs w:val="20"/>
                <w:spacing w:val="8"/>
              </w:rPr>
              <w:t xml:space="preserve"> </w:t>
            </w:r>
            <w:r>
              <w:rPr>
                <w:sz w:val="20"/>
                <w:szCs w:val="20"/>
                <w:spacing w:val="9"/>
              </w:rPr>
              <w:t>式集气罩收集废气，项目建设</w:t>
            </w:r>
            <w:r>
              <w:rPr>
                <w:sz w:val="20"/>
                <w:szCs w:val="20"/>
                <w:spacing w:val="4"/>
              </w:rPr>
              <w:t xml:space="preserve"> </w:t>
            </w:r>
            <w:r>
              <w:rPr>
                <w:sz w:val="20"/>
                <w:szCs w:val="20"/>
                <w:spacing w:val="9"/>
              </w:rPr>
              <w:t>过程中严格按照环评中提出的</w:t>
            </w:r>
            <w:r>
              <w:rPr>
                <w:sz w:val="20"/>
                <w:szCs w:val="20"/>
                <w:spacing w:val="4"/>
              </w:rPr>
              <w:t xml:space="preserve"> </w:t>
            </w:r>
            <w:r>
              <w:rPr>
                <w:sz w:val="20"/>
                <w:szCs w:val="20"/>
                <w:spacing w:val="9"/>
              </w:rPr>
              <w:t>排风罩控制风速，定期检查输</w:t>
            </w:r>
            <w:r>
              <w:rPr>
                <w:sz w:val="20"/>
                <w:szCs w:val="20"/>
                <w:spacing w:val="4"/>
              </w:rPr>
              <w:t xml:space="preserve"> </w:t>
            </w:r>
            <w:r>
              <w:rPr>
                <w:sz w:val="20"/>
                <w:szCs w:val="20"/>
                <w:spacing w:val="9"/>
              </w:rPr>
              <w:t>送管道破损、泄漏情况，检查</w:t>
            </w:r>
          </w:p>
          <w:p>
            <w:pPr>
              <w:pStyle w:val="TableText"/>
              <w:ind w:left="570"/>
              <w:spacing w:before="113" w:line="219" w:lineRule="auto"/>
              <w:rPr>
                <w:sz w:val="20"/>
                <w:szCs w:val="20"/>
              </w:rPr>
            </w:pPr>
            <w:r>
              <w:rPr>
                <w:sz w:val="20"/>
                <w:szCs w:val="20"/>
                <w:spacing w:val="7"/>
              </w:rPr>
              <w:t>生产设施密闭情况。</w:t>
            </w:r>
          </w:p>
        </w:tc>
        <w:tc>
          <w:tcPr>
            <w:tcW w:w="690" w:type="dxa"/>
            <w:vAlign w:val="top"/>
            <w:tcBorders>
              <w:right w:val="single" w:color="000000" w:sz="10" w:space="0"/>
            </w:tcBorders>
          </w:tcPr>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spacing w:line="280" w:lineRule="auto"/>
              <w:rPr>
                <w:rFonts w:ascii="Arial"/>
                <w:sz w:val="21"/>
              </w:rPr>
            </w:pPr>
            <w:r/>
          </w:p>
          <w:p>
            <w:pPr>
              <w:pStyle w:val="TableText"/>
              <w:ind w:left="147"/>
              <w:spacing w:before="65" w:line="228" w:lineRule="auto"/>
              <w:rPr>
                <w:sz w:val="20"/>
                <w:szCs w:val="20"/>
              </w:rPr>
            </w:pPr>
            <w:r>
              <w:rPr>
                <w:sz w:val="20"/>
                <w:szCs w:val="20"/>
                <w:spacing w:val="3"/>
              </w:rPr>
              <w:t>符合</w:t>
            </w:r>
          </w:p>
        </w:tc>
      </w:tr>
      <w:tr>
        <w:trPr>
          <w:trHeight w:val="5751" w:hRule="atLeast"/>
        </w:trPr>
        <w:tc>
          <w:tcPr>
            <w:tcW w:w="648" w:type="dxa"/>
            <w:vAlign w:val="top"/>
            <w:vMerge w:val="continue"/>
            <w:tcBorders>
              <w:left w:val="single" w:color="000000" w:sz="10" w:space="0"/>
              <w:top w:val="nil"/>
            </w:tcBorders>
          </w:tcPr>
          <w:p>
            <w:pPr>
              <w:rPr>
                <w:rFonts w:ascii="Arial"/>
                <w:sz w:val="21"/>
              </w:rPr>
            </w:pPr>
            <w:r/>
          </w:p>
        </w:tc>
        <w:tc>
          <w:tcPr>
            <w:tcW w:w="4171" w:type="dxa"/>
            <w:vAlign w:val="top"/>
          </w:tcPr>
          <w:p>
            <w:pPr>
              <w:pStyle w:val="TableText"/>
              <w:ind w:left="149"/>
              <w:spacing w:before="117" w:line="227" w:lineRule="auto"/>
              <w:rPr>
                <w:sz w:val="20"/>
                <w:szCs w:val="20"/>
              </w:rPr>
            </w:pPr>
            <w:r>
              <w:rPr>
                <w:sz w:val="20"/>
                <w:szCs w:val="20"/>
                <w:spacing w:val="10"/>
              </w:rPr>
              <w:t>治理要求。产生</w:t>
            </w:r>
            <w:r>
              <w:rPr>
                <w:rFonts w:ascii="Times New Roman" w:hAnsi="Times New Roman" w:eastAsia="Times New Roman" w:cs="Times New Roman"/>
                <w:sz w:val="20"/>
                <w:szCs w:val="20"/>
              </w:rPr>
              <w:t>VOCs</w:t>
            </w:r>
            <w:r>
              <w:rPr>
                <w:sz w:val="20"/>
                <w:szCs w:val="20"/>
                <w:spacing w:val="10"/>
              </w:rPr>
              <w:t>的生产环节优先采用</w:t>
            </w:r>
          </w:p>
          <w:p>
            <w:pPr>
              <w:pStyle w:val="TableText"/>
              <w:ind w:left="104"/>
              <w:spacing w:before="114" w:line="227" w:lineRule="auto"/>
              <w:rPr>
                <w:sz w:val="20"/>
                <w:szCs w:val="20"/>
              </w:rPr>
            </w:pPr>
            <w:r>
              <w:rPr>
                <w:sz w:val="20"/>
                <w:szCs w:val="20"/>
                <w:spacing w:val="8"/>
              </w:rPr>
              <w:t>密闭设备、在密闭空间中操作或采用全密闭</w:t>
            </w:r>
          </w:p>
          <w:p>
            <w:pPr>
              <w:pStyle w:val="TableText"/>
              <w:ind w:left="105"/>
              <w:spacing w:before="113" w:line="228" w:lineRule="auto"/>
              <w:rPr>
                <w:sz w:val="20"/>
                <w:szCs w:val="20"/>
              </w:rPr>
            </w:pPr>
            <w:r>
              <w:rPr>
                <w:sz w:val="20"/>
                <w:szCs w:val="20"/>
                <w:spacing w:val="8"/>
              </w:rPr>
              <w:t>局部密闭式集气罩收集方式，并保持负压运</w:t>
            </w:r>
          </w:p>
          <w:p>
            <w:pPr>
              <w:pStyle w:val="TableText"/>
              <w:ind w:left="106"/>
              <w:spacing w:before="113" w:line="228" w:lineRule="auto"/>
              <w:rPr>
                <w:sz w:val="20"/>
                <w:szCs w:val="20"/>
              </w:rPr>
            </w:pPr>
            <w:r>
              <w:rPr>
                <w:sz w:val="20"/>
                <w:szCs w:val="20"/>
                <w:spacing w:val="8"/>
              </w:rPr>
              <w:t>行。无尘等级要求车间需设置成正压的，宜</w:t>
            </w:r>
          </w:p>
          <w:p>
            <w:pPr>
              <w:pStyle w:val="TableText"/>
              <w:ind w:left="105"/>
              <w:spacing w:before="113" w:line="228" w:lineRule="auto"/>
              <w:rPr>
                <w:sz w:val="20"/>
                <w:szCs w:val="20"/>
              </w:rPr>
            </w:pPr>
            <w:r>
              <w:rPr>
                <w:sz w:val="20"/>
                <w:szCs w:val="20"/>
                <w:spacing w:val="8"/>
              </w:rPr>
              <w:t>建设内层正压、外层微负压的双层整体密闭</w:t>
            </w:r>
          </w:p>
          <w:p>
            <w:pPr>
              <w:pStyle w:val="TableText"/>
              <w:ind w:left="110"/>
              <w:spacing w:before="113" w:line="227" w:lineRule="auto"/>
              <w:rPr>
                <w:sz w:val="20"/>
                <w:szCs w:val="20"/>
              </w:rPr>
            </w:pPr>
            <w:r>
              <w:rPr>
                <w:sz w:val="20"/>
                <w:szCs w:val="20"/>
                <w:spacing w:val="7"/>
              </w:rPr>
              <w:t>收集空间。对采用局部收集方式的企业，距</w:t>
            </w:r>
          </w:p>
          <w:p>
            <w:pPr>
              <w:pStyle w:val="TableText"/>
              <w:ind w:left="143"/>
              <w:spacing w:before="113" w:line="228" w:lineRule="auto"/>
              <w:rPr>
                <w:rFonts w:ascii="Times New Roman" w:hAnsi="Times New Roman" w:eastAsia="Times New Roman" w:cs="Times New Roman"/>
                <w:sz w:val="20"/>
                <w:szCs w:val="20"/>
              </w:rPr>
            </w:pPr>
            <w:r>
              <w:rPr>
                <w:sz w:val="20"/>
                <w:szCs w:val="20"/>
                <w:spacing w:val="10"/>
              </w:rPr>
              <w:t>废气收集系统排风罩开口面最远处的</w:t>
            </w:r>
            <w:r>
              <w:rPr>
                <w:rFonts w:ascii="Times New Roman" w:hAnsi="Times New Roman" w:eastAsia="Times New Roman" w:cs="Times New Roman"/>
                <w:sz w:val="20"/>
                <w:szCs w:val="20"/>
              </w:rPr>
              <w:t>VOCs</w:t>
            </w:r>
          </w:p>
          <w:p>
            <w:pPr>
              <w:pStyle w:val="TableText"/>
              <w:ind w:left="124"/>
              <w:spacing w:before="113" w:line="228" w:lineRule="auto"/>
              <w:rPr>
                <w:sz w:val="20"/>
                <w:szCs w:val="20"/>
              </w:rPr>
            </w:pPr>
            <w:r>
              <w:rPr>
                <w:sz w:val="20"/>
                <w:szCs w:val="20"/>
                <w:spacing w:val="8"/>
              </w:rPr>
              <w:t>无组织排放位置控制风速不低于</w:t>
            </w:r>
            <w:r>
              <w:rPr>
                <w:rFonts w:ascii="Times New Roman" w:hAnsi="Times New Roman" w:eastAsia="Times New Roman" w:cs="Times New Roman"/>
                <w:sz w:val="20"/>
                <w:szCs w:val="20"/>
                <w:spacing w:val="8"/>
              </w:rPr>
              <w:t>0.3m/s</w:t>
            </w:r>
            <w:r>
              <w:rPr>
                <w:sz w:val="20"/>
                <w:szCs w:val="20"/>
                <w:spacing w:val="7"/>
              </w:rPr>
              <w:t>；推</w:t>
            </w:r>
          </w:p>
          <w:p>
            <w:pPr>
              <w:pStyle w:val="TableText"/>
              <w:ind w:left="103"/>
              <w:spacing w:before="113" w:line="228" w:lineRule="auto"/>
              <w:rPr>
                <w:sz w:val="20"/>
                <w:szCs w:val="20"/>
              </w:rPr>
            </w:pPr>
            <w:r>
              <w:rPr>
                <w:sz w:val="20"/>
                <w:szCs w:val="20"/>
                <w:spacing w:val="8"/>
              </w:rPr>
              <w:t>广以生产线或设备为单位设置隔间，收集风</w:t>
            </w:r>
          </w:p>
          <w:p>
            <w:pPr>
              <w:pStyle w:val="TableText"/>
              <w:ind w:left="103"/>
              <w:spacing w:before="113" w:line="228" w:lineRule="auto"/>
              <w:rPr>
                <w:sz w:val="20"/>
                <w:szCs w:val="20"/>
              </w:rPr>
            </w:pPr>
            <w:r>
              <w:rPr>
                <w:sz w:val="20"/>
                <w:szCs w:val="20"/>
                <w:spacing w:val="8"/>
              </w:rPr>
              <w:t>量应确保隔间保持微负压。当废气产生点较</w:t>
            </w:r>
          </w:p>
          <w:p>
            <w:pPr>
              <w:pStyle w:val="TableText"/>
              <w:ind w:left="113"/>
              <w:spacing w:before="113" w:line="228" w:lineRule="auto"/>
              <w:rPr>
                <w:sz w:val="20"/>
                <w:szCs w:val="20"/>
              </w:rPr>
            </w:pPr>
            <w:r>
              <w:rPr>
                <w:sz w:val="20"/>
                <w:szCs w:val="20"/>
                <w:spacing w:val="7"/>
              </w:rPr>
              <w:t>多、彼此距离较远时，在满足设计规范、风</w:t>
            </w:r>
          </w:p>
          <w:p>
            <w:pPr>
              <w:pStyle w:val="TableText"/>
              <w:ind w:left="104"/>
              <w:spacing w:before="113" w:line="228" w:lineRule="auto"/>
              <w:rPr>
                <w:sz w:val="20"/>
                <w:szCs w:val="20"/>
              </w:rPr>
            </w:pPr>
            <w:r>
              <w:rPr>
                <w:sz w:val="20"/>
                <w:szCs w:val="20"/>
                <w:spacing w:val="8"/>
              </w:rPr>
              <w:t>压平衡的基础上，适当分设多套收集系统或</w:t>
            </w:r>
          </w:p>
          <w:p>
            <w:pPr>
              <w:pStyle w:val="TableText"/>
              <w:ind w:left="216"/>
              <w:spacing w:before="113" w:line="227" w:lineRule="auto"/>
              <w:rPr>
                <w:sz w:val="20"/>
                <w:szCs w:val="20"/>
              </w:rPr>
            </w:pPr>
            <w:r>
              <w:rPr>
                <w:sz w:val="20"/>
                <w:szCs w:val="20"/>
                <w:spacing w:val="8"/>
              </w:rPr>
              <w:t>中继风机。废气收集系统的输送管道应密</w:t>
            </w:r>
          </w:p>
          <w:p>
            <w:pPr>
              <w:pStyle w:val="TableText"/>
              <w:ind w:left="164"/>
              <w:spacing w:before="114" w:line="227" w:lineRule="auto"/>
              <w:rPr>
                <w:sz w:val="20"/>
                <w:szCs w:val="20"/>
              </w:rPr>
            </w:pPr>
            <w:r>
              <w:rPr>
                <w:sz w:val="20"/>
                <w:szCs w:val="20"/>
                <w:spacing w:val="9"/>
              </w:rPr>
              <w:t>闭、无破损。含</w:t>
            </w:r>
            <w:r>
              <w:rPr>
                <w:rFonts w:ascii="Times New Roman" w:hAnsi="Times New Roman" w:eastAsia="Times New Roman" w:cs="Times New Roman"/>
                <w:sz w:val="20"/>
                <w:szCs w:val="20"/>
              </w:rPr>
              <w:t>VOCs</w:t>
            </w:r>
            <w:r>
              <w:rPr>
                <w:sz w:val="20"/>
                <w:szCs w:val="20"/>
                <w:spacing w:val="9"/>
              </w:rPr>
              <w:t>物料输送原则上采用</w:t>
            </w:r>
          </w:p>
          <w:p>
            <w:pPr>
              <w:pStyle w:val="TableText"/>
              <w:ind w:left="104"/>
              <w:spacing w:before="114" w:line="228" w:lineRule="auto"/>
              <w:rPr>
                <w:sz w:val="20"/>
                <w:szCs w:val="20"/>
              </w:rPr>
            </w:pPr>
            <w:r>
              <w:rPr>
                <w:sz w:val="20"/>
                <w:szCs w:val="20"/>
                <w:spacing w:val="8"/>
              </w:rPr>
              <w:t>重力流或泵送方式；固体物料投加逐步推进</w:t>
            </w:r>
          </w:p>
          <w:p>
            <w:pPr>
              <w:pStyle w:val="TableText"/>
              <w:ind w:left="1036"/>
              <w:spacing w:before="113" w:line="207" w:lineRule="auto"/>
              <w:rPr>
                <w:sz w:val="20"/>
                <w:szCs w:val="20"/>
              </w:rPr>
            </w:pPr>
            <w:r>
              <w:rPr>
                <w:sz w:val="20"/>
                <w:szCs w:val="20"/>
                <w:spacing w:val="8"/>
              </w:rPr>
              <w:t>采用密闭式投料装置。</w:t>
            </w:r>
          </w:p>
        </w:tc>
        <w:tc>
          <w:tcPr>
            <w:tcW w:w="3006" w:type="dxa"/>
            <w:vAlign w:val="top"/>
          </w:tcPr>
          <w:p>
            <w:pPr>
              <w:pStyle w:val="TableText"/>
              <w:ind w:left="205"/>
              <w:spacing w:before="116" w:line="228" w:lineRule="auto"/>
              <w:rPr>
                <w:sz w:val="20"/>
                <w:szCs w:val="20"/>
              </w:rPr>
            </w:pPr>
            <w:r>
              <w:rPr>
                <w:sz w:val="20"/>
                <w:szCs w:val="20"/>
                <w:spacing w:val="11"/>
              </w:rPr>
              <w:t>项目产生</w:t>
            </w:r>
            <w:r>
              <w:rPr>
                <w:rFonts w:ascii="Times New Roman" w:hAnsi="Times New Roman" w:eastAsia="Times New Roman" w:cs="Times New Roman"/>
                <w:sz w:val="20"/>
                <w:szCs w:val="20"/>
              </w:rPr>
              <w:t>VOCs</w:t>
            </w:r>
            <w:r>
              <w:rPr>
                <w:sz w:val="20"/>
                <w:szCs w:val="20"/>
                <w:spacing w:val="11"/>
              </w:rPr>
              <w:t>的生产环节设</w:t>
            </w:r>
          </w:p>
          <w:p>
            <w:pPr>
              <w:pStyle w:val="TableText"/>
              <w:ind w:left="147"/>
              <w:spacing w:before="113" w:line="228" w:lineRule="auto"/>
              <w:rPr>
                <w:sz w:val="20"/>
                <w:szCs w:val="20"/>
              </w:rPr>
            </w:pPr>
            <w:r>
              <w:rPr>
                <w:sz w:val="20"/>
                <w:szCs w:val="20"/>
                <w:spacing w:val="9"/>
              </w:rPr>
              <w:t>置在生产车间内，运营期做好</w:t>
            </w:r>
          </w:p>
          <w:p>
            <w:pPr>
              <w:pStyle w:val="TableText"/>
              <w:ind w:left="152"/>
              <w:spacing w:before="113" w:line="228" w:lineRule="auto"/>
              <w:rPr>
                <w:sz w:val="20"/>
                <w:szCs w:val="20"/>
              </w:rPr>
            </w:pPr>
            <w:r>
              <w:rPr>
                <w:sz w:val="20"/>
                <w:szCs w:val="20"/>
                <w:spacing w:val="9"/>
              </w:rPr>
              <w:t>设备车间密闭，在密闭空间中</w:t>
            </w:r>
          </w:p>
          <w:p>
            <w:pPr>
              <w:pStyle w:val="TableText"/>
              <w:ind w:left="121"/>
              <w:spacing w:before="113" w:line="227" w:lineRule="auto"/>
              <w:rPr>
                <w:sz w:val="20"/>
                <w:szCs w:val="20"/>
              </w:rPr>
            </w:pPr>
            <w:r>
              <w:rPr>
                <w:sz w:val="20"/>
                <w:szCs w:val="20"/>
                <w:spacing w:val="8"/>
              </w:rPr>
              <w:t>操作</w:t>
            </w:r>
            <w:r>
              <w:rPr>
                <w:rFonts w:ascii="Times New Roman" w:hAnsi="Times New Roman" w:eastAsia="Times New Roman" w:cs="Times New Roman"/>
                <w:sz w:val="20"/>
                <w:szCs w:val="20"/>
                <w:spacing w:val="8"/>
              </w:rPr>
              <w:t>.</w:t>
            </w:r>
            <w:r>
              <w:rPr>
                <w:sz w:val="20"/>
                <w:szCs w:val="20"/>
                <w:spacing w:val="8"/>
              </w:rPr>
              <w:t>项目废气收集采用局部收</w:t>
            </w:r>
          </w:p>
          <w:p>
            <w:pPr>
              <w:pStyle w:val="TableText"/>
              <w:ind w:left="149"/>
              <w:spacing w:before="113" w:line="228" w:lineRule="auto"/>
              <w:rPr>
                <w:sz w:val="20"/>
                <w:szCs w:val="20"/>
              </w:rPr>
            </w:pPr>
            <w:r>
              <w:rPr>
                <w:sz w:val="20"/>
                <w:szCs w:val="20"/>
                <w:spacing w:val="9"/>
              </w:rPr>
              <w:t>集方式，废气收集系统排风罩</w:t>
            </w:r>
          </w:p>
          <w:p>
            <w:pPr>
              <w:pStyle w:val="TableText"/>
              <w:ind w:left="202"/>
              <w:spacing w:before="113" w:line="228" w:lineRule="auto"/>
              <w:rPr>
                <w:sz w:val="20"/>
                <w:szCs w:val="20"/>
              </w:rPr>
            </w:pPr>
            <w:r>
              <w:rPr>
                <w:sz w:val="20"/>
                <w:szCs w:val="20"/>
                <w:spacing w:val="11"/>
              </w:rPr>
              <w:t>开口面最远处的</w:t>
            </w:r>
            <w:r>
              <w:rPr>
                <w:rFonts w:ascii="Times New Roman" w:hAnsi="Times New Roman" w:eastAsia="Times New Roman" w:cs="Times New Roman"/>
                <w:sz w:val="20"/>
                <w:szCs w:val="20"/>
              </w:rPr>
              <w:t>VOCs</w:t>
            </w:r>
            <w:r>
              <w:rPr>
                <w:sz w:val="20"/>
                <w:szCs w:val="20"/>
                <w:spacing w:val="11"/>
              </w:rPr>
              <w:t>无组织</w:t>
            </w:r>
          </w:p>
          <w:p>
            <w:pPr>
              <w:pStyle w:val="TableText"/>
              <w:ind w:left="360"/>
              <w:spacing w:before="113" w:line="228" w:lineRule="auto"/>
              <w:rPr>
                <w:sz w:val="20"/>
                <w:szCs w:val="20"/>
              </w:rPr>
            </w:pPr>
            <w:r>
              <w:rPr>
                <w:sz w:val="20"/>
                <w:szCs w:val="20"/>
                <w:spacing w:val="9"/>
              </w:rPr>
              <w:t>排放位置控制风速不低于</w:t>
            </w:r>
          </w:p>
          <w:p>
            <w:pPr>
              <w:pStyle w:val="TableText"/>
              <w:ind w:left="114"/>
              <w:spacing w:before="112" w:line="228" w:lineRule="auto"/>
              <w:rPr>
                <w:sz w:val="20"/>
                <w:szCs w:val="20"/>
              </w:rPr>
            </w:pPr>
            <w:r>
              <w:rPr>
                <w:rFonts w:ascii="Times New Roman" w:hAnsi="Times New Roman" w:eastAsia="Times New Roman" w:cs="Times New Roman"/>
                <w:sz w:val="20"/>
                <w:szCs w:val="20"/>
                <w:spacing w:val="2"/>
              </w:rPr>
              <w:t>0.3m/s</w:t>
            </w:r>
            <w:r>
              <w:rPr>
                <w:sz w:val="20"/>
                <w:szCs w:val="20"/>
                <w:spacing w:val="2"/>
              </w:rPr>
              <w:t>；项目在一个密闭生产车</w:t>
            </w:r>
          </w:p>
          <w:p>
            <w:pPr>
              <w:pStyle w:val="TableText"/>
              <w:ind w:right="3"/>
              <w:spacing w:before="114" w:line="227" w:lineRule="auto"/>
              <w:jc w:val="right"/>
              <w:rPr>
                <w:sz w:val="20"/>
                <w:szCs w:val="20"/>
              </w:rPr>
            </w:pPr>
            <w:r>
              <w:rPr>
                <w:sz w:val="20"/>
                <w:szCs w:val="20"/>
                <w:spacing w:val="4"/>
              </w:rPr>
              <w:t>间内生产，已采取全密闭措施，</w:t>
            </w:r>
          </w:p>
          <w:p>
            <w:pPr>
              <w:pStyle w:val="TableText"/>
              <w:ind w:left="150"/>
              <w:spacing w:before="114" w:line="228" w:lineRule="auto"/>
              <w:rPr>
                <w:sz w:val="20"/>
                <w:szCs w:val="20"/>
              </w:rPr>
            </w:pPr>
            <w:r>
              <w:rPr>
                <w:sz w:val="20"/>
                <w:szCs w:val="20"/>
                <w:spacing w:val="9"/>
              </w:rPr>
              <w:t>经局部密闭式集气罩收集工段</w:t>
            </w:r>
          </w:p>
          <w:p>
            <w:pPr>
              <w:pStyle w:val="TableText"/>
              <w:ind w:left="256"/>
              <w:spacing w:before="113" w:line="228" w:lineRule="auto"/>
              <w:rPr>
                <w:sz w:val="20"/>
                <w:szCs w:val="20"/>
              </w:rPr>
            </w:pPr>
            <w:r>
              <w:rPr>
                <w:sz w:val="20"/>
                <w:szCs w:val="20"/>
                <w:spacing w:val="8"/>
              </w:rPr>
              <w:t>可确保废气收集在微负压状</w:t>
            </w:r>
          </w:p>
          <w:p>
            <w:pPr>
              <w:pStyle w:val="TableText"/>
              <w:ind w:left="149"/>
              <w:spacing w:before="113" w:line="228" w:lineRule="auto"/>
              <w:rPr>
                <w:sz w:val="20"/>
                <w:szCs w:val="20"/>
              </w:rPr>
            </w:pPr>
            <w:r>
              <w:rPr>
                <w:sz w:val="20"/>
                <w:szCs w:val="20"/>
                <w:spacing w:val="9"/>
              </w:rPr>
              <w:t>态。项目运营期企业应严格按</w:t>
            </w:r>
          </w:p>
          <w:p>
            <w:pPr>
              <w:pStyle w:val="TableText"/>
              <w:ind w:left="155"/>
              <w:spacing w:before="113" w:line="228" w:lineRule="auto"/>
              <w:rPr>
                <w:sz w:val="20"/>
                <w:szCs w:val="20"/>
              </w:rPr>
            </w:pPr>
            <w:r>
              <w:rPr>
                <w:sz w:val="20"/>
                <w:szCs w:val="20"/>
                <w:spacing w:val="8"/>
              </w:rPr>
              <w:t>照排查检查要点一一核查与检</w:t>
            </w:r>
          </w:p>
          <w:p>
            <w:pPr>
              <w:pStyle w:val="TableText"/>
              <w:ind w:left="148"/>
              <w:spacing w:before="113" w:line="228" w:lineRule="auto"/>
              <w:rPr>
                <w:sz w:val="20"/>
                <w:szCs w:val="20"/>
              </w:rPr>
            </w:pPr>
            <w:r>
              <w:rPr>
                <w:sz w:val="20"/>
                <w:szCs w:val="20"/>
                <w:spacing w:val="9"/>
              </w:rPr>
              <w:t>验，确保废气收集系统的输送</w:t>
            </w:r>
          </w:p>
          <w:p>
            <w:pPr>
              <w:pStyle w:val="TableText"/>
              <w:ind w:left="154"/>
              <w:spacing w:before="113" w:line="228" w:lineRule="auto"/>
              <w:rPr>
                <w:sz w:val="20"/>
                <w:szCs w:val="20"/>
              </w:rPr>
            </w:pPr>
            <w:r>
              <w:rPr>
                <w:sz w:val="20"/>
                <w:szCs w:val="20"/>
                <w:spacing w:val="8"/>
              </w:rPr>
              <w:t>管道应密闭、无破损；原料在</w:t>
            </w:r>
          </w:p>
          <w:p>
            <w:pPr>
              <w:pStyle w:val="TableText"/>
              <w:ind w:left="120"/>
              <w:spacing w:before="112" w:line="207" w:lineRule="auto"/>
              <w:rPr>
                <w:sz w:val="20"/>
                <w:szCs w:val="20"/>
              </w:rPr>
            </w:pPr>
            <w:r>
              <w:rPr>
                <w:sz w:val="20"/>
                <w:szCs w:val="20"/>
                <w:spacing w:val="10"/>
              </w:rPr>
              <w:t>常温状态下无</w:t>
            </w:r>
            <w:r>
              <w:rPr>
                <w:rFonts w:ascii="Times New Roman" w:hAnsi="Times New Roman" w:eastAsia="Times New Roman" w:cs="Times New Roman"/>
                <w:sz w:val="20"/>
                <w:szCs w:val="20"/>
              </w:rPr>
              <w:t>VOCs</w:t>
            </w:r>
            <w:r>
              <w:rPr>
                <w:sz w:val="20"/>
                <w:szCs w:val="20"/>
                <w:spacing w:val="10"/>
              </w:rPr>
              <w:t>废气排放。</w:t>
            </w:r>
          </w:p>
        </w:tc>
        <w:tc>
          <w:tcPr>
            <w:tcW w:w="690" w:type="dxa"/>
            <w:vAlign w:val="top"/>
            <w:tcBorders>
              <w:right w:val="single" w:color="000000" w:sz="10" w:space="0"/>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47"/>
              <w:spacing w:before="65" w:line="228" w:lineRule="auto"/>
              <w:rPr>
                <w:sz w:val="20"/>
                <w:szCs w:val="20"/>
              </w:rPr>
            </w:pPr>
            <w:r>
              <w:rPr>
                <w:sz w:val="20"/>
                <w:szCs w:val="20"/>
                <w:spacing w:val="3"/>
              </w:rPr>
              <w:t>符合</w:t>
            </w:r>
          </w:p>
        </w:tc>
      </w:tr>
      <w:tr>
        <w:trPr>
          <w:trHeight w:val="1104" w:hRule="atLeast"/>
        </w:trPr>
        <w:tc>
          <w:tcPr>
            <w:tcW w:w="648" w:type="dxa"/>
            <w:vAlign w:val="top"/>
            <w:tcBorders>
              <w:left w:val="single" w:color="000000" w:sz="10" w:space="0"/>
              <w:bottom w:val="single" w:color="000000" w:sz="10" w:space="0"/>
            </w:tcBorders>
          </w:tcPr>
          <w:p>
            <w:pPr>
              <w:pStyle w:val="TableText"/>
              <w:ind w:left="104" w:right="118" w:firstLine="2"/>
              <w:spacing w:before="131" w:line="296" w:lineRule="auto"/>
              <w:rPr>
                <w:sz w:val="20"/>
                <w:szCs w:val="20"/>
              </w:rPr>
            </w:pPr>
            <w:r>
              <w:rPr>
                <w:sz w:val="20"/>
                <w:szCs w:val="20"/>
                <w:spacing w:val="3"/>
              </w:rPr>
              <w:t>六、</w:t>
            </w:r>
            <w:r>
              <w:rPr>
                <w:sz w:val="20"/>
                <w:szCs w:val="20"/>
              </w:rPr>
              <w:t xml:space="preserve"> </w:t>
            </w:r>
            <w:r>
              <w:rPr>
                <w:sz w:val="20"/>
                <w:szCs w:val="20"/>
                <w:spacing w:val="5"/>
              </w:rPr>
              <w:t>有机</w:t>
            </w:r>
            <w:r>
              <w:rPr>
                <w:sz w:val="20"/>
                <w:szCs w:val="20"/>
              </w:rPr>
              <w:t xml:space="preserve"> </w:t>
            </w:r>
            <w:r>
              <w:rPr>
                <w:sz w:val="20"/>
                <w:szCs w:val="20"/>
                <w:spacing w:val="5"/>
              </w:rPr>
              <w:t>废气</w:t>
            </w:r>
          </w:p>
        </w:tc>
        <w:tc>
          <w:tcPr>
            <w:tcW w:w="4171" w:type="dxa"/>
            <w:vAlign w:val="top"/>
            <w:tcBorders>
              <w:bottom w:val="single" w:color="000000" w:sz="10" w:space="0"/>
            </w:tcBorders>
          </w:tcPr>
          <w:p>
            <w:pPr>
              <w:pStyle w:val="TableText"/>
              <w:ind w:left="103" w:right="105" w:hanging="1"/>
              <w:spacing w:before="131" w:line="296" w:lineRule="auto"/>
              <w:jc w:val="both"/>
              <w:rPr>
                <w:sz w:val="20"/>
                <w:szCs w:val="20"/>
              </w:rPr>
            </w:pPr>
            <w:r>
              <w:rPr>
                <w:sz w:val="20"/>
                <w:szCs w:val="20"/>
                <w:spacing w:val="8"/>
              </w:rPr>
              <w:t>存在的突出问题。生产设施和治理设施旁路</w:t>
            </w:r>
            <w:r>
              <w:rPr>
                <w:sz w:val="20"/>
                <w:szCs w:val="20"/>
                <w:spacing w:val="4"/>
              </w:rPr>
              <w:t xml:space="preserve"> </w:t>
            </w:r>
            <w:r>
              <w:rPr>
                <w:sz w:val="20"/>
                <w:szCs w:val="20"/>
                <w:spacing w:val="8"/>
              </w:rPr>
              <w:t>数量多、管线设置隐蔽，未将旁路纳入日常</w:t>
            </w:r>
            <w:r>
              <w:rPr>
                <w:sz w:val="20"/>
                <w:szCs w:val="20"/>
                <w:spacing w:val="2"/>
              </w:rPr>
              <w:t xml:space="preserve"> </w:t>
            </w:r>
            <w:r>
              <w:rPr>
                <w:sz w:val="20"/>
                <w:szCs w:val="20"/>
                <w:spacing w:val="8"/>
              </w:rPr>
              <w:t>监管，旁路烟道、阀门漏风严重，部分企业</w:t>
            </w:r>
          </w:p>
        </w:tc>
        <w:tc>
          <w:tcPr>
            <w:tcW w:w="3006" w:type="dxa"/>
            <w:vAlign w:val="top"/>
            <w:tcBorders>
              <w:bottom w:val="single" w:color="000000" w:sz="10" w:space="0"/>
            </w:tcBorders>
          </w:tcPr>
          <w:p>
            <w:pPr>
              <w:pStyle w:val="TableText"/>
              <w:ind w:left="149" w:right="131" w:firstLine="2"/>
              <w:spacing w:before="131" w:line="296" w:lineRule="auto"/>
              <w:jc w:val="both"/>
              <w:rPr>
                <w:sz w:val="20"/>
                <w:szCs w:val="20"/>
              </w:rPr>
            </w:pPr>
            <w:r>
              <w:rPr>
                <w:sz w:val="20"/>
                <w:szCs w:val="20"/>
                <w:spacing w:val="9"/>
              </w:rPr>
              <w:t>项目在主要产生废气工段设置</w:t>
            </w:r>
            <w:r>
              <w:rPr>
                <w:sz w:val="20"/>
                <w:szCs w:val="20"/>
              </w:rPr>
              <w:t xml:space="preserve"> </w:t>
            </w:r>
            <w:r>
              <w:rPr>
                <w:sz w:val="20"/>
                <w:szCs w:val="20"/>
                <w:spacing w:val="9"/>
              </w:rPr>
              <w:t>局部密闭式集气罩，无旁路废</w:t>
            </w:r>
            <w:r>
              <w:rPr>
                <w:sz w:val="20"/>
                <w:szCs w:val="20"/>
                <w:spacing w:val="1"/>
              </w:rPr>
              <w:t xml:space="preserve"> </w:t>
            </w:r>
            <w:r>
              <w:rPr>
                <w:sz w:val="20"/>
                <w:szCs w:val="20"/>
                <w:spacing w:val="9"/>
              </w:rPr>
              <w:t>气，项目运营期，企业应严格</w:t>
            </w:r>
          </w:p>
        </w:tc>
        <w:tc>
          <w:tcPr>
            <w:tcW w:w="690" w:type="dxa"/>
            <w:vAlign w:val="top"/>
            <w:tcBorders>
              <w:bottom w:val="single" w:color="000000" w:sz="10" w:space="0"/>
              <w:right w:val="single" w:color="000000" w:sz="10" w:space="0"/>
            </w:tcBorders>
          </w:tcPr>
          <w:p>
            <w:pPr>
              <w:spacing w:line="422" w:lineRule="auto"/>
              <w:rPr>
                <w:rFonts w:ascii="Arial"/>
                <w:sz w:val="21"/>
              </w:rPr>
            </w:pPr>
            <w:r/>
          </w:p>
          <w:p>
            <w:pPr>
              <w:pStyle w:val="TableText"/>
              <w:ind w:left="147"/>
              <w:spacing w:before="65" w:line="228" w:lineRule="auto"/>
              <w:rPr>
                <w:sz w:val="20"/>
                <w:szCs w:val="20"/>
              </w:rPr>
            </w:pPr>
            <w:r>
              <w:rPr>
                <w:sz w:val="20"/>
                <w:szCs w:val="20"/>
                <w:spacing w:val="3"/>
              </w:rPr>
              <w:t>符合</w:t>
            </w:r>
          </w:p>
        </w:tc>
      </w:tr>
    </w:tbl>
    <w:p>
      <w:pPr>
        <w:pStyle w:val="BodyText"/>
        <w:rPr/>
      </w:pPr>
      <w:r/>
    </w:p>
    <w:p>
      <w:pPr>
        <w:sectPr>
          <w:footerReference w:type="default" r:id="rId71"/>
          <w:pgSz w:w="11906" w:h="16839"/>
          <w:pgMar w:top="400" w:right="1682" w:bottom="1211" w:left="1682" w:header="0" w:footer="1049" w:gutter="0"/>
        </w:sectPr>
        <w:rPr/>
      </w:pPr>
    </w:p>
    <w:p>
      <w:pPr>
        <w:spacing w:before="19"/>
        <w:rPr/>
      </w:pPr>
      <w:r/>
    </w:p>
    <w:p>
      <w:pPr>
        <w:spacing w:before="19"/>
        <w:rPr/>
      </w:pPr>
      <w:r/>
    </w:p>
    <w:p>
      <w:pPr>
        <w:spacing w:before="18"/>
        <w:rPr/>
      </w:pPr>
      <w:r/>
    </w:p>
    <w:p>
      <w:pPr>
        <w:spacing w:before="18"/>
        <w:rPr/>
      </w:pPr>
      <w:r/>
    </w:p>
    <w:tbl>
      <w:tblPr>
        <w:tblStyle w:val="TableNormal"/>
        <w:tblW w:w="8515"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48"/>
        <w:gridCol w:w="4171"/>
        <w:gridCol w:w="3006"/>
        <w:gridCol w:w="690"/>
      </w:tblGrid>
      <w:tr>
        <w:trPr>
          <w:trHeight w:val="1427" w:hRule="atLeast"/>
        </w:trPr>
        <w:tc>
          <w:tcPr>
            <w:tcW w:w="648" w:type="dxa"/>
            <w:vAlign w:val="top"/>
            <w:vMerge w:val="restart"/>
            <w:tcBorders>
              <w:left w:val="single" w:color="000000" w:sz="10" w:space="0"/>
              <w:top w:val="single" w:color="000000" w:sz="10" w:space="0"/>
              <w:bottom w:val="nil"/>
            </w:tcBorders>
          </w:tcPr>
          <w:p>
            <w:pPr>
              <w:pStyle w:val="TableText"/>
              <w:ind w:left="109"/>
              <w:spacing w:before="93" w:line="228" w:lineRule="auto"/>
              <w:rPr>
                <w:sz w:val="20"/>
                <w:szCs w:val="20"/>
              </w:rPr>
            </w:pPr>
            <w:r>
              <w:rPr>
                <w:sz w:val="20"/>
                <w:szCs w:val="20"/>
                <w:spacing w:val="2"/>
              </w:rPr>
              <w:t>旁路</w:t>
            </w:r>
          </w:p>
        </w:tc>
        <w:tc>
          <w:tcPr>
            <w:tcW w:w="4171" w:type="dxa"/>
            <w:vAlign w:val="top"/>
            <w:tcBorders>
              <w:top w:val="single" w:color="000000" w:sz="10" w:space="0"/>
            </w:tcBorders>
          </w:tcPr>
          <w:p>
            <w:pPr>
              <w:pStyle w:val="TableText"/>
              <w:ind w:left="105" w:right="105" w:firstLine="21"/>
              <w:spacing w:before="95" w:line="297" w:lineRule="auto"/>
              <w:jc w:val="both"/>
              <w:rPr>
                <w:sz w:val="20"/>
                <w:szCs w:val="20"/>
              </w:rPr>
            </w:pPr>
            <w:r>
              <w:rPr>
                <w:sz w:val="20"/>
                <w:szCs w:val="20"/>
                <w:spacing w:val="7"/>
              </w:rPr>
              <w:t>以安全为由通过末端治理设施应急排口、治</w:t>
            </w:r>
            <w:r>
              <w:rPr>
                <w:sz w:val="20"/>
                <w:szCs w:val="20"/>
              </w:rPr>
              <w:t xml:space="preserve"> </w:t>
            </w:r>
            <w:r>
              <w:rPr>
                <w:sz w:val="20"/>
                <w:szCs w:val="20"/>
                <w:spacing w:val="8"/>
              </w:rPr>
              <w:t>理设施中间工序直排管线、焦炉热备烟囱等</w:t>
            </w:r>
            <w:r>
              <w:rPr>
                <w:sz w:val="20"/>
                <w:szCs w:val="20"/>
                <w:spacing w:val="2"/>
              </w:rPr>
              <w:t xml:space="preserve"> </w:t>
            </w:r>
            <w:r>
              <w:rPr>
                <w:sz w:val="20"/>
                <w:szCs w:val="20"/>
                <w:spacing w:val="8"/>
              </w:rPr>
              <w:t>直排、偷排，部分企业伪造旁路管理台账或</w:t>
            </w:r>
          </w:p>
          <w:p>
            <w:pPr>
              <w:pStyle w:val="TableText"/>
              <w:ind w:left="721"/>
              <w:spacing w:before="113" w:line="224" w:lineRule="auto"/>
              <w:rPr>
                <w:sz w:val="20"/>
                <w:szCs w:val="20"/>
              </w:rPr>
            </w:pPr>
            <w:r>
              <w:rPr>
                <w:sz w:val="20"/>
                <w:szCs w:val="20"/>
                <w:spacing w:val="8"/>
              </w:rPr>
              <w:t>篡改中控系统旁路开启参数。</w:t>
            </w:r>
          </w:p>
        </w:tc>
        <w:tc>
          <w:tcPr>
            <w:tcW w:w="3006" w:type="dxa"/>
            <w:vAlign w:val="top"/>
            <w:tcBorders>
              <w:top w:val="single" w:color="000000" w:sz="10" w:space="0"/>
            </w:tcBorders>
          </w:tcPr>
          <w:p>
            <w:pPr>
              <w:pStyle w:val="TableText"/>
              <w:ind w:left="150"/>
              <w:spacing w:before="93" w:line="228" w:lineRule="auto"/>
              <w:rPr>
                <w:sz w:val="20"/>
                <w:szCs w:val="20"/>
              </w:rPr>
            </w:pPr>
            <w:r>
              <w:rPr>
                <w:sz w:val="20"/>
                <w:szCs w:val="20"/>
                <w:spacing w:val="9"/>
              </w:rPr>
              <w:t>按照排查检查要点一一核查与</w:t>
            </w:r>
          </w:p>
          <w:p>
            <w:pPr>
              <w:pStyle w:val="TableText"/>
              <w:ind w:left="358" w:right="131" w:hanging="209"/>
              <w:spacing w:before="113" w:line="280" w:lineRule="auto"/>
              <w:rPr>
                <w:sz w:val="20"/>
                <w:szCs w:val="20"/>
              </w:rPr>
            </w:pPr>
            <w:r>
              <w:rPr>
                <w:sz w:val="20"/>
                <w:szCs w:val="20"/>
                <w:spacing w:val="9"/>
              </w:rPr>
              <w:t>检验，确保废气收集系统的输</w:t>
            </w:r>
            <w:r>
              <w:rPr>
                <w:sz w:val="20"/>
                <w:szCs w:val="20"/>
                <w:spacing w:val="2"/>
              </w:rPr>
              <w:t xml:space="preserve"> </w:t>
            </w:r>
            <w:r>
              <w:rPr>
                <w:sz w:val="20"/>
                <w:szCs w:val="20"/>
                <w:spacing w:val="8"/>
              </w:rPr>
              <w:t>送管道应密闭、无破损。</w:t>
            </w:r>
          </w:p>
        </w:tc>
        <w:tc>
          <w:tcPr>
            <w:tcW w:w="690" w:type="dxa"/>
            <w:vAlign w:val="top"/>
            <w:tcBorders>
              <w:right w:val="single" w:color="000000" w:sz="10" w:space="0"/>
              <w:top w:val="single" w:color="000000" w:sz="10" w:space="0"/>
            </w:tcBorders>
          </w:tcPr>
          <w:p>
            <w:pPr>
              <w:rPr>
                <w:rFonts w:ascii="Arial"/>
                <w:sz w:val="21"/>
              </w:rPr>
            </w:pPr>
            <w:r/>
          </w:p>
        </w:tc>
      </w:tr>
      <w:tr>
        <w:trPr>
          <w:trHeight w:val="5754" w:hRule="atLeast"/>
        </w:trPr>
        <w:tc>
          <w:tcPr>
            <w:tcW w:w="648" w:type="dxa"/>
            <w:vAlign w:val="top"/>
            <w:vMerge w:val="continue"/>
            <w:tcBorders>
              <w:left w:val="single" w:color="000000" w:sz="10" w:space="0"/>
              <w:top w:val="nil"/>
            </w:tcBorders>
          </w:tcPr>
          <w:p>
            <w:pPr>
              <w:rPr>
                <w:rFonts w:ascii="Arial"/>
                <w:sz w:val="21"/>
              </w:rPr>
            </w:pPr>
            <w:r/>
          </w:p>
        </w:tc>
        <w:tc>
          <w:tcPr>
            <w:tcW w:w="4171" w:type="dxa"/>
            <w:vAlign w:val="top"/>
          </w:tcPr>
          <w:p>
            <w:pPr>
              <w:pStyle w:val="TableText"/>
              <w:ind w:left="102" w:right="35" w:firstLine="5"/>
              <w:spacing w:before="109" w:line="325" w:lineRule="auto"/>
              <w:rPr>
                <w:sz w:val="20"/>
                <w:szCs w:val="20"/>
              </w:rPr>
            </w:pPr>
            <w:r>
              <w:rPr>
                <w:sz w:val="20"/>
                <w:szCs w:val="20"/>
                <w:spacing w:val="7"/>
              </w:rPr>
              <w:t>治理要求。对生产系统和治理设施旁路进行 </w:t>
            </w:r>
            <w:r>
              <w:rPr>
                <w:sz w:val="20"/>
                <w:szCs w:val="20"/>
                <w:spacing w:val="7"/>
              </w:rPr>
              <w:t>系统评估，除保障安全生产必须保留的应急 </w:t>
            </w:r>
            <w:r>
              <w:rPr>
                <w:sz w:val="20"/>
                <w:szCs w:val="20"/>
                <w:spacing w:val="7"/>
              </w:rPr>
              <w:t>类旁路外，应采取彻底拆除、切断、物理隔 </w:t>
            </w:r>
            <w:r>
              <w:rPr>
                <w:sz w:val="20"/>
                <w:szCs w:val="20"/>
                <w:spacing w:val="7"/>
              </w:rPr>
              <w:t>离等方式取缔旁路（含生产车间、生产装置 </w:t>
            </w:r>
            <w:r>
              <w:rPr>
                <w:sz w:val="20"/>
                <w:szCs w:val="20"/>
                <w:spacing w:val="7"/>
              </w:rPr>
              <w:t>建设的直排管线等）。对于确需保留的应急 </w:t>
            </w:r>
            <w:r>
              <w:rPr>
                <w:sz w:val="20"/>
                <w:szCs w:val="20"/>
                <w:spacing w:val="10"/>
              </w:rPr>
              <w:t>类旁路，企业应向当地生态环境部门报备，</w:t>
            </w:r>
            <w:r>
              <w:rPr>
                <w:sz w:val="20"/>
                <w:szCs w:val="20"/>
                <w:spacing w:val="6"/>
              </w:rPr>
              <w:t xml:space="preserve"> </w:t>
            </w:r>
            <w:r>
              <w:rPr>
                <w:sz w:val="20"/>
                <w:szCs w:val="20"/>
                <w:spacing w:val="7"/>
              </w:rPr>
              <w:t>在非紧急情况下保持关闭并铅封，通过安装 </w:t>
            </w:r>
            <w:r>
              <w:rPr>
                <w:sz w:val="20"/>
                <w:szCs w:val="20"/>
                <w:spacing w:val="7"/>
              </w:rPr>
              <w:t>自动监测设备、流量计等方式加强监管，并 </w:t>
            </w:r>
            <w:r>
              <w:rPr>
                <w:sz w:val="20"/>
                <w:szCs w:val="20"/>
                <w:spacing w:val="7"/>
              </w:rPr>
              <w:t>保存历史记录，开启后应及时向当地生态环 </w:t>
            </w:r>
            <w:r>
              <w:rPr>
                <w:sz w:val="20"/>
                <w:szCs w:val="20"/>
                <w:spacing w:val="7"/>
              </w:rPr>
              <w:t>境部门报告，做好台账记录；阀门腐蚀、损 </w:t>
            </w:r>
            <w:r>
              <w:rPr>
                <w:sz w:val="20"/>
                <w:szCs w:val="20"/>
                <w:spacing w:val="5"/>
              </w:rPr>
              <w:t>坏后应及时更换，鼓励选用泄漏率小于</w:t>
            </w:r>
            <w:r>
              <w:rPr>
                <w:rFonts w:ascii="Times New Roman" w:hAnsi="Times New Roman" w:eastAsia="Times New Roman" w:cs="Times New Roman"/>
                <w:sz w:val="20"/>
                <w:szCs w:val="20"/>
                <w:spacing w:val="5"/>
              </w:rPr>
              <w:t>0.5%  </w:t>
            </w:r>
            <w:r>
              <w:rPr>
                <w:sz w:val="20"/>
                <w:szCs w:val="20"/>
                <w:spacing w:val="7"/>
              </w:rPr>
              <w:t>的阀门；建设有中控系统的企业，鼓励在旁 </w:t>
            </w:r>
            <w:r>
              <w:rPr>
                <w:sz w:val="20"/>
                <w:szCs w:val="20"/>
                <w:spacing w:val="7"/>
              </w:rPr>
              <w:t>路设置感应式阀门，阀门开启状态、开度等 </w:t>
            </w:r>
            <w:r>
              <w:rPr>
                <w:sz w:val="20"/>
                <w:szCs w:val="20"/>
                <w:spacing w:val="6"/>
              </w:rPr>
              <w:t>信号接入中控系统，历史记录至少保存</w:t>
            </w:r>
            <w:r>
              <w:rPr>
                <w:rFonts w:ascii="Times New Roman" w:hAnsi="Times New Roman" w:eastAsia="Times New Roman" w:cs="Times New Roman"/>
                <w:sz w:val="20"/>
                <w:szCs w:val="20"/>
                <w:spacing w:val="6"/>
              </w:rPr>
              <w:t>5</w:t>
            </w:r>
            <w:r>
              <w:rPr>
                <w:sz w:val="20"/>
                <w:szCs w:val="20"/>
                <w:spacing w:val="6"/>
              </w:rPr>
              <w:t>年。</w:t>
            </w:r>
          </w:p>
          <w:p>
            <w:pPr>
              <w:pStyle w:val="TableText"/>
              <w:ind w:left="1249" w:right="105" w:hanging="1147"/>
              <w:spacing w:before="114" w:line="273" w:lineRule="auto"/>
              <w:rPr>
                <w:sz w:val="20"/>
                <w:szCs w:val="20"/>
              </w:rPr>
            </w:pPr>
            <w:r>
              <w:rPr>
                <w:sz w:val="20"/>
                <w:szCs w:val="20"/>
                <w:spacing w:val="8"/>
              </w:rPr>
              <w:t>在保证安全的前提下，鼓励对旁路废气进行</w:t>
            </w:r>
            <w:r>
              <w:rPr>
                <w:sz w:val="20"/>
                <w:szCs w:val="20"/>
                <w:spacing w:val="4"/>
              </w:rPr>
              <w:t xml:space="preserve"> </w:t>
            </w:r>
            <w:r>
              <w:rPr>
                <w:sz w:val="20"/>
                <w:szCs w:val="20"/>
                <w:spacing w:val="7"/>
              </w:rPr>
              <w:t>处理，防止直排。</w:t>
            </w:r>
          </w:p>
        </w:tc>
        <w:tc>
          <w:tcPr>
            <w:tcW w:w="3006" w:type="dxa"/>
            <w:vAlign w:val="top"/>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48" w:right="131" w:firstLine="4"/>
              <w:spacing w:before="65" w:line="317" w:lineRule="auto"/>
              <w:rPr>
                <w:sz w:val="20"/>
                <w:szCs w:val="20"/>
              </w:rPr>
            </w:pPr>
            <w:r>
              <w:rPr>
                <w:sz w:val="20"/>
                <w:szCs w:val="20"/>
                <w:spacing w:val="9"/>
              </w:rPr>
              <w:t>项目运营期企业应严格按照排</w:t>
            </w:r>
            <w:r>
              <w:rPr>
                <w:sz w:val="20"/>
                <w:szCs w:val="20"/>
              </w:rPr>
              <w:t xml:space="preserve"> </w:t>
            </w:r>
            <w:r>
              <w:rPr>
                <w:sz w:val="20"/>
                <w:szCs w:val="20"/>
                <w:spacing w:val="9"/>
              </w:rPr>
              <w:t>查检查要点一一核查与检验，</w:t>
            </w:r>
            <w:r>
              <w:rPr>
                <w:sz w:val="20"/>
                <w:szCs w:val="20"/>
                <w:spacing w:val="3"/>
              </w:rPr>
              <w:t xml:space="preserve"> </w:t>
            </w:r>
            <w:r>
              <w:rPr>
                <w:sz w:val="20"/>
                <w:szCs w:val="20"/>
                <w:spacing w:val="9"/>
              </w:rPr>
              <w:t>确保废气收集系统的输送管道</w:t>
            </w:r>
            <w:r>
              <w:rPr>
                <w:sz w:val="20"/>
                <w:szCs w:val="20"/>
                <w:spacing w:val="3"/>
              </w:rPr>
              <w:t xml:space="preserve"> </w:t>
            </w:r>
            <w:r>
              <w:rPr>
                <w:sz w:val="20"/>
                <w:szCs w:val="20"/>
                <w:spacing w:val="9"/>
              </w:rPr>
              <w:t>应密闭、无破损；严格按照文</w:t>
            </w:r>
            <w:r>
              <w:rPr>
                <w:sz w:val="20"/>
                <w:szCs w:val="20"/>
                <w:spacing w:val="3"/>
              </w:rPr>
              <w:t xml:space="preserve"> </w:t>
            </w:r>
            <w:r>
              <w:rPr>
                <w:sz w:val="20"/>
                <w:szCs w:val="20"/>
                <w:spacing w:val="9"/>
              </w:rPr>
              <w:t>件中要求建设，项目不设置应</w:t>
            </w:r>
            <w:r>
              <w:rPr>
                <w:sz w:val="20"/>
                <w:szCs w:val="20"/>
                <w:spacing w:val="3"/>
              </w:rPr>
              <w:t xml:space="preserve"> </w:t>
            </w:r>
            <w:r>
              <w:rPr>
                <w:sz w:val="20"/>
                <w:szCs w:val="20"/>
                <w:spacing w:val="9"/>
              </w:rPr>
              <w:t>急类旁路，在确需设置情况，</w:t>
            </w:r>
            <w:r>
              <w:rPr>
                <w:sz w:val="20"/>
                <w:szCs w:val="20"/>
                <w:spacing w:val="3"/>
              </w:rPr>
              <w:t xml:space="preserve"> </w:t>
            </w:r>
            <w:r>
              <w:rPr>
                <w:sz w:val="20"/>
                <w:szCs w:val="20"/>
                <w:spacing w:val="9"/>
              </w:rPr>
              <w:t>严格按照治理要求做好报备和</w:t>
            </w:r>
          </w:p>
          <w:p>
            <w:pPr>
              <w:pStyle w:val="TableText"/>
              <w:ind w:left="988"/>
              <w:spacing w:before="113" w:line="228" w:lineRule="auto"/>
              <w:rPr>
                <w:sz w:val="20"/>
                <w:szCs w:val="20"/>
              </w:rPr>
            </w:pPr>
            <w:r>
              <w:rPr>
                <w:sz w:val="20"/>
                <w:szCs w:val="20"/>
                <w:spacing w:val="6"/>
              </w:rPr>
              <w:t>记录工作。</w:t>
            </w:r>
          </w:p>
        </w:tc>
        <w:tc>
          <w:tcPr>
            <w:tcW w:w="690" w:type="dxa"/>
            <w:vAlign w:val="top"/>
            <w:tcBorders>
              <w:right w:val="single" w:color="000000" w:sz="10" w:space="0"/>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pStyle w:val="TableText"/>
              <w:ind w:left="147"/>
              <w:spacing w:before="65" w:line="228" w:lineRule="auto"/>
              <w:rPr>
                <w:sz w:val="20"/>
                <w:szCs w:val="20"/>
              </w:rPr>
            </w:pPr>
            <w:r>
              <w:rPr>
                <w:sz w:val="20"/>
                <w:szCs w:val="20"/>
                <w:spacing w:val="3"/>
              </w:rPr>
              <w:t>符合</w:t>
            </w:r>
          </w:p>
        </w:tc>
      </w:tr>
      <w:tr>
        <w:trPr>
          <w:trHeight w:val="2161" w:hRule="atLeast"/>
        </w:trPr>
        <w:tc>
          <w:tcPr>
            <w:tcW w:w="648" w:type="dxa"/>
            <w:vAlign w:val="top"/>
            <w:vMerge w:val="restart"/>
            <w:tcBorders>
              <w:left w:val="single" w:color="000000" w:sz="10" w:space="0"/>
              <w:bottom w:val="nil"/>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104" w:right="118"/>
              <w:spacing w:before="65" w:line="312" w:lineRule="auto"/>
              <w:rPr>
                <w:sz w:val="20"/>
                <w:szCs w:val="20"/>
              </w:rPr>
            </w:pPr>
            <w:r>
              <w:rPr>
                <w:sz w:val="20"/>
                <w:szCs w:val="20"/>
                <w:spacing w:val="5"/>
              </w:rPr>
              <w:t>七、</w:t>
            </w:r>
            <w:r>
              <w:rPr>
                <w:sz w:val="20"/>
                <w:szCs w:val="20"/>
              </w:rPr>
              <w:t xml:space="preserve"> </w:t>
            </w:r>
            <w:r>
              <w:rPr>
                <w:sz w:val="20"/>
                <w:szCs w:val="20"/>
                <w:spacing w:val="5"/>
              </w:rPr>
              <w:t>有机</w:t>
            </w:r>
            <w:r>
              <w:rPr>
                <w:sz w:val="20"/>
                <w:szCs w:val="20"/>
              </w:rPr>
              <w:t xml:space="preserve"> </w:t>
            </w:r>
            <w:r>
              <w:rPr>
                <w:sz w:val="20"/>
                <w:szCs w:val="20"/>
                <w:spacing w:val="5"/>
              </w:rPr>
              <w:t>废气</w:t>
            </w:r>
            <w:r>
              <w:rPr>
                <w:sz w:val="20"/>
                <w:szCs w:val="20"/>
              </w:rPr>
              <w:t xml:space="preserve"> </w:t>
            </w:r>
            <w:r>
              <w:rPr>
                <w:sz w:val="20"/>
                <w:szCs w:val="20"/>
                <w:spacing w:val="5"/>
              </w:rPr>
              <w:t>治理</w:t>
            </w:r>
            <w:r>
              <w:rPr>
                <w:sz w:val="20"/>
                <w:szCs w:val="20"/>
              </w:rPr>
              <w:t xml:space="preserve"> </w:t>
            </w:r>
            <w:r>
              <w:rPr>
                <w:sz w:val="20"/>
                <w:szCs w:val="20"/>
                <w:spacing w:val="5"/>
              </w:rPr>
              <w:t>设施</w:t>
            </w:r>
          </w:p>
        </w:tc>
        <w:tc>
          <w:tcPr>
            <w:tcW w:w="4171" w:type="dxa"/>
            <w:vAlign w:val="top"/>
          </w:tcPr>
          <w:p>
            <w:pPr>
              <w:pStyle w:val="TableText"/>
              <w:ind w:left="104" w:right="105" w:hanging="2"/>
              <w:spacing w:before="122" w:line="306" w:lineRule="auto"/>
              <w:rPr>
                <w:sz w:val="20"/>
                <w:szCs w:val="20"/>
              </w:rPr>
            </w:pPr>
            <w:r>
              <w:rPr>
                <w:sz w:val="20"/>
                <w:szCs w:val="20"/>
                <w:spacing w:val="8"/>
              </w:rPr>
              <w:t>存在的突出问题。治理设施设计不规范、与</w:t>
            </w:r>
            <w:r>
              <w:rPr>
                <w:sz w:val="20"/>
                <w:szCs w:val="20"/>
                <w:spacing w:val="4"/>
              </w:rPr>
              <w:t xml:space="preserve"> </w:t>
            </w:r>
            <w:r>
              <w:rPr>
                <w:sz w:val="20"/>
                <w:szCs w:val="20"/>
                <w:spacing w:val="8"/>
              </w:rPr>
              <w:t>生产系统不匹配；光催化、光氧化、低温等</w:t>
            </w:r>
            <w:r>
              <w:rPr>
                <w:sz w:val="20"/>
                <w:szCs w:val="20"/>
                <w:spacing w:val="2"/>
              </w:rPr>
              <w:t xml:space="preserve"> </w:t>
            </w:r>
            <w:r>
              <w:rPr>
                <w:sz w:val="20"/>
                <w:szCs w:val="20"/>
                <w:spacing w:val="8"/>
              </w:rPr>
              <w:t>离子等低效技术使用占比大、治理效果差；</w:t>
            </w:r>
            <w:r>
              <w:rPr>
                <w:sz w:val="20"/>
                <w:szCs w:val="20"/>
                <w:spacing w:val="2"/>
              </w:rPr>
              <w:t xml:space="preserve"> </w:t>
            </w:r>
            <w:r>
              <w:rPr>
                <w:sz w:val="20"/>
                <w:szCs w:val="20"/>
                <w:spacing w:val="8"/>
              </w:rPr>
              <w:t>治理设施建设质量良莠不齐，应付治理、无</w:t>
            </w:r>
          </w:p>
          <w:p>
            <w:pPr>
              <w:pStyle w:val="TableText"/>
              <w:ind w:left="108"/>
              <w:spacing w:before="113" w:line="228" w:lineRule="auto"/>
              <w:rPr>
                <w:sz w:val="20"/>
                <w:szCs w:val="20"/>
              </w:rPr>
            </w:pPr>
            <w:r>
              <w:rPr>
                <w:sz w:val="20"/>
                <w:szCs w:val="20"/>
                <w:spacing w:val="8"/>
              </w:rPr>
              <w:t>效治理等现象突出；治理设施运行不规范，</w:t>
            </w:r>
          </w:p>
          <w:p>
            <w:pPr>
              <w:pStyle w:val="TableText"/>
              <w:ind w:left="1250"/>
              <w:spacing w:before="113" w:line="211" w:lineRule="auto"/>
              <w:rPr>
                <w:sz w:val="20"/>
                <w:szCs w:val="20"/>
              </w:rPr>
            </w:pPr>
            <w:r>
              <w:rPr>
                <w:sz w:val="20"/>
                <w:szCs w:val="20"/>
                <w:spacing w:val="6"/>
              </w:rPr>
              <w:t>定期维护不到位。</w:t>
            </w:r>
          </w:p>
        </w:tc>
        <w:tc>
          <w:tcPr>
            <w:tcW w:w="3006" w:type="dxa"/>
            <w:vAlign w:val="top"/>
          </w:tcPr>
          <w:p>
            <w:pPr>
              <w:pStyle w:val="TableText"/>
              <w:ind w:left="123" w:right="95" w:firstLine="28"/>
              <w:spacing w:before="302" w:line="306" w:lineRule="auto"/>
              <w:rPr>
                <w:sz w:val="20"/>
                <w:szCs w:val="20"/>
              </w:rPr>
            </w:pPr>
            <w:r>
              <w:rPr>
                <w:sz w:val="20"/>
                <w:szCs w:val="20"/>
                <w:spacing w:val="9"/>
              </w:rPr>
              <w:t>项目废气治理措施采用活性炭</w:t>
            </w:r>
            <w:r>
              <w:rPr>
                <w:sz w:val="20"/>
                <w:szCs w:val="20"/>
              </w:rPr>
              <w:t xml:space="preserve"> </w:t>
            </w:r>
            <w:r>
              <w:rPr>
                <w:sz w:val="20"/>
                <w:szCs w:val="20"/>
                <w:spacing w:val="4"/>
              </w:rPr>
              <w:t>吸附</w:t>
            </w:r>
            <w:r>
              <w:rPr>
                <w:rFonts w:ascii="Times New Roman" w:hAnsi="Times New Roman" w:eastAsia="Times New Roman" w:cs="Times New Roman"/>
                <w:sz w:val="20"/>
                <w:szCs w:val="20"/>
                <w:spacing w:val="4"/>
              </w:rPr>
              <w:t>+</w:t>
            </w:r>
            <w:r>
              <w:rPr>
                <w:sz w:val="20"/>
                <w:szCs w:val="20"/>
                <w:spacing w:val="4"/>
              </w:rPr>
              <w:t>直接催化燃烧法工艺，未</w:t>
            </w:r>
            <w:r>
              <w:rPr>
                <w:sz w:val="20"/>
                <w:szCs w:val="20"/>
                <w:spacing w:val="12"/>
              </w:rPr>
              <w:t xml:space="preserve"> </w:t>
            </w:r>
            <w:r>
              <w:rPr>
                <w:sz w:val="20"/>
                <w:szCs w:val="20"/>
                <w:spacing w:val="12"/>
              </w:rPr>
              <w:t>使用文件中提出的低效技术，</w:t>
            </w:r>
            <w:r>
              <w:rPr>
                <w:sz w:val="20"/>
                <w:szCs w:val="20"/>
                <w:spacing w:val="5"/>
              </w:rPr>
              <w:t xml:space="preserve"> </w:t>
            </w:r>
            <w:r>
              <w:rPr>
                <w:sz w:val="20"/>
                <w:szCs w:val="20"/>
                <w:spacing w:val="11"/>
              </w:rPr>
              <w:t>项目运营阶段做好规范运行和</w:t>
            </w:r>
          </w:p>
          <w:p>
            <w:pPr>
              <w:pStyle w:val="TableText"/>
              <w:ind w:left="785"/>
              <w:spacing w:before="113" w:line="228" w:lineRule="auto"/>
              <w:rPr>
                <w:sz w:val="20"/>
                <w:szCs w:val="20"/>
              </w:rPr>
            </w:pPr>
            <w:r>
              <w:rPr>
                <w:sz w:val="20"/>
                <w:szCs w:val="20"/>
                <w:spacing w:val="6"/>
              </w:rPr>
              <w:t>定期维护工作。</w:t>
            </w:r>
          </w:p>
        </w:tc>
        <w:tc>
          <w:tcPr>
            <w:tcW w:w="690" w:type="dxa"/>
            <w:vAlign w:val="top"/>
            <w:tcBorders>
              <w:right w:val="single" w:color="000000" w:sz="10" w:space="0"/>
            </w:tcBorders>
          </w:tcPr>
          <w:p>
            <w:pPr>
              <w:spacing w:line="317" w:lineRule="auto"/>
              <w:rPr>
                <w:rFonts w:ascii="Arial"/>
                <w:sz w:val="21"/>
              </w:rPr>
            </w:pPr>
            <w:r/>
          </w:p>
          <w:p>
            <w:pPr>
              <w:spacing w:line="317" w:lineRule="auto"/>
              <w:rPr>
                <w:rFonts w:ascii="Arial"/>
                <w:sz w:val="21"/>
              </w:rPr>
            </w:pPr>
            <w:r/>
          </w:p>
          <w:p>
            <w:pPr>
              <w:spacing w:line="317" w:lineRule="auto"/>
              <w:rPr>
                <w:rFonts w:ascii="Arial"/>
                <w:sz w:val="21"/>
              </w:rPr>
            </w:pPr>
            <w:r/>
          </w:p>
          <w:p>
            <w:pPr>
              <w:pStyle w:val="TableText"/>
              <w:ind w:left="147"/>
              <w:spacing w:before="65" w:line="228" w:lineRule="auto"/>
              <w:rPr>
                <w:sz w:val="20"/>
                <w:szCs w:val="20"/>
              </w:rPr>
            </w:pPr>
            <w:r>
              <w:rPr>
                <w:sz w:val="20"/>
                <w:szCs w:val="20"/>
                <w:spacing w:val="3"/>
              </w:rPr>
              <w:t>符合</w:t>
            </w:r>
          </w:p>
        </w:tc>
      </w:tr>
      <w:tr>
        <w:trPr>
          <w:trHeight w:val="4339" w:hRule="atLeast"/>
        </w:trPr>
        <w:tc>
          <w:tcPr>
            <w:tcW w:w="648" w:type="dxa"/>
            <w:vAlign w:val="top"/>
            <w:vMerge w:val="continue"/>
            <w:tcBorders>
              <w:left w:val="single" w:color="000000" w:sz="10" w:space="0"/>
              <w:bottom w:val="single" w:color="000000" w:sz="10" w:space="0"/>
              <w:top w:val="nil"/>
            </w:tcBorders>
          </w:tcPr>
          <w:p>
            <w:pPr>
              <w:rPr>
                <w:rFonts w:ascii="Arial"/>
                <w:sz w:val="21"/>
              </w:rPr>
            </w:pPr>
            <w:r/>
          </w:p>
        </w:tc>
        <w:tc>
          <w:tcPr>
            <w:tcW w:w="4171" w:type="dxa"/>
            <w:vAlign w:val="top"/>
            <w:tcBorders>
              <w:bottom w:val="single" w:color="000000" w:sz="10" w:space="0"/>
            </w:tcBorders>
          </w:tcPr>
          <w:p>
            <w:pPr>
              <w:pStyle w:val="TableText"/>
              <w:ind w:left="102" w:right="35" w:firstLine="5"/>
              <w:spacing w:before="124" w:line="315" w:lineRule="auto"/>
              <w:jc w:val="both"/>
              <w:rPr>
                <w:sz w:val="20"/>
                <w:szCs w:val="20"/>
              </w:rPr>
            </w:pPr>
            <w:r>
              <w:rPr>
                <w:sz w:val="20"/>
                <w:szCs w:val="20"/>
                <w:spacing w:val="7"/>
              </w:rPr>
              <w:t>治理要求。新建治理设施或对现有治理设施 </w:t>
            </w:r>
            <w:r>
              <w:rPr>
                <w:sz w:val="20"/>
                <w:szCs w:val="20"/>
                <w:spacing w:val="13"/>
              </w:rPr>
              <w:t>实施改造，应依据排放废气特征、</w:t>
            </w:r>
            <w:r>
              <w:rPr>
                <w:rFonts w:ascii="Times New Roman" w:hAnsi="Times New Roman" w:eastAsia="Times New Roman" w:cs="Times New Roman"/>
                <w:sz w:val="20"/>
                <w:szCs w:val="20"/>
              </w:rPr>
              <w:t>VOCs</w:t>
            </w:r>
            <w:r>
              <w:rPr>
                <w:sz w:val="20"/>
                <w:szCs w:val="20"/>
                <w:spacing w:val="13"/>
              </w:rPr>
              <w:t>组</w:t>
            </w:r>
            <w:r>
              <w:rPr>
                <w:sz w:val="20"/>
                <w:szCs w:val="20"/>
                <w:spacing w:val="3"/>
              </w:rPr>
              <w:t xml:space="preserve">  </w:t>
            </w:r>
            <w:r>
              <w:rPr>
                <w:sz w:val="20"/>
                <w:szCs w:val="20"/>
                <w:spacing w:val="1"/>
              </w:rPr>
              <w:t>分及浓度、生产工况等，合理选择治理技术；</w:t>
            </w:r>
            <w:r>
              <w:rPr>
                <w:sz w:val="20"/>
                <w:szCs w:val="20"/>
                <w:spacing w:val="7"/>
              </w:rPr>
              <w:t xml:space="preserve"> </w:t>
            </w:r>
            <w:r>
              <w:rPr>
                <w:sz w:val="20"/>
                <w:szCs w:val="20"/>
                <w:spacing w:val="7"/>
              </w:rPr>
              <w:t>对治理难度大、单一治理工艺难以稳定达标 </w:t>
            </w:r>
            <w:r>
              <w:rPr>
                <w:sz w:val="20"/>
                <w:szCs w:val="20"/>
                <w:spacing w:val="7"/>
              </w:rPr>
              <w:t>的，宜采用多种技术的组合工艺；除恶臭异 </w:t>
            </w:r>
            <w:r>
              <w:rPr>
                <w:sz w:val="20"/>
                <w:szCs w:val="20"/>
                <w:spacing w:val="1"/>
              </w:rPr>
              <w:t>味治理外，一般不使用低温等离子、光催化、</w:t>
            </w:r>
          </w:p>
          <w:p>
            <w:pPr>
              <w:pStyle w:val="TableText"/>
              <w:ind w:left="1353"/>
              <w:spacing w:before="113" w:line="227" w:lineRule="auto"/>
              <w:rPr>
                <w:sz w:val="20"/>
                <w:szCs w:val="20"/>
              </w:rPr>
            </w:pPr>
            <w:r>
              <w:rPr>
                <w:sz w:val="20"/>
                <w:szCs w:val="20"/>
                <w:spacing w:val="6"/>
              </w:rPr>
              <w:t>光氧化等技术。</w:t>
            </w:r>
          </w:p>
          <w:p>
            <w:pPr>
              <w:pStyle w:val="TableText"/>
              <w:ind w:left="103" w:right="105"/>
              <w:spacing w:before="112" w:line="311" w:lineRule="auto"/>
              <w:jc w:val="both"/>
              <w:rPr>
                <w:sz w:val="20"/>
                <w:szCs w:val="20"/>
              </w:rPr>
            </w:pPr>
            <w:r>
              <w:rPr>
                <w:sz w:val="20"/>
                <w:szCs w:val="20"/>
                <w:spacing w:val="8"/>
              </w:rPr>
              <w:t>加强运行维护管理，做到治理设施较生产设</w:t>
            </w:r>
            <w:r>
              <w:rPr>
                <w:sz w:val="20"/>
                <w:szCs w:val="20"/>
                <w:spacing w:val="3"/>
              </w:rPr>
              <w:t xml:space="preserve"> </w:t>
            </w:r>
            <w:r>
              <w:rPr>
                <w:sz w:val="20"/>
                <w:szCs w:val="20"/>
                <w:spacing w:val="6"/>
              </w:rPr>
              <w:t>备“先启后停</w:t>
            </w:r>
            <w:r>
              <w:rPr>
                <w:sz w:val="20"/>
                <w:szCs w:val="20"/>
                <w:spacing w:val="-60"/>
              </w:rPr>
              <w:t xml:space="preserve"> </w:t>
            </w:r>
            <w:r>
              <w:rPr>
                <w:sz w:val="20"/>
                <w:szCs w:val="20"/>
                <w:spacing w:val="6"/>
              </w:rPr>
              <w:t>”，在治理设施达到正常运行</w:t>
            </w:r>
            <w:r>
              <w:rPr>
                <w:sz w:val="20"/>
                <w:szCs w:val="20"/>
              </w:rPr>
              <w:t xml:space="preserve"> </w:t>
            </w:r>
            <w:r>
              <w:rPr>
                <w:sz w:val="20"/>
                <w:szCs w:val="20"/>
                <w:spacing w:val="14"/>
              </w:rPr>
              <w:t>条件后方可启动生产设备，在生产设备停</w:t>
            </w:r>
            <w:r>
              <w:rPr>
                <w:sz w:val="20"/>
                <w:szCs w:val="20"/>
                <w:spacing w:val="4"/>
              </w:rPr>
              <w:t xml:space="preserve">  </w:t>
            </w:r>
            <w:r>
              <w:rPr>
                <w:sz w:val="20"/>
                <w:szCs w:val="20"/>
                <w:spacing w:val="13"/>
              </w:rPr>
              <w:t>止、残留</w:t>
            </w:r>
            <w:r>
              <w:rPr>
                <w:rFonts w:ascii="Times New Roman" w:hAnsi="Times New Roman" w:eastAsia="Times New Roman" w:cs="Times New Roman"/>
                <w:sz w:val="20"/>
                <w:szCs w:val="20"/>
              </w:rPr>
              <w:t>VOCs</w:t>
            </w:r>
            <w:r>
              <w:rPr>
                <w:sz w:val="20"/>
                <w:szCs w:val="20"/>
                <w:spacing w:val="13"/>
              </w:rPr>
              <w:t>废气收集处理完毕后，方可</w:t>
            </w:r>
            <w:r>
              <w:rPr>
                <w:sz w:val="20"/>
                <w:szCs w:val="20"/>
                <w:spacing w:val="6"/>
              </w:rPr>
              <w:t xml:space="preserve"> </w:t>
            </w:r>
            <w:r>
              <w:rPr>
                <w:sz w:val="20"/>
                <w:szCs w:val="20"/>
                <w:spacing w:val="8"/>
              </w:rPr>
              <w:t>停运治理设施；及时清理、更换吸附剂、吸</w:t>
            </w:r>
          </w:p>
        </w:tc>
        <w:tc>
          <w:tcPr>
            <w:tcW w:w="3006" w:type="dxa"/>
            <w:vAlign w:val="top"/>
            <w:tcBorders>
              <w:bottom w:val="single" w:color="000000" w:sz="10" w:space="0"/>
            </w:tcBorders>
          </w:tcPr>
          <w:p>
            <w:pPr>
              <w:pStyle w:val="TableText"/>
              <w:ind w:left="118" w:right="97" w:firstLine="33"/>
              <w:spacing w:before="130" w:line="323" w:lineRule="auto"/>
              <w:rPr>
                <w:sz w:val="20"/>
                <w:szCs w:val="20"/>
              </w:rPr>
            </w:pPr>
            <w:r>
              <w:rPr>
                <w:sz w:val="20"/>
                <w:szCs w:val="20"/>
                <w:spacing w:val="9"/>
              </w:rPr>
              <w:t>项目废气治理措施采用“活性</w:t>
            </w:r>
            <w:r>
              <w:rPr>
                <w:sz w:val="20"/>
                <w:szCs w:val="20"/>
              </w:rPr>
              <w:t xml:space="preserve"> </w:t>
            </w:r>
            <w:r>
              <w:rPr>
                <w:sz w:val="20"/>
                <w:szCs w:val="20"/>
                <w:spacing w:val="11"/>
              </w:rPr>
              <w:t>炭吸附</w:t>
            </w:r>
            <w:r>
              <w:rPr>
                <w:rFonts w:ascii="Times New Roman" w:hAnsi="Times New Roman" w:eastAsia="Times New Roman" w:cs="Times New Roman"/>
                <w:sz w:val="20"/>
                <w:szCs w:val="20"/>
                <w:spacing w:val="11"/>
              </w:rPr>
              <w:t>+</w:t>
            </w:r>
            <w:r>
              <w:rPr>
                <w:sz w:val="20"/>
                <w:szCs w:val="20"/>
                <w:spacing w:val="11"/>
              </w:rPr>
              <w:t>直接催化燃烧法</w:t>
            </w:r>
            <w:r>
              <w:rPr>
                <w:sz w:val="20"/>
                <w:szCs w:val="20"/>
                <w:spacing w:val="-64"/>
              </w:rPr>
              <w:t xml:space="preserve"> </w:t>
            </w:r>
            <w:r>
              <w:rPr>
                <w:sz w:val="20"/>
                <w:szCs w:val="20"/>
                <w:spacing w:val="11"/>
              </w:rPr>
              <w:t>”技 </w:t>
            </w:r>
            <w:r>
              <w:rPr>
                <w:sz w:val="20"/>
                <w:szCs w:val="20"/>
                <w:spacing w:val="11"/>
              </w:rPr>
              <w:t>术，符合文件中“宜采用多种</w:t>
            </w:r>
            <w:r>
              <w:rPr>
                <w:sz w:val="20"/>
                <w:szCs w:val="20"/>
                <w:spacing w:val="7"/>
              </w:rPr>
              <w:t xml:space="preserve"> </w:t>
            </w:r>
            <w:r>
              <w:rPr>
                <w:sz w:val="20"/>
                <w:szCs w:val="20"/>
                <w:spacing w:val="9"/>
              </w:rPr>
              <w:t>技术的组合工艺</w:t>
            </w:r>
            <w:r>
              <w:rPr>
                <w:sz w:val="20"/>
                <w:szCs w:val="20"/>
                <w:spacing w:val="-67"/>
              </w:rPr>
              <w:t xml:space="preserve"> </w:t>
            </w:r>
            <w:r>
              <w:rPr>
                <w:sz w:val="20"/>
                <w:szCs w:val="20"/>
                <w:spacing w:val="9"/>
              </w:rPr>
              <w:t>”，运营期加</w:t>
            </w:r>
            <w:r>
              <w:rPr>
                <w:sz w:val="20"/>
                <w:szCs w:val="20"/>
              </w:rPr>
              <w:t xml:space="preserve"> </w:t>
            </w:r>
            <w:r>
              <w:rPr>
                <w:sz w:val="20"/>
                <w:szCs w:val="20"/>
                <w:spacing w:val="11"/>
              </w:rPr>
              <w:t>强运行维护管理，做到治理设</w:t>
            </w:r>
            <w:r>
              <w:rPr>
                <w:sz w:val="20"/>
                <w:szCs w:val="20"/>
                <w:spacing w:val="7"/>
              </w:rPr>
              <w:t xml:space="preserve"> </w:t>
            </w:r>
            <w:r>
              <w:rPr>
                <w:sz w:val="20"/>
                <w:szCs w:val="20"/>
                <w:spacing w:val="10"/>
              </w:rPr>
              <w:t>施较生产设备“先启后停</w:t>
            </w:r>
            <w:r>
              <w:rPr>
                <w:sz w:val="20"/>
                <w:szCs w:val="20"/>
                <w:spacing w:val="-64"/>
              </w:rPr>
              <w:t xml:space="preserve"> </w:t>
            </w:r>
            <w:r>
              <w:rPr>
                <w:sz w:val="20"/>
                <w:szCs w:val="20"/>
                <w:spacing w:val="10"/>
              </w:rPr>
              <w:t>”，</w:t>
            </w:r>
            <w:r>
              <w:rPr>
                <w:sz w:val="20"/>
                <w:szCs w:val="20"/>
              </w:rPr>
              <w:t xml:space="preserve"> </w:t>
            </w:r>
            <w:r>
              <w:rPr>
                <w:sz w:val="20"/>
                <w:szCs w:val="20"/>
                <w:spacing w:val="11"/>
              </w:rPr>
              <w:t>在治理设施达到正常运行条件</w:t>
            </w:r>
            <w:r>
              <w:rPr>
                <w:sz w:val="20"/>
                <w:szCs w:val="20"/>
                <w:spacing w:val="7"/>
              </w:rPr>
              <w:t xml:space="preserve"> </w:t>
            </w:r>
            <w:r>
              <w:rPr>
                <w:sz w:val="20"/>
                <w:szCs w:val="20"/>
                <w:spacing w:val="11"/>
              </w:rPr>
              <w:t>后方可启动生产设备，在生产</w:t>
            </w:r>
            <w:r>
              <w:rPr>
                <w:sz w:val="20"/>
                <w:szCs w:val="20"/>
                <w:spacing w:val="7"/>
              </w:rPr>
              <w:t xml:space="preserve"> </w:t>
            </w:r>
            <w:r>
              <w:rPr>
                <w:sz w:val="20"/>
                <w:szCs w:val="20"/>
                <w:spacing w:val="7"/>
              </w:rPr>
              <w:t>设备停止、残留</w:t>
            </w:r>
            <w:r>
              <w:rPr>
                <w:rFonts w:ascii="Times New Roman" w:hAnsi="Times New Roman" w:eastAsia="Times New Roman" w:cs="Times New Roman"/>
                <w:sz w:val="20"/>
                <w:szCs w:val="20"/>
              </w:rPr>
              <w:t>VOCs</w:t>
            </w:r>
            <w:r>
              <w:rPr>
                <w:sz w:val="20"/>
                <w:szCs w:val="20"/>
                <w:spacing w:val="7"/>
              </w:rPr>
              <w:t>废气收集</w:t>
            </w:r>
            <w:r>
              <w:rPr>
                <w:sz w:val="20"/>
                <w:szCs w:val="20"/>
                <w:spacing w:val="6"/>
              </w:rPr>
              <w:t xml:space="preserve"> </w:t>
            </w:r>
            <w:r>
              <w:rPr>
                <w:sz w:val="20"/>
                <w:szCs w:val="20"/>
                <w:spacing w:val="11"/>
              </w:rPr>
              <w:t>处理完毕后，方可停运治理设</w:t>
            </w:r>
            <w:r>
              <w:rPr>
                <w:sz w:val="20"/>
                <w:szCs w:val="20"/>
                <w:spacing w:val="7"/>
              </w:rPr>
              <w:t xml:space="preserve"> </w:t>
            </w:r>
            <w:r>
              <w:rPr>
                <w:sz w:val="20"/>
                <w:szCs w:val="20"/>
                <w:spacing w:val="12"/>
              </w:rPr>
              <w:t>施；及时清理、更换吸附剂、</w:t>
            </w:r>
            <w:r>
              <w:rPr>
                <w:sz w:val="20"/>
                <w:szCs w:val="20"/>
                <w:spacing w:val="7"/>
              </w:rPr>
              <w:t xml:space="preserve"> </w:t>
            </w:r>
            <w:r>
              <w:rPr>
                <w:sz w:val="20"/>
                <w:szCs w:val="20"/>
                <w:spacing w:val="11"/>
              </w:rPr>
              <w:t>催化剂等治理设施耗材，确保</w:t>
            </w:r>
          </w:p>
        </w:tc>
        <w:tc>
          <w:tcPr>
            <w:tcW w:w="690" w:type="dxa"/>
            <w:vAlign w:val="top"/>
            <w:tcBorders>
              <w:bottom w:val="single" w:color="000000" w:sz="10" w:space="0"/>
              <w:right w:val="single" w:color="000000" w:sz="10" w:space="0"/>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47"/>
              <w:spacing w:before="65" w:line="228" w:lineRule="auto"/>
              <w:rPr>
                <w:sz w:val="20"/>
                <w:szCs w:val="20"/>
              </w:rPr>
            </w:pPr>
            <w:r>
              <w:rPr>
                <w:sz w:val="20"/>
                <w:szCs w:val="20"/>
                <w:spacing w:val="3"/>
              </w:rPr>
              <w:t>符合</w:t>
            </w:r>
          </w:p>
        </w:tc>
      </w:tr>
    </w:tbl>
    <w:p>
      <w:pPr>
        <w:pStyle w:val="BodyText"/>
        <w:rPr/>
      </w:pPr>
      <w:r/>
    </w:p>
    <w:p>
      <w:pPr>
        <w:sectPr>
          <w:footerReference w:type="default" r:id="rId72"/>
          <w:pgSz w:w="11906" w:h="16839"/>
          <w:pgMar w:top="400" w:right="1682" w:bottom="1211" w:left="1682" w:header="0" w:footer="1049" w:gutter="0"/>
        </w:sectPr>
        <w:rPr/>
      </w:pPr>
    </w:p>
    <w:p>
      <w:pPr>
        <w:spacing w:before="19"/>
        <w:rPr/>
      </w:pPr>
      <w:r/>
    </w:p>
    <w:p>
      <w:pPr>
        <w:spacing w:before="19"/>
        <w:rPr/>
      </w:pPr>
      <w:r/>
    </w:p>
    <w:p>
      <w:pPr>
        <w:spacing w:before="18"/>
        <w:rPr/>
      </w:pPr>
      <w:r/>
    </w:p>
    <w:p>
      <w:pPr>
        <w:spacing w:before="18"/>
        <w:rPr/>
      </w:pPr>
      <w:r/>
    </w:p>
    <w:tbl>
      <w:tblPr>
        <w:tblStyle w:val="TableNormal"/>
        <w:tblW w:w="8515"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48"/>
        <w:gridCol w:w="4171"/>
        <w:gridCol w:w="3006"/>
        <w:gridCol w:w="690"/>
      </w:tblGrid>
      <w:tr>
        <w:trPr>
          <w:trHeight w:val="10411" w:hRule="atLeast"/>
        </w:trPr>
        <w:tc>
          <w:tcPr>
            <w:tcW w:w="648" w:type="dxa"/>
            <w:vAlign w:val="top"/>
            <w:tcBorders>
              <w:left w:val="single" w:color="000000" w:sz="10" w:space="0"/>
              <w:top w:val="single" w:color="000000" w:sz="10" w:space="0"/>
            </w:tcBorders>
          </w:tcPr>
          <w:p>
            <w:pPr>
              <w:rPr>
                <w:rFonts w:ascii="Arial"/>
                <w:sz w:val="21"/>
              </w:rPr>
            </w:pPr>
            <w:r/>
          </w:p>
        </w:tc>
        <w:tc>
          <w:tcPr>
            <w:tcW w:w="4171" w:type="dxa"/>
            <w:vAlign w:val="top"/>
            <w:tcBorders>
              <w:top w:val="single" w:color="000000" w:sz="10" w:space="0"/>
            </w:tcBorders>
          </w:tcPr>
          <w:p>
            <w:pPr>
              <w:pStyle w:val="TableText"/>
              <w:ind w:left="103" w:right="35" w:firstLine="7"/>
              <w:spacing w:before="96" w:line="319" w:lineRule="auto"/>
              <w:rPr>
                <w:sz w:val="20"/>
                <w:szCs w:val="20"/>
              </w:rPr>
            </w:pPr>
            <w:r>
              <w:rPr>
                <w:sz w:val="20"/>
                <w:szCs w:val="20"/>
                <w:spacing w:val="7"/>
              </w:rPr>
              <w:t>收剂、催化剂、蓄热体、过滤棉、灯管、电 </w:t>
            </w:r>
            <w:r>
              <w:rPr>
                <w:sz w:val="20"/>
                <w:szCs w:val="20"/>
                <w:spacing w:val="7"/>
              </w:rPr>
              <w:t>器元件等治理设施耗材，确保设施能够稳定 </w:t>
            </w:r>
            <w:r>
              <w:rPr>
                <w:sz w:val="20"/>
                <w:szCs w:val="20"/>
                <w:spacing w:val="7"/>
              </w:rPr>
              <w:t>高效运行；做好生产设备和治理设施启停机 </w:t>
            </w:r>
            <w:r>
              <w:rPr>
                <w:sz w:val="20"/>
                <w:szCs w:val="20"/>
                <w:spacing w:val="1"/>
              </w:rPr>
              <w:t>时间、检维修情况、治理设施耗材维护更换、</w:t>
            </w:r>
            <w:r>
              <w:rPr>
                <w:sz w:val="20"/>
                <w:szCs w:val="20"/>
                <w:spacing w:val="6"/>
              </w:rPr>
              <w:t xml:space="preserve"> </w:t>
            </w:r>
            <w:r>
              <w:rPr>
                <w:sz w:val="20"/>
                <w:szCs w:val="20"/>
                <w:spacing w:val="13"/>
              </w:rPr>
              <w:t>处置情况等台账记录；对于</w:t>
            </w:r>
            <w:r>
              <w:rPr>
                <w:rFonts w:ascii="Times New Roman" w:hAnsi="Times New Roman" w:eastAsia="Times New Roman" w:cs="Times New Roman"/>
                <w:sz w:val="20"/>
                <w:szCs w:val="20"/>
              </w:rPr>
              <w:t>VOCs</w:t>
            </w:r>
            <w:r>
              <w:rPr>
                <w:sz w:val="20"/>
                <w:szCs w:val="20"/>
                <w:spacing w:val="13"/>
              </w:rPr>
              <w:t>治理设施</w:t>
            </w:r>
            <w:r>
              <w:rPr>
                <w:sz w:val="20"/>
                <w:szCs w:val="20"/>
                <w:spacing w:val="3"/>
              </w:rPr>
              <w:t xml:space="preserve">  </w:t>
            </w:r>
            <w:r>
              <w:rPr>
                <w:sz w:val="20"/>
                <w:szCs w:val="20"/>
                <w:spacing w:val="7"/>
              </w:rPr>
              <w:t>产生的废过滤棉、废催化剂、废吸附剂、废 </w:t>
            </w:r>
            <w:r>
              <w:rPr>
                <w:sz w:val="20"/>
                <w:szCs w:val="20"/>
                <w:spacing w:val="7"/>
              </w:rPr>
              <w:t>吸收剂、废有机溶剂等，应及时清运，属于 </w:t>
            </w:r>
            <w:r>
              <w:rPr>
                <w:sz w:val="20"/>
                <w:szCs w:val="20"/>
                <w:spacing w:val="14"/>
              </w:rPr>
              <w:t>危险废物的应交有资质的单位处理处置。</w:t>
            </w:r>
          </w:p>
          <w:p>
            <w:pPr>
              <w:pStyle w:val="TableText"/>
              <w:ind w:left="102" w:right="35"/>
              <w:spacing w:before="109" w:line="323" w:lineRule="auto"/>
              <w:rPr>
                <w:sz w:val="20"/>
                <w:szCs w:val="20"/>
              </w:rPr>
            </w:pPr>
            <w:r>
              <w:rPr>
                <w:sz w:val="20"/>
                <w:szCs w:val="20"/>
                <w:spacing w:val="7"/>
              </w:rPr>
              <w:t>采用活性炭吸附工艺的企业，应根据废气排 </w:t>
            </w:r>
            <w:r>
              <w:rPr>
                <w:sz w:val="20"/>
                <w:szCs w:val="20"/>
                <w:spacing w:val="7"/>
              </w:rPr>
              <w:t>放特征，按照相关工程技术规范设计净化工 </w:t>
            </w:r>
            <w:r>
              <w:rPr>
                <w:sz w:val="20"/>
                <w:szCs w:val="20"/>
                <w:spacing w:val="7"/>
              </w:rPr>
              <w:t>艺和设备，使废气在吸附装置中有足够的停 </w:t>
            </w:r>
            <w:r>
              <w:rPr>
                <w:sz w:val="20"/>
                <w:szCs w:val="20"/>
                <w:spacing w:val="7"/>
              </w:rPr>
              <w:t>留时间，选择符合相关产品质量标准的活性 </w:t>
            </w:r>
            <w:r>
              <w:rPr>
                <w:sz w:val="20"/>
                <w:szCs w:val="20"/>
                <w:spacing w:val="7"/>
              </w:rPr>
              <w:t>炭，并足额充填、及时更换。采用颗粒活性 </w:t>
            </w:r>
            <w:r>
              <w:rPr>
                <w:sz w:val="20"/>
                <w:szCs w:val="20"/>
                <w:spacing w:val="5"/>
              </w:rPr>
              <w:t>炭作为吸附剂时，其碘值不宜低于</w:t>
            </w:r>
            <w:r>
              <w:rPr>
                <w:rFonts w:ascii="Times New Roman" w:hAnsi="Times New Roman" w:eastAsia="Times New Roman" w:cs="Times New Roman"/>
                <w:sz w:val="20"/>
                <w:szCs w:val="20"/>
                <w:spacing w:val="5"/>
              </w:rPr>
              <w:t>800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/g</w:t>
            </w:r>
            <w:r>
              <w:rPr>
                <w:sz w:val="20"/>
                <w:szCs w:val="20"/>
                <w:spacing w:val="5"/>
              </w:rPr>
              <w:t>；</w:t>
            </w:r>
            <w:r>
              <w:rPr>
                <w:sz w:val="20"/>
                <w:szCs w:val="20"/>
                <w:spacing w:val="11"/>
              </w:rPr>
              <w:t xml:space="preserve"> </w:t>
            </w:r>
            <w:r>
              <w:rPr>
                <w:sz w:val="20"/>
                <w:szCs w:val="20"/>
                <w:spacing w:val="7"/>
              </w:rPr>
              <w:t>采用蜂窝活性炭作为吸附剂时，其碘值不宜 </w:t>
            </w:r>
            <w:r>
              <w:rPr>
                <w:sz w:val="20"/>
                <w:szCs w:val="20"/>
                <w:spacing w:val="10"/>
              </w:rPr>
              <w:t>低于</w:t>
            </w:r>
            <w:r>
              <w:rPr>
                <w:rFonts w:ascii="Times New Roman" w:hAnsi="Times New Roman" w:eastAsia="Times New Roman" w:cs="Times New Roman"/>
                <w:sz w:val="20"/>
                <w:szCs w:val="20"/>
                <w:spacing w:val="10"/>
              </w:rPr>
              <w:t>650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10"/>
              </w:rPr>
              <w:t>/g</w:t>
            </w:r>
            <w:r>
              <w:rPr>
                <w:sz w:val="20"/>
                <w:szCs w:val="20"/>
                <w:spacing w:val="10"/>
              </w:rPr>
              <w:t>；采用活性炭纤维作为吸附剂</w:t>
            </w:r>
            <w:r>
              <w:rPr>
                <w:sz w:val="20"/>
                <w:szCs w:val="20"/>
                <w:spacing w:val="4"/>
              </w:rPr>
              <w:t xml:space="preserve">  </w:t>
            </w:r>
            <w:r>
              <w:rPr>
                <w:sz w:val="20"/>
                <w:szCs w:val="20"/>
                <w:spacing w:val="3"/>
              </w:rPr>
              <w:t>时，其比表面积不低于</w:t>
            </w:r>
            <w:r>
              <w:rPr>
                <w:rFonts w:ascii="Times New Roman" w:hAnsi="Times New Roman" w:eastAsia="Times New Roman" w:cs="Times New Roman"/>
                <w:sz w:val="20"/>
                <w:szCs w:val="20"/>
                <w:spacing w:val="3"/>
              </w:rPr>
              <w:t>1100m</w:t>
            </w:r>
            <w:r>
              <w:rPr>
                <w:rFonts w:ascii="Times New Roman" w:hAnsi="Times New Roman" w:eastAsia="Times New Roman" w:cs="Times New Roman"/>
                <w:sz w:val="13"/>
                <w:szCs w:val="13"/>
                <w:spacing w:val="3"/>
                <w:position w:val="6"/>
              </w:rPr>
              <w:t>2</w:t>
            </w:r>
            <w:r>
              <w:rPr>
                <w:rFonts w:ascii="Times New Roman" w:hAnsi="Times New Roman" w:eastAsia="Times New Roman" w:cs="Times New Roman"/>
                <w:sz w:val="20"/>
                <w:szCs w:val="20"/>
                <w:spacing w:val="3"/>
              </w:rPr>
              <w:t>/g</w:t>
            </w:r>
            <w:r>
              <w:rPr>
                <w:sz w:val="20"/>
                <w:szCs w:val="20"/>
                <w:spacing w:val="3"/>
              </w:rPr>
              <w:t>（</w:t>
            </w:r>
            <w:r>
              <w:rPr>
                <w:rFonts w:ascii="Times New Roman" w:hAnsi="Times New Roman" w:eastAsia="Times New Roman" w:cs="Times New Roman"/>
                <w:sz w:val="20"/>
                <w:szCs w:val="20"/>
              </w:rPr>
              <w:t>BET</w:t>
            </w:r>
            <w:r>
              <w:rPr>
                <w:sz w:val="20"/>
                <w:szCs w:val="20"/>
                <w:spacing w:val="3"/>
              </w:rPr>
              <w:t>法）。</w:t>
            </w:r>
            <w:r>
              <w:rPr>
                <w:sz w:val="20"/>
                <w:szCs w:val="20"/>
                <w:spacing w:val="7"/>
              </w:rPr>
              <w:t xml:space="preserve"> </w:t>
            </w:r>
            <w:r>
              <w:rPr>
                <w:sz w:val="20"/>
                <w:szCs w:val="20"/>
                <w:spacing w:val="12"/>
              </w:rPr>
              <w:t>一次性活性炭吸附工艺宜采用颗粒活性炭  </w:t>
            </w:r>
            <w:r>
              <w:rPr>
                <w:sz w:val="20"/>
                <w:szCs w:val="20"/>
                <w:spacing w:val="8"/>
              </w:rPr>
              <w:t>作为吸附剂。活性炭、活性炭纤维产品销售</w:t>
            </w:r>
          </w:p>
          <w:p>
            <w:pPr>
              <w:pStyle w:val="TableText"/>
              <w:ind w:left="732"/>
              <w:spacing w:before="114" w:line="227" w:lineRule="auto"/>
              <w:rPr>
                <w:sz w:val="20"/>
                <w:szCs w:val="20"/>
              </w:rPr>
            </w:pPr>
            <w:r>
              <w:rPr>
                <w:sz w:val="20"/>
                <w:szCs w:val="20"/>
                <w:spacing w:val="7"/>
              </w:rPr>
              <w:t>时应提供产品质量证明材料。</w:t>
            </w:r>
          </w:p>
          <w:p>
            <w:pPr>
              <w:pStyle w:val="TableText"/>
              <w:ind w:left="104" w:right="105" w:firstLine="91"/>
              <w:spacing w:before="114" w:line="306" w:lineRule="auto"/>
              <w:rPr>
                <w:sz w:val="20"/>
                <w:szCs w:val="20"/>
              </w:rPr>
            </w:pPr>
            <w:r>
              <w:rPr>
                <w:sz w:val="20"/>
                <w:szCs w:val="20"/>
                <w:spacing w:val="9"/>
              </w:rPr>
              <w:t>采用催化燃烧工艺的企业应使用合格的催</w:t>
            </w:r>
            <w:r>
              <w:rPr>
                <w:sz w:val="20"/>
                <w:szCs w:val="20"/>
                <w:spacing w:val="3"/>
              </w:rPr>
              <w:t xml:space="preserve">  </w:t>
            </w:r>
            <w:r>
              <w:rPr>
                <w:sz w:val="20"/>
                <w:szCs w:val="20"/>
                <w:spacing w:val="8"/>
              </w:rPr>
              <w:t>化剂并足额添加，催化剂床层的设计空速宜</w:t>
            </w:r>
            <w:r>
              <w:rPr>
                <w:sz w:val="20"/>
                <w:szCs w:val="20"/>
                <w:spacing w:val="2"/>
              </w:rPr>
              <w:t xml:space="preserve"> </w:t>
            </w:r>
            <w:r>
              <w:rPr>
                <w:sz w:val="20"/>
                <w:szCs w:val="20"/>
                <w:spacing w:val="5"/>
              </w:rPr>
              <w:t>低于</w:t>
            </w:r>
            <w:r>
              <w:rPr>
                <w:rFonts w:ascii="Times New Roman" w:hAnsi="Times New Roman" w:eastAsia="Times New Roman" w:cs="Times New Roman"/>
                <w:sz w:val="20"/>
                <w:szCs w:val="20"/>
                <w:spacing w:val="5"/>
              </w:rPr>
              <w:t>40000h-</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spacing w:val="5"/>
              </w:rPr>
              <w:t>1</w:t>
            </w:r>
            <w:r>
              <w:rPr>
                <w:rFonts w:ascii="Times New Roman" w:hAnsi="Times New Roman" w:eastAsia="Times New Roman" w:cs="Times New Roman"/>
                <w:sz w:val="20"/>
                <w:szCs w:val="20"/>
                <w:spacing w:val="-20"/>
              </w:rPr>
              <w:t xml:space="preserve"> </w:t>
            </w:r>
            <w:r>
              <w:rPr>
                <w:sz w:val="20"/>
                <w:szCs w:val="20"/>
                <w:spacing w:val="5"/>
              </w:rPr>
              <w:t>。采用非连续吸脱附治理工艺</w:t>
            </w:r>
            <w:r>
              <w:rPr>
                <w:sz w:val="20"/>
                <w:szCs w:val="20"/>
              </w:rPr>
              <w:t xml:space="preserve"> </w:t>
            </w:r>
            <w:r>
              <w:rPr>
                <w:sz w:val="20"/>
                <w:szCs w:val="20"/>
                <w:spacing w:val="12"/>
              </w:rPr>
              <w:t>的，应按设计要求及时解吸吸附的</w:t>
            </w:r>
            <w:r>
              <w:rPr>
                <w:rFonts w:ascii="Times New Roman" w:hAnsi="Times New Roman" w:eastAsia="Times New Roman" w:cs="Times New Roman"/>
                <w:sz w:val="20"/>
                <w:szCs w:val="20"/>
              </w:rPr>
              <w:t>VOCs</w:t>
            </w:r>
            <w:r>
              <w:rPr>
                <w:sz w:val="20"/>
                <w:szCs w:val="20"/>
                <w:spacing w:val="12"/>
              </w:rPr>
              <w:t>，</w:t>
            </w:r>
          </w:p>
          <w:p>
            <w:pPr>
              <w:pStyle w:val="TableText"/>
              <w:ind w:left="102" w:right="105" w:firstLine="93"/>
              <w:spacing w:before="115" w:line="296" w:lineRule="auto"/>
              <w:rPr>
                <w:sz w:val="20"/>
                <w:szCs w:val="20"/>
              </w:rPr>
            </w:pPr>
            <w:r>
              <w:rPr>
                <w:sz w:val="20"/>
                <w:szCs w:val="20"/>
                <w:spacing w:val="9"/>
              </w:rPr>
              <w:t>解吸气体应保证采用高效处理工艺处理后</w:t>
            </w:r>
            <w:r>
              <w:rPr>
                <w:sz w:val="20"/>
                <w:szCs w:val="20"/>
                <w:spacing w:val="3"/>
              </w:rPr>
              <w:t xml:space="preserve">  </w:t>
            </w:r>
            <w:r>
              <w:rPr>
                <w:sz w:val="20"/>
                <w:szCs w:val="20"/>
                <w:spacing w:val="9"/>
              </w:rPr>
              <w:t>达标排放。蓄热式燃烧装置（</w:t>
            </w:r>
            <w:r>
              <w:rPr>
                <w:rFonts w:ascii="Times New Roman" w:hAnsi="Times New Roman" w:eastAsia="Times New Roman" w:cs="Times New Roman"/>
                <w:sz w:val="20"/>
                <w:szCs w:val="20"/>
              </w:rPr>
              <w:t>RTO</w:t>
            </w:r>
            <w:r>
              <w:rPr>
                <w:sz w:val="20"/>
                <w:szCs w:val="20"/>
                <w:spacing w:val="9"/>
              </w:rPr>
              <w:t>）燃烧温</w:t>
            </w:r>
            <w:r>
              <w:rPr>
                <w:sz w:val="20"/>
                <w:szCs w:val="20"/>
                <w:spacing w:val="3"/>
              </w:rPr>
              <w:t xml:space="preserve"> </w:t>
            </w:r>
            <w:r>
              <w:rPr>
                <w:sz w:val="20"/>
                <w:szCs w:val="20"/>
                <w:spacing w:val="4"/>
              </w:rPr>
              <w:t>度一般不低于</w:t>
            </w:r>
            <w:r>
              <w:rPr>
                <w:rFonts w:ascii="Times New Roman" w:hAnsi="Times New Roman" w:eastAsia="Times New Roman" w:cs="Times New Roman"/>
                <w:sz w:val="20"/>
                <w:szCs w:val="20"/>
                <w:spacing w:val="4"/>
              </w:rPr>
              <w:t>760</w:t>
            </w:r>
            <w:r>
              <w:rPr>
                <w:sz w:val="20"/>
                <w:szCs w:val="20"/>
                <w:spacing w:val="4"/>
              </w:rPr>
              <w:t>℃</w:t>
            </w:r>
            <w:r>
              <w:rPr>
                <w:sz w:val="20"/>
                <w:szCs w:val="20"/>
                <w:spacing w:val="-66"/>
              </w:rPr>
              <w:t xml:space="preserve"> </w:t>
            </w:r>
            <w:r>
              <w:rPr>
                <w:sz w:val="20"/>
                <w:szCs w:val="20"/>
                <w:spacing w:val="4"/>
              </w:rPr>
              <w:t>,</w:t>
            </w:r>
            <w:r>
              <w:rPr>
                <w:sz w:val="20"/>
                <w:szCs w:val="20"/>
                <w:spacing w:val="59"/>
              </w:rPr>
              <w:t xml:space="preserve"> </w:t>
            </w:r>
            <w:r>
              <w:rPr>
                <w:sz w:val="20"/>
                <w:szCs w:val="20"/>
                <w:spacing w:val="4"/>
              </w:rPr>
              <w:t>催化燃烧装置（</w:t>
            </w:r>
            <w:r>
              <w:rPr>
                <w:rFonts w:ascii="Times New Roman" w:hAnsi="Times New Roman" w:eastAsia="Times New Roman" w:cs="Times New Roman"/>
                <w:sz w:val="20"/>
                <w:szCs w:val="20"/>
              </w:rPr>
              <w:t>CO</w:t>
            </w:r>
            <w:r>
              <w:rPr>
                <w:sz w:val="20"/>
                <w:szCs w:val="20"/>
                <w:spacing w:val="4"/>
              </w:rPr>
              <w:t>）</w:t>
            </w:r>
          </w:p>
          <w:p>
            <w:pPr>
              <w:pStyle w:val="TableText"/>
              <w:ind w:left="1244" w:right="146" w:hanging="1100"/>
              <w:spacing w:before="116" w:line="271" w:lineRule="auto"/>
              <w:rPr>
                <w:sz w:val="20"/>
                <w:szCs w:val="20"/>
              </w:rPr>
            </w:pPr>
            <w:r>
              <w:rPr>
                <w:sz w:val="20"/>
                <w:szCs w:val="20"/>
                <w:spacing w:val="4"/>
              </w:rPr>
              <w:t>燃烧温度一般不低于</w:t>
            </w:r>
            <w:r>
              <w:rPr>
                <w:rFonts w:ascii="Times New Roman" w:hAnsi="Times New Roman" w:eastAsia="Times New Roman" w:cs="Times New Roman"/>
                <w:sz w:val="20"/>
                <w:szCs w:val="20"/>
                <w:spacing w:val="4"/>
              </w:rPr>
              <w:t>300</w:t>
            </w:r>
            <w:r>
              <w:rPr>
                <w:sz w:val="20"/>
                <w:szCs w:val="20"/>
                <w:spacing w:val="4"/>
              </w:rPr>
              <w:t>℃</w:t>
            </w:r>
            <w:r>
              <w:rPr>
                <w:sz w:val="20"/>
                <w:szCs w:val="20"/>
                <w:spacing w:val="-66"/>
              </w:rPr>
              <w:t xml:space="preserve"> </w:t>
            </w:r>
            <w:r>
              <w:rPr>
                <w:sz w:val="20"/>
                <w:szCs w:val="20"/>
                <w:spacing w:val="4"/>
              </w:rPr>
              <w:t>,</w:t>
            </w:r>
            <w:r>
              <w:rPr>
                <w:sz w:val="20"/>
                <w:szCs w:val="20"/>
                <w:spacing w:val="59"/>
              </w:rPr>
              <w:t xml:space="preserve"> </w:t>
            </w:r>
            <w:r>
              <w:rPr>
                <w:sz w:val="20"/>
                <w:szCs w:val="20"/>
                <w:spacing w:val="4"/>
              </w:rPr>
              <w:t>相关温度参数</w:t>
            </w:r>
            <w:r>
              <w:rPr>
                <w:sz w:val="20"/>
                <w:szCs w:val="20"/>
              </w:rPr>
              <w:t xml:space="preserve"> </w:t>
            </w:r>
            <w:r>
              <w:rPr>
                <w:sz w:val="20"/>
                <w:szCs w:val="20"/>
                <w:spacing w:val="7"/>
              </w:rPr>
              <w:t>应自动记录存储。</w:t>
            </w:r>
          </w:p>
        </w:tc>
        <w:tc>
          <w:tcPr>
            <w:tcW w:w="3006" w:type="dxa"/>
            <w:vAlign w:val="top"/>
            <w:tcBorders>
              <w:top w:val="single" w:color="000000" w:sz="10" w:space="0"/>
            </w:tcBorders>
          </w:tcPr>
          <w:p>
            <w:pPr>
              <w:pStyle w:val="TableText"/>
              <w:ind w:left="114" w:right="97" w:firstLine="37"/>
              <w:spacing w:before="92" w:line="315" w:lineRule="auto"/>
              <w:jc w:val="both"/>
              <w:rPr>
                <w:sz w:val="20"/>
                <w:szCs w:val="20"/>
              </w:rPr>
            </w:pPr>
            <w:r>
              <w:rPr>
                <w:sz w:val="20"/>
                <w:szCs w:val="20"/>
                <w:spacing w:val="9"/>
              </w:rPr>
              <w:t>设施能够稳定高效运行；做好</w:t>
            </w:r>
            <w:r>
              <w:rPr>
                <w:sz w:val="20"/>
                <w:szCs w:val="20"/>
              </w:rPr>
              <w:t xml:space="preserve"> </w:t>
            </w:r>
            <w:r>
              <w:rPr>
                <w:sz w:val="20"/>
                <w:szCs w:val="20"/>
                <w:spacing w:val="11"/>
              </w:rPr>
              <w:t>生产设备和治理设施启停机时 </w:t>
            </w:r>
            <w:r>
              <w:rPr>
                <w:sz w:val="20"/>
                <w:szCs w:val="20"/>
                <w:spacing w:val="11"/>
              </w:rPr>
              <w:t>间、检维修情况、治理设施耗 </w:t>
            </w:r>
            <w:r>
              <w:rPr>
                <w:sz w:val="20"/>
                <w:szCs w:val="20"/>
                <w:spacing w:val="11"/>
              </w:rPr>
              <w:t>材维护更换、处置情况等台账 </w:t>
            </w:r>
            <w:r>
              <w:rPr>
                <w:sz w:val="20"/>
                <w:szCs w:val="20"/>
                <w:spacing w:val="8"/>
              </w:rPr>
              <w:t>记录；对于</w:t>
            </w:r>
            <w:r>
              <w:rPr>
                <w:rFonts w:ascii="Times New Roman" w:hAnsi="Times New Roman" w:eastAsia="Times New Roman" w:cs="Times New Roman"/>
                <w:sz w:val="20"/>
                <w:szCs w:val="20"/>
              </w:rPr>
              <w:t>VOCs</w:t>
            </w:r>
            <w:r>
              <w:rPr>
                <w:sz w:val="20"/>
                <w:szCs w:val="20"/>
                <w:spacing w:val="8"/>
              </w:rPr>
              <w:t>治理设施产生</w:t>
            </w:r>
            <w:r>
              <w:rPr>
                <w:sz w:val="20"/>
                <w:szCs w:val="20"/>
              </w:rPr>
              <w:t xml:space="preserve"> </w:t>
            </w:r>
            <w:r>
              <w:rPr>
                <w:sz w:val="20"/>
                <w:szCs w:val="20"/>
                <w:spacing w:val="11"/>
              </w:rPr>
              <w:t>的废吸附剂及时清运，属于危</w:t>
            </w:r>
          </w:p>
          <w:p>
            <w:pPr>
              <w:pStyle w:val="TableText"/>
              <w:ind w:left="1096" w:right="131" w:hanging="936"/>
              <w:spacing w:before="114" w:line="282" w:lineRule="auto"/>
              <w:rPr>
                <w:sz w:val="20"/>
                <w:szCs w:val="20"/>
              </w:rPr>
            </w:pPr>
            <w:r>
              <w:rPr>
                <w:sz w:val="20"/>
                <w:szCs w:val="20"/>
                <w:spacing w:val="8"/>
              </w:rPr>
              <w:t>险废物的应交有资质的单位处</w:t>
            </w:r>
            <w:r>
              <w:rPr>
                <w:sz w:val="20"/>
                <w:szCs w:val="20"/>
                <w:spacing w:val="4"/>
              </w:rPr>
              <w:t xml:space="preserve"> </w:t>
            </w:r>
            <w:r>
              <w:rPr>
                <w:sz w:val="20"/>
                <w:szCs w:val="20"/>
                <w:spacing w:val="4"/>
              </w:rPr>
              <w:t>理处置。</w:t>
            </w:r>
          </w:p>
          <w:p>
            <w:pPr>
              <w:pStyle w:val="TableText"/>
              <w:ind w:left="114" w:right="26" w:firstLine="80"/>
              <w:spacing w:before="111" w:line="324" w:lineRule="auto"/>
              <w:rPr>
                <w:sz w:val="20"/>
                <w:szCs w:val="20"/>
              </w:rPr>
            </w:pPr>
            <w:r>
              <w:rPr>
                <w:sz w:val="20"/>
                <w:szCs w:val="20"/>
                <w:spacing w:val="8"/>
              </w:rPr>
              <w:t>本项目采用活性炭吸附</w:t>
            </w:r>
            <w:r>
              <w:rPr>
                <w:rFonts w:ascii="Times New Roman" w:hAnsi="Times New Roman" w:eastAsia="Times New Roman" w:cs="Times New Roman"/>
                <w:sz w:val="20"/>
                <w:szCs w:val="20"/>
                <w:spacing w:val="8"/>
              </w:rPr>
              <w:t>+</w:t>
            </w:r>
            <w:r>
              <w:rPr>
                <w:sz w:val="20"/>
                <w:szCs w:val="20"/>
                <w:spacing w:val="8"/>
              </w:rPr>
              <w:t>直接</w:t>
            </w:r>
            <w:r>
              <w:rPr>
                <w:sz w:val="20"/>
                <w:szCs w:val="20"/>
                <w:spacing w:val="4"/>
              </w:rPr>
              <w:t xml:space="preserve">  </w:t>
            </w:r>
            <w:r>
              <w:rPr>
                <w:sz w:val="20"/>
                <w:szCs w:val="20"/>
                <w:spacing w:val="7"/>
              </w:rPr>
              <w:t>催化燃烧法（</w:t>
            </w:r>
            <w:r>
              <w:rPr>
                <w:rFonts w:ascii="Times New Roman" w:hAnsi="Times New Roman" w:eastAsia="Times New Roman" w:cs="Times New Roman"/>
                <w:sz w:val="20"/>
                <w:szCs w:val="20"/>
              </w:rPr>
              <w:t>CO</w:t>
            </w:r>
            <w:r>
              <w:rPr>
                <w:sz w:val="20"/>
                <w:szCs w:val="20"/>
                <w:spacing w:val="7"/>
              </w:rPr>
              <w:t>）工艺，应根 </w:t>
            </w:r>
            <w:r>
              <w:rPr>
                <w:sz w:val="20"/>
                <w:szCs w:val="20"/>
                <w:spacing w:val="11"/>
              </w:rPr>
              <w:t>据废气排放特征，按照相关工</w:t>
            </w:r>
            <w:r>
              <w:rPr>
                <w:sz w:val="20"/>
                <w:szCs w:val="20"/>
                <w:spacing w:val="5"/>
              </w:rPr>
              <w:t xml:space="preserve">  </w:t>
            </w:r>
            <w:r>
              <w:rPr>
                <w:sz w:val="20"/>
                <w:szCs w:val="20"/>
                <w:spacing w:val="11"/>
              </w:rPr>
              <w:t>程技术规范设计净化工艺和设</w:t>
            </w:r>
            <w:r>
              <w:rPr>
                <w:sz w:val="20"/>
                <w:szCs w:val="20"/>
                <w:spacing w:val="5"/>
              </w:rPr>
              <w:t xml:space="preserve">  </w:t>
            </w:r>
            <w:r>
              <w:rPr>
                <w:sz w:val="20"/>
                <w:szCs w:val="20"/>
                <w:spacing w:val="11"/>
              </w:rPr>
              <w:t>备，使废气在吸附装置中有足</w:t>
            </w:r>
            <w:r>
              <w:rPr>
                <w:sz w:val="20"/>
                <w:szCs w:val="20"/>
                <w:spacing w:val="5"/>
              </w:rPr>
              <w:t xml:space="preserve">  </w:t>
            </w:r>
            <w:r>
              <w:rPr>
                <w:sz w:val="20"/>
                <w:szCs w:val="20"/>
                <w:spacing w:val="11"/>
              </w:rPr>
              <w:t>够的停留时间，选择符合相关</w:t>
            </w:r>
            <w:r>
              <w:rPr>
                <w:sz w:val="20"/>
                <w:szCs w:val="20"/>
                <w:spacing w:val="5"/>
              </w:rPr>
              <w:t xml:space="preserve">  </w:t>
            </w:r>
            <w:r>
              <w:rPr>
                <w:sz w:val="20"/>
                <w:szCs w:val="20"/>
                <w:spacing w:val="13"/>
              </w:rPr>
              <w:t>产品质量标准的活性炭吸附，</w:t>
            </w:r>
            <w:r>
              <w:rPr>
                <w:sz w:val="20"/>
                <w:szCs w:val="20"/>
              </w:rPr>
              <w:t xml:space="preserve">  </w:t>
            </w:r>
            <w:r>
              <w:rPr>
                <w:sz w:val="20"/>
                <w:szCs w:val="20"/>
                <w:spacing w:val="11"/>
              </w:rPr>
              <w:t>并足额充填、及时更换。采用</w:t>
            </w:r>
            <w:r>
              <w:rPr>
                <w:sz w:val="20"/>
                <w:szCs w:val="20"/>
                <w:spacing w:val="5"/>
              </w:rPr>
              <w:t xml:space="preserve">  </w:t>
            </w:r>
            <w:r>
              <w:rPr>
                <w:sz w:val="20"/>
                <w:szCs w:val="20"/>
                <w:spacing w:val="11"/>
              </w:rPr>
              <w:t>颗粒活性炭作为吸附剂时，其</w:t>
            </w:r>
            <w:r>
              <w:rPr>
                <w:sz w:val="20"/>
                <w:szCs w:val="20"/>
                <w:spacing w:val="5"/>
              </w:rPr>
              <w:t xml:space="preserve">  </w:t>
            </w:r>
            <w:r>
              <w:rPr>
                <w:sz w:val="20"/>
                <w:szCs w:val="20"/>
                <w:spacing w:val="4"/>
              </w:rPr>
              <w:t>碘值不低于</w:t>
            </w:r>
            <w:r>
              <w:rPr>
                <w:rFonts w:ascii="Times New Roman" w:hAnsi="Times New Roman" w:eastAsia="Times New Roman" w:cs="Times New Roman"/>
                <w:sz w:val="20"/>
                <w:szCs w:val="20"/>
                <w:spacing w:val="4"/>
              </w:rPr>
              <w:t>800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4"/>
              </w:rPr>
              <w:t>/g</w:t>
            </w:r>
            <w:r>
              <w:rPr>
                <w:sz w:val="20"/>
                <w:szCs w:val="20"/>
                <w:spacing w:val="4"/>
              </w:rPr>
              <w:t>；采用蜂窝 </w:t>
            </w:r>
            <w:r>
              <w:rPr>
                <w:sz w:val="20"/>
                <w:szCs w:val="20"/>
                <w:spacing w:val="11"/>
              </w:rPr>
              <w:t>活性炭作为吸附剂时，其碘值</w:t>
            </w:r>
            <w:r>
              <w:rPr>
                <w:sz w:val="20"/>
                <w:szCs w:val="20"/>
                <w:spacing w:val="5"/>
              </w:rPr>
              <w:t xml:space="preserve">  </w:t>
            </w:r>
            <w:r>
              <w:rPr>
                <w:sz w:val="20"/>
                <w:szCs w:val="20"/>
                <w:spacing w:val="4"/>
              </w:rPr>
              <w:t>不低于</w:t>
            </w:r>
            <w:r>
              <w:rPr>
                <w:rFonts w:ascii="Times New Roman" w:hAnsi="Times New Roman" w:eastAsia="Times New Roman" w:cs="Times New Roman"/>
                <w:sz w:val="20"/>
                <w:szCs w:val="20"/>
                <w:spacing w:val="4"/>
              </w:rPr>
              <w:t>650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4"/>
              </w:rPr>
              <w:t>/g</w:t>
            </w:r>
            <w:r>
              <w:rPr>
                <w:sz w:val="20"/>
                <w:szCs w:val="20"/>
                <w:spacing w:val="4"/>
              </w:rPr>
              <w:t>；催化燃烧装置 </w:t>
            </w:r>
            <w:r>
              <w:rPr>
                <w:sz w:val="20"/>
                <w:szCs w:val="20"/>
                <w:spacing w:val="5"/>
              </w:rPr>
              <w:t>（</w:t>
            </w:r>
            <w:r>
              <w:rPr>
                <w:rFonts w:ascii="Times New Roman" w:hAnsi="Times New Roman" w:eastAsia="Times New Roman" w:cs="Times New Roman"/>
                <w:sz w:val="20"/>
                <w:szCs w:val="20"/>
              </w:rPr>
              <w:t>CO</w:t>
            </w:r>
            <w:r>
              <w:rPr>
                <w:sz w:val="20"/>
                <w:szCs w:val="20"/>
                <w:spacing w:val="5"/>
              </w:rPr>
              <w:t>）燃烧温度不低于</w:t>
            </w:r>
            <w:r>
              <w:rPr>
                <w:rFonts w:ascii="Times New Roman" w:hAnsi="Times New Roman" w:eastAsia="Times New Roman" w:cs="Times New Roman"/>
                <w:sz w:val="20"/>
                <w:szCs w:val="20"/>
                <w:spacing w:val="5"/>
              </w:rPr>
              <w:t>300</w:t>
            </w:r>
            <w:r>
              <w:rPr>
                <w:sz w:val="20"/>
                <w:szCs w:val="20"/>
                <w:spacing w:val="5"/>
              </w:rPr>
              <w:t>℃。</w:t>
            </w:r>
          </w:p>
        </w:tc>
        <w:tc>
          <w:tcPr>
            <w:tcW w:w="690" w:type="dxa"/>
            <w:vAlign w:val="top"/>
            <w:tcBorders>
              <w:right w:val="single" w:color="000000" w:sz="10" w:space="0"/>
              <w:top w:val="single" w:color="000000" w:sz="10" w:space="0"/>
            </w:tcBorders>
          </w:tcPr>
          <w:p>
            <w:pPr>
              <w:rPr>
                <w:rFonts w:ascii="Arial"/>
                <w:sz w:val="21"/>
              </w:rPr>
            </w:pPr>
            <w:r/>
          </w:p>
        </w:tc>
      </w:tr>
      <w:tr>
        <w:trPr>
          <w:trHeight w:val="2520" w:hRule="atLeast"/>
        </w:trPr>
        <w:tc>
          <w:tcPr>
            <w:tcW w:w="648" w:type="dxa"/>
            <w:vAlign w:val="top"/>
            <w:vMerge w:val="restart"/>
            <w:tcBorders>
              <w:left w:val="single" w:color="000000" w:sz="10" w:space="0"/>
              <w:bottom w:val="nil"/>
            </w:tcBorders>
          </w:tcPr>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pStyle w:val="TableText"/>
              <w:ind w:left="108" w:right="118" w:firstLine="1"/>
              <w:spacing w:before="65" w:line="306" w:lineRule="auto"/>
              <w:rPr>
                <w:sz w:val="20"/>
                <w:szCs w:val="20"/>
              </w:rPr>
            </w:pPr>
            <w:r>
              <w:rPr>
                <w:sz w:val="20"/>
                <w:szCs w:val="20"/>
                <w:spacing w:val="2"/>
              </w:rPr>
              <w:t>九、</w:t>
            </w:r>
            <w:r>
              <w:rPr>
                <w:sz w:val="20"/>
                <w:szCs w:val="20"/>
              </w:rPr>
              <w:t xml:space="preserve"> </w:t>
            </w:r>
            <w:r>
              <w:rPr>
                <w:sz w:val="20"/>
                <w:szCs w:val="20"/>
                <w:spacing w:val="3"/>
              </w:rPr>
              <w:t>非正</w:t>
            </w:r>
            <w:r>
              <w:rPr>
                <w:sz w:val="20"/>
                <w:szCs w:val="20"/>
              </w:rPr>
              <w:t xml:space="preserve"> </w:t>
            </w:r>
            <w:r>
              <w:rPr>
                <w:sz w:val="20"/>
                <w:szCs w:val="20"/>
                <w:spacing w:val="3"/>
              </w:rPr>
              <w:t>常工</w:t>
            </w:r>
            <w:r>
              <w:rPr>
                <w:sz w:val="20"/>
                <w:szCs w:val="20"/>
              </w:rPr>
              <w:t xml:space="preserve"> </w:t>
            </w:r>
            <w:r>
              <w:rPr>
                <w:sz w:val="20"/>
                <w:szCs w:val="20"/>
                <w:spacing w:val="35"/>
                <w:w w:val="134"/>
              </w:rPr>
              <w:t>况</w:t>
            </w:r>
          </w:p>
        </w:tc>
        <w:tc>
          <w:tcPr>
            <w:tcW w:w="4171" w:type="dxa"/>
            <w:vAlign w:val="top"/>
          </w:tcPr>
          <w:p>
            <w:pPr>
              <w:spacing w:line="242" w:lineRule="auto"/>
              <w:rPr>
                <w:rFonts w:ascii="Arial"/>
                <w:sz w:val="21"/>
              </w:rPr>
            </w:pPr>
            <w:r/>
          </w:p>
          <w:p>
            <w:pPr>
              <w:pStyle w:val="TableText"/>
              <w:ind w:left="102" w:right="105"/>
              <w:spacing w:before="65" w:line="311" w:lineRule="auto"/>
              <w:jc w:val="both"/>
              <w:rPr>
                <w:sz w:val="20"/>
                <w:szCs w:val="20"/>
              </w:rPr>
            </w:pPr>
            <w:r>
              <w:rPr>
                <w:sz w:val="20"/>
                <w:szCs w:val="20"/>
                <w:spacing w:val="8"/>
              </w:rPr>
              <w:t>存在的突出问题。开停工、检维修、设备调</w:t>
            </w:r>
            <w:r>
              <w:rPr>
                <w:sz w:val="20"/>
                <w:szCs w:val="20"/>
                <w:spacing w:val="4"/>
              </w:rPr>
              <w:t xml:space="preserve"> </w:t>
            </w:r>
            <w:r>
              <w:rPr>
                <w:sz w:val="20"/>
                <w:szCs w:val="20"/>
                <w:spacing w:val="13"/>
              </w:rPr>
              <w:t>试、生产异常等非正常工况</w:t>
            </w:r>
            <w:r>
              <w:rPr>
                <w:rFonts w:ascii="Times New Roman" w:hAnsi="Times New Roman" w:eastAsia="Times New Roman" w:cs="Times New Roman"/>
                <w:sz w:val="20"/>
                <w:szCs w:val="20"/>
              </w:rPr>
              <w:t>VOCs</w:t>
            </w:r>
            <w:r>
              <w:rPr>
                <w:sz w:val="20"/>
                <w:szCs w:val="20"/>
                <w:spacing w:val="13"/>
              </w:rPr>
              <w:t>管控不到</w:t>
            </w:r>
            <w:r>
              <w:rPr>
                <w:sz w:val="20"/>
                <w:szCs w:val="20"/>
                <w:spacing w:val="7"/>
              </w:rPr>
              <w:t xml:space="preserve"> </w:t>
            </w:r>
            <w:r>
              <w:rPr>
                <w:sz w:val="20"/>
                <w:szCs w:val="20"/>
                <w:spacing w:val="8"/>
              </w:rPr>
              <w:t>位；部分企业清洗、退料、吹扫、放空、晾</w:t>
            </w:r>
            <w:r>
              <w:rPr>
                <w:sz w:val="20"/>
                <w:szCs w:val="20"/>
                <w:spacing w:val="4"/>
              </w:rPr>
              <w:t xml:space="preserve"> </w:t>
            </w:r>
            <w:r>
              <w:rPr>
                <w:sz w:val="20"/>
                <w:szCs w:val="20"/>
                <w:spacing w:val="8"/>
              </w:rPr>
              <w:t>干等环节敞开式作业，</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8"/>
              </w:rPr>
              <w:t xml:space="preserve">  </w:t>
            </w:r>
            <w:r>
              <w:rPr>
                <w:sz w:val="20"/>
                <w:szCs w:val="20"/>
                <w:spacing w:val="8"/>
              </w:rPr>
              <w:t>直排；部分企</w:t>
            </w:r>
            <w:r>
              <w:rPr>
                <w:sz w:val="20"/>
                <w:szCs w:val="20"/>
                <w:spacing w:val="12"/>
              </w:rPr>
              <w:t xml:space="preserve"> </w:t>
            </w:r>
            <w:r>
              <w:rPr>
                <w:sz w:val="20"/>
                <w:szCs w:val="20"/>
                <w:spacing w:val="8"/>
              </w:rPr>
              <w:t>业火炬系统监控不到位，有机废气未充分燃</w:t>
            </w:r>
          </w:p>
          <w:p>
            <w:pPr>
              <w:pStyle w:val="TableText"/>
              <w:ind w:left="1088"/>
              <w:spacing w:before="114" w:line="227" w:lineRule="auto"/>
              <w:rPr>
                <w:sz w:val="20"/>
                <w:szCs w:val="20"/>
              </w:rPr>
            </w:pPr>
            <w:r>
              <w:rPr>
                <w:sz w:val="20"/>
                <w:szCs w:val="20"/>
                <w:spacing w:val="10"/>
              </w:rPr>
              <w:t>烧，</w:t>
            </w:r>
            <w:r>
              <w:rPr>
                <w:rFonts w:ascii="Times New Roman" w:hAnsi="Times New Roman" w:eastAsia="Times New Roman" w:cs="Times New Roman"/>
                <w:sz w:val="20"/>
                <w:szCs w:val="20"/>
              </w:rPr>
              <w:t>VOCs</w:t>
            </w:r>
            <w:r>
              <w:rPr>
                <w:sz w:val="20"/>
                <w:szCs w:val="20"/>
                <w:spacing w:val="10"/>
              </w:rPr>
              <w:t>大量排放。</w:t>
            </w:r>
          </w:p>
        </w:tc>
        <w:tc>
          <w:tcPr>
            <w:tcW w:w="3006" w:type="dxa"/>
            <w:vAlign w:val="top"/>
          </w:tcPr>
          <w:p>
            <w:pPr>
              <w:pStyle w:val="TableText"/>
              <w:ind w:left="205"/>
              <w:spacing w:before="127" w:line="228" w:lineRule="auto"/>
              <w:rPr>
                <w:sz w:val="20"/>
                <w:szCs w:val="20"/>
              </w:rPr>
            </w:pPr>
            <w:r>
              <w:rPr>
                <w:sz w:val="20"/>
                <w:szCs w:val="20"/>
                <w:spacing w:val="11"/>
              </w:rPr>
              <w:t>非正常工况</w:t>
            </w:r>
            <w:r>
              <w:rPr>
                <w:rFonts w:ascii="Times New Roman" w:hAnsi="Times New Roman" w:eastAsia="Times New Roman" w:cs="Times New Roman"/>
                <w:sz w:val="20"/>
                <w:szCs w:val="20"/>
              </w:rPr>
              <w:t>VOCs</w:t>
            </w:r>
            <w:r>
              <w:rPr>
                <w:sz w:val="20"/>
                <w:szCs w:val="20"/>
                <w:spacing w:val="11"/>
              </w:rPr>
              <w:t>管控做到治</w:t>
            </w:r>
          </w:p>
          <w:p>
            <w:pPr>
              <w:pStyle w:val="TableText"/>
              <w:ind w:left="114" w:right="95" w:firstLine="142"/>
              <w:spacing w:before="115" w:line="311" w:lineRule="auto"/>
              <w:rPr>
                <w:sz w:val="20"/>
                <w:szCs w:val="20"/>
              </w:rPr>
            </w:pPr>
            <w:r>
              <w:rPr>
                <w:sz w:val="20"/>
                <w:szCs w:val="20"/>
                <w:spacing w:val="8"/>
              </w:rPr>
              <w:t>理设施较生产设备“先启后</w:t>
            </w:r>
            <w:r>
              <w:rPr>
                <w:sz w:val="20"/>
                <w:szCs w:val="20"/>
                <w:spacing w:val="5"/>
              </w:rPr>
              <w:t xml:space="preserve">  </w:t>
            </w:r>
            <w:r>
              <w:rPr>
                <w:sz w:val="20"/>
                <w:szCs w:val="20"/>
                <w:spacing w:val="9"/>
              </w:rPr>
              <w:t>停</w:t>
            </w:r>
            <w:r>
              <w:rPr>
                <w:sz w:val="20"/>
                <w:szCs w:val="20"/>
                <w:spacing w:val="-63"/>
              </w:rPr>
              <w:t xml:space="preserve"> </w:t>
            </w:r>
            <w:r>
              <w:rPr>
                <w:sz w:val="20"/>
                <w:szCs w:val="20"/>
                <w:spacing w:val="9"/>
              </w:rPr>
              <w:t>”，在治理设施达到正常运</w:t>
            </w:r>
            <w:r>
              <w:rPr>
                <w:sz w:val="20"/>
                <w:szCs w:val="20"/>
              </w:rPr>
              <w:t xml:space="preserve"> </w:t>
            </w:r>
            <w:r>
              <w:rPr>
                <w:sz w:val="20"/>
                <w:szCs w:val="20"/>
                <w:spacing w:val="13"/>
              </w:rPr>
              <w:t>行条件后方可启动生产设备，</w:t>
            </w:r>
            <w:r>
              <w:rPr>
                <w:sz w:val="20"/>
                <w:szCs w:val="20"/>
                <w:spacing w:val="1"/>
              </w:rPr>
              <w:t xml:space="preserve"> </w:t>
            </w:r>
            <w:r>
              <w:rPr>
                <w:sz w:val="20"/>
                <w:szCs w:val="20"/>
                <w:spacing w:val="8"/>
              </w:rPr>
              <w:t>在生产设备停止、残留</w:t>
            </w:r>
            <w:r>
              <w:rPr>
                <w:rFonts w:ascii="Times New Roman" w:hAnsi="Times New Roman" w:eastAsia="Times New Roman" w:cs="Times New Roman"/>
                <w:sz w:val="20"/>
                <w:szCs w:val="20"/>
              </w:rPr>
              <w:t>VOCs</w:t>
            </w:r>
            <w:r>
              <w:rPr>
                <w:sz w:val="20"/>
                <w:szCs w:val="20"/>
                <w:spacing w:val="8"/>
              </w:rPr>
              <w:t>废</w:t>
            </w:r>
            <w:r>
              <w:rPr>
                <w:sz w:val="20"/>
                <w:szCs w:val="20"/>
                <w:spacing w:val="2"/>
              </w:rPr>
              <w:t xml:space="preserve"> </w:t>
            </w:r>
            <w:r>
              <w:rPr>
                <w:sz w:val="20"/>
                <w:szCs w:val="20"/>
                <w:spacing w:val="11"/>
              </w:rPr>
              <w:t>气收集处理完毕后，方可停运</w:t>
            </w:r>
          </w:p>
          <w:p>
            <w:pPr>
              <w:pStyle w:val="TableText"/>
              <w:ind w:left="994"/>
              <w:spacing w:before="113" w:line="205" w:lineRule="auto"/>
              <w:rPr>
                <w:sz w:val="20"/>
                <w:szCs w:val="20"/>
              </w:rPr>
            </w:pPr>
            <w:r>
              <w:rPr>
                <w:sz w:val="20"/>
                <w:szCs w:val="20"/>
                <w:spacing w:val="4"/>
              </w:rPr>
              <w:t>治理设施。</w:t>
            </w:r>
          </w:p>
        </w:tc>
        <w:tc>
          <w:tcPr>
            <w:tcW w:w="690" w:type="dxa"/>
            <w:vAlign w:val="top"/>
            <w:tcBorders>
              <w:right w:val="single" w:color="000000" w:sz="10" w:space="0"/>
            </w:tcBorders>
          </w:tcPr>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pStyle w:val="TableText"/>
              <w:ind w:left="147"/>
              <w:spacing w:before="65" w:line="228" w:lineRule="auto"/>
              <w:rPr>
                <w:sz w:val="20"/>
                <w:szCs w:val="20"/>
              </w:rPr>
            </w:pPr>
            <w:r>
              <w:rPr>
                <w:sz w:val="20"/>
                <w:szCs w:val="20"/>
                <w:spacing w:val="3"/>
              </w:rPr>
              <w:t>符合</w:t>
            </w:r>
          </w:p>
        </w:tc>
      </w:tr>
      <w:tr>
        <w:trPr>
          <w:trHeight w:val="775" w:hRule="atLeast"/>
        </w:trPr>
        <w:tc>
          <w:tcPr>
            <w:tcW w:w="648" w:type="dxa"/>
            <w:vAlign w:val="top"/>
            <w:vMerge w:val="continue"/>
            <w:tcBorders>
              <w:left w:val="single" w:color="000000" w:sz="10" w:space="0"/>
              <w:bottom w:val="single" w:color="000000" w:sz="10" w:space="0"/>
              <w:top w:val="nil"/>
            </w:tcBorders>
          </w:tcPr>
          <w:p>
            <w:pPr>
              <w:rPr>
                <w:rFonts w:ascii="Arial"/>
                <w:sz w:val="21"/>
              </w:rPr>
            </w:pPr>
            <w:r/>
          </w:p>
        </w:tc>
        <w:tc>
          <w:tcPr>
            <w:tcW w:w="4171" w:type="dxa"/>
            <w:vAlign w:val="top"/>
            <w:tcBorders>
              <w:bottom w:val="single" w:color="000000" w:sz="10" w:space="0"/>
            </w:tcBorders>
          </w:tcPr>
          <w:p>
            <w:pPr>
              <w:pStyle w:val="TableText"/>
              <w:ind w:left="103" w:right="105" w:firstLine="5"/>
              <w:spacing w:before="132" w:line="279" w:lineRule="auto"/>
              <w:rPr>
                <w:sz w:val="20"/>
                <w:szCs w:val="20"/>
              </w:rPr>
            </w:pPr>
            <w:r>
              <w:rPr>
                <w:sz w:val="20"/>
                <w:szCs w:val="20"/>
                <w:spacing w:val="7"/>
              </w:rPr>
              <w:t>治理要求。石化、化工企业提前向当地生态</w:t>
            </w:r>
            <w:r>
              <w:rPr>
                <w:sz w:val="20"/>
                <w:szCs w:val="20"/>
                <w:spacing w:val="17"/>
              </w:rPr>
              <w:t xml:space="preserve"> </w:t>
            </w:r>
            <w:r>
              <w:rPr>
                <w:sz w:val="20"/>
                <w:szCs w:val="20"/>
                <w:spacing w:val="8"/>
              </w:rPr>
              <w:t>环境部门报告检维修计划，制定非正常工况</w:t>
            </w:r>
          </w:p>
        </w:tc>
        <w:tc>
          <w:tcPr>
            <w:tcW w:w="3006" w:type="dxa"/>
            <w:vAlign w:val="top"/>
            <w:tcBorders>
              <w:bottom w:val="single" w:color="000000" w:sz="10" w:space="0"/>
            </w:tcBorders>
          </w:tcPr>
          <w:p>
            <w:pPr>
              <w:pStyle w:val="TableText"/>
              <w:ind w:left="152" w:right="131"/>
              <w:spacing w:before="132" w:line="280" w:lineRule="auto"/>
              <w:rPr>
                <w:sz w:val="20"/>
                <w:szCs w:val="20"/>
              </w:rPr>
            </w:pPr>
            <w:r>
              <w:rPr>
                <w:sz w:val="20"/>
                <w:szCs w:val="20"/>
                <w:spacing w:val="9"/>
              </w:rPr>
              <w:t>项目不属于石化、化工企业，</w:t>
            </w:r>
            <w:r>
              <w:rPr>
                <w:sz w:val="20"/>
                <w:szCs w:val="20"/>
              </w:rPr>
              <w:t xml:space="preserve"> </w:t>
            </w:r>
            <w:r>
              <w:rPr>
                <w:sz w:val="20"/>
                <w:szCs w:val="20"/>
                <w:spacing w:val="9"/>
              </w:rPr>
              <w:t>企业开停工、检维修期间，退</w:t>
            </w:r>
          </w:p>
        </w:tc>
        <w:tc>
          <w:tcPr>
            <w:tcW w:w="690" w:type="dxa"/>
            <w:vAlign w:val="top"/>
            <w:tcBorders>
              <w:bottom w:val="single" w:color="000000" w:sz="10" w:space="0"/>
              <w:right w:val="single" w:color="000000" w:sz="10" w:space="0"/>
            </w:tcBorders>
          </w:tcPr>
          <w:p>
            <w:pPr>
              <w:spacing w:line="245" w:lineRule="auto"/>
              <w:rPr>
                <w:rFonts w:ascii="Arial"/>
                <w:sz w:val="21"/>
              </w:rPr>
            </w:pPr>
            <w:r/>
          </w:p>
          <w:p>
            <w:pPr>
              <w:pStyle w:val="TableText"/>
              <w:ind w:left="147"/>
              <w:spacing w:before="65" w:line="228" w:lineRule="auto"/>
              <w:rPr>
                <w:sz w:val="20"/>
                <w:szCs w:val="20"/>
              </w:rPr>
            </w:pPr>
            <w:r>
              <w:rPr>
                <w:sz w:val="20"/>
                <w:szCs w:val="20"/>
                <w:spacing w:val="3"/>
              </w:rPr>
              <w:t>符合</w:t>
            </w:r>
          </w:p>
        </w:tc>
      </w:tr>
    </w:tbl>
    <w:p>
      <w:pPr>
        <w:pStyle w:val="BodyText"/>
        <w:rPr/>
      </w:pPr>
      <w:r/>
    </w:p>
    <w:p>
      <w:pPr>
        <w:sectPr>
          <w:footerReference w:type="default" r:id="rId73"/>
          <w:pgSz w:w="11906" w:h="16839"/>
          <w:pgMar w:top="400" w:right="1682" w:bottom="1211" w:left="1682" w:header="0" w:footer="1049" w:gutter="0"/>
        </w:sectPr>
        <w:rPr/>
      </w:pPr>
    </w:p>
    <w:p>
      <w:pPr>
        <w:spacing w:before="19"/>
        <w:rPr/>
      </w:pPr>
      <w:r/>
    </w:p>
    <w:p>
      <w:pPr>
        <w:spacing w:before="19"/>
        <w:rPr/>
      </w:pPr>
      <w:r/>
    </w:p>
    <w:p>
      <w:pPr>
        <w:spacing w:before="18"/>
        <w:rPr/>
      </w:pPr>
      <w:r/>
    </w:p>
    <w:p>
      <w:pPr>
        <w:spacing w:before="18"/>
        <w:rPr/>
      </w:pPr>
      <w:r/>
    </w:p>
    <w:tbl>
      <w:tblPr>
        <w:tblStyle w:val="TableNormal"/>
        <w:tblW w:w="8515"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648"/>
        <w:gridCol w:w="4171"/>
        <w:gridCol w:w="3006"/>
        <w:gridCol w:w="690"/>
      </w:tblGrid>
      <w:tr>
        <w:trPr>
          <w:trHeight w:val="10788" w:hRule="atLeast"/>
        </w:trPr>
        <w:tc>
          <w:tcPr>
            <w:tcW w:w="648" w:type="dxa"/>
            <w:vAlign w:val="top"/>
            <w:tcBorders>
              <w:right w:val="single" w:color="000000" w:sz="2" w:space="0"/>
            </w:tcBorders>
          </w:tcPr>
          <w:p>
            <w:pPr>
              <w:rPr>
                <w:rFonts w:ascii="Arial"/>
                <w:sz w:val="21"/>
              </w:rPr>
            </w:pPr>
            <w:r/>
          </w:p>
        </w:tc>
        <w:tc>
          <w:tcPr>
            <w:tcW w:w="4171" w:type="dxa"/>
            <w:vAlign w:val="top"/>
            <w:tcBorders>
              <w:left w:val="single" w:color="000000" w:sz="2" w:space="0"/>
              <w:right w:val="single" w:color="000000" w:sz="2" w:space="0"/>
            </w:tcBorders>
          </w:tcPr>
          <w:p>
            <w:pPr>
              <w:pStyle w:val="TableText"/>
              <w:ind w:left="106" w:right="105" w:firstLine="31"/>
              <w:spacing w:before="94" w:line="280" w:lineRule="auto"/>
              <w:rPr>
                <w:sz w:val="20"/>
                <w:szCs w:val="20"/>
              </w:rPr>
            </w:pPr>
            <w:r>
              <w:rPr>
                <w:rFonts w:ascii="Times New Roman" w:hAnsi="Times New Roman" w:eastAsia="Times New Roman" w:cs="Times New Roman"/>
                <w:sz w:val="20"/>
                <w:szCs w:val="20"/>
              </w:rPr>
              <w:t>VOCs</w:t>
            </w:r>
            <w:r>
              <w:rPr>
                <w:sz w:val="20"/>
                <w:szCs w:val="20"/>
                <w:spacing w:val="12"/>
              </w:rPr>
              <w:t>管控规程，严格按照规程进行操作。</w:t>
            </w:r>
            <w:r>
              <w:rPr>
                <w:sz w:val="20"/>
                <w:szCs w:val="20"/>
                <w:spacing w:val="7"/>
              </w:rPr>
              <w:t xml:space="preserve"> </w:t>
            </w:r>
            <w:r>
              <w:rPr>
                <w:sz w:val="20"/>
                <w:szCs w:val="20"/>
                <w:spacing w:val="8"/>
              </w:rPr>
              <w:t>企业开停工、检维修期间，退料、清洗、吹</w:t>
            </w:r>
          </w:p>
          <w:p>
            <w:pPr>
              <w:pStyle w:val="TableText"/>
              <w:ind w:left="103" w:right="105" w:firstLine="148"/>
              <w:spacing w:before="110" w:line="325" w:lineRule="auto"/>
              <w:rPr>
                <w:sz w:val="20"/>
                <w:szCs w:val="20"/>
              </w:rPr>
            </w:pPr>
            <w:r>
              <w:rPr>
                <w:sz w:val="20"/>
                <w:szCs w:val="20"/>
                <w:spacing w:val="10"/>
              </w:rPr>
              <w:t>扫等作业产生的</w:t>
            </w:r>
            <w:r>
              <w:rPr>
                <w:rFonts w:ascii="Times New Roman" w:hAnsi="Times New Roman" w:eastAsia="Times New Roman" w:cs="Times New Roman"/>
                <w:sz w:val="20"/>
                <w:szCs w:val="20"/>
              </w:rPr>
              <w:t>VOCs</w:t>
            </w:r>
            <w:r>
              <w:rPr>
                <w:sz w:val="20"/>
                <w:szCs w:val="20"/>
                <w:spacing w:val="10"/>
              </w:rPr>
              <w:t>废气应及时收集处</w:t>
            </w:r>
            <w:r>
              <w:rPr>
                <w:sz w:val="20"/>
                <w:szCs w:val="20"/>
                <w:spacing w:val="5"/>
              </w:rPr>
              <w:t xml:space="preserve">  </w:t>
            </w:r>
            <w:r>
              <w:rPr>
                <w:sz w:val="20"/>
                <w:szCs w:val="20"/>
                <w:spacing w:val="8"/>
              </w:rPr>
              <w:t>理，确保满足标准要求。停工退料时应密闭</w:t>
            </w:r>
            <w:r>
              <w:rPr>
                <w:sz w:val="20"/>
                <w:szCs w:val="20"/>
                <w:spacing w:val="3"/>
              </w:rPr>
              <w:t xml:space="preserve"> </w:t>
            </w:r>
            <w:r>
              <w:rPr>
                <w:sz w:val="20"/>
                <w:szCs w:val="20"/>
                <w:spacing w:val="8"/>
              </w:rPr>
              <w:t>吹扫，最大化回收物料；产生的不凝气应分</w:t>
            </w:r>
            <w:r>
              <w:rPr>
                <w:sz w:val="20"/>
                <w:szCs w:val="20"/>
                <w:spacing w:val="3"/>
              </w:rPr>
              <w:t xml:space="preserve"> </w:t>
            </w:r>
            <w:r>
              <w:rPr>
                <w:sz w:val="20"/>
                <w:szCs w:val="20"/>
                <w:spacing w:val="8"/>
              </w:rPr>
              <w:t>类进入管网，通过加热炉、火炬系统、治理</w:t>
            </w:r>
            <w:r>
              <w:rPr>
                <w:sz w:val="20"/>
                <w:szCs w:val="20"/>
                <w:spacing w:val="3"/>
              </w:rPr>
              <w:t xml:space="preserve"> </w:t>
            </w:r>
            <w:r>
              <w:rPr>
                <w:sz w:val="20"/>
                <w:szCs w:val="20"/>
                <w:spacing w:val="15"/>
              </w:rPr>
              <w:t>设施或带有恶臭和</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15"/>
              </w:rPr>
              <w:t xml:space="preserve">  </w:t>
            </w:r>
            <w:r>
              <w:rPr>
                <w:sz w:val="20"/>
                <w:szCs w:val="20"/>
                <w:spacing w:val="15"/>
              </w:rPr>
              <w:t>废气治理装置的</w:t>
            </w:r>
            <w:r>
              <w:rPr>
                <w:sz w:val="20"/>
                <w:szCs w:val="20"/>
                <w:spacing w:val="3"/>
              </w:rPr>
              <w:t xml:space="preserve">  </w:t>
            </w:r>
            <w:r>
              <w:rPr>
                <w:sz w:val="20"/>
                <w:szCs w:val="20"/>
                <w:spacing w:val="8"/>
              </w:rPr>
              <w:t>污油罐、污水处理设施、酸性水罐等进行收</w:t>
            </w:r>
            <w:r>
              <w:rPr>
                <w:sz w:val="20"/>
                <w:szCs w:val="20"/>
                <w:spacing w:val="3"/>
              </w:rPr>
              <w:t xml:space="preserve"> </w:t>
            </w:r>
            <w:r>
              <w:rPr>
                <w:sz w:val="20"/>
                <w:szCs w:val="20"/>
                <w:spacing w:val="8"/>
              </w:rPr>
              <w:t>集处置。在难以建立蒸罐、清洗、吹扫产物</w:t>
            </w:r>
            <w:r>
              <w:rPr>
                <w:sz w:val="20"/>
                <w:szCs w:val="20"/>
                <w:spacing w:val="3"/>
              </w:rPr>
              <w:t xml:space="preserve"> </w:t>
            </w:r>
            <w:r>
              <w:rPr>
                <w:sz w:val="20"/>
                <w:szCs w:val="20"/>
                <w:spacing w:val="8"/>
              </w:rPr>
              <w:t>密闭排放管网的情况下，可采用移动式设备</w:t>
            </w:r>
            <w:r>
              <w:rPr>
                <w:sz w:val="20"/>
                <w:szCs w:val="20"/>
                <w:spacing w:val="3"/>
              </w:rPr>
              <w:t xml:space="preserve"> </w:t>
            </w:r>
            <w:r>
              <w:rPr>
                <w:sz w:val="20"/>
                <w:szCs w:val="20"/>
                <w:spacing w:val="8"/>
              </w:rPr>
              <w:t>处理检维修过程排放的废气。蒸罐、清洗、</w:t>
            </w:r>
            <w:r>
              <w:rPr>
                <w:sz w:val="20"/>
                <w:szCs w:val="20"/>
                <w:spacing w:val="3"/>
              </w:rPr>
              <w:t xml:space="preserve"> </w:t>
            </w:r>
            <w:r>
              <w:rPr>
                <w:sz w:val="20"/>
                <w:szCs w:val="20"/>
                <w:spacing w:val="8"/>
              </w:rPr>
              <w:t>吹扫产物全部处置完毕后，方可停运配套治</w:t>
            </w:r>
            <w:r>
              <w:rPr>
                <w:sz w:val="20"/>
                <w:szCs w:val="20"/>
                <w:spacing w:val="3"/>
              </w:rPr>
              <w:t xml:space="preserve"> </w:t>
            </w:r>
            <w:r>
              <w:rPr>
                <w:sz w:val="20"/>
                <w:szCs w:val="20"/>
                <w:spacing w:val="3"/>
              </w:rPr>
              <w:t>理设施、气柜、火炬等。加强放空气体</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4"/>
              </w:rPr>
              <w:t xml:space="preserve"> </w:t>
            </w:r>
            <w:r>
              <w:rPr>
                <w:sz w:val="20"/>
                <w:szCs w:val="20"/>
                <w:spacing w:val="8"/>
              </w:rPr>
              <w:t>浓度监测，一般低于</w:t>
            </w:r>
            <w:r>
              <w:rPr>
                <w:rFonts w:ascii="Times New Roman" w:hAnsi="Times New Roman" w:eastAsia="Times New Roman" w:cs="Times New Roman"/>
                <w:sz w:val="20"/>
                <w:szCs w:val="20"/>
                <w:spacing w:val="8"/>
              </w:rPr>
              <w:t>200</w:t>
            </w:r>
            <w:r>
              <w:rPr>
                <w:sz w:val="20"/>
                <w:szCs w:val="20"/>
                <w:spacing w:val="8"/>
              </w:rPr>
              <w:t>μ</w:t>
            </w:r>
            <w:r>
              <w:rPr>
                <w:rFonts w:ascii="Times New Roman" w:hAnsi="Times New Roman" w:eastAsia="Times New Roman" w:cs="Times New Roman"/>
                <w:sz w:val="20"/>
                <w:szCs w:val="20"/>
              </w:rPr>
              <w:t>mol</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rPr>
              <w:t>mol</w:t>
            </w:r>
            <w:r>
              <w:rPr>
                <w:sz w:val="20"/>
                <w:szCs w:val="20"/>
                <w:spacing w:val="8"/>
              </w:rPr>
              <w:t>或</w:t>
            </w:r>
            <w:r>
              <w:rPr>
                <w:rFonts w:ascii="Times New Roman" w:hAnsi="Times New Roman" w:eastAsia="Times New Roman" w:cs="Times New Roman"/>
                <w:sz w:val="20"/>
                <w:szCs w:val="20"/>
                <w:spacing w:val="8"/>
              </w:rPr>
              <w:t>0.2%</w:t>
            </w:r>
            <w:r>
              <w:rPr>
                <w:sz w:val="20"/>
                <w:szCs w:val="20"/>
                <w:spacing w:val="8"/>
              </w:rPr>
              <w:t>爆</w:t>
            </w:r>
            <w:r>
              <w:rPr>
                <w:sz w:val="20"/>
                <w:szCs w:val="20"/>
                <w:spacing w:val="1"/>
              </w:rPr>
              <w:t xml:space="preserve"> </w:t>
            </w:r>
            <w:r>
              <w:rPr>
                <w:sz w:val="20"/>
                <w:szCs w:val="20"/>
                <w:spacing w:val="8"/>
              </w:rPr>
              <w:t>炸下限浓度后再进行放空作业，减少设备拆</w:t>
            </w:r>
            <w:r>
              <w:rPr>
                <w:sz w:val="20"/>
                <w:szCs w:val="20"/>
                <w:spacing w:val="3"/>
              </w:rPr>
              <w:t xml:space="preserve"> </w:t>
            </w:r>
            <w:r>
              <w:rPr>
                <w:sz w:val="20"/>
                <w:szCs w:val="20"/>
                <w:spacing w:val="12"/>
              </w:rPr>
              <w:t>解过程中</w:t>
            </w:r>
            <w:r>
              <w:rPr>
                <w:rFonts w:ascii="Times New Roman" w:hAnsi="Times New Roman" w:eastAsia="Times New Roman" w:cs="Times New Roman"/>
                <w:sz w:val="20"/>
                <w:szCs w:val="20"/>
              </w:rPr>
              <w:t>VOCs</w:t>
            </w:r>
            <w:r>
              <w:rPr>
                <w:sz w:val="20"/>
                <w:szCs w:val="20"/>
                <w:spacing w:val="12"/>
              </w:rPr>
              <w:t>排放。在停工检维修阶段，</w:t>
            </w:r>
          </w:p>
          <w:p>
            <w:pPr>
              <w:pStyle w:val="TableText"/>
              <w:ind w:left="106" w:right="105" w:hanging="3"/>
              <w:spacing w:before="112" w:line="280" w:lineRule="auto"/>
              <w:rPr>
                <w:sz w:val="20"/>
                <w:szCs w:val="20"/>
              </w:rPr>
            </w:pPr>
            <w:r>
              <w:rPr>
                <w:sz w:val="20"/>
                <w:szCs w:val="20"/>
                <w:spacing w:val="8"/>
              </w:rPr>
              <w:t>环保装置、气柜、火炬等应在生产装置开车</w:t>
            </w:r>
            <w:r>
              <w:rPr>
                <w:sz w:val="20"/>
                <w:szCs w:val="20"/>
                <w:spacing w:val="3"/>
              </w:rPr>
              <w:t xml:space="preserve"> </w:t>
            </w:r>
            <w:r>
              <w:rPr>
                <w:sz w:val="20"/>
                <w:szCs w:val="20"/>
                <w:spacing w:val="8"/>
              </w:rPr>
              <w:t>前完成检维修；在开机进料时，应将置换出</w:t>
            </w:r>
          </w:p>
          <w:p>
            <w:pPr>
              <w:pStyle w:val="TableText"/>
              <w:ind w:left="101" w:right="105" w:firstLine="112"/>
              <w:spacing w:before="111" w:line="323" w:lineRule="auto"/>
              <w:rPr>
                <w:sz w:val="20"/>
                <w:szCs w:val="20"/>
              </w:rPr>
            </w:pPr>
            <w:r>
              <w:rPr>
                <w:sz w:val="20"/>
                <w:szCs w:val="20"/>
                <w:spacing w:val="8"/>
              </w:rPr>
              <w:t>的废气排入火炬系统或采用其他有效方法</w:t>
            </w:r>
            <w:r>
              <w:rPr>
                <w:sz w:val="20"/>
                <w:szCs w:val="20"/>
                <w:spacing w:val="3"/>
              </w:rPr>
              <w:t xml:space="preserve">  </w:t>
            </w:r>
            <w:r>
              <w:rPr>
                <w:sz w:val="20"/>
                <w:szCs w:val="20"/>
                <w:spacing w:val="8"/>
              </w:rPr>
              <w:t>进行处理；开工初始阶段产生的不合格产品</w:t>
            </w:r>
            <w:r>
              <w:rPr>
                <w:sz w:val="20"/>
                <w:szCs w:val="20"/>
                <w:spacing w:val="5"/>
              </w:rPr>
              <w:t xml:space="preserve"> </w:t>
            </w:r>
            <w:r>
              <w:rPr>
                <w:sz w:val="20"/>
                <w:szCs w:val="20"/>
                <w:spacing w:val="8"/>
              </w:rPr>
              <w:t>应妥善处理，不得直排。企业检维修期间，</w:t>
            </w:r>
            <w:r>
              <w:rPr>
                <w:sz w:val="20"/>
                <w:szCs w:val="20"/>
                <w:spacing w:val="5"/>
              </w:rPr>
              <w:t xml:space="preserve"> </w:t>
            </w:r>
            <w:r>
              <w:rPr>
                <w:sz w:val="20"/>
                <w:szCs w:val="20"/>
                <w:spacing w:val="8"/>
              </w:rPr>
              <w:t>当地生态环境部门可利用走航、网格化监测</w:t>
            </w:r>
            <w:r>
              <w:rPr>
                <w:sz w:val="20"/>
                <w:szCs w:val="20"/>
                <w:spacing w:val="5"/>
              </w:rPr>
              <w:t xml:space="preserve"> </w:t>
            </w:r>
            <w:r>
              <w:rPr>
                <w:sz w:val="20"/>
                <w:szCs w:val="20"/>
                <w:spacing w:val="8"/>
              </w:rPr>
              <w:t>等方式加强监管，必要时可实施驻厂监管。</w:t>
            </w:r>
            <w:r>
              <w:rPr>
                <w:sz w:val="20"/>
                <w:szCs w:val="20"/>
                <w:spacing w:val="5"/>
              </w:rPr>
              <w:t xml:space="preserve"> </w:t>
            </w:r>
            <w:r>
              <w:rPr>
                <w:sz w:val="20"/>
                <w:szCs w:val="20"/>
                <w:spacing w:val="8"/>
              </w:rPr>
              <w:t>石化、化工企业应加强可燃性气体的回收，</w:t>
            </w:r>
            <w:r>
              <w:rPr>
                <w:sz w:val="20"/>
                <w:szCs w:val="20"/>
                <w:spacing w:val="5"/>
              </w:rPr>
              <w:t xml:space="preserve"> </w:t>
            </w:r>
            <w:r>
              <w:rPr>
                <w:sz w:val="20"/>
                <w:szCs w:val="20"/>
                <w:spacing w:val="8"/>
              </w:rPr>
              <w:t>火炬燃烧装置一般只用于应急处置，不作为</w:t>
            </w:r>
            <w:r>
              <w:rPr>
                <w:sz w:val="20"/>
                <w:szCs w:val="20"/>
                <w:spacing w:val="5"/>
              </w:rPr>
              <w:t xml:space="preserve"> </w:t>
            </w:r>
            <w:r>
              <w:rPr>
                <w:sz w:val="20"/>
                <w:szCs w:val="20"/>
                <w:spacing w:val="8"/>
              </w:rPr>
              <w:t>日常大气污染处理设施；企业应按标准要求</w:t>
            </w:r>
            <w:r>
              <w:rPr>
                <w:sz w:val="20"/>
                <w:szCs w:val="20"/>
                <w:spacing w:val="5"/>
              </w:rPr>
              <w:t xml:space="preserve"> </w:t>
            </w:r>
            <w:r>
              <w:rPr>
                <w:sz w:val="20"/>
                <w:szCs w:val="20"/>
                <w:spacing w:val="8"/>
              </w:rPr>
              <w:t>在火炬系统安装温度监控、废气流量计、助</w:t>
            </w:r>
            <w:r>
              <w:rPr>
                <w:sz w:val="20"/>
                <w:szCs w:val="20"/>
                <w:spacing w:val="5"/>
              </w:rPr>
              <w:t xml:space="preserve"> </w:t>
            </w:r>
            <w:r>
              <w:rPr>
                <w:sz w:val="20"/>
                <w:szCs w:val="20"/>
                <w:spacing w:val="8"/>
              </w:rPr>
              <w:t>燃气体流量计等，鼓励安装热值检测仪；火</w:t>
            </w:r>
            <w:r>
              <w:rPr>
                <w:sz w:val="20"/>
                <w:szCs w:val="20"/>
                <w:spacing w:val="5"/>
              </w:rPr>
              <w:t xml:space="preserve"> </w:t>
            </w:r>
            <w:r>
              <w:rPr>
                <w:sz w:val="20"/>
                <w:szCs w:val="20"/>
                <w:spacing w:val="14"/>
              </w:rPr>
              <w:t>炬排放废气热值达不到要求时应及时补充</w:t>
            </w:r>
          </w:p>
          <w:p>
            <w:pPr>
              <w:pStyle w:val="TableText"/>
              <w:ind w:left="1562"/>
              <w:spacing w:before="113" w:line="225" w:lineRule="auto"/>
              <w:rPr>
                <w:sz w:val="20"/>
                <w:szCs w:val="20"/>
              </w:rPr>
            </w:pPr>
            <w:r>
              <w:rPr>
                <w:sz w:val="20"/>
                <w:szCs w:val="20"/>
                <w:spacing w:val="5"/>
              </w:rPr>
              <w:t>助燃气体。</w:t>
            </w:r>
          </w:p>
        </w:tc>
        <w:tc>
          <w:tcPr>
            <w:tcW w:w="3006" w:type="dxa"/>
            <w:vAlign w:val="top"/>
            <w:tcBorders>
              <w:left w:val="single" w:color="000000" w:sz="2" w:space="0"/>
              <w:right w:val="single" w:color="000000" w:sz="2" w:space="0"/>
            </w:tcBorders>
          </w:tcPr>
          <w:p>
            <w:pPr>
              <w:pStyle w:val="TableText"/>
              <w:ind w:left="109" w:right="95" w:firstLine="39"/>
              <w:spacing w:before="96" w:line="311" w:lineRule="auto"/>
              <w:jc w:val="both"/>
              <w:rPr>
                <w:sz w:val="20"/>
                <w:szCs w:val="20"/>
              </w:rPr>
            </w:pPr>
            <w:r>
              <w:rPr>
                <w:sz w:val="20"/>
                <w:szCs w:val="20"/>
                <w:spacing w:val="9"/>
              </w:rPr>
              <w:t>料、清洗、吹扫等作业产生的</w:t>
            </w:r>
            <w:r>
              <w:rPr>
                <w:sz w:val="20"/>
                <w:szCs w:val="20"/>
                <w:spacing w:val="2"/>
              </w:rPr>
              <w:t xml:space="preserve"> </w:t>
            </w:r>
            <w:r>
              <w:rPr>
                <w:rFonts w:ascii="Times New Roman" w:hAnsi="Times New Roman" w:eastAsia="Times New Roman" w:cs="Times New Roman"/>
                <w:sz w:val="20"/>
                <w:szCs w:val="20"/>
              </w:rPr>
              <w:t>VOCs</w:t>
            </w:r>
            <w:r>
              <w:rPr>
                <w:sz w:val="20"/>
                <w:szCs w:val="20"/>
                <w:spacing w:val="8"/>
              </w:rPr>
              <w:t>废气应及时收集处理，确</w:t>
            </w:r>
            <w:r>
              <w:rPr>
                <w:sz w:val="20"/>
                <w:szCs w:val="20"/>
                <w:spacing w:val="7"/>
              </w:rPr>
              <w:t xml:space="preserve"> </w:t>
            </w:r>
            <w:r>
              <w:rPr>
                <w:sz w:val="20"/>
                <w:szCs w:val="20"/>
                <w:spacing w:val="12"/>
              </w:rPr>
              <w:t>保满足标准要求。在停工检维</w:t>
            </w:r>
            <w:r>
              <w:rPr>
                <w:sz w:val="20"/>
                <w:szCs w:val="20"/>
                <w:spacing w:val="3"/>
              </w:rPr>
              <w:t xml:space="preserve"> </w:t>
            </w:r>
            <w:r>
              <w:rPr>
                <w:sz w:val="20"/>
                <w:szCs w:val="20"/>
                <w:spacing w:val="12"/>
              </w:rPr>
              <w:t>修阶段，环保装置、气柜、火</w:t>
            </w:r>
            <w:r>
              <w:rPr>
                <w:sz w:val="20"/>
                <w:szCs w:val="20"/>
                <w:spacing w:val="3"/>
              </w:rPr>
              <w:t xml:space="preserve"> </w:t>
            </w:r>
            <w:r>
              <w:rPr>
                <w:sz w:val="20"/>
                <w:szCs w:val="20"/>
                <w:spacing w:val="12"/>
              </w:rPr>
              <w:t>炬等应在生产装置开车前完成</w:t>
            </w:r>
          </w:p>
          <w:p>
            <w:pPr>
              <w:pStyle w:val="TableText"/>
              <w:ind w:left="1094"/>
              <w:spacing w:before="113" w:line="228" w:lineRule="auto"/>
              <w:rPr>
                <w:sz w:val="20"/>
                <w:szCs w:val="20"/>
              </w:rPr>
            </w:pPr>
            <w:r>
              <w:rPr>
                <w:sz w:val="20"/>
                <w:szCs w:val="20"/>
                <w:spacing w:val="5"/>
              </w:rPr>
              <w:t>检维修。</w:t>
            </w:r>
          </w:p>
        </w:tc>
        <w:tc>
          <w:tcPr>
            <w:tcW w:w="690" w:type="dxa"/>
            <w:vAlign w:val="top"/>
            <w:tcBorders>
              <w:left w:val="single" w:color="000000" w:sz="2" w:space="0"/>
            </w:tcBorders>
          </w:tcPr>
          <w:p>
            <w:pPr>
              <w:rPr>
                <w:rFonts w:ascii="Arial"/>
                <w:sz w:val="21"/>
              </w:rPr>
            </w:pPr>
            <w:r/>
          </w:p>
        </w:tc>
      </w:tr>
    </w:tbl>
    <w:p>
      <w:pPr>
        <w:pStyle w:val="BodyText"/>
        <w:spacing w:line="337" w:lineRule="auto"/>
        <w:rPr/>
      </w:pPr>
      <w:r/>
    </w:p>
    <w:p>
      <w:pPr>
        <w:pStyle w:val="BodyText"/>
        <w:spacing w:line="337" w:lineRule="auto"/>
        <w:rPr/>
      </w:pPr>
      <w:r/>
    </w:p>
    <w:p>
      <w:pPr>
        <w:ind w:left="124"/>
        <w:spacing w:before="91" w:line="219" w:lineRule="auto"/>
        <w:outlineLvl w:val="0"/>
        <w:rPr>
          <w:rFonts w:ascii="SimSun" w:hAnsi="SimSun" w:eastAsia="SimSun" w:cs="SimSun"/>
          <w:sz w:val="28"/>
          <w:szCs w:val="28"/>
        </w:rPr>
      </w:pPr>
      <w:r>
        <w:rPr>
          <w:rFonts w:ascii="Times New Roman" w:hAnsi="Times New Roman" w:eastAsia="Times New Roman" w:cs="Times New Roman"/>
          <w:sz w:val="28"/>
          <w:szCs w:val="28"/>
          <w:b/>
          <w:bCs/>
          <w:spacing w:val="1"/>
        </w:rPr>
        <w:t>2</w:t>
      </w:r>
      <w:r>
        <w:rPr>
          <w:rFonts w:ascii="Times New Roman" w:hAnsi="Times New Roman" w:eastAsia="Times New Roman" w:cs="Times New Roman"/>
          <w:sz w:val="28"/>
          <w:szCs w:val="28"/>
          <w:b/>
          <w:bCs/>
          <w:spacing w:val="-4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
        </w:rPr>
        <w:t>、本项目为扩建工程，从卫星图看，本项目选址位于农田区旁，四</w:t>
      </w:r>
    </w:p>
    <w:p>
      <w:pPr>
        <w:ind w:left="132" w:right="116" w:hanging="3"/>
        <w:spacing w:before="228" w:line="369"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4"/>
        </w:rPr>
        <w:t>周均为农田，核实项目用地性质，调查说明该企业用地是否取得当地</w:t>
      </w:r>
      <w:r>
        <w:rPr>
          <w:rFonts w:ascii="SimSun" w:hAnsi="SimSun" w:eastAsia="SimSun" w:cs="SimSun"/>
          <w:sz w:val="28"/>
          <w:szCs w:val="28"/>
          <w:spacing w:val="13"/>
        </w:rPr>
        <w:t xml:space="preserve"> </w:t>
      </w:r>
      <w:r>
        <w:rPr>
          <w:rFonts w:ascii="SimSun" w:hAnsi="SimSun" w:eastAsia="SimSun" w:cs="SimSun"/>
          <w:sz w:val="28"/>
          <w:szCs w:val="28"/>
          <w14:textOutline w14:w="5103" w14:cap="sq" w14:cmpd="sng">
            <w14:solidFill>
              <w14:srgbClr w14:val="000000"/>
            </w14:solidFill>
            <w14:prstDash w14:val="solid"/>
            <w14:bevel/>
          </w14:textOutline>
        </w:rPr>
        <w:t>行政管理部门颁发的建设用地规划许可证，完善项目选址合理性分</w:t>
      </w:r>
    </w:p>
    <w:p>
      <w:pPr>
        <w:ind w:left="130"/>
        <w:spacing w:line="218"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析。项目建设用地规划许可证副本应作为报告表附件。</w:t>
      </w:r>
    </w:p>
    <w:p>
      <w:pPr>
        <w:spacing w:line="218" w:lineRule="auto"/>
        <w:sectPr>
          <w:footerReference w:type="default" r:id="rId74"/>
          <w:pgSz w:w="11906" w:h="16839"/>
          <w:pgMar w:top="400" w:right="1682" w:bottom="1211" w:left="1682" w:header="0" w:footer="1049" w:gutter="0"/>
        </w:sectPr>
        <w:rPr>
          <w:rFonts w:ascii="SimSun" w:hAnsi="SimSun" w:eastAsia="SimSun" w:cs="SimSun"/>
          <w:sz w:val="28"/>
          <w:szCs w:val="28"/>
        </w:rPr>
      </w:pPr>
    </w:p>
    <w:p>
      <w:pPr>
        <w:pStyle w:val="BodyText"/>
        <w:spacing w:line="287" w:lineRule="auto"/>
        <w:rPr/>
      </w:pPr>
      <w:r/>
    </w:p>
    <w:p>
      <w:pPr>
        <w:pStyle w:val="BodyText"/>
        <w:spacing w:line="287" w:lineRule="auto"/>
        <w:rPr/>
      </w:pPr>
      <w:r/>
    </w:p>
    <w:p>
      <w:pPr>
        <w:pStyle w:val="BodyText"/>
        <w:spacing w:line="288" w:lineRule="auto"/>
        <w:rPr/>
      </w:pPr>
      <w:r/>
    </w:p>
    <w:p>
      <w:pPr>
        <w:pStyle w:val="BodyText"/>
        <w:spacing w:line="288" w:lineRule="auto"/>
        <w:rPr/>
      </w:pPr>
      <w:r/>
    </w:p>
    <w:p>
      <w:pPr>
        <w:ind w:left="529"/>
        <w:spacing w:before="78" w:line="219" w:lineRule="auto"/>
        <w:rPr>
          <w:rFonts w:ascii="Times New Roman" w:hAnsi="Times New Roman" w:eastAsia="Times New Roman" w:cs="Times New Roman"/>
          <w:sz w:val="24"/>
          <w:szCs w:val="24"/>
        </w:rPr>
      </w:pPr>
      <w:r>
        <w:rPr>
          <w:rFonts w:ascii="SimSun" w:hAnsi="SimSun" w:eastAsia="SimSun" w:cs="SimSun"/>
          <w:sz w:val="24"/>
          <w:szCs w:val="24"/>
          <w:spacing w:val="-5"/>
        </w:rPr>
        <w:t>已修改，见</w:t>
      </w:r>
      <w:r>
        <w:rPr>
          <w:rFonts w:ascii="Times New Roman" w:hAnsi="Times New Roman" w:eastAsia="Times New Roman" w:cs="Times New Roman"/>
          <w:sz w:val="24"/>
          <w:szCs w:val="24"/>
          <w:spacing w:val="-5"/>
        </w:rPr>
        <w:t>P10</w:t>
      </w:r>
    </w:p>
    <w:p>
      <w:pPr>
        <w:ind w:left="514"/>
        <w:spacing w:before="214" w:line="219"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8</w:t>
      </w:r>
      <w:r>
        <w:rPr>
          <w:rFonts w:ascii="SimSun" w:hAnsi="SimSun" w:eastAsia="SimSun" w:cs="SimSun"/>
          <w:sz w:val="24"/>
          <w:szCs w:val="24"/>
          <w:spacing w:val="-3"/>
        </w:rPr>
        <w:t>）选址符合性</w:t>
      </w:r>
    </w:p>
    <w:p>
      <w:pPr>
        <w:spacing w:before="213" w:line="219" w:lineRule="auto"/>
        <w:jc w:val="right"/>
        <w:rPr>
          <w:rFonts w:ascii="SimSun" w:hAnsi="SimSun" w:eastAsia="SimSun" w:cs="SimSun"/>
          <w:sz w:val="24"/>
          <w:szCs w:val="24"/>
        </w:rPr>
      </w:pPr>
      <w:r>
        <w:rPr>
          <w:rFonts w:ascii="SimSun" w:hAnsi="SimSun" w:eastAsia="SimSun" w:cs="SimSun"/>
          <w:sz w:val="24"/>
          <w:szCs w:val="24"/>
          <w:spacing w:val="-8"/>
        </w:rPr>
        <w:t>本项目为扩建项目，土地类型为建设用地，土地用途为工业用地（见附件）。</w:t>
      </w:r>
    </w:p>
    <w:p>
      <w:pPr>
        <w:ind w:left="23" w:firstLine="480"/>
        <w:spacing w:before="219" w:line="384" w:lineRule="auto"/>
        <w:rPr>
          <w:rFonts w:ascii="SimSun" w:hAnsi="SimSun" w:eastAsia="SimSun" w:cs="SimSun"/>
          <w:sz w:val="24"/>
          <w:szCs w:val="24"/>
        </w:rPr>
      </w:pPr>
      <w:r>
        <w:rPr>
          <w:rFonts w:ascii="SimSun" w:hAnsi="SimSun" w:eastAsia="SimSun" w:cs="SimSun"/>
          <w:sz w:val="24"/>
          <w:szCs w:val="24"/>
          <w:spacing w:val="-4"/>
        </w:rPr>
        <w:t>本项目占地面积为</w:t>
      </w:r>
      <w:r>
        <w:rPr>
          <w:rFonts w:ascii="Times New Roman" w:hAnsi="Times New Roman" w:eastAsia="Times New Roman" w:cs="Times New Roman"/>
          <w:sz w:val="24"/>
          <w:szCs w:val="24"/>
          <w:spacing w:val="-4"/>
        </w:rPr>
        <w:t>200</w:t>
      </w:r>
      <w:r>
        <w:rPr>
          <w:rFonts w:ascii="SimSun" w:hAnsi="SimSun" w:eastAsia="SimSun" w:cs="SimSun"/>
          <w:sz w:val="24"/>
          <w:szCs w:val="24"/>
          <w:spacing w:val="-4"/>
        </w:rPr>
        <w:t>㎡，位于企业附近无重点文物保护单位、风</w:t>
      </w:r>
      <w:r>
        <w:rPr>
          <w:rFonts w:ascii="SimSun" w:hAnsi="SimSun" w:eastAsia="SimSun" w:cs="SimSun"/>
          <w:sz w:val="24"/>
          <w:szCs w:val="24"/>
          <w:spacing w:val="-5"/>
        </w:rPr>
        <w:t>景名胜区、</w:t>
      </w:r>
      <w:r>
        <w:rPr>
          <w:rFonts w:ascii="SimSun" w:hAnsi="SimSun" w:eastAsia="SimSun" w:cs="SimSun"/>
          <w:sz w:val="24"/>
          <w:szCs w:val="24"/>
        </w:rPr>
        <w:t xml:space="preserve"> </w:t>
      </w:r>
      <w:r>
        <w:rPr>
          <w:rFonts w:ascii="SimSun" w:hAnsi="SimSun" w:eastAsia="SimSun" w:cs="SimSun"/>
          <w:sz w:val="24"/>
          <w:szCs w:val="24"/>
          <w:spacing w:val="-3"/>
        </w:rPr>
        <w:t>革命历史古迹、集中式水源地等环境敏感点。</w:t>
      </w:r>
      <w:r>
        <w:rPr>
          <w:rFonts w:ascii="SimSun" w:hAnsi="SimSun" w:eastAsia="SimSun" w:cs="SimSun"/>
          <w:sz w:val="24"/>
          <w:szCs w:val="24"/>
          <w:spacing w:val="-4"/>
        </w:rPr>
        <w:t>项目选址符合环境功能区划。所在 </w:t>
      </w:r>
      <w:r>
        <w:rPr>
          <w:rFonts w:ascii="SimSun" w:hAnsi="SimSun" w:eastAsia="SimSun" w:cs="SimSun"/>
          <w:sz w:val="24"/>
          <w:szCs w:val="24"/>
          <w:spacing w:val="-7"/>
        </w:rPr>
        <w:t>地具有良好的区位优势，交通便捷、物流通畅、项目所</w:t>
      </w:r>
      <w:r>
        <w:rPr>
          <w:rFonts w:ascii="SimSun" w:hAnsi="SimSun" w:eastAsia="SimSun" w:cs="SimSun"/>
          <w:sz w:val="24"/>
          <w:szCs w:val="24"/>
          <w:spacing w:val="-8"/>
        </w:rPr>
        <w:t>在地地势平坦，坡度较小。</w:t>
      </w:r>
      <w:r>
        <w:rPr>
          <w:rFonts w:ascii="SimSun" w:hAnsi="SimSun" w:eastAsia="SimSun" w:cs="SimSun"/>
          <w:sz w:val="24"/>
          <w:szCs w:val="24"/>
        </w:rPr>
        <w:t xml:space="preserve"> </w:t>
      </w:r>
      <w:r>
        <w:rPr>
          <w:rFonts w:ascii="SimSun" w:hAnsi="SimSun" w:eastAsia="SimSun" w:cs="SimSun"/>
          <w:sz w:val="24"/>
          <w:szCs w:val="24"/>
          <w:spacing w:val="-3"/>
        </w:rPr>
        <w:t>本项目施工期按照本环评要求建设环保设施，废气可实现达标排放，对周边环境</w:t>
      </w:r>
    </w:p>
    <w:p>
      <w:pPr>
        <w:ind w:left="23"/>
        <w:spacing w:before="1" w:line="221" w:lineRule="auto"/>
        <w:rPr>
          <w:rFonts w:ascii="SimSun" w:hAnsi="SimSun" w:eastAsia="SimSun" w:cs="SimSun"/>
          <w:sz w:val="24"/>
          <w:szCs w:val="24"/>
        </w:rPr>
      </w:pPr>
      <w:r>
        <w:rPr>
          <w:rFonts w:ascii="SimSun" w:hAnsi="SimSun" w:eastAsia="SimSun" w:cs="SimSun"/>
          <w:sz w:val="24"/>
          <w:szCs w:val="24"/>
          <w:spacing w:val="-2"/>
        </w:rPr>
        <w:t>影响较小。</w:t>
      </w:r>
    </w:p>
    <w:p>
      <w:pPr>
        <w:ind w:left="22" w:right="80" w:firstLine="481"/>
        <w:spacing w:before="211" w:line="385" w:lineRule="auto"/>
        <w:rPr>
          <w:rFonts w:ascii="SimSun" w:hAnsi="SimSun" w:eastAsia="SimSun" w:cs="SimSun"/>
          <w:sz w:val="24"/>
          <w:szCs w:val="24"/>
        </w:rPr>
      </w:pPr>
      <w:r>
        <w:rPr>
          <w:rFonts w:ascii="SimSun" w:hAnsi="SimSun" w:eastAsia="SimSun" w:cs="SimSun"/>
          <w:sz w:val="24"/>
          <w:szCs w:val="24"/>
          <w:spacing w:val="-3"/>
        </w:rPr>
        <w:t>本项目不新增生活污水和生产废水。项目所在区域不属于特殊</w:t>
      </w:r>
      <w:r>
        <w:rPr>
          <w:rFonts w:ascii="SimSun" w:hAnsi="SimSun" w:eastAsia="SimSun" w:cs="SimSun"/>
          <w:sz w:val="24"/>
          <w:szCs w:val="24"/>
          <w:spacing w:val="-4"/>
        </w:rPr>
        <w:t>保护地区、社</w:t>
      </w:r>
      <w:r>
        <w:rPr>
          <w:rFonts w:ascii="SimSun" w:hAnsi="SimSun" w:eastAsia="SimSun" w:cs="SimSun"/>
          <w:sz w:val="24"/>
          <w:szCs w:val="24"/>
        </w:rPr>
        <w:t xml:space="preserve"> </w:t>
      </w:r>
      <w:r>
        <w:rPr>
          <w:rFonts w:ascii="SimSun" w:hAnsi="SimSun" w:eastAsia="SimSun" w:cs="SimSun"/>
          <w:sz w:val="24"/>
          <w:szCs w:val="24"/>
          <w:spacing w:val="-3"/>
        </w:rPr>
        <w:t>会关注区、生活脆弱区和特殊地貌景观区，地区无重点保护生态品种及濒危生物</w:t>
      </w:r>
    </w:p>
    <w:p>
      <w:pPr>
        <w:ind w:left="23"/>
        <w:spacing w:before="1" w:line="218" w:lineRule="auto"/>
        <w:rPr>
          <w:rFonts w:ascii="SimSun" w:hAnsi="SimSun" w:eastAsia="SimSun" w:cs="SimSun"/>
          <w:sz w:val="24"/>
          <w:szCs w:val="24"/>
        </w:rPr>
      </w:pPr>
      <w:r>
        <w:rPr>
          <w:rFonts w:ascii="SimSun" w:hAnsi="SimSun" w:eastAsia="SimSun" w:cs="SimSun"/>
          <w:sz w:val="24"/>
          <w:szCs w:val="24"/>
        </w:rPr>
        <w:t>物种，也无文物古迹等人文景观。因此，从环保角</w:t>
      </w:r>
      <w:r>
        <w:rPr>
          <w:rFonts w:ascii="SimSun" w:hAnsi="SimSun" w:eastAsia="SimSun" w:cs="SimSun"/>
          <w:sz w:val="24"/>
          <w:szCs w:val="24"/>
          <w:spacing w:val="-1"/>
        </w:rPr>
        <w:t>度考虑，项目选址可行。</w:t>
      </w:r>
    </w:p>
    <w:p>
      <w:pPr>
        <w:ind w:left="506"/>
        <w:spacing w:before="215" w:line="501" w:lineRule="exact"/>
        <w:rPr>
          <w:rFonts w:ascii="SimSun" w:hAnsi="SimSun" w:eastAsia="SimSun" w:cs="SimSun"/>
          <w:sz w:val="24"/>
          <w:szCs w:val="24"/>
        </w:rPr>
      </w:pPr>
      <w:r>
        <w:rPr>
          <w:rFonts w:ascii="SimSun" w:hAnsi="SimSun" w:eastAsia="SimSun" w:cs="SimSun"/>
          <w:sz w:val="24"/>
          <w:szCs w:val="24"/>
          <w:spacing w:val="-3"/>
          <w:position w:val="20"/>
        </w:rPr>
        <w:t>综上分析，本项目符合国家产业政策，符合用地总体规划</w:t>
      </w:r>
      <w:r>
        <w:rPr>
          <w:rFonts w:ascii="SimSun" w:hAnsi="SimSun" w:eastAsia="SimSun" w:cs="SimSun"/>
          <w:sz w:val="24"/>
          <w:szCs w:val="24"/>
          <w:spacing w:val="-4"/>
          <w:position w:val="20"/>
        </w:rPr>
        <w:t>，项目周边均为工</w:t>
      </w:r>
    </w:p>
    <w:p>
      <w:pPr>
        <w:ind w:left="22"/>
        <w:spacing w:before="1" w:line="220" w:lineRule="auto"/>
        <w:rPr>
          <w:rFonts w:ascii="SimSun" w:hAnsi="SimSun" w:eastAsia="SimSun" w:cs="SimSun"/>
          <w:sz w:val="24"/>
          <w:szCs w:val="24"/>
        </w:rPr>
      </w:pPr>
      <w:r>
        <w:rPr>
          <w:rFonts w:ascii="SimSun" w:hAnsi="SimSun" w:eastAsia="SimSun" w:cs="SimSun"/>
          <w:sz w:val="24"/>
          <w:szCs w:val="24"/>
          <w:spacing w:val="-1"/>
        </w:rPr>
        <w:t>业企业，项目选址较合理。</w:t>
      </w:r>
    </w:p>
    <w:p>
      <w:pPr>
        <w:pStyle w:val="BodyText"/>
        <w:spacing w:line="344" w:lineRule="auto"/>
        <w:rPr/>
      </w:pPr>
      <w:r/>
    </w:p>
    <w:p>
      <w:pPr>
        <w:pStyle w:val="BodyText"/>
        <w:spacing w:line="345" w:lineRule="auto"/>
        <w:rPr/>
      </w:pPr>
      <w:r/>
    </w:p>
    <w:p>
      <w:pPr>
        <w:ind w:left="18"/>
        <w:spacing w:before="91" w:line="220" w:lineRule="auto"/>
        <w:outlineLvl w:val="0"/>
        <w:rPr>
          <w:rFonts w:ascii="SimSun" w:hAnsi="SimSun" w:eastAsia="SimSun" w:cs="SimSun"/>
          <w:sz w:val="28"/>
          <w:szCs w:val="28"/>
        </w:rPr>
      </w:pPr>
      <w:r>
        <w:rPr>
          <w:rFonts w:ascii="Times New Roman" w:hAnsi="Times New Roman" w:eastAsia="Times New Roman" w:cs="Times New Roman"/>
          <w:sz w:val="28"/>
          <w:szCs w:val="28"/>
          <w:b/>
          <w:bCs/>
        </w:rPr>
        <w:t>3</w:t>
      </w:r>
      <w:r>
        <w:rPr>
          <w:rFonts w:ascii="Times New Roman" w:hAnsi="Times New Roman" w:eastAsia="Times New Roman" w:cs="Times New Roman"/>
          <w:sz w:val="28"/>
          <w:szCs w:val="28"/>
          <w:b/>
          <w:bCs/>
          <w:spacing w:val="-40"/>
        </w:rPr>
        <w:t xml:space="preserve"> </w:t>
      </w:r>
      <w:r>
        <w:rPr>
          <w:rFonts w:ascii="SimSun" w:hAnsi="SimSun" w:eastAsia="SimSun" w:cs="SimSun"/>
          <w:sz w:val="28"/>
          <w:szCs w:val="28"/>
          <w14:textOutline w14:w="5103" w14:cap="sq" w14:cmpd="sng">
            <w14:solidFill>
              <w14:srgbClr w14:val="000000"/>
            </w14:solidFill>
            <w14:prstDash w14:val="solid"/>
            <w14:bevel/>
          </w14:textOutline>
        </w:rPr>
        <w:t>、核实项目产业政策符合性分析。国家产业结构调整</w:t>
      </w:r>
      <w:r>
        <w:rPr>
          <w:rFonts w:ascii="SimSun" w:hAnsi="SimSun" w:eastAsia="SimSun" w:cs="SimSun"/>
          <w:sz w:val="28"/>
          <w:szCs w:val="28"/>
          <w14:textOutline w14:w="5103" w14:cap="sq" w14:cmpd="sng">
            <w14:solidFill>
              <w14:srgbClr w14:val="000000"/>
            </w14:solidFill>
            <w14:prstDash w14:val="solid"/>
            <w14:bevel/>
          </w14:textOutline>
          <w:spacing w:val="-1"/>
        </w:rPr>
        <w:t>指导目录中明</w:t>
      </w:r>
    </w:p>
    <w:p>
      <w:pPr>
        <w:ind w:left="48" w:right="82" w:hanging="23"/>
        <w:spacing w:before="229" w:line="369" w:lineRule="auto"/>
        <w:jc w:val="both"/>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确规定：厚度低于</w:t>
      </w:r>
      <w:r>
        <w:rPr>
          <w:rFonts w:ascii="Times New Roman" w:hAnsi="Times New Roman" w:eastAsia="Times New Roman" w:cs="Times New Roman"/>
          <w:sz w:val="28"/>
          <w:szCs w:val="28"/>
          <w:b/>
          <w:bCs/>
          <w:spacing w:val="-1"/>
        </w:rPr>
        <w:t>0.01</w:t>
      </w:r>
      <w:r>
        <w:rPr>
          <w:rFonts w:ascii="SimSun" w:hAnsi="SimSun" w:eastAsia="SimSun" w:cs="SimSun"/>
          <w:sz w:val="28"/>
          <w:szCs w:val="28"/>
          <w14:textOutline w14:w="5103" w14:cap="sq" w14:cmpd="sng">
            <w14:solidFill>
              <w14:srgbClr w14:val="000000"/>
            </w14:solidFill>
            <w14:prstDash w14:val="solid"/>
            <w14:bevel/>
          </w14:textOutline>
          <w:spacing w:val="-1"/>
        </w:rPr>
        <w:t>毫米的聚乙烯农用地膜属于淘汰</w:t>
      </w:r>
      <w:r>
        <w:rPr>
          <w:rFonts w:ascii="SimSun" w:hAnsi="SimSun" w:eastAsia="SimSun" w:cs="SimSun"/>
          <w:sz w:val="28"/>
          <w:szCs w:val="28"/>
          <w14:textOutline w14:w="5103" w14:cap="sq" w14:cmpd="sng">
            <w14:solidFill>
              <w14:srgbClr w14:val="000000"/>
            </w14:solidFill>
            <w14:prstDash w14:val="solid"/>
            <w14:bevel/>
          </w14:textOutline>
          <w:spacing w:val="-2"/>
        </w:rPr>
        <w:t>类。而环评提</w:t>
      </w:r>
      <w:r>
        <w:rPr>
          <w:rFonts w:ascii="SimSun" w:hAnsi="SimSun" w:eastAsia="SimSun" w:cs="SimSun"/>
          <w:sz w:val="28"/>
          <w:szCs w:val="28"/>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出</w:t>
      </w:r>
      <w:r>
        <w:rPr>
          <w:rFonts w:ascii="Times New Roman" w:hAnsi="Times New Roman" w:eastAsia="Times New Roman" w:cs="Times New Roman"/>
          <w:sz w:val="28"/>
          <w:szCs w:val="28"/>
          <w:b/>
          <w:bCs/>
          <w:spacing w:val="-2"/>
        </w:rPr>
        <w:t>“</w:t>
      </w:r>
      <w:r>
        <w:rPr>
          <w:rFonts w:ascii="SimSun" w:hAnsi="SimSun" w:eastAsia="SimSun" w:cs="SimSun"/>
          <w:sz w:val="28"/>
          <w:szCs w:val="28"/>
          <w14:textOutline w14:w="5103" w14:cap="sq" w14:cmpd="sng">
            <w14:solidFill>
              <w14:srgbClr w14:val="000000"/>
            </w14:solidFill>
            <w14:prstDash w14:val="solid"/>
            <w14:bevel/>
          </w14:textOutline>
          <w:spacing w:val="-2"/>
        </w:rPr>
        <w:t>本项目农用地膜产品厚度为</w:t>
      </w:r>
      <w:r>
        <w:rPr>
          <w:rFonts w:ascii="Times New Roman" w:hAnsi="Times New Roman" w:eastAsia="Times New Roman" w:cs="Times New Roman"/>
          <w:sz w:val="28"/>
          <w:szCs w:val="28"/>
          <w:b/>
          <w:bCs/>
          <w:spacing w:val="-2"/>
        </w:rPr>
        <w:t>0.004-0.08mm”</w:t>
      </w:r>
      <w:r>
        <w:rPr>
          <w:rFonts w:ascii="SimSun" w:hAnsi="SimSun" w:eastAsia="SimSun" w:cs="SimSun"/>
          <w:sz w:val="28"/>
          <w:szCs w:val="28"/>
          <w14:textOutline w14:w="5103" w14:cap="sq" w14:cmpd="sng">
            <w14:solidFill>
              <w14:srgbClr w14:val="000000"/>
            </w14:solidFill>
            <w14:prstDash w14:val="solid"/>
            <w14:bevel/>
          </w14:textOutline>
          <w:spacing w:val="-2"/>
        </w:rPr>
        <w:t>，有厚度低于</w:t>
      </w:r>
      <w:r>
        <w:rPr>
          <w:rFonts w:ascii="Times New Roman" w:hAnsi="Times New Roman" w:eastAsia="Times New Roman" w:cs="Times New Roman"/>
          <w:sz w:val="28"/>
          <w:szCs w:val="28"/>
          <w:b/>
          <w:bCs/>
          <w:spacing w:val="-2"/>
        </w:rPr>
        <w:t>0.01</w:t>
      </w:r>
      <w:r>
        <w:rPr>
          <w:rFonts w:ascii="SimSun" w:hAnsi="SimSun" w:eastAsia="SimSun" w:cs="SimSun"/>
          <w:sz w:val="28"/>
          <w:szCs w:val="28"/>
          <w14:textOutline w14:w="5103" w14:cap="sq" w14:cmpd="sng">
            <w14:solidFill>
              <w14:srgbClr w14:val="000000"/>
            </w14:solidFill>
            <w14:prstDash w14:val="solid"/>
            <w14:bevel/>
          </w14:textOutline>
          <w:spacing w:val="-2"/>
        </w:rPr>
        <w:t>毫米</w:t>
      </w:r>
      <w:r>
        <w:rPr>
          <w:rFonts w:ascii="SimSun" w:hAnsi="SimSun" w:eastAsia="SimSun" w:cs="SimSun"/>
          <w:sz w:val="28"/>
          <w:szCs w:val="28"/>
          <w:spacing w:val="17"/>
        </w:rPr>
        <w:t xml:space="preserve"> </w:t>
      </w:r>
      <w:r>
        <w:rPr>
          <w:rFonts w:ascii="SimSun" w:hAnsi="SimSun" w:eastAsia="SimSun" w:cs="SimSun"/>
          <w:sz w:val="28"/>
          <w:szCs w:val="28"/>
          <w14:textOutline w14:w="5103" w14:cap="sq" w14:cmpd="sng">
            <w14:solidFill>
              <w14:srgbClr w14:val="000000"/>
            </w14:solidFill>
            <w14:prstDash w14:val="solid"/>
            <w14:bevel/>
          </w14:textOutline>
          <w:spacing w:val="-4"/>
        </w:rPr>
        <w:t>的聚乙烯农用地膜，因此本项目部分产品属</w:t>
      </w:r>
      <w:r>
        <w:rPr>
          <w:rFonts w:ascii="SimSun" w:hAnsi="SimSun" w:eastAsia="SimSun" w:cs="SimSun"/>
          <w:sz w:val="28"/>
          <w:szCs w:val="28"/>
          <w14:textOutline w14:w="5103" w14:cap="sq" w14:cmpd="sng">
            <w14:solidFill>
              <w14:srgbClr w14:val="000000"/>
            </w14:solidFill>
            <w14:prstDash w14:val="solid"/>
            <w14:bevel/>
          </w14:textOutline>
          <w:spacing w:val="-5"/>
        </w:rPr>
        <w:t>于淘汰类产品，不符合国</w:t>
      </w:r>
    </w:p>
    <w:p>
      <w:pPr>
        <w:ind w:left="27"/>
        <w:spacing w:before="2" w:line="219"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家产业政策要求。</w:t>
      </w:r>
    </w:p>
    <w:p>
      <w:pPr>
        <w:ind w:left="529"/>
        <w:spacing w:before="213" w:line="219" w:lineRule="auto"/>
        <w:rPr>
          <w:rFonts w:ascii="Times New Roman" w:hAnsi="Times New Roman" w:eastAsia="Times New Roman" w:cs="Times New Roman"/>
          <w:sz w:val="24"/>
          <w:szCs w:val="24"/>
        </w:rPr>
      </w:pPr>
      <w:r>
        <w:rPr>
          <w:rFonts w:ascii="SimSun" w:hAnsi="SimSun" w:eastAsia="SimSun" w:cs="SimSun"/>
          <w:sz w:val="24"/>
          <w:szCs w:val="24"/>
          <w:spacing w:val="-5"/>
        </w:rPr>
        <w:t>已修改，见</w:t>
      </w:r>
      <w:r>
        <w:rPr>
          <w:rFonts w:ascii="Times New Roman" w:hAnsi="Times New Roman" w:eastAsia="Times New Roman" w:cs="Times New Roman"/>
          <w:sz w:val="24"/>
          <w:szCs w:val="24"/>
          <w:spacing w:val="-5"/>
        </w:rPr>
        <w:t>P10</w:t>
      </w:r>
    </w:p>
    <w:p>
      <w:pPr>
        <w:ind w:left="514"/>
        <w:spacing w:before="214"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9</w:t>
      </w:r>
      <w:r>
        <w:rPr>
          <w:rFonts w:ascii="SimSun" w:hAnsi="SimSun" w:eastAsia="SimSun" w:cs="SimSun"/>
          <w:sz w:val="24"/>
          <w:szCs w:val="24"/>
          <w:spacing w:val="-2"/>
        </w:rPr>
        <w:t>）产业布局规划符合性</w:t>
      </w:r>
    </w:p>
    <w:p>
      <w:pPr>
        <w:ind w:left="24" w:right="80" w:firstLine="479"/>
        <w:spacing w:before="216" w:line="385" w:lineRule="auto"/>
        <w:rPr>
          <w:rFonts w:ascii="SimSun" w:hAnsi="SimSun" w:eastAsia="SimSun" w:cs="SimSun"/>
          <w:sz w:val="24"/>
          <w:szCs w:val="24"/>
        </w:rPr>
      </w:pPr>
      <w:r>
        <w:rPr>
          <w:rFonts w:ascii="SimSun" w:hAnsi="SimSun" w:eastAsia="SimSun" w:cs="SimSun"/>
          <w:sz w:val="24"/>
          <w:szCs w:val="24"/>
          <w:spacing w:val="-1"/>
        </w:rPr>
        <w:t>根据国家发展和改革委会《产业结构调整指导目录（</w:t>
      </w:r>
      <w:r>
        <w:rPr>
          <w:rFonts w:ascii="Times New Roman" w:hAnsi="Times New Roman" w:eastAsia="Times New Roman" w:cs="Times New Roman"/>
          <w:sz w:val="24"/>
          <w:szCs w:val="24"/>
          <w:spacing w:val="-1"/>
        </w:rPr>
        <w:t>2019</w:t>
      </w:r>
      <w:r>
        <w:rPr>
          <w:rFonts w:ascii="SimSun" w:hAnsi="SimSun" w:eastAsia="SimSun" w:cs="SimSun"/>
          <w:sz w:val="24"/>
          <w:szCs w:val="24"/>
          <w:spacing w:val="-1"/>
        </w:rPr>
        <w:t>年本）》（</w:t>
      </w:r>
      <w:r>
        <w:rPr>
          <w:rFonts w:ascii="Times New Roman" w:hAnsi="Times New Roman" w:eastAsia="Times New Roman" w:cs="Times New Roman"/>
          <w:sz w:val="24"/>
          <w:szCs w:val="24"/>
          <w:spacing w:val="-1"/>
        </w:rPr>
        <w:t>2021   </w:t>
      </w:r>
      <w:r>
        <w:rPr>
          <w:rFonts w:ascii="SimSun" w:hAnsi="SimSun" w:eastAsia="SimSun" w:cs="SimSun"/>
          <w:sz w:val="24"/>
          <w:szCs w:val="24"/>
          <w:spacing w:val="-1"/>
        </w:rPr>
        <w:t>年修订</w:t>
      </w:r>
      <w:r>
        <w:rPr>
          <w:rFonts w:ascii="SimSun" w:hAnsi="SimSun" w:eastAsia="SimSun" w:cs="SimSun"/>
          <w:sz w:val="24"/>
          <w:szCs w:val="24"/>
          <w:spacing w:val="-23"/>
        </w:rPr>
        <w:t>），</w:t>
      </w:r>
      <w:r>
        <w:rPr>
          <w:rFonts w:ascii="SimSun" w:hAnsi="SimSun" w:eastAsia="SimSun" w:cs="SimSun"/>
          <w:sz w:val="24"/>
          <w:szCs w:val="24"/>
          <w:spacing w:val="-1"/>
        </w:rPr>
        <w:t>其中“第三类 淘汰类，二、落后产品</w:t>
      </w:r>
      <w:r>
        <w:rPr>
          <w:rFonts w:ascii="SimSun" w:hAnsi="SimSun" w:eastAsia="SimSun" w:cs="SimSun"/>
          <w:sz w:val="24"/>
          <w:szCs w:val="24"/>
          <w:spacing w:val="-23"/>
        </w:rPr>
        <w:t>，（</w:t>
      </w:r>
      <w:r>
        <w:rPr>
          <w:rFonts w:ascii="SimSun" w:hAnsi="SimSun" w:eastAsia="SimSun" w:cs="SimSun"/>
          <w:sz w:val="24"/>
          <w:szCs w:val="24"/>
          <w:spacing w:val="-1"/>
        </w:rPr>
        <w:t>九）轻工，</w:t>
      </w:r>
      <w:r>
        <w:rPr>
          <w:rFonts w:ascii="Times New Roman" w:hAnsi="Times New Roman" w:eastAsia="Times New Roman" w:cs="Times New Roman"/>
          <w:sz w:val="24"/>
          <w:szCs w:val="24"/>
          <w:spacing w:val="-1"/>
        </w:rPr>
        <w:t>16</w:t>
      </w:r>
      <w:r>
        <w:rPr>
          <w:rFonts w:ascii="Times New Roman" w:hAnsi="Times New Roman" w:eastAsia="Times New Roman" w:cs="Times New Roman"/>
          <w:sz w:val="24"/>
          <w:szCs w:val="24"/>
          <w:spacing w:val="-33"/>
        </w:rPr>
        <w:t xml:space="preserve"> </w:t>
      </w:r>
      <w:r>
        <w:rPr>
          <w:rFonts w:ascii="SimSun" w:hAnsi="SimSun" w:eastAsia="SimSun" w:cs="SimSun"/>
          <w:sz w:val="24"/>
          <w:szCs w:val="24"/>
          <w:spacing w:val="-1"/>
        </w:rPr>
        <w:t>、</w:t>
      </w:r>
      <w:r>
        <w:rPr>
          <w:rFonts w:ascii="Times New Roman" w:hAnsi="Times New Roman" w:eastAsia="Times New Roman" w:cs="Times New Roman"/>
          <w:sz w:val="24"/>
          <w:szCs w:val="24"/>
          <w:spacing w:val="-1"/>
        </w:rPr>
        <w:t>......</w:t>
      </w:r>
      <w:r>
        <w:rPr>
          <w:rFonts w:ascii="SimSun" w:hAnsi="SimSun" w:eastAsia="SimSun" w:cs="SimSun"/>
          <w:sz w:val="24"/>
          <w:szCs w:val="24"/>
          <w:spacing w:val="-2"/>
        </w:rPr>
        <w:t>厚度低</w:t>
      </w:r>
      <w:r>
        <w:rPr>
          <w:rFonts w:ascii="SimSun" w:hAnsi="SimSun" w:eastAsia="SimSun" w:cs="SimSun"/>
          <w:sz w:val="24"/>
          <w:szCs w:val="24"/>
        </w:rPr>
        <w:t xml:space="preserve"> </w:t>
      </w:r>
      <w:r>
        <w:rPr>
          <w:rFonts w:ascii="SimSun" w:hAnsi="SimSun" w:eastAsia="SimSun" w:cs="SimSun"/>
          <w:sz w:val="24"/>
          <w:szCs w:val="24"/>
          <w:spacing w:val="-2"/>
        </w:rPr>
        <w:t>于</w:t>
      </w:r>
      <w:r>
        <w:rPr>
          <w:rFonts w:ascii="Times New Roman" w:hAnsi="Times New Roman" w:eastAsia="Times New Roman" w:cs="Times New Roman"/>
          <w:sz w:val="24"/>
          <w:szCs w:val="24"/>
          <w:spacing w:val="-2"/>
        </w:rPr>
        <w:t>0.01</w:t>
      </w:r>
      <w:r>
        <w:rPr>
          <w:rFonts w:ascii="SimSun" w:hAnsi="SimSun" w:eastAsia="SimSun" w:cs="SimSun"/>
          <w:sz w:val="24"/>
          <w:szCs w:val="24"/>
          <w:spacing w:val="-2"/>
        </w:rPr>
        <w:t>毫米的聚乙烯农用地膜</w:t>
      </w:r>
      <w:r>
        <w:rPr>
          <w:rFonts w:ascii="SimSun" w:hAnsi="SimSun" w:eastAsia="SimSun" w:cs="SimSun"/>
          <w:sz w:val="24"/>
          <w:szCs w:val="24"/>
          <w:spacing w:val="-77"/>
        </w:rPr>
        <w:t xml:space="preserve"> </w:t>
      </w:r>
      <w:r>
        <w:rPr>
          <w:rFonts w:ascii="SimSun" w:hAnsi="SimSun" w:eastAsia="SimSun" w:cs="SimSun"/>
          <w:sz w:val="24"/>
          <w:szCs w:val="24"/>
          <w:spacing w:val="-2"/>
        </w:rPr>
        <w:t>”，本项目产品厚度为</w:t>
      </w:r>
      <w:r>
        <w:rPr>
          <w:rFonts w:ascii="Times New Roman" w:hAnsi="Times New Roman" w:eastAsia="Times New Roman" w:cs="Times New Roman"/>
          <w:sz w:val="24"/>
          <w:szCs w:val="24"/>
          <w:spacing w:val="-2"/>
        </w:rPr>
        <w:t>0.01-0.08mm</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2"/>
        </w:rPr>
        <w:t>，不属于淘汰</w:t>
      </w:r>
    </w:p>
    <w:p>
      <w:pPr>
        <w:ind w:left="23"/>
        <w:spacing w:line="219" w:lineRule="auto"/>
        <w:rPr>
          <w:rFonts w:ascii="SimSun" w:hAnsi="SimSun" w:eastAsia="SimSun" w:cs="SimSun"/>
          <w:sz w:val="24"/>
          <w:szCs w:val="24"/>
        </w:rPr>
      </w:pPr>
      <w:r>
        <w:rPr>
          <w:rFonts w:ascii="SimSun" w:hAnsi="SimSun" w:eastAsia="SimSun" w:cs="SimSun"/>
          <w:sz w:val="24"/>
          <w:szCs w:val="24"/>
        </w:rPr>
        <w:t>类，也不属于其中的限制类和鼓励类，属于允许</w:t>
      </w:r>
      <w:r>
        <w:rPr>
          <w:rFonts w:ascii="SimSun" w:hAnsi="SimSun" w:eastAsia="SimSun" w:cs="SimSun"/>
          <w:sz w:val="24"/>
          <w:szCs w:val="24"/>
          <w:spacing w:val="-1"/>
        </w:rPr>
        <w:t>类；符合相关产业政策。</w:t>
      </w:r>
    </w:p>
    <w:p>
      <w:pPr>
        <w:spacing w:line="219" w:lineRule="auto"/>
        <w:sectPr>
          <w:footerReference w:type="default" r:id="rId75"/>
          <w:pgSz w:w="11906" w:h="16839"/>
          <w:pgMar w:top="400" w:right="1719" w:bottom="1211" w:left="1785" w:header="0" w:footer="1049" w:gutter="0"/>
        </w:sectPr>
        <w:rPr>
          <w:rFonts w:ascii="SimSun" w:hAnsi="SimSun" w:eastAsia="SimSun" w:cs="SimSun"/>
          <w:sz w:val="24"/>
          <w:szCs w:val="24"/>
        </w:rPr>
      </w:pPr>
    </w:p>
    <w:p>
      <w:pPr>
        <w:pStyle w:val="BodyText"/>
        <w:spacing w:line="287" w:lineRule="auto"/>
        <w:rPr/>
      </w:pPr>
      <w:r/>
    </w:p>
    <w:p>
      <w:pPr>
        <w:pStyle w:val="BodyText"/>
        <w:spacing w:line="287" w:lineRule="auto"/>
        <w:rPr/>
      </w:pPr>
      <w:r/>
    </w:p>
    <w:p>
      <w:pPr>
        <w:pStyle w:val="BodyText"/>
        <w:spacing w:line="288" w:lineRule="auto"/>
        <w:rPr/>
      </w:pPr>
      <w:r/>
    </w:p>
    <w:p>
      <w:pPr>
        <w:pStyle w:val="BodyText"/>
        <w:spacing w:line="288" w:lineRule="auto"/>
        <w:rPr/>
      </w:pPr>
      <w:r/>
    </w:p>
    <w:p>
      <w:pPr>
        <w:ind w:left="21"/>
        <w:spacing w:before="91" w:line="219" w:lineRule="auto"/>
        <w:outlineLvl w:val="0"/>
        <w:rPr>
          <w:rFonts w:ascii="SimSun" w:hAnsi="SimSun" w:eastAsia="SimSun" w:cs="SimSun"/>
          <w:sz w:val="28"/>
          <w:szCs w:val="28"/>
        </w:rPr>
      </w:pPr>
      <w:r>
        <w:rPr>
          <w:rFonts w:ascii="Times New Roman" w:hAnsi="Times New Roman" w:eastAsia="Times New Roman" w:cs="Times New Roman"/>
          <w:sz w:val="28"/>
          <w:szCs w:val="28"/>
          <w:b/>
          <w:bCs/>
          <w:spacing w:val="-3"/>
        </w:rPr>
        <w:t>4</w:t>
      </w:r>
      <w:r>
        <w:rPr>
          <w:rFonts w:ascii="SimSun" w:hAnsi="SimSun" w:eastAsia="SimSun" w:cs="SimSun"/>
          <w:sz w:val="28"/>
          <w:szCs w:val="28"/>
          <w14:textOutline w14:w="5103" w14:cap="sq" w14:cmpd="sng">
            <w14:solidFill>
              <w14:srgbClr w14:val="000000"/>
            </w14:solidFill>
            <w14:prstDash w14:val="solid"/>
            <w14:bevel/>
          </w14:textOutline>
          <w:spacing w:val="-3"/>
        </w:rPr>
        <w:t>、本项目利用已建原料库房内布设</w:t>
      </w:r>
      <w:r>
        <w:rPr>
          <w:rFonts w:ascii="Times New Roman" w:hAnsi="Times New Roman" w:eastAsia="Times New Roman" w:cs="Times New Roman"/>
          <w:sz w:val="28"/>
          <w:szCs w:val="28"/>
          <w:b/>
          <w:bCs/>
          <w:spacing w:val="-3"/>
        </w:rPr>
        <w:t>2</w:t>
      </w:r>
      <w:r>
        <w:rPr>
          <w:rFonts w:ascii="SimSun" w:hAnsi="SimSun" w:eastAsia="SimSun" w:cs="SimSun"/>
          <w:sz w:val="28"/>
          <w:szCs w:val="28"/>
          <w14:textOutline w14:w="5103" w14:cap="sq" w14:cmpd="sng">
            <w14:solidFill>
              <w14:srgbClr w14:val="000000"/>
            </w14:solidFill>
            <w14:prstDash w14:val="solid"/>
            <w14:bevel/>
          </w14:textOutline>
          <w:spacing w:val="-3"/>
        </w:rPr>
        <w:t>条地膜生产</w:t>
      </w:r>
      <w:r>
        <w:rPr>
          <w:rFonts w:ascii="SimSun" w:hAnsi="SimSun" w:eastAsia="SimSun" w:cs="SimSun"/>
          <w:sz w:val="28"/>
          <w:szCs w:val="28"/>
          <w14:textOutline w14:w="5103" w14:cap="sq" w14:cmpd="sng">
            <w14:solidFill>
              <w14:srgbClr w14:val="000000"/>
            </w14:solidFill>
            <w14:prstDash w14:val="solid"/>
            <w14:bevel/>
          </w14:textOutline>
          <w:spacing w:val="-4"/>
        </w:rPr>
        <w:t>线，原料堆放在车间</w:t>
      </w:r>
    </w:p>
    <w:p>
      <w:pPr>
        <w:ind w:left="46" w:right="114" w:hanging="18"/>
        <w:spacing w:before="228" w:line="369"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4"/>
        </w:rPr>
        <w:t>南侧，产品堆放在车间北侧，原料、产品和地膜生产线位于同一座车</w:t>
      </w:r>
      <w:r>
        <w:rPr>
          <w:rFonts w:ascii="SimSun" w:hAnsi="SimSun" w:eastAsia="SimSun" w:cs="SimSun"/>
          <w:sz w:val="28"/>
          <w:szCs w:val="28"/>
          <w:spacing w:val="11"/>
        </w:rPr>
        <w:t xml:space="preserve"> </w:t>
      </w:r>
      <w:r>
        <w:rPr>
          <w:rFonts w:ascii="SimSun" w:hAnsi="SimSun" w:eastAsia="SimSun" w:cs="SimSun"/>
          <w:sz w:val="28"/>
          <w:szCs w:val="28"/>
          <w14:textOutline w14:w="5103" w14:cap="sq" w14:cmpd="sng">
            <w14:solidFill>
              <w14:srgbClr w14:val="000000"/>
            </w14:solidFill>
            <w14:prstDash w14:val="solid"/>
            <w14:bevel/>
          </w14:textOutline>
        </w:rPr>
        <w:t>间内，建议结合消防和安全生产要求进一步论证项目平面</w:t>
      </w:r>
      <w:r>
        <w:rPr>
          <w:rFonts w:ascii="SimSun" w:hAnsi="SimSun" w:eastAsia="SimSun" w:cs="SimSun"/>
          <w:sz w:val="28"/>
          <w:szCs w:val="28"/>
          <w14:textOutline w14:w="5103" w14:cap="sq" w14:cmpd="sng">
            <w14:solidFill>
              <w14:srgbClr w14:val="000000"/>
            </w14:solidFill>
            <w14:prstDash w14:val="solid"/>
            <w14:bevel/>
          </w14:textOutline>
          <w:spacing w:val="-1"/>
        </w:rPr>
        <w:t>布置合理</w:t>
      </w:r>
    </w:p>
    <w:p>
      <w:pPr>
        <w:ind w:left="28"/>
        <w:spacing w:line="221"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7"/>
        </w:rPr>
        <w:t>性。</w:t>
      </w:r>
    </w:p>
    <w:p>
      <w:pPr>
        <w:ind w:left="529"/>
        <w:spacing w:before="211" w:line="219" w:lineRule="auto"/>
        <w:rPr>
          <w:rFonts w:ascii="Times New Roman" w:hAnsi="Times New Roman" w:eastAsia="Times New Roman" w:cs="Times New Roman"/>
          <w:sz w:val="24"/>
          <w:szCs w:val="24"/>
        </w:rPr>
      </w:pPr>
      <w:r>
        <w:rPr>
          <w:rFonts w:ascii="SimSun" w:hAnsi="SimSun" w:eastAsia="SimSun" w:cs="SimSun"/>
          <w:sz w:val="24"/>
          <w:szCs w:val="24"/>
          <w:spacing w:val="-5"/>
        </w:rPr>
        <w:t>已修改，见</w:t>
      </w:r>
      <w:r>
        <w:rPr>
          <w:rFonts w:ascii="Times New Roman" w:hAnsi="Times New Roman" w:eastAsia="Times New Roman" w:cs="Times New Roman"/>
          <w:sz w:val="24"/>
          <w:szCs w:val="24"/>
          <w:spacing w:val="-5"/>
        </w:rPr>
        <w:t>P22</w:t>
      </w:r>
    </w:p>
    <w:p>
      <w:pPr>
        <w:ind w:left="499"/>
        <w:spacing w:before="213" w:line="219" w:lineRule="auto"/>
        <w:rPr>
          <w:rFonts w:ascii="SimSun" w:hAnsi="SimSun" w:eastAsia="SimSun" w:cs="SimSun"/>
          <w:sz w:val="24"/>
          <w:szCs w:val="24"/>
        </w:rPr>
      </w:pPr>
      <w:r>
        <w:rPr>
          <w:rFonts w:ascii="Times New Roman" w:hAnsi="Times New Roman" w:eastAsia="Times New Roman" w:cs="Times New Roman"/>
          <w:sz w:val="24"/>
          <w:szCs w:val="24"/>
          <w:spacing w:val="-1"/>
        </w:rPr>
        <w:t>2.8  </w:t>
      </w:r>
      <w:r>
        <w:rPr>
          <w:rFonts w:ascii="SimSun" w:hAnsi="SimSun" w:eastAsia="SimSun" w:cs="SimSun"/>
          <w:sz w:val="24"/>
          <w:szCs w:val="24"/>
          <w:spacing w:val="-1"/>
        </w:rPr>
        <w:t>厂区平面布置</w:t>
      </w:r>
    </w:p>
    <w:p>
      <w:pPr>
        <w:ind w:left="23" w:right="79" w:firstLine="483"/>
        <w:spacing w:before="217" w:line="384" w:lineRule="auto"/>
        <w:rPr>
          <w:rFonts w:ascii="SimSun" w:hAnsi="SimSun" w:eastAsia="SimSun" w:cs="SimSun"/>
          <w:sz w:val="24"/>
          <w:szCs w:val="24"/>
        </w:rPr>
      </w:pPr>
      <w:r>
        <w:rPr>
          <w:rFonts w:ascii="SimSun" w:hAnsi="SimSun" w:eastAsia="SimSun" w:cs="SimSun"/>
          <w:sz w:val="24"/>
          <w:szCs w:val="24"/>
          <w:spacing w:val="-2"/>
        </w:rPr>
        <w:t>企业厂区分为办公生活区和生产区。办公生活区独立成区，</w:t>
      </w:r>
      <w:r>
        <w:rPr>
          <w:rFonts w:ascii="SimSun" w:hAnsi="SimSun" w:eastAsia="SimSun" w:cs="SimSun"/>
          <w:sz w:val="24"/>
          <w:szCs w:val="24"/>
          <w:spacing w:val="-3"/>
        </w:rPr>
        <w:t>与生产区隔离，</w:t>
      </w:r>
      <w:r>
        <w:rPr>
          <w:rFonts w:ascii="SimSun" w:hAnsi="SimSun" w:eastAsia="SimSun" w:cs="SimSun"/>
          <w:sz w:val="24"/>
          <w:szCs w:val="24"/>
        </w:rPr>
        <w:t xml:space="preserve"> </w:t>
      </w:r>
      <w:r>
        <w:rPr>
          <w:rFonts w:ascii="SimSun" w:hAnsi="SimSun" w:eastAsia="SimSun" w:cs="SimSun"/>
          <w:sz w:val="24"/>
          <w:szCs w:val="24"/>
          <w:spacing w:val="-3"/>
        </w:rPr>
        <w:t>且靠近厂区主入口和主要道路，便于人员出入。办公生活区位于厂区北侧。位于</w:t>
      </w:r>
    </w:p>
    <w:p>
      <w:pPr>
        <w:spacing w:before="1" w:line="218" w:lineRule="auto"/>
        <w:jc w:val="right"/>
        <w:rPr>
          <w:rFonts w:ascii="SimSun" w:hAnsi="SimSun" w:eastAsia="SimSun" w:cs="SimSun"/>
          <w:sz w:val="24"/>
          <w:szCs w:val="24"/>
        </w:rPr>
      </w:pPr>
      <w:r>
        <w:rPr>
          <w:rFonts w:ascii="SimSun" w:hAnsi="SimSun" w:eastAsia="SimSun" w:cs="SimSun"/>
          <w:sz w:val="24"/>
          <w:szCs w:val="24"/>
          <w:spacing w:val="-7"/>
        </w:rPr>
        <w:t>主导风向侧风向。本项目不新增工作人员，已建办</w:t>
      </w:r>
      <w:r>
        <w:rPr>
          <w:rFonts w:ascii="SimSun" w:hAnsi="SimSun" w:eastAsia="SimSun" w:cs="SimSun"/>
          <w:sz w:val="24"/>
          <w:szCs w:val="24"/>
          <w:spacing w:val="-8"/>
        </w:rPr>
        <w:t>公生活区可满足员工办公生活。</w:t>
      </w:r>
    </w:p>
    <w:p>
      <w:pPr>
        <w:ind w:left="23" w:firstLine="482"/>
        <w:spacing w:before="220" w:line="384" w:lineRule="auto"/>
        <w:rPr>
          <w:rFonts w:ascii="SimSun" w:hAnsi="SimSun" w:eastAsia="SimSun" w:cs="SimSun"/>
          <w:sz w:val="24"/>
          <w:szCs w:val="24"/>
        </w:rPr>
      </w:pPr>
      <w:r>
        <w:rPr>
          <w:rFonts w:ascii="SimSun" w:hAnsi="SimSun" w:eastAsia="SimSun" w:cs="SimSun"/>
          <w:sz w:val="24"/>
          <w:szCs w:val="24"/>
          <w:spacing w:val="2"/>
        </w:rPr>
        <w:t>厂区内道路均为混凝土地面，生产区位于厂区南侧，生产车间为联合“</w:t>
      </w:r>
      <w:r>
        <w:rPr>
          <w:rFonts w:ascii="Times New Roman" w:hAnsi="Times New Roman" w:eastAsia="Times New Roman" w:cs="Times New Roman"/>
          <w:sz w:val="24"/>
          <w:szCs w:val="24"/>
          <w:spacing w:val="2"/>
        </w:rPr>
        <w:t>L</w:t>
      </w:r>
      <w:r>
        <w:rPr>
          <w:rFonts w:ascii="Times New Roman" w:hAnsi="Times New Roman" w:eastAsia="Times New Roman" w:cs="Times New Roman"/>
          <w:sz w:val="24"/>
          <w:szCs w:val="24"/>
          <w:spacing w:val="-25"/>
        </w:rPr>
        <w:t xml:space="preserve"> </w:t>
      </w:r>
      <w:r>
        <w:rPr>
          <w:rFonts w:ascii="SimSun" w:hAnsi="SimSun" w:eastAsia="SimSun" w:cs="SimSun"/>
          <w:sz w:val="24"/>
          <w:szCs w:val="24"/>
          <w:spacing w:val="2"/>
        </w:rPr>
        <w:t>”</w:t>
      </w:r>
      <w:r>
        <w:rPr>
          <w:rFonts w:ascii="SimSun" w:hAnsi="SimSun" w:eastAsia="SimSun" w:cs="SimSun"/>
          <w:sz w:val="24"/>
          <w:szCs w:val="24"/>
        </w:rPr>
        <w:t xml:space="preserve"> </w:t>
      </w:r>
      <w:r>
        <w:rPr>
          <w:rFonts w:ascii="SimSun" w:hAnsi="SimSun" w:eastAsia="SimSun" w:cs="SimSun"/>
          <w:sz w:val="24"/>
          <w:szCs w:val="24"/>
          <w:spacing w:val="-3"/>
        </w:rPr>
        <w:t>型。企业现有项目生产车间布设在厂区南侧，厂区东侧为原料库房。本项目在原</w:t>
      </w:r>
      <w:r>
        <w:rPr>
          <w:rFonts w:ascii="SimSun" w:hAnsi="SimSun" w:eastAsia="SimSun" w:cs="SimSun"/>
          <w:sz w:val="24"/>
          <w:szCs w:val="24"/>
        </w:rPr>
        <w:t xml:space="preserve">  </w:t>
      </w:r>
      <w:r>
        <w:rPr>
          <w:rFonts w:ascii="SimSun" w:hAnsi="SimSun" w:eastAsia="SimSun" w:cs="SimSun"/>
          <w:sz w:val="24"/>
          <w:szCs w:val="24"/>
        </w:rPr>
        <w:t>料库房内布设</w:t>
      </w:r>
      <w:r>
        <w:rPr>
          <w:rFonts w:ascii="Times New Roman" w:hAnsi="Times New Roman" w:eastAsia="Times New Roman" w:cs="Times New Roman"/>
          <w:sz w:val="24"/>
          <w:szCs w:val="24"/>
        </w:rPr>
        <w:t>2</w:t>
      </w:r>
      <w:r>
        <w:rPr>
          <w:rFonts w:ascii="SimSun" w:hAnsi="SimSun" w:eastAsia="SimSun" w:cs="SimSun"/>
          <w:sz w:val="24"/>
          <w:szCs w:val="24"/>
        </w:rPr>
        <w:t>条地膜生产线。本项目原料堆放在厂区</w:t>
      </w:r>
      <w:r>
        <w:rPr>
          <w:rFonts w:ascii="SimSun" w:hAnsi="SimSun" w:eastAsia="SimSun" w:cs="SimSun"/>
          <w:sz w:val="24"/>
          <w:szCs w:val="24"/>
          <w:spacing w:val="-1"/>
        </w:rPr>
        <w:t>西北侧，依托企业已建原</w:t>
      </w:r>
      <w:r>
        <w:rPr>
          <w:rFonts w:ascii="SimSun" w:hAnsi="SimSun" w:eastAsia="SimSun" w:cs="SimSun"/>
          <w:sz w:val="24"/>
          <w:szCs w:val="24"/>
        </w:rPr>
        <w:t xml:space="preserve">  </w:t>
      </w:r>
      <w:r>
        <w:rPr>
          <w:rFonts w:ascii="SimSun" w:hAnsi="SimSun" w:eastAsia="SimSun" w:cs="SimSun"/>
          <w:sz w:val="24"/>
          <w:szCs w:val="24"/>
          <w:spacing w:val="-3"/>
        </w:rPr>
        <w:t>料堆场；产品堆放在厂区西北侧，与原料堆场采用围挡隔开。原料堆场与产品堆</w:t>
      </w:r>
    </w:p>
    <w:p>
      <w:pPr>
        <w:ind w:left="22"/>
        <w:spacing w:line="218" w:lineRule="auto"/>
        <w:rPr>
          <w:rFonts w:ascii="SimSun" w:hAnsi="SimSun" w:eastAsia="SimSun" w:cs="SimSun"/>
          <w:sz w:val="24"/>
          <w:szCs w:val="24"/>
        </w:rPr>
      </w:pPr>
      <w:r>
        <w:rPr>
          <w:rFonts w:ascii="SimSun" w:hAnsi="SimSun" w:eastAsia="SimSun" w:cs="SimSun"/>
          <w:sz w:val="24"/>
          <w:szCs w:val="24"/>
          <w:spacing w:val="-1"/>
        </w:rPr>
        <w:t>场均采取半封闭式，减少日照和易燃设备点燃。</w:t>
      </w:r>
    </w:p>
    <w:p>
      <w:pPr>
        <w:ind w:left="503"/>
        <w:spacing w:before="215" w:line="502" w:lineRule="exact"/>
        <w:rPr>
          <w:rFonts w:ascii="SimSun" w:hAnsi="SimSun" w:eastAsia="SimSun" w:cs="SimSun"/>
          <w:sz w:val="24"/>
          <w:szCs w:val="24"/>
        </w:rPr>
      </w:pPr>
      <w:r>
        <w:rPr>
          <w:rFonts w:ascii="SimSun" w:hAnsi="SimSun" w:eastAsia="SimSun" w:cs="SimSun"/>
          <w:sz w:val="24"/>
          <w:szCs w:val="24"/>
          <w:spacing w:val="-3"/>
          <w:position w:val="20"/>
        </w:rPr>
        <w:t>根据本产品的工艺、运输、消防、安全的要求，结合地形等因素</w:t>
      </w:r>
      <w:r>
        <w:rPr>
          <w:rFonts w:ascii="SimSun" w:hAnsi="SimSun" w:eastAsia="SimSun" w:cs="SimSun"/>
          <w:sz w:val="24"/>
          <w:szCs w:val="24"/>
          <w:spacing w:val="-4"/>
          <w:position w:val="20"/>
        </w:rPr>
        <w:t>，按照国家</w:t>
      </w:r>
    </w:p>
    <w:p>
      <w:pPr>
        <w:ind w:left="24"/>
        <w:spacing w:before="1" w:line="218" w:lineRule="auto"/>
        <w:rPr>
          <w:rFonts w:ascii="SimSun" w:hAnsi="SimSun" w:eastAsia="SimSun" w:cs="SimSun"/>
          <w:sz w:val="24"/>
          <w:szCs w:val="24"/>
        </w:rPr>
      </w:pPr>
      <w:r>
        <w:rPr>
          <w:rFonts w:ascii="SimSun" w:hAnsi="SimSun" w:eastAsia="SimSun" w:cs="SimSun"/>
          <w:sz w:val="24"/>
          <w:szCs w:val="24"/>
        </w:rPr>
        <w:t>有关标准和规定，对生产、运输进行了优化，并供有</w:t>
      </w:r>
      <w:r>
        <w:rPr>
          <w:rFonts w:ascii="SimSun" w:hAnsi="SimSun" w:eastAsia="SimSun" w:cs="SimSun"/>
          <w:sz w:val="24"/>
          <w:szCs w:val="24"/>
          <w:spacing w:val="-1"/>
        </w:rPr>
        <w:t>完善的供电、排热等设施。</w:t>
      </w:r>
    </w:p>
    <w:p>
      <w:pPr>
        <w:ind w:left="504"/>
        <w:spacing w:before="215" w:line="499" w:lineRule="exact"/>
        <w:rPr>
          <w:rFonts w:ascii="SimSun" w:hAnsi="SimSun" w:eastAsia="SimSun" w:cs="SimSun"/>
          <w:sz w:val="24"/>
          <w:szCs w:val="24"/>
        </w:rPr>
      </w:pPr>
      <w:r>
        <w:rPr>
          <w:rFonts w:ascii="SimSun" w:hAnsi="SimSun" w:eastAsia="SimSun" w:cs="SimSun"/>
          <w:sz w:val="24"/>
          <w:szCs w:val="24"/>
          <w:spacing w:val="-3"/>
          <w:position w:val="19"/>
        </w:rPr>
        <w:t>整个建筑空间利用和布局合理，功能分区明确，组织协作良好</w:t>
      </w:r>
      <w:r>
        <w:rPr>
          <w:rFonts w:ascii="SimSun" w:hAnsi="SimSun" w:eastAsia="SimSun" w:cs="SimSun"/>
          <w:sz w:val="24"/>
          <w:szCs w:val="24"/>
          <w:spacing w:val="-4"/>
          <w:position w:val="19"/>
        </w:rPr>
        <w:t>。厂区内道路</w:t>
      </w:r>
    </w:p>
    <w:p>
      <w:pPr>
        <w:ind w:left="26"/>
        <w:spacing w:before="1" w:line="218" w:lineRule="auto"/>
        <w:rPr>
          <w:rFonts w:ascii="SimSun" w:hAnsi="SimSun" w:eastAsia="SimSun" w:cs="SimSun"/>
          <w:sz w:val="24"/>
          <w:szCs w:val="24"/>
        </w:rPr>
      </w:pPr>
      <w:r>
        <w:rPr>
          <w:rFonts w:ascii="SimSun" w:hAnsi="SimSun" w:eastAsia="SimSun" w:cs="SimSun"/>
          <w:sz w:val="24"/>
          <w:szCs w:val="24"/>
          <w:spacing w:val="-1"/>
        </w:rPr>
        <w:t>为混凝土地面，道路环状布置。可以满足消防车辆及其它车辆通行要求。</w:t>
      </w:r>
    </w:p>
    <w:p>
      <w:pPr>
        <w:ind w:left="23" w:right="114" w:firstLine="482"/>
        <w:spacing w:before="216" w:line="385" w:lineRule="auto"/>
        <w:rPr>
          <w:rFonts w:ascii="SimSun" w:hAnsi="SimSun" w:eastAsia="SimSun" w:cs="SimSun"/>
          <w:sz w:val="24"/>
          <w:szCs w:val="24"/>
        </w:rPr>
      </w:pPr>
      <w:r>
        <w:rPr>
          <w:rFonts w:ascii="SimSun" w:hAnsi="SimSun" w:eastAsia="SimSun" w:cs="SimSun"/>
          <w:sz w:val="24"/>
          <w:szCs w:val="24"/>
          <w:spacing w:val="-3"/>
        </w:rPr>
        <w:t>厂区划出车辆行驶路线、严禁烟火标志等并严格执行；厂</w:t>
      </w:r>
      <w:r>
        <w:rPr>
          <w:rFonts w:ascii="SimSun" w:hAnsi="SimSun" w:eastAsia="SimSun" w:cs="SimSun"/>
          <w:sz w:val="24"/>
          <w:szCs w:val="24"/>
          <w:spacing w:val="-4"/>
        </w:rPr>
        <w:t>区配套建设应急救</w:t>
      </w:r>
      <w:r>
        <w:rPr>
          <w:rFonts w:ascii="SimSun" w:hAnsi="SimSun" w:eastAsia="SimSun" w:cs="SimSun"/>
          <w:sz w:val="24"/>
          <w:szCs w:val="24"/>
        </w:rPr>
        <w:t xml:space="preserve"> </w:t>
      </w:r>
      <w:r>
        <w:rPr>
          <w:rFonts w:ascii="SimSun" w:hAnsi="SimSun" w:eastAsia="SimSun" w:cs="SimSun"/>
          <w:sz w:val="24"/>
          <w:szCs w:val="24"/>
          <w:spacing w:val="-3"/>
        </w:rPr>
        <w:t>援设施、救援通道、应急疏散避难所等防护设施。按《安全标志》规定在装置区</w:t>
      </w:r>
      <w:r>
        <w:rPr>
          <w:rFonts w:ascii="SimSun" w:hAnsi="SimSun" w:eastAsia="SimSun" w:cs="SimSun"/>
          <w:sz w:val="24"/>
          <w:szCs w:val="24"/>
          <w:spacing w:val="1"/>
        </w:rPr>
        <w:t xml:space="preserve"> </w:t>
      </w:r>
      <w:r>
        <w:rPr>
          <w:rFonts w:ascii="SimSun" w:hAnsi="SimSun" w:eastAsia="SimSun" w:cs="SimSun"/>
          <w:sz w:val="24"/>
          <w:szCs w:val="24"/>
          <w:spacing w:val="-3"/>
        </w:rPr>
        <w:t>设置有关的安全标志。厂区内道路形成环状，建筑间距符合要求，设置大门，将</w:t>
      </w:r>
    </w:p>
    <w:p>
      <w:pPr>
        <w:ind w:left="26"/>
        <w:spacing w:line="220" w:lineRule="auto"/>
        <w:rPr>
          <w:rFonts w:ascii="SimSun" w:hAnsi="SimSun" w:eastAsia="SimSun" w:cs="SimSun"/>
          <w:sz w:val="24"/>
          <w:szCs w:val="24"/>
        </w:rPr>
      </w:pPr>
      <w:r>
        <w:rPr>
          <w:rFonts w:ascii="SimSun" w:hAnsi="SimSun" w:eastAsia="SimSun" w:cs="SimSun"/>
          <w:sz w:val="24"/>
          <w:szCs w:val="24"/>
          <w:spacing w:val="-2"/>
        </w:rPr>
        <w:t>厂前区和人流、物流分开。</w:t>
      </w:r>
    </w:p>
    <w:p>
      <w:pPr>
        <w:ind w:left="23" w:right="114" w:firstLine="480"/>
        <w:spacing w:before="211" w:line="385" w:lineRule="auto"/>
        <w:rPr>
          <w:rFonts w:ascii="SimSun" w:hAnsi="SimSun" w:eastAsia="SimSun" w:cs="SimSun"/>
          <w:sz w:val="24"/>
          <w:szCs w:val="24"/>
        </w:rPr>
      </w:pPr>
      <w:r>
        <w:rPr>
          <w:rFonts w:ascii="SimSun" w:hAnsi="SimSun" w:eastAsia="SimSun" w:cs="SimSun"/>
          <w:sz w:val="24"/>
          <w:szCs w:val="24"/>
          <w:spacing w:val="-3"/>
        </w:rPr>
        <w:t>根据火灾危险性等级和防火要求，建筑物的防火等级均采用国家</w:t>
      </w:r>
      <w:r>
        <w:rPr>
          <w:rFonts w:ascii="SimSun" w:hAnsi="SimSun" w:eastAsia="SimSun" w:cs="SimSun"/>
          <w:sz w:val="24"/>
          <w:szCs w:val="24"/>
          <w:spacing w:val="-4"/>
        </w:rPr>
        <w:t>现行规范要</w:t>
      </w:r>
      <w:r>
        <w:rPr>
          <w:rFonts w:ascii="SimSun" w:hAnsi="SimSun" w:eastAsia="SimSun" w:cs="SimSun"/>
          <w:sz w:val="24"/>
          <w:szCs w:val="24"/>
        </w:rPr>
        <w:t xml:space="preserve"> </w:t>
      </w:r>
      <w:r>
        <w:rPr>
          <w:rFonts w:ascii="SimSun" w:hAnsi="SimSun" w:eastAsia="SimSun" w:cs="SimSun"/>
          <w:sz w:val="24"/>
          <w:szCs w:val="24"/>
          <w:spacing w:val="-3"/>
        </w:rPr>
        <w:t>求的耐火等级设计，满足建筑防火要求。凡禁火区均设置明显标志牌。各种易燃</w:t>
      </w:r>
      <w:r>
        <w:rPr>
          <w:rFonts w:ascii="SimSun" w:hAnsi="SimSun" w:eastAsia="SimSun" w:cs="SimSun"/>
          <w:sz w:val="24"/>
          <w:szCs w:val="24"/>
          <w:spacing w:val="1"/>
        </w:rPr>
        <w:t xml:space="preserve"> </w:t>
      </w:r>
      <w:r>
        <w:rPr>
          <w:rFonts w:ascii="SimSun" w:hAnsi="SimSun" w:eastAsia="SimSun" w:cs="SimSun"/>
          <w:sz w:val="24"/>
          <w:szCs w:val="24"/>
          <w:spacing w:val="-3"/>
        </w:rPr>
        <w:t>物料均储存在阴凉、通风处，远离火源；危险废物暂存间不允许任何人员随便入</w:t>
      </w:r>
    </w:p>
    <w:p>
      <w:pPr>
        <w:ind w:left="52"/>
        <w:spacing w:before="1" w:line="219" w:lineRule="auto"/>
        <w:rPr>
          <w:rFonts w:ascii="SimSun" w:hAnsi="SimSun" w:eastAsia="SimSun" w:cs="SimSun"/>
          <w:sz w:val="24"/>
          <w:szCs w:val="24"/>
        </w:rPr>
      </w:pPr>
      <w:r>
        <w:rPr>
          <w:rFonts w:ascii="SimSun" w:hAnsi="SimSun" w:eastAsia="SimSun" w:cs="SimSun"/>
          <w:sz w:val="24"/>
          <w:szCs w:val="24"/>
          <w:spacing w:val="-1"/>
        </w:rPr>
        <w:t>内。安全出口及安全疏散距离应符合《建筑设计防火规范》（</w:t>
      </w:r>
      <w:r>
        <w:rPr>
          <w:rFonts w:ascii="Times New Roman" w:hAnsi="Times New Roman" w:eastAsia="Times New Roman" w:cs="Times New Roman"/>
          <w:sz w:val="24"/>
          <w:szCs w:val="24"/>
          <w:spacing w:val="-1"/>
        </w:rPr>
        <w:t>GB50016-2006</w:t>
      </w:r>
      <w:r>
        <w:rPr>
          <w:rFonts w:ascii="SimSun" w:hAnsi="SimSun" w:eastAsia="SimSun" w:cs="SimSun"/>
          <w:sz w:val="24"/>
          <w:szCs w:val="24"/>
          <w:spacing w:val="-1"/>
        </w:rPr>
        <w:t>）</w:t>
      </w:r>
    </w:p>
    <w:p>
      <w:pPr>
        <w:ind w:left="43"/>
        <w:spacing w:before="214" w:line="221" w:lineRule="auto"/>
        <w:rPr>
          <w:rFonts w:ascii="SimSun" w:hAnsi="SimSun" w:eastAsia="SimSun" w:cs="SimSun"/>
          <w:sz w:val="24"/>
          <w:szCs w:val="24"/>
        </w:rPr>
      </w:pPr>
      <w:r>
        <w:rPr>
          <w:rFonts w:ascii="SimSun" w:hAnsi="SimSun" w:eastAsia="SimSun" w:cs="SimSun"/>
          <w:sz w:val="24"/>
          <w:szCs w:val="24"/>
          <w:spacing w:val="-8"/>
        </w:rPr>
        <w:t>的要求。</w:t>
      </w:r>
    </w:p>
    <w:p>
      <w:pPr>
        <w:spacing w:line="221" w:lineRule="auto"/>
        <w:sectPr>
          <w:footerReference w:type="default" r:id="rId76"/>
          <w:pgSz w:w="11906" w:h="16839"/>
          <w:pgMar w:top="400" w:right="1684" w:bottom="1211" w:left="1785" w:header="0" w:footer="1049" w:gutter="0"/>
        </w:sectPr>
        <w:rPr>
          <w:rFonts w:ascii="SimSun" w:hAnsi="SimSun" w:eastAsia="SimSun" w:cs="SimSun"/>
          <w:sz w:val="24"/>
          <w:szCs w:val="24"/>
        </w:rPr>
      </w:pPr>
    </w:p>
    <w:p>
      <w:pPr>
        <w:pStyle w:val="BodyText"/>
        <w:spacing w:line="287" w:lineRule="auto"/>
        <w:rPr/>
      </w:pPr>
      <w:r/>
    </w:p>
    <w:p>
      <w:pPr>
        <w:pStyle w:val="BodyText"/>
        <w:spacing w:line="287" w:lineRule="auto"/>
        <w:rPr/>
      </w:pPr>
      <w:r/>
    </w:p>
    <w:p>
      <w:pPr>
        <w:pStyle w:val="BodyText"/>
        <w:spacing w:line="287" w:lineRule="auto"/>
        <w:rPr/>
      </w:pPr>
      <w:r/>
    </w:p>
    <w:p>
      <w:pPr>
        <w:pStyle w:val="BodyText"/>
        <w:spacing w:line="288" w:lineRule="auto"/>
        <w:rPr/>
      </w:pPr>
      <w:r/>
    </w:p>
    <w:p>
      <w:pPr>
        <w:ind w:left="23" w:firstLine="482"/>
        <w:spacing w:before="78" w:line="385" w:lineRule="auto"/>
        <w:jc w:val="both"/>
        <w:rPr>
          <w:rFonts w:ascii="SimSun" w:hAnsi="SimSun" w:eastAsia="SimSun" w:cs="SimSun"/>
          <w:sz w:val="24"/>
          <w:szCs w:val="24"/>
        </w:rPr>
      </w:pPr>
      <w:r>
        <w:rPr>
          <w:rFonts w:ascii="SimSun" w:hAnsi="SimSun" w:eastAsia="SimSun" w:cs="SimSun"/>
          <w:sz w:val="24"/>
          <w:szCs w:val="24"/>
        </w:rPr>
        <w:t>厂区为硬化地面，以满足消防运输要求。同时装置区为耐</w:t>
      </w:r>
      <w:r>
        <w:rPr>
          <w:rFonts w:ascii="SimSun" w:hAnsi="SimSun" w:eastAsia="SimSun" w:cs="SimSun"/>
          <w:sz w:val="24"/>
          <w:szCs w:val="24"/>
          <w:spacing w:val="-1"/>
        </w:rPr>
        <w:t>腐蚀的硬化地面，</w:t>
      </w:r>
      <w:r>
        <w:rPr>
          <w:rFonts w:ascii="SimSun" w:hAnsi="SimSun" w:eastAsia="SimSun" w:cs="SimSun"/>
          <w:sz w:val="24"/>
          <w:szCs w:val="24"/>
        </w:rPr>
        <w:t xml:space="preserve"> </w:t>
      </w:r>
      <w:r>
        <w:rPr>
          <w:rFonts w:ascii="SimSun" w:hAnsi="SimSun" w:eastAsia="SimSun" w:cs="SimSun"/>
          <w:sz w:val="24"/>
          <w:szCs w:val="24"/>
          <w:spacing w:val="-3"/>
        </w:rPr>
        <w:t>且表面无裂隙，进行防渗、防风、防雨、防晒措施。厂区布置满足《建筑设计防</w:t>
      </w:r>
      <w:r>
        <w:rPr>
          <w:rFonts w:ascii="SimSun" w:hAnsi="SimSun" w:eastAsia="SimSun" w:cs="SimSun"/>
          <w:sz w:val="24"/>
          <w:szCs w:val="24"/>
          <w:spacing w:val="1"/>
        </w:rPr>
        <w:t xml:space="preserve"> </w:t>
      </w:r>
      <w:r>
        <w:rPr>
          <w:rFonts w:ascii="SimSun" w:hAnsi="SimSun" w:eastAsia="SimSun" w:cs="SimSun"/>
          <w:sz w:val="24"/>
          <w:szCs w:val="24"/>
          <w:spacing w:val="-3"/>
        </w:rPr>
        <w:t>火规范》（</w:t>
      </w:r>
      <w:r>
        <w:rPr>
          <w:rFonts w:ascii="Times New Roman" w:hAnsi="Times New Roman" w:eastAsia="Times New Roman" w:cs="Times New Roman"/>
          <w:sz w:val="24"/>
          <w:szCs w:val="24"/>
          <w:spacing w:val="-3"/>
        </w:rPr>
        <w:t>GB50016-2014</w:t>
      </w:r>
      <w:r>
        <w:rPr>
          <w:rFonts w:ascii="SimSun" w:hAnsi="SimSun" w:eastAsia="SimSun" w:cs="SimSun"/>
          <w:sz w:val="24"/>
          <w:szCs w:val="24"/>
          <w:spacing w:val="-3"/>
        </w:rPr>
        <w:t>）和《</w:t>
      </w:r>
      <w:r>
        <w:rPr>
          <w:rFonts w:ascii="SimSun" w:hAnsi="SimSun" w:eastAsia="SimSun" w:cs="SimSun"/>
          <w:sz w:val="24"/>
          <w:szCs w:val="24"/>
          <w:spacing w:val="-4"/>
        </w:rPr>
        <w:t>石油化工企业设计防火规范》（</w:t>
      </w:r>
      <w:r>
        <w:rPr>
          <w:rFonts w:ascii="Times New Roman" w:hAnsi="Times New Roman" w:eastAsia="Times New Roman" w:cs="Times New Roman"/>
          <w:sz w:val="24"/>
          <w:szCs w:val="24"/>
          <w:spacing w:val="-4"/>
        </w:rPr>
        <w:t>GB 50160-2008</w:t>
      </w:r>
      <w:r>
        <w:rPr>
          <w:rFonts w:ascii="SimSun" w:hAnsi="SimSun" w:eastAsia="SimSun" w:cs="SimSun"/>
          <w:sz w:val="24"/>
          <w:szCs w:val="24"/>
          <w:spacing w:val="-4"/>
        </w:rPr>
        <w:t>）</w:t>
      </w:r>
    </w:p>
    <w:p>
      <w:pPr>
        <w:ind w:left="24"/>
        <w:spacing w:before="1" w:line="220" w:lineRule="auto"/>
        <w:rPr>
          <w:rFonts w:ascii="SimSun" w:hAnsi="SimSun" w:eastAsia="SimSun" w:cs="SimSun"/>
          <w:sz w:val="24"/>
          <w:szCs w:val="24"/>
        </w:rPr>
      </w:pPr>
      <w:r>
        <w:rPr>
          <w:rFonts w:ascii="SimSun" w:hAnsi="SimSun" w:eastAsia="SimSun" w:cs="SimSun"/>
          <w:sz w:val="24"/>
          <w:szCs w:val="24"/>
          <w:spacing w:val="-4"/>
        </w:rPr>
        <w:t>要求。</w:t>
      </w:r>
    </w:p>
    <w:p>
      <w:pPr>
        <w:ind w:left="24" w:right="99" w:firstLine="482"/>
        <w:spacing w:before="211" w:line="385" w:lineRule="auto"/>
        <w:jc w:val="both"/>
        <w:rPr>
          <w:rFonts w:ascii="SimSun" w:hAnsi="SimSun" w:eastAsia="SimSun" w:cs="SimSun"/>
          <w:sz w:val="24"/>
          <w:szCs w:val="24"/>
        </w:rPr>
      </w:pPr>
      <w:r>
        <w:rPr>
          <w:rFonts w:ascii="SimSun" w:hAnsi="SimSun" w:eastAsia="SimSun" w:cs="SimSun"/>
          <w:sz w:val="24"/>
          <w:szCs w:val="24"/>
          <w:spacing w:val="-3"/>
        </w:rPr>
        <w:t>项目所处位置地势平坦，根据本产品的工艺、运输、消</w:t>
      </w:r>
      <w:r>
        <w:rPr>
          <w:rFonts w:ascii="SimSun" w:hAnsi="SimSun" w:eastAsia="SimSun" w:cs="SimSun"/>
          <w:sz w:val="24"/>
          <w:szCs w:val="24"/>
          <w:spacing w:val="-4"/>
        </w:rPr>
        <w:t>防、安全的要求，结</w:t>
      </w:r>
      <w:r>
        <w:rPr>
          <w:rFonts w:ascii="SimSun" w:hAnsi="SimSun" w:eastAsia="SimSun" w:cs="SimSun"/>
          <w:sz w:val="24"/>
          <w:szCs w:val="24"/>
        </w:rPr>
        <w:t xml:space="preserve"> </w:t>
      </w:r>
      <w:r>
        <w:rPr>
          <w:rFonts w:ascii="SimSun" w:hAnsi="SimSun" w:eastAsia="SimSun" w:cs="SimSun"/>
          <w:sz w:val="24"/>
          <w:szCs w:val="24"/>
          <w:spacing w:val="-3"/>
        </w:rPr>
        <w:t>合地形等因素，按照国家有关标准和规定，对生产、运输、绿化进行了优化，并</w:t>
      </w:r>
    </w:p>
    <w:p>
      <w:pPr>
        <w:ind w:left="23"/>
        <w:spacing w:line="218" w:lineRule="auto"/>
        <w:rPr>
          <w:rFonts w:ascii="SimSun" w:hAnsi="SimSun" w:eastAsia="SimSun" w:cs="SimSun"/>
          <w:sz w:val="24"/>
          <w:szCs w:val="24"/>
        </w:rPr>
      </w:pPr>
      <w:r>
        <w:rPr>
          <w:rFonts w:ascii="SimSun" w:hAnsi="SimSun" w:eastAsia="SimSun" w:cs="SimSun"/>
          <w:sz w:val="24"/>
          <w:szCs w:val="24"/>
          <w:spacing w:val="-1"/>
        </w:rPr>
        <w:t>供有完善的供水、供电、排水等设施。</w:t>
      </w:r>
    </w:p>
    <w:p>
      <w:pPr>
        <w:spacing w:before="215" w:line="499" w:lineRule="exact"/>
        <w:jc w:val="right"/>
        <w:rPr>
          <w:rFonts w:ascii="SimSun" w:hAnsi="SimSun" w:eastAsia="SimSun" w:cs="SimSun"/>
          <w:sz w:val="24"/>
          <w:szCs w:val="24"/>
        </w:rPr>
      </w:pPr>
      <w:r>
        <w:rPr>
          <w:rFonts w:ascii="SimSun" w:hAnsi="SimSun" w:eastAsia="SimSun" w:cs="SimSun"/>
          <w:sz w:val="24"/>
          <w:szCs w:val="24"/>
          <w:spacing w:val="-8"/>
          <w:position w:val="19"/>
        </w:rPr>
        <w:t>综上所述，该项目的建设符合国家产业政策，</w:t>
      </w:r>
      <w:r>
        <w:rPr>
          <w:rFonts w:ascii="SimSun" w:hAnsi="SimSun" w:eastAsia="SimSun" w:cs="SimSun"/>
          <w:sz w:val="24"/>
          <w:szCs w:val="24"/>
          <w:spacing w:val="-9"/>
          <w:position w:val="19"/>
        </w:rPr>
        <w:t>工程选址合理，平面布置合理，</w:t>
      </w:r>
    </w:p>
    <w:p>
      <w:pPr>
        <w:ind w:left="28"/>
        <w:spacing w:line="218" w:lineRule="auto"/>
        <w:rPr>
          <w:rFonts w:ascii="SimSun" w:hAnsi="SimSun" w:eastAsia="SimSun" w:cs="SimSun"/>
          <w:sz w:val="24"/>
          <w:szCs w:val="24"/>
        </w:rPr>
      </w:pPr>
      <w:r>
        <w:rPr>
          <w:rFonts w:ascii="SimSun" w:hAnsi="SimSun" w:eastAsia="SimSun" w:cs="SimSun"/>
          <w:sz w:val="24"/>
          <w:szCs w:val="24"/>
          <w:spacing w:val="-1"/>
        </w:rPr>
        <w:t>具有环境可行性。本项目在厂区内位置图见图</w:t>
      </w:r>
      <w:r>
        <w:rPr>
          <w:rFonts w:ascii="Times New Roman" w:hAnsi="Times New Roman" w:eastAsia="Times New Roman" w:cs="Times New Roman"/>
          <w:sz w:val="24"/>
          <w:szCs w:val="24"/>
          <w:spacing w:val="-1"/>
        </w:rPr>
        <w:t>4</w:t>
      </w:r>
      <w:r>
        <w:rPr>
          <w:rFonts w:ascii="SimSun" w:hAnsi="SimSun" w:eastAsia="SimSun" w:cs="SimSun"/>
          <w:sz w:val="24"/>
          <w:szCs w:val="24"/>
          <w:spacing w:val="-1"/>
        </w:rPr>
        <w:t>。</w:t>
      </w:r>
    </w:p>
    <w:p>
      <w:pPr>
        <w:pStyle w:val="BodyText"/>
        <w:spacing w:line="347" w:lineRule="auto"/>
        <w:rPr/>
      </w:pPr>
      <w:r/>
    </w:p>
    <w:p>
      <w:pPr>
        <w:pStyle w:val="BodyText"/>
        <w:spacing w:line="347" w:lineRule="auto"/>
        <w:rPr/>
      </w:pPr>
      <w:r/>
    </w:p>
    <w:p>
      <w:pPr>
        <w:ind w:left="23"/>
        <w:spacing w:before="92" w:line="219" w:lineRule="auto"/>
        <w:outlineLvl w:val="0"/>
        <w:rPr>
          <w:rFonts w:ascii="SimSun" w:hAnsi="SimSun" w:eastAsia="SimSun" w:cs="SimSun"/>
          <w:sz w:val="28"/>
          <w:szCs w:val="28"/>
        </w:rPr>
      </w:pPr>
      <w:r>
        <w:rPr>
          <w:rFonts w:ascii="Times New Roman" w:hAnsi="Times New Roman" w:eastAsia="Times New Roman" w:cs="Times New Roman"/>
          <w:sz w:val="28"/>
          <w:szCs w:val="28"/>
          <w:b/>
          <w:bCs/>
          <w:spacing w:val="1"/>
        </w:rPr>
        <w:t>s</w:t>
      </w:r>
      <w:r>
        <w:rPr>
          <w:rFonts w:ascii="Times New Roman" w:hAnsi="Times New Roman" w:eastAsia="Times New Roman" w:cs="Times New Roman"/>
          <w:sz w:val="28"/>
          <w:szCs w:val="28"/>
          <w:b/>
          <w:bCs/>
          <w:spacing w:val="-4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
        </w:rPr>
        <w:t>、完善环境质量现状调查，本项目为扩建项目，建</w:t>
      </w:r>
      <w:r>
        <w:rPr>
          <w:rFonts w:ascii="SimSun" w:hAnsi="SimSun" w:eastAsia="SimSun" w:cs="SimSun"/>
          <w:sz w:val="28"/>
          <w:szCs w:val="28"/>
          <w14:textOutline w14:w="5103" w14:cap="sq" w14:cmpd="sng">
            <w14:solidFill>
              <w14:srgbClr w14:val="000000"/>
            </w14:solidFill>
            <w14:prstDash w14:val="solid"/>
            <w14:bevel/>
          </w14:textOutline>
        </w:rPr>
        <w:t>议对环境空气中</w:t>
      </w:r>
    </w:p>
    <w:p>
      <w:pPr>
        <w:spacing w:before="226" w:line="219" w:lineRule="auto"/>
        <w:jc w:val="right"/>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非甲烷总烃进行监测，摸清评价区环境空气中非甲烷总烃污染现状。</w:t>
      </w:r>
    </w:p>
    <w:p>
      <w:pPr>
        <w:ind w:left="529"/>
        <w:spacing w:before="218" w:line="219" w:lineRule="auto"/>
        <w:rPr>
          <w:rFonts w:ascii="Times New Roman" w:hAnsi="Times New Roman" w:eastAsia="Times New Roman" w:cs="Times New Roman"/>
          <w:sz w:val="24"/>
          <w:szCs w:val="24"/>
        </w:rPr>
      </w:pPr>
      <w:r>
        <w:rPr>
          <w:rFonts w:ascii="SimSun" w:hAnsi="SimSun" w:eastAsia="SimSun" w:cs="SimSun"/>
          <w:sz w:val="24"/>
          <w:szCs w:val="24"/>
          <w:spacing w:val="-5"/>
        </w:rPr>
        <w:t>已修改，见</w:t>
      </w:r>
      <w:r>
        <w:rPr>
          <w:rFonts w:ascii="Times New Roman" w:hAnsi="Times New Roman" w:eastAsia="Times New Roman" w:cs="Times New Roman"/>
          <w:sz w:val="24"/>
          <w:szCs w:val="24"/>
          <w:spacing w:val="-5"/>
        </w:rPr>
        <w:t>P33</w:t>
      </w:r>
    </w:p>
    <w:p>
      <w:pPr>
        <w:ind w:left="503"/>
        <w:spacing w:before="214" w:line="219" w:lineRule="auto"/>
        <w:rPr>
          <w:rFonts w:ascii="SimSun" w:hAnsi="SimSun" w:eastAsia="SimSun" w:cs="SimSun"/>
          <w:sz w:val="24"/>
          <w:szCs w:val="24"/>
        </w:rPr>
      </w:pPr>
      <w:r>
        <w:rPr>
          <w:rFonts w:ascii="Times New Roman" w:hAnsi="Times New Roman" w:eastAsia="Times New Roman" w:cs="Times New Roman"/>
          <w:sz w:val="24"/>
          <w:szCs w:val="24"/>
          <w:spacing w:val="-3"/>
        </w:rPr>
        <w:t>3.</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3"/>
        </w:rPr>
        <w:t>1  </w:t>
      </w:r>
      <w:r>
        <w:rPr>
          <w:rFonts w:ascii="SimSun" w:hAnsi="SimSun" w:eastAsia="SimSun" w:cs="SimSun"/>
          <w:sz w:val="24"/>
          <w:szCs w:val="24"/>
          <w:spacing w:val="-3"/>
        </w:rPr>
        <w:t>大气环境质量现状</w:t>
      </w:r>
    </w:p>
    <w:p>
      <w:pPr>
        <w:ind w:left="24" w:right="76" w:firstLine="485"/>
        <w:spacing w:before="211" w:line="385" w:lineRule="auto"/>
        <w:rPr>
          <w:rFonts w:ascii="SimSun" w:hAnsi="SimSun" w:eastAsia="SimSun" w:cs="SimSun"/>
          <w:sz w:val="24"/>
          <w:szCs w:val="24"/>
        </w:rPr>
      </w:pPr>
      <w:r>
        <w:rPr>
          <w:rFonts w:ascii="SimSun" w:hAnsi="SimSun" w:eastAsia="SimSun" w:cs="SimSun"/>
          <w:sz w:val="24"/>
          <w:szCs w:val="24"/>
        </w:rPr>
        <w:t>《环境影响评价技术导则 大气环境》（</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1"/>
        </w:rPr>
        <w:t>2.2-2018</w:t>
      </w:r>
      <w:r>
        <w:rPr>
          <w:rFonts w:ascii="SimSun" w:hAnsi="SimSun" w:eastAsia="SimSun" w:cs="SimSun"/>
          <w:sz w:val="24"/>
          <w:szCs w:val="24"/>
          <w:spacing w:val="-1"/>
        </w:rPr>
        <w:t>）要求，评价范围内没</w:t>
      </w:r>
      <w:r>
        <w:rPr>
          <w:rFonts w:ascii="SimSun" w:hAnsi="SimSun" w:eastAsia="SimSun" w:cs="SimSun"/>
          <w:sz w:val="24"/>
          <w:szCs w:val="24"/>
        </w:rPr>
        <w:t xml:space="preserve">  </w:t>
      </w:r>
      <w:r>
        <w:rPr>
          <w:rFonts w:ascii="SimSun" w:hAnsi="SimSun" w:eastAsia="SimSun" w:cs="SimSun"/>
          <w:sz w:val="24"/>
          <w:szCs w:val="24"/>
          <w:spacing w:val="-3"/>
        </w:rPr>
        <w:t>有环境空气质量监测网数据或公开发布的环境空气质量现状数据的选取满足《环</w:t>
      </w:r>
      <w:r>
        <w:rPr>
          <w:rFonts w:ascii="SimSun" w:hAnsi="SimSun" w:eastAsia="SimSun" w:cs="SimSun"/>
          <w:sz w:val="24"/>
          <w:szCs w:val="24"/>
        </w:rPr>
        <w:t xml:space="preserve"> </w:t>
      </w:r>
      <w:r>
        <w:rPr>
          <w:rFonts w:ascii="SimSun" w:hAnsi="SimSun" w:eastAsia="SimSun" w:cs="SimSun"/>
          <w:sz w:val="24"/>
          <w:szCs w:val="24"/>
          <w:spacing w:val="-2"/>
        </w:rPr>
        <w:t>境空气质量监测点位布设技术规范（试行）》（</w:t>
      </w:r>
      <w:r>
        <w:rPr>
          <w:rFonts w:ascii="Times New Roman" w:hAnsi="Times New Roman" w:eastAsia="Times New Roman" w:cs="Times New Roman"/>
          <w:sz w:val="24"/>
          <w:szCs w:val="24"/>
          <w:spacing w:val="-2"/>
        </w:rPr>
        <w:t>HJ 664</w:t>
      </w:r>
      <w:r>
        <w:rPr>
          <w:rFonts w:ascii="SimSun" w:hAnsi="SimSun" w:eastAsia="SimSun" w:cs="SimSun"/>
          <w:sz w:val="24"/>
          <w:szCs w:val="24"/>
          <w:spacing w:val="-2"/>
        </w:rPr>
        <w:t>—</w:t>
      </w:r>
      <w:r>
        <w:rPr>
          <w:rFonts w:ascii="Times New Roman" w:hAnsi="Times New Roman" w:eastAsia="Times New Roman" w:cs="Times New Roman"/>
          <w:sz w:val="24"/>
          <w:szCs w:val="24"/>
          <w:spacing w:val="-2"/>
        </w:rPr>
        <w:t>2013</w:t>
      </w:r>
      <w:r>
        <w:rPr>
          <w:rFonts w:ascii="SimSun" w:hAnsi="SimSun" w:eastAsia="SimSun" w:cs="SimSun"/>
          <w:sz w:val="24"/>
          <w:szCs w:val="24"/>
          <w:spacing w:val="-2"/>
        </w:rPr>
        <w:t>）规定，并且与评</w:t>
      </w:r>
      <w:r>
        <w:rPr>
          <w:rFonts w:ascii="SimSun" w:hAnsi="SimSun" w:eastAsia="SimSun" w:cs="SimSun"/>
          <w:sz w:val="24"/>
          <w:szCs w:val="24"/>
          <w:spacing w:val="8"/>
        </w:rPr>
        <w:t xml:space="preserve"> </w:t>
      </w:r>
      <w:r>
        <w:rPr>
          <w:rFonts w:ascii="SimSun" w:hAnsi="SimSun" w:eastAsia="SimSun" w:cs="SimSun"/>
          <w:sz w:val="24"/>
          <w:szCs w:val="24"/>
          <w:spacing w:val="-3"/>
        </w:rPr>
        <w:t>价范围地理位置邻近，地形、气候条件相近的环境空气质量城市点或区域点监测</w:t>
      </w:r>
      <w:r>
        <w:rPr>
          <w:rFonts w:ascii="SimSun" w:hAnsi="SimSun" w:eastAsia="SimSun" w:cs="SimSun"/>
          <w:sz w:val="24"/>
          <w:szCs w:val="24"/>
        </w:rPr>
        <w:t xml:space="preserve"> </w:t>
      </w:r>
      <w:r>
        <w:rPr>
          <w:rFonts w:ascii="SimSun" w:hAnsi="SimSun" w:eastAsia="SimSun" w:cs="SimSun"/>
          <w:sz w:val="24"/>
          <w:szCs w:val="24"/>
          <w:spacing w:val="-3"/>
        </w:rPr>
        <w:t>数据。本项目位于呼图壁县，选取距离本项目最近的呼图壁县监测站点</w:t>
      </w:r>
      <w:r>
        <w:rPr>
          <w:rFonts w:ascii="Times New Roman" w:hAnsi="Times New Roman" w:eastAsia="Times New Roman" w:cs="Times New Roman"/>
          <w:sz w:val="24"/>
          <w:szCs w:val="24"/>
          <w:spacing w:val="-3"/>
        </w:rPr>
        <w:t>2021</w:t>
      </w:r>
      <w:r>
        <w:rPr>
          <w:rFonts w:ascii="SimSun" w:hAnsi="SimSun" w:eastAsia="SimSun" w:cs="SimSun"/>
          <w:sz w:val="24"/>
          <w:szCs w:val="24"/>
          <w:spacing w:val="-3"/>
        </w:rPr>
        <w:t>年基</w:t>
      </w:r>
      <w:r>
        <w:rPr>
          <w:rFonts w:ascii="SimSun" w:hAnsi="SimSun" w:eastAsia="SimSun" w:cs="SimSun"/>
          <w:sz w:val="24"/>
          <w:szCs w:val="24"/>
          <w:spacing w:val="6"/>
        </w:rPr>
        <w:t xml:space="preserve"> </w:t>
      </w:r>
      <w:r>
        <w:rPr>
          <w:rFonts w:ascii="SimSun" w:hAnsi="SimSun" w:eastAsia="SimSun" w:cs="SimSun"/>
          <w:sz w:val="24"/>
          <w:szCs w:val="24"/>
          <w:spacing w:val="-2"/>
        </w:rPr>
        <w:t>准年连续</w:t>
      </w:r>
      <w:r>
        <w:rPr>
          <w:rFonts w:ascii="Times New Roman" w:hAnsi="Times New Roman" w:eastAsia="Times New Roman" w:cs="Times New Roman"/>
          <w:sz w:val="24"/>
          <w:szCs w:val="24"/>
          <w:spacing w:val="-2"/>
        </w:rPr>
        <w:t>1</w:t>
      </w:r>
      <w:r>
        <w:rPr>
          <w:rFonts w:ascii="SimSun" w:hAnsi="SimSun" w:eastAsia="SimSun" w:cs="SimSun"/>
          <w:sz w:val="24"/>
          <w:szCs w:val="24"/>
          <w:spacing w:val="-2"/>
        </w:rPr>
        <w:t>年的监测数据，作为本项目环境空气现状评价基本污染物</w:t>
      </w:r>
      <w:r>
        <w:rPr>
          <w:rFonts w:ascii="Times New Roman" w:hAnsi="Times New Roman" w:eastAsia="Times New Roman" w:cs="Times New Roman"/>
          <w:sz w:val="24"/>
          <w:szCs w:val="24"/>
          <w:spacing w:val="-2"/>
        </w:rPr>
        <w:t>SO</w:t>
      </w:r>
      <w:r>
        <w:rPr>
          <w:rFonts w:ascii="Times New Roman" w:hAnsi="Times New Roman" w:eastAsia="Times New Roman" w:cs="Times New Roman"/>
          <w:sz w:val="15"/>
          <w:szCs w:val="15"/>
          <w:spacing w:val="-2"/>
          <w:position w:val="-1"/>
        </w:rPr>
        <w:t>2</w:t>
      </w:r>
      <w:r>
        <w:rPr>
          <w:rFonts w:ascii="Times New Roman" w:hAnsi="Times New Roman" w:eastAsia="Times New Roman" w:cs="Times New Roman"/>
          <w:sz w:val="15"/>
          <w:szCs w:val="15"/>
          <w:spacing w:val="-8"/>
          <w:position w:val="-1"/>
        </w:rPr>
        <w:t xml:space="preserve"> </w:t>
      </w:r>
      <w:r>
        <w:rPr>
          <w:rFonts w:ascii="SimSun" w:hAnsi="SimSun" w:eastAsia="SimSun" w:cs="SimSun"/>
          <w:sz w:val="24"/>
          <w:szCs w:val="24"/>
          <w:spacing w:val="-2"/>
        </w:rPr>
        <w:t>、</w:t>
      </w:r>
      <w:r>
        <w:rPr>
          <w:rFonts w:ascii="Times New Roman" w:hAnsi="Times New Roman" w:eastAsia="Times New Roman" w:cs="Times New Roman"/>
          <w:sz w:val="24"/>
          <w:szCs w:val="24"/>
          <w:spacing w:val="-2"/>
        </w:rPr>
        <w:t>NO</w:t>
      </w:r>
      <w:r>
        <w:rPr>
          <w:rFonts w:ascii="Times New Roman" w:hAnsi="Times New Roman" w:eastAsia="Times New Roman" w:cs="Times New Roman"/>
          <w:sz w:val="15"/>
          <w:szCs w:val="15"/>
          <w:spacing w:val="-2"/>
          <w:position w:val="-1"/>
        </w:rPr>
        <w:t>2</w:t>
      </w:r>
      <w:r>
        <w:rPr>
          <w:rFonts w:ascii="SimSun" w:hAnsi="SimSun" w:eastAsia="SimSun" w:cs="SimSun"/>
          <w:sz w:val="24"/>
          <w:szCs w:val="24"/>
          <w:spacing w:val="-2"/>
        </w:rPr>
        <w:t>、</w:t>
      </w:r>
    </w:p>
    <w:p>
      <w:pPr>
        <w:ind w:left="18"/>
        <w:spacing w:before="1" w:line="219" w:lineRule="auto"/>
        <w:rPr>
          <w:rFonts w:ascii="SimSun" w:hAnsi="SimSun" w:eastAsia="SimSun" w:cs="SimSun"/>
          <w:sz w:val="24"/>
          <w:szCs w:val="24"/>
        </w:rPr>
      </w:pPr>
      <w:r>
        <w:rPr>
          <w:rFonts w:ascii="Times New Roman" w:hAnsi="Times New Roman" w:eastAsia="Times New Roman" w:cs="Times New Roman"/>
          <w:sz w:val="24"/>
          <w:szCs w:val="24"/>
          <w:spacing w:val="-4"/>
        </w:rPr>
        <w:t>PM</w:t>
      </w:r>
      <w:r>
        <w:rPr>
          <w:rFonts w:ascii="Times New Roman" w:hAnsi="Times New Roman" w:eastAsia="Times New Roman" w:cs="Times New Roman"/>
          <w:sz w:val="15"/>
          <w:szCs w:val="15"/>
          <w:spacing w:val="-4"/>
          <w:position w:val="-1"/>
        </w:rPr>
        <w:t>10</w:t>
      </w:r>
      <w:r>
        <w:rPr>
          <w:rFonts w:ascii="Times New Roman" w:hAnsi="Times New Roman" w:eastAsia="Times New Roman" w:cs="Times New Roman"/>
          <w:sz w:val="15"/>
          <w:szCs w:val="15"/>
          <w:spacing w:val="4"/>
          <w:position w:val="-1"/>
        </w:rPr>
        <w:t xml:space="preserve"> </w:t>
      </w:r>
      <w:r>
        <w:rPr>
          <w:rFonts w:ascii="SimSun" w:hAnsi="SimSun" w:eastAsia="SimSun" w:cs="SimSun"/>
          <w:sz w:val="24"/>
          <w:szCs w:val="24"/>
          <w:spacing w:val="-4"/>
        </w:rPr>
        <w:t>、</w:t>
      </w:r>
      <w:r>
        <w:rPr>
          <w:rFonts w:ascii="Times New Roman" w:hAnsi="Times New Roman" w:eastAsia="Times New Roman" w:cs="Times New Roman"/>
          <w:sz w:val="24"/>
          <w:szCs w:val="24"/>
          <w:spacing w:val="-4"/>
        </w:rPr>
        <w:t>PM</w:t>
      </w:r>
      <w:r>
        <w:rPr>
          <w:rFonts w:ascii="Times New Roman" w:hAnsi="Times New Roman" w:eastAsia="Times New Roman" w:cs="Times New Roman"/>
          <w:sz w:val="15"/>
          <w:szCs w:val="15"/>
          <w:spacing w:val="-4"/>
          <w:position w:val="-1"/>
        </w:rPr>
        <w:t>2.5</w:t>
      </w:r>
      <w:r>
        <w:rPr>
          <w:rFonts w:ascii="Times New Roman" w:hAnsi="Times New Roman" w:eastAsia="Times New Roman" w:cs="Times New Roman"/>
          <w:sz w:val="15"/>
          <w:szCs w:val="15"/>
          <w:spacing w:val="-13"/>
          <w:position w:val="-1"/>
        </w:rPr>
        <w:t xml:space="preserve"> </w:t>
      </w:r>
      <w:r>
        <w:rPr>
          <w:rFonts w:ascii="SimSun" w:hAnsi="SimSun" w:eastAsia="SimSun" w:cs="SimSun"/>
          <w:sz w:val="24"/>
          <w:szCs w:val="24"/>
          <w:spacing w:val="-4"/>
        </w:rPr>
        <w:t>、</w:t>
      </w:r>
      <w:r>
        <w:rPr>
          <w:rFonts w:ascii="Times New Roman" w:hAnsi="Times New Roman" w:eastAsia="Times New Roman" w:cs="Times New Roman"/>
          <w:sz w:val="24"/>
          <w:szCs w:val="24"/>
          <w:spacing w:val="-4"/>
        </w:rPr>
        <w:t>CO</w:t>
      </w:r>
      <w:r>
        <w:rPr>
          <w:rFonts w:ascii="SimSun" w:hAnsi="SimSun" w:eastAsia="SimSun" w:cs="SimSun"/>
          <w:sz w:val="24"/>
          <w:szCs w:val="24"/>
          <w:spacing w:val="-4"/>
        </w:rPr>
        <w:t>和</w:t>
      </w:r>
      <w:r>
        <w:rPr>
          <w:rFonts w:ascii="Times New Roman" w:hAnsi="Times New Roman" w:eastAsia="Times New Roman" w:cs="Times New Roman"/>
          <w:sz w:val="24"/>
          <w:szCs w:val="24"/>
          <w:spacing w:val="-4"/>
        </w:rPr>
        <w:t>O</w:t>
      </w:r>
      <w:r>
        <w:rPr>
          <w:rFonts w:ascii="Times New Roman" w:hAnsi="Times New Roman" w:eastAsia="Times New Roman" w:cs="Times New Roman"/>
          <w:sz w:val="15"/>
          <w:szCs w:val="15"/>
          <w:spacing w:val="-4"/>
          <w:position w:val="-1"/>
        </w:rPr>
        <w:t>3</w:t>
      </w:r>
      <w:r>
        <w:rPr>
          <w:rFonts w:ascii="Times New Roman" w:hAnsi="Times New Roman" w:eastAsia="Times New Roman" w:cs="Times New Roman"/>
          <w:sz w:val="15"/>
          <w:szCs w:val="15"/>
          <w:spacing w:val="-9"/>
          <w:position w:val="-1"/>
        </w:rPr>
        <w:t xml:space="preserve"> </w:t>
      </w:r>
      <w:r>
        <w:rPr>
          <w:rFonts w:ascii="SimSun" w:hAnsi="SimSun" w:eastAsia="SimSun" w:cs="SimSun"/>
          <w:sz w:val="24"/>
          <w:szCs w:val="24"/>
          <w:spacing w:val="-4"/>
        </w:rPr>
        <w:t>的数据来源。</w:t>
      </w:r>
    </w:p>
    <w:p>
      <w:pPr>
        <w:ind w:left="503"/>
        <w:spacing w:before="216" w:line="220" w:lineRule="auto"/>
        <w:rPr>
          <w:rFonts w:ascii="SimSun" w:hAnsi="SimSun" w:eastAsia="SimSun" w:cs="SimSun"/>
          <w:sz w:val="24"/>
          <w:szCs w:val="24"/>
        </w:rPr>
      </w:pPr>
      <w:r>
        <w:rPr>
          <w:rFonts w:ascii="Times New Roman" w:hAnsi="Times New Roman" w:eastAsia="Times New Roman" w:cs="Times New Roman"/>
          <w:sz w:val="24"/>
          <w:szCs w:val="24"/>
          <w:spacing w:val="-2"/>
        </w:rPr>
        <w:t>3.1.</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2"/>
        </w:rPr>
        <w:t>1</w:t>
      </w:r>
      <w:r>
        <w:rPr>
          <w:rFonts w:ascii="SimSun" w:hAnsi="SimSun" w:eastAsia="SimSun" w:cs="SimSun"/>
          <w:sz w:val="24"/>
          <w:szCs w:val="24"/>
          <w:spacing w:val="-2"/>
        </w:rPr>
        <w:t>项目所在预期环境质量达标情况</w:t>
      </w:r>
    </w:p>
    <w:p>
      <w:pPr>
        <w:ind w:left="514"/>
        <w:spacing w:before="213" w:line="218"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）评价标准</w:t>
      </w:r>
    </w:p>
    <w:p>
      <w:pPr>
        <w:spacing w:before="216" w:line="502" w:lineRule="exact"/>
        <w:jc w:val="right"/>
        <w:rPr>
          <w:rFonts w:ascii="SimSun" w:hAnsi="SimSun" w:eastAsia="SimSun" w:cs="SimSun"/>
          <w:sz w:val="24"/>
          <w:szCs w:val="24"/>
        </w:rPr>
      </w:pPr>
      <w:r>
        <w:rPr>
          <w:rFonts w:ascii="SimSun" w:hAnsi="SimSun" w:eastAsia="SimSun" w:cs="SimSun"/>
          <w:sz w:val="24"/>
          <w:szCs w:val="24"/>
          <w:spacing w:val="-6"/>
          <w:position w:val="20"/>
        </w:rPr>
        <w:t>根据本项目所在区域的环境功能区划，基本因子</w:t>
      </w:r>
      <w:r>
        <w:rPr>
          <w:rFonts w:ascii="Times New Roman" w:hAnsi="Times New Roman" w:eastAsia="Times New Roman" w:cs="Times New Roman"/>
          <w:sz w:val="24"/>
          <w:szCs w:val="24"/>
          <w:spacing w:val="-6"/>
          <w:position w:val="20"/>
        </w:rPr>
        <w:t>SO2</w:t>
      </w:r>
      <w:r>
        <w:rPr>
          <w:rFonts w:ascii="SimSun" w:hAnsi="SimSun" w:eastAsia="SimSun" w:cs="SimSun"/>
          <w:sz w:val="24"/>
          <w:szCs w:val="24"/>
          <w:spacing w:val="-6"/>
          <w:position w:val="20"/>
        </w:rPr>
        <w:t>、</w:t>
      </w:r>
      <w:r>
        <w:rPr>
          <w:rFonts w:ascii="Times New Roman" w:hAnsi="Times New Roman" w:eastAsia="Times New Roman" w:cs="Times New Roman"/>
          <w:sz w:val="24"/>
          <w:szCs w:val="24"/>
          <w:spacing w:val="-6"/>
          <w:position w:val="20"/>
        </w:rPr>
        <w:t>NO2</w:t>
      </w:r>
      <w:r>
        <w:rPr>
          <w:rFonts w:ascii="SimSun" w:hAnsi="SimSun" w:eastAsia="SimSun" w:cs="SimSun"/>
          <w:sz w:val="24"/>
          <w:szCs w:val="24"/>
          <w:spacing w:val="-6"/>
          <w:position w:val="20"/>
        </w:rPr>
        <w:t>、</w:t>
      </w:r>
      <w:r>
        <w:rPr>
          <w:rFonts w:ascii="Times New Roman" w:hAnsi="Times New Roman" w:eastAsia="Times New Roman" w:cs="Times New Roman"/>
          <w:sz w:val="24"/>
          <w:szCs w:val="24"/>
          <w:spacing w:val="-6"/>
          <w:position w:val="20"/>
        </w:rPr>
        <w:t>PM10</w:t>
      </w:r>
      <w:r>
        <w:rPr>
          <w:rFonts w:ascii="SimSun" w:hAnsi="SimSun" w:eastAsia="SimSun" w:cs="SimSun"/>
          <w:sz w:val="24"/>
          <w:szCs w:val="24"/>
          <w:spacing w:val="-6"/>
          <w:position w:val="20"/>
        </w:rPr>
        <w:t>、</w:t>
      </w:r>
      <w:r>
        <w:rPr>
          <w:rFonts w:ascii="Times New Roman" w:hAnsi="Times New Roman" w:eastAsia="Times New Roman" w:cs="Times New Roman"/>
          <w:sz w:val="24"/>
          <w:szCs w:val="24"/>
          <w:spacing w:val="-6"/>
          <w:position w:val="20"/>
        </w:rPr>
        <w:t>PM2.5</w:t>
      </w:r>
      <w:r>
        <w:rPr>
          <w:rFonts w:ascii="SimSun" w:hAnsi="SimSun" w:eastAsia="SimSun" w:cs="SimSun"/>
          <w:sz w:val="24"/>
          <w:szCs w:val="24"/>
          <w:spacing w:val="-6"/>
          <w:position w:val="20"/>
        </w:rPr>
        <w:t>、</w:t>
      </w:r>
    </w:p>
    <w:p>
      <w:pPr>
        <w:ind w:left="21"/>
        <w:spacing w:line="219" w:lineRule="auto"/>
        <w:rPr>
          <w:rFonts w:ascii="SimSun" w:hAnsi="SimSun" w:eastAsia="SimSun" w:cs="SimSun"/>
          <w:sz w:val="24"/>
          <w:szCs w:val="24"/>
        </w:rPr>
      </w:pPr>
      <w:r>
        <w:rPr>
          <w:rFonts w:ascii="Times New Roman" w:hAnsi="Times New Roman" w:eastAsia="Times New Roman" w:cs="Times New Roman"/>
          <w:sz w:val="24"/>
          <w:szCs w:val="24"/>
          <w:spacing w:val="-1"/>
        </w:rPr>
        <w:t>TSP</w:t>
      </w:r>
      <w:r>
        <w:rPr>
          <w:rFonts w:ascii="Times New Roman" w:hAnsi="Times New Roman" w:eastAsia="Times New Roman" w:cs="Times New Roman"/>
          <w:sz w:val="24"/>
          <w:szCs w:val="24"/>
          <w:spacing w:val="-35"/>
        </w:rPr>
        <w:t xml:space="preserve"> </w:t>
      </w:r>
      <w:r>
        <w:rPr>
          <w:rFonts w:ascii="SimSun" w:hAnsi="SimSun" w:eastAsia="SimSun" w:cs="SimSun"/>
          <w:sz w:val="24"/>
          <w:szCs w:val="24"/>
          <w:spacing w:val="-1"/>
        </w:rPr>
        <w:t>、</w:t>
      </w:r>
      <w:r>
        <w:rPr>
          <w:rFonts w:ascii="Times New Roman" w:hAnsi="Times New Roman" w:eastAsia="Times New Roman" w:cs="Times New Roman"/>
          <w:sz w:val="24"/>
          <w:szCs w:val="24"/>
          <w:spacing w:val="-1"/>
        </w:rPr>
        <w:t>CO</w:t>
      </w:r>
      <w:r>
        <w:rPr>
          <w:rFonts w:ascii="Times New Roman" w:hAnsi="Times New Roman" w:eastAsia="Times New Roman" w:cs="Times New Roman"/>
          <w:sz w:val="24"/>
          <w:szCs w:val="24"/>
          <w:spacing w:val="-34"/>
        </w:rPr>
        <w:t xml:space="preserve"> </w:t>
      </w:r>
      <w:r>
        <w:rPr>
          <w:rFonts w:ascii="SimSun" w:hAnsi="SimSun" w:eastAsia="SimSun" w:cs="SimSun"/>
          <w:sz w:val="24"/>
          <w:szCs w:val="24"/>
          <w:spacing w:val="-1"/>
        </w:rPr>
        <w:t>、</w:t>
      </w:r>
      <w:r>
        <w:rPr>
          <w:rFonts w:ascii="Times New Roman" w:hAnsi="Times New Roman" w:eastAsia="Times New Roman" w:cs="Times New Roman"/>
          <w:sz w:val="24"/>
          <w:szCs w:val="24"/>
          <w:spacing w:val="-1"/>
        </w:rPr>
        <w:t>O3</w:t>
      </w:r>
      <w:r>
        <w:rPr>
          <w:rFonts w:ascii="SimSun" w:hAnsi="SimSun" w:eastAsia="SimSun" w:cs="SimSun"/>
          <w:sz w:val="24"/>
          <w:szCs w:val="24"/>
          <w:spacing w:val="-1"/>
        </w:rPr>
        <w:t>执行《环境空气质量标</w:t>
      </w:r>
      <w:r>
        <w:rPr>
          <w:rFonts w:ascii="SimSun" w:hAnsi="SimSun" w:eastAsia="SimSun" w:cs="SimSun"/>
          <w:sz w:val="24"/>
          <w:szCs w:val="24"/>
          <w:spacing w:val="-2"/>
        </w:rPr>
        <w:t>准》（</w:t>
      </w:r>
      <w:r>
        <w:rPr>
          <w:rFonts w:ascii="Times New Roman" w:hAnsi="Times New Roman" w:eastAsia="Times New Roman" w:cs="Times New Roman"/>
          <w:sz w:val="24"/>
          <w:szCs w:val="24"/>
          <w:spacing w:val="-2"/>
        </w:rPr>
        <w:t>GB3095-2012</w:t>
      </w:r>
      <w:r>
        <w:rPr>
          <w:rFonts w:ascii="SimSun" w:hAnsi="SimSun" w:eastAsia="SimSun" w:cs="SimSun"/>
          <w:sz w:val="24"/>
          <w:szCs w:val="24"/>
          <w:spacing w:val="-2"/>
        </w:rPr>
        <w:t>）中二级标准。</w:t>
      </w:r>
    </w:p>
    <w:p>
      <w:pPr>
        <w:ind w:left="514"/>
        <w:spacing w:before="214" w:line="218"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）评价方法</w:t>
      </w:r>
    </w:p>
    <w:p>
      <w:pPr>
        <w:ind w:left="503"/>
        <w:spacing w:before="216" w:line="218" w:lineRule="auto"/>
        <w:rPr>
          <w:rFonts w:ascii="SimSun" w:hAnsi="SimSun" w:eastAsia="SimSun" w:cs="SimSun"/>
          <w:sz w:val="24"/>
          <w:szCs w:val="24"/>
        </w:rPr>
      </w:pPr>
      <w:r>
        <w:rPr>
          <w:rFonts w:ascii="SimSun" w:hAnsi="SimSun" w:eastAsia="SimSun" w:cs="SimSun"/>
          <w:sz w:val="24"/>
          <w:szCs w:val="24"/>
          <w:spacing w:val="-2"/>
        </w:rPr>
        <w:t>基本污染物按照《环境空气质量评价技术规范（试行</w:t>
      </w:r>
      <w:r>
        <w:rPr>
          <w:rFonts w:ascii="SimSun" w:hAnsi="SimSun" w:eastAsia="SimSun" w:cs="SimSun"/>
          <w:sz w:val="24"/>
          <w:szCs w:val="24"/>
          <w:spacing w:val="-3"/>
        </w:rPr>
        <w:t>）》</w:t>
      </w:r>
      <w:r>
        <w:rPr>
          <w:rFonts w:ascii="Times New Roman" w:hAnsi="Times New Roman" w:eastAsia="Times New Roman" w:cs="Times New Roman"/>
          <w:sz w:val="24"/>
          <w:szCs w:val="24"/>
          <w:spacing w:val="-3"/>
        </w:rPr>
        <w:t>HJ663-2013</w:t>
      </w:r>
      <w:r>
        <w:rPr>
          <w:rFonts w:ascii="SimSun" w:hAnsi="SimSun" w:eastAsia="SimSun" w:cs="SimSun"/>
          <w:sz w:val="24"/>
          <w:szCs w:val="24"/>
          <w:spacing w:val="-3"/>
        </w:rPr>
        <w:t>中各评</w:t>
      </w:r>
    </w:p>
    <w:p>
      <w:pPr>
        <w:spacing w:line="218" w:lineRule="auto"/>
        <w:sectPr>
          <w:footerReference w:type="default" r:id="rId77"/>
          <w:pgSz w:w="11906" w:h="16839"/>
          <w:pgMar w:top="400" w:right="1700" w:bottom="1211" w:left="1785" w:header="0" w:footer="1049" w:gutter="0"/>
        </w:sectPr>
        <w:rPr>
          <w:rFonts w:ascii="SimSun" w:hAnsi="SimSun" w:eastAsia="SimSun" w:cs="SimSun"/>
          <w:sz w:val="24"/>
          <w:szCs w:val="24"/>
        </w:rPr>
      </w:pPr>
    </w:p>
    <w:p>
      <w:pPr>
        <w:pStyle w:val="BodyText"/>
        <w:spacing w:line="287" w:lineRule="auto"/>
        <w:rPr/>
      </w:pPr>
      <w:r/>
    </w:p>
    <w:p>
      <w:pPr>
        <w:pStyle w:val="BodyText"/>
        <w:spacing w:line="287" w:lineRule="auto"/>
        <w:rPr/>
      </w:pPr>
      <w:r/>
    </w:p>
    <w:p>
      <w:pPr>
        <w:pStyle w:val="BodyText"/>
        <w:spacing w:line="288" w:lineRule="auto"/>
        <w:rPr/>
      </w:pPr>
      <w:r/>
    </w:p>
    <w:p>
      <w:pPr>
        <w:pStyle w:val="BodyText"/>
        <w:spacing w:line="288" w:lineRule="auto"/>
        <w:rPr/>
      </w:pPr>
      <w:r/>
    </w:p>
    <w:p>
      <w:pPr>
        <w:ind w:left="116" w:right="130"/>
        <w:spacing w:before="78" w:line="384" w:lineRule="auto"/>
        <w:jc w:val="both"/>
        <w:rPr>
          <w:rFonts w:ascii="SimSun" w:hAnsi="SimSun" w:eastAsia="SimSun" w:cs="SimSun"/>
          <w:sz w:val="24"/>
          <w:szCs w:val="24"/>
        </w:rPr>
      </w:pPr>
      <w:r>
        <w:rPr>
          <w:rFonts w:ascii="SimSun" w:hAnsi="SimSun" w:eastAsia="SimSun" w:cs="SimSun"/>
          <w:sz w:val="24"/>
          <w:szCs w:val="24"/>
        </w:rPr>
        <w:t>价项目的年评价指标进行判定。年评价指标中的年均浓</w:t>
      </w:r>
      <w:r>
        <w:rPr>
          <w:rFonts w:ascii="SimSun" w:hAnsi="SimSun" w:eastAsia="SimSun" w:cs="SimSun"/>
          <w:sz w:val="24"/>
          <w:szCs w:val="24"/>
          <w:spacing w:val="-1"/>
        </w:rPr>
        <w:t>度和相应百分位数</w:t>
      </w:r>
      <w:r>
        <w:rPr>
          <w:rFonts w:ascii="Times New Roman" w:hAnsi="Times New Roman" w:eastAsia="Times New Roman" w:cs="Times New Roman"/>
          <w:sz w:val="24"/>
          <w:szCs w:val="24"/>
          <w:spacing w:val="-1"/>
        </w:rPr>
        <w:t>24h</w:t>
      </w:r>
      <w:r>
        <w:rPr>
          <w:rFonts w:ascii="SimSun" w:hAnsi="SimSun" w:eastAsia="SimSun" w:cs="SimSun"/>
          <w:sz w:val="24"/>
          <w:szCs w:val="24"/>
          <w:spacing w:val="-1"/>
        </w:rPr>
        <w:t>平</w:t>
      </w:r>
      <w:r>
        <w:rPr>
          <w:rFonts w:ascii="SimSun" w:hAnsi="SimSun" w:eastAsia="SimSun" w:cs="SimSun"/>
          <w:sz w:val="24"/>
          <w:szCs w:val="24"/>
        </w:rPr>
        <w:t xml:space="preserve"> </w:t>
      </w:r>
      <w:r>
        <w:rPr>
          <w:rFonts w:ascii="SimSun" w:hAnsi="SimSun" w:eastAsia="SimSun" w:cs="SimSun"/>
          <w:sz w:val="24"/>
          <w:szCs w:val="24"/>
        </w:rPr>
        <w:t>均或</w:t>
      </w:r>
      <w:r>
        <w:rPr>
          <w:rFonts w:ascii="Times New Roman" w:hAnsi="Times New Roman" w:eastAsia="Times New Roman" w:cs="Times New Roman"/>
          <w:sz w:val="24"/>
          <w:szCs w:val="24"/>
        </w:rPr>
        <w:t>8h</w:t>
      </w:r>
      <w:r>
        <w:rPr>
          <w:rFonts w:ascii="SimSun" w:hAnsi="SimSun" w:eastAsia="SimSun" w:cs="SimSun"/>
          <w:sz w:val="24"/>
          <w:szCs w:val="24"/>
        </w:rPr>
        <w:t>平均质量浓度满足</w:t>
      </w:r>
      <w:r>
        <w:rPr>
          <w:rFonts w:ascii="Times New Roman" w:hAnsi="Times New Roman" w:eastAsia="Times New Roman" w:cs="Times New Roman"/>
          <w:sz w:val="24"/>
          <w:szCs w:val="24"/>
        </w:rPr>
        <w:t>GB3095</w:t>
      </w:r>
      <w:r>
        <w:rPr>
          <w:rFonts w:ascii="SimSun" w:hAnsi="SimSun" w:eastAsia="SimSun" w:cs="SimSun"/>
          <w:sz w:val="24"/>
          <w:szCs w:val="24"/>
        </w:rPr>
        <w:t>中浓度限值要求的</w:t>
      </w:r>
      <w:r>
        <w:rPr>
          <w:rFonts w:ascii="SimSun" w:hAnsi="SimSun" w:eastAsia="SimSun" w:cs="SimSun"/>
          <w:sz w:val="24"/>
          <w:szCs w:val="24"/>
          <w:spacing w:val="-1"/>
        </w:rPr>
        <w:t>即为达标。对于超标的污染</w:t>
      </w:r>
    </w:p>
    <w:p>
      <w:pPr>
        <w:ind w:left="115"/>
        <w:spacing w:line="219" w:lineRule="auto"/>
        <w:rPr>
          <w:rFonts w:ascii="SimSun" w:hAnsi="SimSun" w:eastAsia="SimSun" w:cs="SimSun"/>
          <w:sz w:val="24"/>
          <w:szCs w:val="24"/>
        </w:rPr>
      </w:pPr>
      <w:r>
        <w:rPr>
          <w:rFonts w:ascii="SimSun" w:hAnsi="SimSun" w:eastAsia="SimSun" w:cs="SimSun"/>
          <w:sz w:val="24"/>
          <w:szCs w:val="24"/>
          <w:spacing w:val="-1"/>
        </w:rPr>
        <w:t>物，计算其超标倍数和超标率。</w:t>
      </w:r>
    </w:p>
    <w:p>
      <w:pPr>
        <w:ind w:left="602"/>
        <w:spacing w:before="216" w:line="219" w:lineRule="auto"/>
        <w:rPr>
          <w:rFonts w:ascii="SimSun" w:hAnsi="SimSun" w:eastAsia="SimSun" w:cs="SimSun"/>
          <w:sz w:val="24"/>
          <w:szCs w:val="24"/>
        </w:rPr>
      </w:pPr>
      <w:r>
        <w:rPr>
          <w:rFonts w:ascii="SimSun" w:hAnsi="SimSun" w:eastAsia="SimSun" w:cs="SimSun"/>
          <w:sz w:val="24"/>
          <w:szCs w:val="24"/>
          <w:spacing w:val="-3"/>
        </w:rPr>
        <w:t>空气质量达标区判定结果见表</w:t>
      </w:r>
      <w:r>
        <w:rPr>
          <w:rFonts w:ascii="Times New Roman" w:hAnsi="Times New Roman" w:eastAsia="Times New Roman" w:cs="Times New Roman"/>
          <w:sz w:val="24"/>
          <w:szCs w:val="24"/>
          <w:spacing w:val="-3"/>
        </w:rPr>
        <w:t>3.1-</w:t>
      </w:r>
      <w:r>
        <w:rPr>
          <w:rFonts w:ascii="Times New Roman" w:hAnsi="Times New Roman" w:eastAsia="Times New Roman" w:cs="Times New Roman"/>
          <w:sz w:val="24"/>
          <w:szCs w:val="24"/>
          <w:spacing w:val="-22"/>
        </w:rPr>
        <w:t xml:space="preserve"> </w:t>
      </w:r>
      <w:r>
        <w:rPr>
          <w:rFonts w:ascii="Times New Roman" w:hAnsi="Times New Roman" w:eastAsia="Times New Roman" w:cs="Times New Roman"/>
          <w:sz w:val="24"/>
          <w:szCs w:val="24"/>
          <w:spacing w:val="-3"/>
        </w:rPr>
        <w:t>1</w:t>
      </w:r>
      <w:r>
        <w:rPr>
          <w:rFonts w:ascii="SimSun" w:hAnsi="SimSun" w:eastAsia="SimSun" w:cs="SimSun"/>
          <w:sz w:val="24"/>
          <w:szCs w:val="24"/>
          <w:spacing w:val="-3"/>
        </w:rPr>
        <w:t>。</w:t>
      </w:r>
    </w:p>
    <w:p>
      <w:pPr>
        <w:ind w:left="2336"/>
        <w:spacing w:before="134" w:line="218" w:lineRule="auto"/>
        <w:rPr>
          <w:rFonts w:ascii="SimSun" w:hAnsi="SimSun" w:eastAsia="SimSun" w:cs="SimSun"/>
          <w:sz w:val="24"/>
          <w:szCs w:val="24"/>
        </w:rPr>
      </w:pPr>
      <w:r>
        <w:rPr>
          <w:rFonts w:ascii="SimSun" w:hAnsi="SimSun" w:eastAsia="SimSun" w:cs="SimSun"/>
          <w:sz w:val="24"/>
          <w:szCs w:val="24"/>
          <w:spacing w:val="-4"/>
        </w:rPr>
        <w:t>表</w:t>
      </w:r>
      <w:r>
        <w:rPr>
          <w:rFonts w:ascii="Times New Roman" w:hAnsi="Times New Roman" w:eastAsia="Times New Roman" w:cs="Times New Roman"/>
          <w:sz w:val="24"/>
          <w:szCs w:val="24"/>
          <w:spacing w:val="-4"/>
        </w:rPr>
        <w:t>3.1-</w:t>
      </w:r>
      <w:r>
        <w:rPr>
          <w:rFonts w:ascii="Times New Roman" w:hAnsi="Times New Roman" w:eastAsia="Times New Roman" w:cs="Times New Roman"/>
          <w:sz w:val="24"/>
          <w:szCs w:val="24"/>
          <w:spacing w:val="-30"/>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3"/>
        </w:rPr>
        <w:t xml:space="preserve">        </w:t>
      </w:r>
      <w:r>
        <w:rPr>
          <w:rFonts w:ascii="SimSun" w:hAnsi="SimSun" w:eastAsia="SimSun" w:cs="SimSun"/>
          <w:sz w:val="24"/>
          <w:szCs w:val="24"/>
          <w:spacing w:val="-4"/>
        </w:rPr>
        <w:t>区域空气质量现状评价表</w:t>
      </w:r>
    </w:p>
    <w:p>
      <w:pPr>
        <w:spacing w:line="17" w:lineRule="auto"/>
        <w:rPr>
          <w:rFonts w:ascii="Arial"/>
          <w:sz w:val="2"/>
        </w:rPr>
      </w:pPr>
      <w:r>
        <w:rPr>
          <w:rFonts w:ascii="Arial"/>
          <w:sz w:val="2"/>
        </w:rPr>
      </w:r>
    </w:p>
    <w:tbl>
      <w:tblPr>
        <w:tblStyle w:val="TableNormal"/>
        <w:tblW w:w="8516"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80"/>
        <w:gridCol w:w="863"/>
        <w:gridCol w:w="2441"/>
        <w:gridCol w:w="1033"/>
        <w:gridCol w:w="1033"/>
        <w:gridCol w:w="1532"/>
        <w:gridCol w:w="834"/>
      </w:tblGrid>
      <w:tr>
        <w:trPr>
          <w:trHeight w:val="724" w:hRule="atLeast"/>
        </w:trPr>
        <w:tc>
          <w:tcPr>
            <w:tcW w:w="780" w:type="dxa"/>
            <w:vAlign w:val="top"/>
            <w:tcBorders>
              <w:left w:val="nil"/>
              <w:top w:val="single" w:color="000000" w:sz="10" w:space="0"/>
            </w:tcBorders>
          </w:tcPr>
          <w:p>
            <w:pPr>
              <w:pStyle w:val="TableText"/>
              <w:ind w:left="187"/>
              <w:spacing w:before="293" w:line="229" w:lineRule="auto"/>
              <w:rPr>
                <w:sz w:val="20"/>
                <w:szCs w:val="20"/>
              </w:rPr>
            </w:pPr>
            <w:r>
              <w:rPr>
                <w:sz w:val="20"/>
                <w:szCs w:val="20"/>
                <w:spacing w:val="5"/>
              </w:rPr>
              <w:t>序号</w:t>
            </w:r>
          </w:p>
        </w:tc>
        <w:tc>
          <w:tcPr>
            <w:tcW w:w="863" w:type="dxa"/>
            <w:vAlign w:val="top"/>
            <w:tcBorders>
              <w:top w:val="single" w:color="000000" w:sz="10" w:space="0"/>
            </w:tcBorders>
          </w:tcPr>
          <w:p>
            <w:pPr>
              <w:pStyle w:val="TableText"/>
              <w:ind w:left="230"/>
              <w:spacing w:before="293" w:line="228" w:lineRule="auto"/>
              <w:rPr>
                <w:sz w:val="20"/>
                <w:szCs w:val="20"/>
              </w:rPr>
            </w:pPr>
            <w:r>
              <w:rPr>
                <w:sz w:val="20"/>
                <w:szCs w:val="20"/>
                <w:spacing w:val="3"/>
              </w:rPr>
              <w:t>项目</w:t>
            </w:r>
          </w:p>
        </w:tc>
        <w:tc>
          <w:tcPr>
            <w:tcW w:w="2441" w:type="dxa"/>
            <w:vAlign w:val="top"/>
            <w:tcBorders>
              <w:top w:val="single" w:color="000000" w:sz="10" w:space="0"/>
            </w:tcBorders>
          </w:tcPr>
          <w:p>
            <w:pPr>
              <w:pStyle w:val="TableText"/>
              <w:ind w:left="805"/>
              <w:spacing w:before="293" w:line="228" w:lineRule="auto"/>
              <w:rPr>
                <w:sz w:val="20"/>
                <w:szCs w:val="20"/>
              </w:rPr>
            </w:pPr>
            <w:r>
              <w:rPr>
                <w:sz w:val="20"/>
                <w:szCs w:val="20"/>
                <w:spacing w:val="7"/>
              </w:rPr>
              <w:t>平均时间</w:t>
            </w:r>
          </w:p>
        </w:tc>
        <w:tc>
          <w:tcPr>
            <w:tcW w:w="1033" w:type="dxa"/>
            <w:vAlign w:val="top"/>
            <w:tcBorders>
              <w:top w:val="single" w:color="000000" w:sz="10" w:space="0"/>
            </w:tcBorders>
          </w:tcPr>
          <w:p>
            <w:pPr>
              <w:pStyle w:val="TableText"/>
              <w:ind w:left="206"/>
              <w:spacing w:before="292" w:line="228" w:lineRule="auto"/>
              <w:rPr>
                <w:sz w:val="20"/>
                <w:szCs w:val="20"/>
              </w:rPr>
            </w:pPr>
            <w:r>
              <w:rPr>
                <w:sz w:val="20"/>
                <w:szCs w:val="20"/>
                <w:spacing w:val="6"/>
              </w:rPr>
              <w:t>标准值</w:t>
            </w:r>
          </w:p>
        </w:tc>
        <w:tc>
          <w:tcPr>
            <w:tcW w:w="1033" w:type="dxa"/>
            <w:vAlign w:val="top"/>
            <w:tcBorders>
              <w:top w:val="single" w:color="000000" w:sz="10" w:space="0"/>
            </w:tcBorders>
          </w:tcPr>
          <w:p>
            <w:pPr>
              <w:pStyle w:val="TableText"/>
              <w:ind w:left="209"/>
              <w:spacing w:before="292" w:line="228" w:lineRule="auto"/>
              <w:rPr>
                <w:sz w:val="20"/>
                <w:szCs w:val="20"/>
              </w:rPr>
            </w:pPr>
            <w:r>
              <w:rPr>
                <w:sz w:val="20"/>
                <w:szCs w:val="20"/>
                <w:spacing w:val="6"/>
              </w:rPr>
              <w:t>现状值</w:t>
            </w:r>
          </w:p>
        </w:tc>
        <w:tc>
          <w:tcPr>
            <w:tcW w:w="1532" w:type="dxa"/>
            <w:vAlign w:val="top"/>
            <w:tcBorders>
              <w:top w:val="single" w:color="000000" w:sz="10" w:space="0"/>
            </w:tcBorders>
          </w:tcPr>
          <w:p>
            <w:pPr>
              <w:pStyle w:val="TableText"/>
              <w:ind w:left="403"/>
              <w:spacing w:before="292" w:line="228" w:lineRule="auto"/>
              <w:rPr>
                <w:rFonts w:ascii="Times New Roman" w:hAnsi="Times New Roman" w:eastAsia="Times New Roman" w:cs="Times New Roman"/>
                <w:sz w:val="20"/>
                <w:szCs w:val="20"/>
              </w:rPr>
            </w:pPr>
            <w:r>
              <w:rPr>
                <w:sz w:val="20"/>
                <w:szCs w:val="20"/>
                <w:spacing w:val="-2"/>
              </w:rPr>
              <w:t>占标率</w:t>
            </w:r>
            <w:r>
              <w:rPr>
                <w:rFonts w:ascii="Times New Roman" w:hAnsi="Times New Roman" w:eastAsia="Times New Roman" w:cs="Times New Roman"/>
                <w:sz w:val="20"/>
                <w:szCs w:val="20"/>
                <w:spacing w:val="-2"/>
              </w:rPr>
              <w:t>%</w:t>
            </w:r>
          </w:p>
        </w:tc>
        <w:tc>
          <w:tcPr>
            <w:tcW w:w="834" w:type="dxa"/>
            <w:vAlign w:val="top"/>
            <w:tcBorders>
              <w:right w:val="nil"/>
              <w:top w:val="single" w:color="000000" w:sz="10" w:space="0"/>
            </w:tcBorders>
          </w:tcPr>
          <w:p>
            <w:pPr>
              <w:pStyle w:val="TableText"/>
              <w:ind w:left="211"/>
              <w:spacing w:before="113" w:line="360" w:lineRule="exact"/>
              <w:rPr>
                <w:sz w:val="20"/>
                <w:szCs w:val="20"/>
              </w:rPr>
            </w:pPr>
            <w:r>
              <w:rPr>
                <w:sz w:val="20"/>
                <w:szCs w:val="20"/>
                <w:spacing w:val="5"/>
                <w:position w:val="11"/>
              </w:rPr>
              <w:t>达标</w:t>
            </w:r>
          </w:p>
          <w:p>
            <w:pPr>
              <w:pStyle w:val="TableText"/>
              <w:ind w:left="213"/>
              <w:spacing w:line="222" w:lineRule="auto"/>
              <w:rPr>
                <w:sz w:val="20"/>
                <w:szCs w:val="20"/>
              </w:rPr>
            </w:pPr>
            <w:r>
              <w:rPr>
                <w:sz w:val="20"/>
                <w:szCs w:val="20"/>
                <w:spacing w:val="4"/>
              </w:rPr>
              <w:t>情况</w:t>
            </w:r>
          </w:p>
        </w:tc>
      </w:tr>
      <w:tr>
        <w:trPr>
          <w:trHeight w:val="362" w:hRule="atLeast"/>
        </w:trPr>
        <w:tc>
          <w:tcPr>
            <w:tcW w:w="780" w:type="dxa"/>
            <w:vAlign w:val="top"/>
            <w:tcBorders>
              <w:left w:val="nil"/>
            </w:tcBorders>
          </w:tcPr>
          <w:p>
            <w:pPr>
              <w:ind w:left="360"/>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63" w:type="dxa"/>
            <w:vAlign w:val="top"/>
          </w:tcPr>
          <w:p>
            <w:pPr>
              <w:ind w:left="272"/>
              <w:spacing w:before="149"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z w:val="13"/>
                <w:szCs w:val="13"/>
                <w:spacing w:val="3"/>
                <w:position w:val="-1"/>
              </w:rPr>
              <w:t>2</w:t>
            </w:r>
          </w:p>
        </w:tc>
        <w:tc>
          <w:tcPr>
            <w:tcW w:w="2441" w:type="dxa"/>
            <w:vAlign w:val="top"/>
          </w:tcPr>
          <w:p>
            <w:pPr>
              <w:pStyle w:val="TableText"/>
              <w:ind w:left="910"/>
              <w:spacing w:before="113" w:line="220" w:lineRule="auto"/>
              <w:rPr>
                <w:sz w:val="20"/>
                <w:szCs w:val="20"/>
              </w:rPr>
            </w:pPr>
            <w:r>
              <w:rPr>
                <w:sz w:val="20"/>
                <w:szCs w:val="20"/>
                <w:spacing w:val="6"/>
              </w:rPr>
              <w:t>年平均</w:t>
            </w:r>
          </w:p>
        </w:tc>
        <w:tc>
          <w:tcPr>
            <w:tcW w:w="1033" w:type="dxa"/>
            <w:vAlign w:val="top"/>
          </w:tcPr>
          <w:p>
            <w:pPr>
              <w:ind w:left="418"/>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033" w:type="dxa"/>
            <w:vAlign w:val="top"/>
          </w:tcPr>
          <w:p>
            <w:pPr>
              <w:ind w:left="432"/>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1532" w:type="dxa"/>
            <w:vAlign w:val="top"/>
          </w:tcPr>
          <w:p>
            <w:pPr>
              <w:ind w:left="551"/>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16.67</w:t>
            </w:r>
          </w:p>
        </w:tc>
        <w:tc>
          <w:tcPr>
            <w:tcW w:w="834" w:type="dxa"/>
            <w:vAlign w:val="top"/>
            <w:tcBorders>
              <w:right w:val="nil"/>
            </w:tcBorders>
          </w:tcPr>
          <w:p>
            <w:pPr>
              <w:pStyle w:val="TableText"/>
              <w:ind w:left="211"/>
              <w:spacing w:before="113" w:line="220" w:lineRule="auto"/>
              <w:rPr>
                <w:sz w:val="20"/>
                <w:szCs w:val="20"/>
              </w:rPr>
            </w:pPr>
            <w:r>
              <w:rPr>
                <w:sz w:val="20"/>
                <w:szCs w:val="20"/>
                <w:spacing w:val="5"/>
              </w:rPr>
              <w:t>达标</w:t>
            </w:r>
          </w:p>
        </w:tc>
      </w:tr>
      <w:tr>
        <w:trPr>
          <w:trHeight w:val="455" w:hRule="atLeast"/>
        </w:trPr>
        <w:tc>
          <w:tcPr>
            <w:tcW w:w="780" w:type="dxa"/>
            <w:vAlign w:val="top"/>
            <w:tcBorders>
              <w:left w:val="nil"/>
            </w:tcBorders>
          </w:tcPr>
          <w:p>
            <w:pPr>
              <w:ind w:left="340"/>
              <w:spacing w:before="2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63" w:type="dxa"/>
            <w:vAlign w:val="top"/>
          </w:tcPr>
          <w:p>
            <w:pPr>
              <w:ind w:left="240"/>
              <w:spacing w:before="200"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7"/>
              </w:rPr>
              <w:t>NO</w:t>
            </w:r>
            <w:r>
              <w:rPr>
                <w:rFonts w:ascii="Times New Roman" w:hAnsi="Times New Roman" w:eastAsia="Times New Roman" w:cs="Times New Roman"/>
                <w:sz w:val="13"/>
                <w:szCs w:val="13"/>
                <w:spacing w:val="7"/>
                <w:position w:val="-1"/>
              </w:rPr>
              <w:t>2</w:t>
            </w:r>
          </w:p>
        </w:tc>
        <w:tc>
          <w:tcPr>
            <w:tcW w:w="2441" w:type="dxa"/>
            <w:vAlign w:val="top"/>
          </w:tcPr>
          <w:p>
            <w:pPr>
              <w:pStyle w:val="TableText"/>
              <w:ind w:left="910"/>
              <w:spacing w:before="164" w:line="228" w:lineRule="auto"/>
              <w:rPr>
                <w:sz w:val="20"/>
                <w:szCs w:val="20"/>
              </w:rPr>
            </w:pPr>
            <w:r>
              <w:rPr>
                <w:sz w:val="20"/>
                <w:szCs w:val="20"/>
                <w:spacing w:val="6"/>
              </w:rPr>
              <w:t>年平均</w:t>
            </w:r>
          </w:p>
        </w:tc>
        <w:tc>
          <w:tcPr>
            <w:tcW w:w="1033" w:type="dxa"/>
            <w:vAlign w:val="top"/>
          </w:tcPr>
          <w:p>
            <w:pPr>
              <w:ind w:left="412"/>
              <w:spacing w:before="2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w:t>
            </w:r>
          </w:p>
        </w:tc>
        <w:tc>
          <w:tcPr>
            <w:tcW w:w="1033" w:type="dxa"/>
            <w:vAlign w:val="top"/>
          </w:tcPr>
          <w:p>
            <w:pPr>
              <w:ind w:left="412"/>
              <w:spacing w:before="2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25</w:t>
            </w:r>
          </w:p>
        </w:tc>
        <w:tc>
          <w:tcPr>
            <w:tcW w:w="1532" w:type="dxa"/>
            <w:vAlign w:val="top"/>
          </w:tcPr>
          <w:p>
            <w:pPr>
              <w:ind w:left="536"/>
              <w:spacing w:before="2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62.50</w:t>
            </w:r>
          </w:p>
        </w:tc>
        <w:tc>
          <w:tcPr>
            <w:tcW w:w="834" w:type="dxa"/>
            <w:vAlign w:val="top"/>
            <w:tcBorders>
              <w:right w:val="nil"/>
            </w:tcBorders>
          </w:tcPr>
          <w:p>
            <w:pPr>
              <w:pStyle w:val="TableText"/>
              <w:ind w:left="211"/>
              <w:spacing w:before="164" w:line="228" w:lineRule="auto"/>
              <w:rPr>
                <w:sz w:val="20"/>
                <w:szCs w:val="20"/>
              </w:rPr>
            </w:pPr>
            <w:r>
              <w:rPr>
                <w:sz w:val="20"/>
                <w:szCs w:val="20"/>
                <w:spacing w:val="5"/>
              </w:rPr>
              <w:t>达标</w:t>
            </w:r>
          </w:p>
        </w:tc>
      </w:tr>
      <w:tr>
        <w:trPr>
          <w:trHeight w:val="362" w:hRule="atLeast"/>
        </w:trPr>
        <w:tc>
          <w:tcPr>
            <w:tcW w:w="780" w:type="dxa"/>
            <w:vAlign w:val="top"/>
            <w:tcBorders>
              <w:left w:val="nil"/>
            </w:tcBorders>
          </w:tcPr>
          <w:p>
            <w:pPr>
              <w:ind w:left="344"/>
              <w:spacing w:before="1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63" w:type="dxa"/>
            <w:vAlign w:val="top"/>
          </w:tcPr>
          <w:p>
            <w:pPr>
              <w:ind w:left="212"/>
              <w:spacing w:before="160" w:line="199"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z w:val="13"/>
                <w:szCs w:val="13"/>
                <w:spacing w:val="8"/>
                <w:position w:val="-1"/>
              </w:rPr>
              <w:t>10</w:t>
            </w:r>
          </w:p>
        </w:tc>
        <w:tc>
          <w:tcPr>
            <w:tcW w:w="2441" w:type="dxa"/>
            <w:vAlign w:val="top"/>
          </w:tcPr>
          <w:p>
            <w:pPr>
              <w:pStyle w:val="TableText"/>
              <w:ind w:left="910"/>
              <w:spacing w:before="122" w:line="212" w:lineRule="auto"/>
              <w:rPr>
                <w:sz w:val="20"/>
                <w:szCs w:val="20"/>
              </w:rPr>
            </w:pPr>
            <w:r>
              <w:rPr>
                <w:sz w:val="20"/>
                <w:szCs w:val="20"/>
                <w:spacing w:val="6"/>
              </w:rPr>
              <w:t>年平均</w:t>
            </w:r>
          </w:p>
        </w:tc>
        <w:tc>
          <w:tcPr>
            <w:tcW w:w="1033" w:type="dxa"/>
            <w:vAlign w:val="top"/>
          </w:tcPr>
          <w:p>
            <w:pPr>
              <w:ind w:left="416"/>
              <w:spacing w:before="1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70</w:t>
            </w:r>
          </w:p>
        </w:tc>
        <w:tc>
          <w:tcPr>
            <w:tcW w:w="1033" w:type="dxa"/>
            <w:vAlign w:val="top"/>
          </w:tcPr>
          <w:p>
            <w:pPr>
              <w:ind w:left="417"/>
              <w:spacing w:before="1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c>
          <w:tcPr>
            <w:tcW w:w="1532" w:type="dxa"/>
            <w:vAlign w:val="top"/>
          </w:tcPr>
          <w:p>
            <w:pPr>
              <w:ind w:left="535"/>
              <w:spacing w:before="1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98.57</w:t>
            </w:r>
          </w:p>
        </w:tc>
        <w:tc>
          <w:tcPr>
            <w:tcW w:w="834" w:type="dxa"/>
            <w:vAlign w:val="top"/>
            <w:tcBorders>
              <w:right w:val="nil"/>
            </w:tcBorders>
          </w:tcPr>
          <w:p>
            <w:pPr>
              <w:pStyle w:val="TableText"/>
              <w:ind w:left="211"/>
              <w:spacing w:before="122" w:line="212" w:lineRule="auto"/>
              <w:rPr>
                <w:sz w:val="20"/>
                <w:szCs w:val="20"/>
              </w:rPr>
            </w:pPr>
            <w:r>
              <w:rPr>
                <w:sz w:val="20"/>
                <w:szCs w:val="20"/>
                <w:spacing w:val="5"/>
              </w:rPr>
              <w:t>达标</w:t>
            </w:r>
          </w:p>
        </w:tc>
      </w:tr>
      <w:tr>
        <w:trPr>
          <w:trHeight w:val="401" w:hRule="atLeast"/>
        </w:trPr>
        <w:tc>
          <w:tcPr>
            <w:tcW w:w="780" w:type="dxa"/>
            <w:vAlign w:val="top"/>
            <w:tcBorders>
              <w:left w:val="nil"/>
            </w:tcBorders>
          </w:tcPr>
          <w:p>
            <w:pPr>
              <w:ind w:left="339"/>
              <w:spacing w:before="1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863" w:type="dxa"/>
            <w:vAlign w:val="top"/>
          </w:tcPr>
          <w:p>
            <w:pPr>
              <w:ind w:left="195"/>
              <w:spacing w:before="182" w:line="199"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z w:val="13"/>
                <w:szCs w:val="13"/>
                <w:spacing w:val="6"/>
                <w:position w:val="-1"/>
              </w:rPr>
              <w:t>2.5</w:t>
            </w:r>
          </w:p>
        </w:tc>
        <w:tc>
          <w:tcPr>
            <w:tcW w:w="2441" w:type="dxa"/>
            <w:vAlign w:val="top"/>
          </w:tcPr>
          <w:p>
            <w:pPr>
              <w:pStyle w:val="TableText"/>
              <w:ind w:left="910"/>
              <w:spacing w:before="143" w:line="228" w:lineRule="auto"/>
              <w:rPr>
                <w:sz w:val="20"/>
                <w:szCs w:val="20"/>
              </w:rPr>
            </w:pPr>
            <w:r>
              <w:rPr>
                <w:sz w:val="20"/>
                <w:szCs w:val="20"/>
                <w:spacing w:val="6"/>
              </w:rPr>
              <w:t>年平均</w:t>
            </w:r>
          </w:p>
        </w:tc>
        <w:tc>
          <w:tcPr>
            <w:tcW w:w="1033" w:type="dxa"/>
            <w:vAlign w:val="top"/>
          </w:tcPr>
          <w:p>
            <w:pPr>
              <w:ind w:left="417"/>
              <w:spacing w:before="1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1033" w:type="dxa"/>
            <w:vAlign w:val="top"/>
          </w:tcPr>
          <w:p>
            <w:pPr>
              <w:ind w:left="416"/>
              <w:spacing w:before="1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1532" w:type="dxa"/>
            <w:vAlign w:val="top"/>
          </w:tcPr>
          <w:p>
            <w:pPr>
              <w:ind w:left="498"/>
              <w:spacing w:before="1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105.71</w:t>
            </w:r>
          </w:p>
        </w:tc>
        <w:tc>
          <w:tcPr>
            <w:tcW w:w="834" w:type="dxa"/>
            <w:vAlign w:val="top"/>
            <w:tcBorders>
              <w:right w:val="nil"/>
            </w:tcBorders>
          </w:tcPr>
          <w:p>
            <w:pPr>
              <w:pStyle w:val="TableText"/>
              <w:ind w:left="211"/>
              <w:spacing w:before="143" w:line="228" w:lineRule="auto"/>
              <w:rPr>
                <w:sz w:val="20"/>
                <w:szCs w:val="20"/>
              </w:rPr>
            </w:pPr>
            <w:r>
              <w:rPr>
                <w:sz w:val="20"/>
                <w:szCs w:val="20"/>
                <w:spacing w:val="5"/>
              </w:rPr>
              <w:t>超标</w:t>
            </w:r>
          </w:p>
        </w:tc>
      </w:tr>
      <w:tr>
        <w:trPr>
          <w:trHeight w:val="362" w:hRule="atLeast"/>
        </w:trPr>
        <w:tc>
          <w:tcPr>
            <w:tcW w:w="780" w:type="dxa"/>
            <w:vAlign w:val="top"/>
            <w:tcBorders>
              <w:left w:val="nil"/>
            </w:tcBorders>
          </w:tcPr>
          <w:p>
            <w:pPr>
              <w:ind w:left="346"/>
              <w:spacing w:before="16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63" w:type="dxa"/>
            <w:vAlign w:val="top"/>
          </w:tcPr>
          <w:p>
            <w:pPr>
              <w:ind w:left="291"/>
              <w:spacing w:before="16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CO</w:t>
            </w:r>
          </w:p>
        </w:tc>
        <w:tc>
          <w:tcPr>
            <w:tcW w:w="2441" w:type="dxa"/>
            <w:vAlign w:val="top"/>
          </w:tcPr>
          <w:p>
            <w:pPr>
              <w:pStyle w:val="TableText"/>
              <w:ind w:left="280"/>
              <w:spacing w:before="128" w:line="206" w:lineRule="auto"/>
              <w:rPr>
                <w:sz w:val="20"/>
                <w:szCs w:val="20"/>
              </w:rPr>
            </w:pPr>
            <w:r>
              <w:rPr>
                <w:rFonts w:ascii="Times New Roman" w:hAnsi="Times New Roman" w:eastAsia="Times New Roman" w:cs="Times New Roman"/>
                <w:sz w:val="20"/>
                <w:szCs w:val="20"/>
                <w:spacing w:val="7"/>
              </w:rPr>
              <w:t>95</w:t>
            </w:r>
            <w:r>
              <w:rPr>
                <w:sz w:val="20"/>
                <w:szCs w:val="20"/>
                <w:spacing w:val="7"/>
              </w:rPr>
              <w:t>百分位</w:t>
            </w:r>
            <w:r>
              <w:rPr>
                <w:rFonts w:ascii="Times New Roman" w:hAnsi="Times New Roman" w:eastAsia="Times New Roman" w:cs="Times New Roman"/>
                <w:sz w:val="20"/>
                <w:szCs w:val="20"/>
                <w:spacing w:val="7"/>
              </w:rPr>
              <w:t>24</w:t>
            </w:r>
            <w:r>
              <w:rPr>
                <w:sz w:val="20"/>
                <w:szCs w:val="20"/>
                <w:spacing w:val="7"/>
              </w:rPr>
              <w:t>小时平均</w:t>
            </w:r>
          </w:p>
        </w:tc>
        <w:tc>
          <w:tcPr>
            <w:tcW w:w="1033" w:type="dxa"/>
            <w:vAlign w:val="top"/>
          </w:tcPr>
          <w:p>
            <w:pPr>
              <w:ind w:left="306"/>
              <w:spacing w:before="16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4000</w:t>
            </w:r>
          </w:p>
        </w:tc>
        <w:tc>
          <w:tcPr>
            <w:tcW w:w="1033" w:type="dxa"/>
            <w:vAlign w:val="top"/>
          </w:tcPr>
          <w:p>
            <w:pPr>
              <w:ind w:left="363"/>
              <w:spacing w:before="16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900</w:t>
            </w:r>
          </w:p>
        </w:tc>
        <w:tc>
          <w:tcPr>
            <w:tcW w:w="1532" w:type="dxa"/>
            <w:vAlign w:val="top"/>
          </w:tcPr>
          <w:p>
            <w:pPr>
              <w:ind w:left="531"/>
              <w:spacing w:before="16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22.50</w:t>
            </w:r>
          </w:p>
        </w:tc>
        <w:tc>
          <w:tcPr>
            <w:tcW w:w="834" w:type="dxa"/>
            <w:vAlign w:val="top"/>
            <w:tcBorders>
              <w:right w:val="nil"/>
            </w:tcBorders>
          </w:tcPr>
          <w:p>
            <w:pPr>
              <w:pStyle w:val="TableText"/>
              <w:ind w:left="211"/>
              <w:spacing w:before="128" w:line="206" w:lineRule="auto"/>
              <w:rPr>
                <w:sz w:val="20"/>
                <w:szCs w:val="20"/>
              </w:rPr>
            </w:pPr>
            <w:r>
              <w:rPr>
                <w:sz w:val="20"/>
                <w:szCs w:val="20"/>
                <w:spacing w:val="5"/>
              </w:rPr>
              <w:t>达标</w:t>
            </w:r>
          </w:p>
        </w:tc>
      </w:tr>
      <w:tr>
        <w:trPr>
          <w:trHeight w:val="386" w:hRule="atLeast"/>
        </w:trPr>
        <w:tc>
          <w:tcPr>
            <w:tcW w:w="780" w:type="dxa"/>
            <w:vAlign w:val="top"/>
            <w:tcBorders>
              <w:left w:val="nil"/>
              <w:bottom w:val="single" w:color="000000" w:sz="10" w:space="0"/>
            </w:tcBorders>
          </w:tcPr>
          <w:p>
            <w:pPr>
              <w:ind w:left="345"/>
              <w:spacing w:before="1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863" w:type="dxa"/>
            <w:vAlign w:val="top"/>
            <w:tcBorders>
              <w:bottom w:val="single" w:color="000000" w:sz="10" w:space="0"/>
            </w:tcBorders>
          </w:tcPr>
          <w:p>
            <w:pPr>
              <w:ind w:left="326"/>
              <w:spacing w:before="167"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O</w:t>
            </w:r>
            <w:r>
              <w:rPr>
                <w:rFonts w:ascii="Times New Roman" w:hAnsi="Times New Roman" w:eastAsia="Times New Roman" w:cs="Times New Roman"/>
                <w:sz w:val="13"/>
                <w:szCs w:val="13"/>
                <w:position w:val="-1"/>
              </w:rPr>
              <w:t>3</w:t>
            </w:r>
          </w:p>
        </w:tc>
        <w:tc>
          <w:tcPr>
            <w:tcW w:w="2441" w:type="dxa"/>
            <w:vAlign w:val="top"/>
            <w:tcBorders>
              <w:bottom w:val="single" w:color="000000" w:sz="10" w:space="0"/>
            </w:tcBorders>
          </w:tcPr>
          <w:p>
            <w:pPr>
              <w:pStyle w:val="TableText"/>
              <w:ind w:left="333"/>
              <w:spacing w:before="131" w:line="226" w:lineRule="auto"/>
              <w:rPr>
                <w:sz w:val="20"/>
                <w:szCs w:val="20"/>
              </w:rPr>
            </w:pPr>
            <w:r>
              <w:rPr>
                <w:rFonts w:ascii="Times New Roman" w:hAnsi="Times New Roman" w:eastAsia="Times New Roman" w:cs="Times New Roman"/>
                <w:sz w:val="20"/>
                <w:szCs w:val="20"/>
                <w:spacing w:val="7"/>
              </w:rPr>
              <w:t>90</w:t>
            </w:r>
            <w:r>
              <w:rPr>
                <w:sz w:val="20"/>
                <w:szCs w:val="20"/>
                <w:spacing w:val="7"/>
              </w:rPr>
              <w:t>百分位</w:t>
            </w:r>
            <w:r>
              <w:rPr>
                <w:rFonts w:ascii="Times New Roman" w:hAnsi="Times New Roman" w:eastAsia="Times New Roman" w:cs="Times New Roman"/>
                <w:sz w:val="20"/>
                <w:szCs w:val="20"/>
                <w:spacing w:val="7"/>
              </w:rPr>
              <w:t>8</w:t>
            </w:r>
            <w:r>
              <w:rPr>
                <w:sz w:val="20"/>
                <w:szCs w:val="20"/>
                <w:spacing w:val="7"/>
              </w:rPr>
              <w:t>小时平均</w:t>
            </w:r>
          </w:p>
        </w:tc>
        <w:tc>
          <w:tcPr>
            <w:tcW w:w="1033" w:type="dxa"/>
            <w:vAlign w:val="top"/>
            <w:tcBorders>
              <w:bottom w:val="single" w:color="000000" w:sz="10" w:space="0"/>
            </w:tcBorders>
          </w:tcPr>
          <w:p>
            <w:pPr>
              <w:ind w:left="380"/>
              <w:spacing w:before="1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160</w:t>
            </w:r>
          </w:p>
        </w:tc>
        <w:tc>
          <w:tcPr>
            <w:tcW w:w="1033" w:type="dxa"/>
            <w:vAlign w:val="top"/>
            <w:tcBorders>
              <w:bottom w:val="single" w:color="000000" w:sz="10" w:space="0"/>
            </w:tcBorders>
          </w:tcPr>
          <w:p>
            <w:pPr>
              <w:ind w:left="420"/>
              <w:spacing w:before="1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88</w:t>
            </w:r>
          </w:p>
        </w:tc>
        <w:tc>
          <w:tcPr>
            <w:tcW w:w="1532" w:type="dxa"/>
            <w:vAlign w:val="top"/>
            <w:tcBorders>
              <w:bottom w:val="single" w:color="000000" w:sz="10" w:space="0"/>
            </w:tcBorders>
          </w:tcPr>
          <w:p>
            <w:pPr>
              <w:ind w:left="537"/>
              <w:spacing w:before="1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55.00</w:t>
            </w:r>
          </w:p>
        </w:tc>
        <w:tc>
          <w:tcPr>
            <w:tcW w:w="834" w:type="dxa"/>
            <w:vAlign w:val="top"/>
            <w:tcBorders>
              <w:right w:val="nil"/>
              <w:bottom w:val="single" w:color="000000" w:sz="10" w:space="0"/>
            </w:tcBorders>
          </w:tcPr>
          <w:p>
            <w:pPr>
              <w:pStyle w:val="TableText"/>
              <w:ind w:left="211"/>
              <w:spacing w:before="131" w:line="226" w:lineRule="auto"/>
              <w:rPr>
                <w:sz w:val="20"/>
                <w:szCs w:val="20"/>
              </w:rPr>
            </w:pPr>
            <w:r>
              <w:rPr>
                <w:sz w:val="20"/>
                <w:szCs w:val="20"/>
                <w:spacing w:val="5"/>
              </w:rPr>
              <w:t>达标</w:t>
            </w:r>
          </w:p>
        </w:tc>
      </w:tr>
    </w:tbl>
    <w:p>
      <w:pPr>
        <w:ind w:left="103" w:right="84" w:firstLine="492"/>
        <w:spacing w:before="194" w:line="385" w:lineRule="auto"/>
        <w:rPr>
          <w:rFonts w:ascii="SimSun" w:hAnsi="SimSun" w:eastAsia="SimSun" w:cs="SimSun"/>
          <w:sz w:val="24"/>
          <w:szCs w:val="24"/>
        </w:rPr>
      </w:pPr>
      <w:r>
        <w:rPr>
          <w:rFonts w:ascii="SimSun" w:hAnsi="SimSun" w:eastAsia="SimSun" w:cs="SimSun"/>
          <w:sz w:val="24"/>
          <w:szCs w:val="24"/>
          <w:spacing w:val="-2"/>
        </w:rPr>
        <w:t>根据表</w:t>
      </w:r>
      <w:r>
        <w:rPr>
          <w:rFonts w:ascii="Times New Roman" w:hAnsi="Times New Roman" w:eastAsia="Times New Roman" w:cs="Times New Roman"/>
          <w:sz w:val="24"/>
          <w:szCs w:val="24"/>
          <w:spacing w:val="-2"/>
        </w:rPr>
        <w:t>3.1-</w:t>
      </w:r>
      <w:r>
        <w:rPr>
          <w:rFonts w:ascii="Times New Roman" w:hAnsi="Times New Roman" w:eastAsia="Times New Roman" w:cs="Times New Roman"/>
          <w:sz w:val="24"/>
          <w:szCs w:val="24"/>
          <w:spacing w:val="-33"/>
        </w:rPr>
        <w:t xml:space="preserve"> </w:t>
      </w:r>
      <w:r>
        <w:rPr>
          <w:rFonts w:ascii="Times New Roman" w:hAnsi="Times New Roman" w:eastAsia="Times New Roman" w:cs="Times New Roman"/>
          <w:sz w:val="24"/>
          <w:szCs w:val="24"/>
          <w:spacing w:val="-2"/>
        </w:rPr>
        <w:t>1</w:t>
      </w:r>
      <w:r>
        <w:rPr>
          <w:rFonts w:ascii="SimSun" w:hAnsi="SimSun" w:eastAsia="SimSun" w:cs="SimSun"/>
          <w:sz w:val="24"/>
          <w:szCs w:val="24"/>
          <w:spacing w:val="-2"/>
        </w:rPr>
        <w:t>对基本污染物的年评价指标的分析结果，本项目所在区域</w:t>
      </w:r>
      <w:r>
        <w:rPr>
          <w:rFonts w:ascii="Times New Roman" w:hAnsi="Times New Roman" w:eastAsia="Times New Roman" w:cs="Times New Roman"/>
          <w:sz w:val="24"/>
          <w:szCs w:val="24"/>
          <w:spacing w:val="-3"/>
        </w:rPr>
        <w:t>SO2</w:t>
      </w:r>
      <w:r>
        <w:rPr>
          <w:rFonts w:ascii="SimSun" w:hAnsi="SimSun" w:eastAsia="SimSun" w:cs="SimSun"/>
          <w:sz w:val="24"/>
          <w:szCs w:val="24"/>
          <w:spacing w:val="-3"/>
        </w:rPr>
        <w:t>、</w:t>
      </w:r>
      <w:r>
        <w:rPr>
          <w:rFonts w:ascii="SimSun" w:hAnsi="SimSun" w:eastAsia="SimSun" w:cs="SimSun"/>
          <w:sz w:val="24"/>
          <w:szCs w:val="24"/>
        </w:rPr>
        <w:t xml:space="preserve"> </w:t>
      </w:r>
      <w:r>
        <w:rPr>
          <w:rFonts w:ascii="Times New Roman" w:hAnsi="Times New Roman" w:eastAsia="Times New Roman" w:cs="Times New Roman"/>
          <w:sz w:val="24"/>
          <w:szCs w:val="24"/>
          <w:spacing w:val="-1"/>
        </w:rPr>
        <w:t>NO2</w:t>
      </w:r>
      <w:r>
        <w:rPr>
          <w:rFonts w:ascii="Times New Roman" w:hAnsi="Times New Roman" w:eastAsia="Times New Roman" w:cs="Times New Roman"/>
          <w:sz w:val="24"/>
          <w:szCs w:val="24"/>
          <w:spacing w:val="-34"/>
        </w:rPr>
        <w:t xml:space="preserve"> </w:t>
      </w:r>
      <w:r>
        <w:rPr>
          <w:rFonts w:ascii="SimSun" w:hAnsi="SimSun" w:eastAsia="SimSun" w:cs="SimSun"/>
          <w:sz w:val="24"/>
          <w:szCs w:val="24"/>
          <w:spacing w:val="-1"/>
        </w:rPr>
        <w:t>、</w:t>
      </w:r>
      <w:r>
        <w:rPr>
          <w:rFonts w:ascii="Times New Roman" w:hAnsi="Times New Roman" w:eastAsia="Times New Roman" w:cs="Times New Roman"/>
          <w:sz w:val="24"/>
          <w:szCs w:val="24"/>
          <w:spacing w:val="-1"/>
        </w:rPr>
        <w:t>CO</w:t>
      </w:r>
      <w:r>
        <w:rPr>
          <w:rFonts w:ascii="SimSun" w:hAnsi="SimSun" w:eastAsia="SimSun" w:cs="SimSun"/>
          <w:sz w:val="24"/>
          <w:szCs w:val="24"/>
          <w:spacing w:val="-1"/>
        </w:rPr>
        <w:t>年评价和</w:t>
      </w:r>
      <w:r>
        <w:rPr>
          <w:rFonts w:ascii="Times New Roman" w:hAnsi="Times New Roman" w:eastAsia="Times New Roman" w:cs="Times New Roman"/>
          <w:sz w:val="24"/>
          <w:szCs w:val="24"/>
          <w:spacing w:val="-1"/>
        </w:rPr>
        <w:t>O3</w:t>
      </w:r>
      <w:r>
        <w:rPr>
          <w:rFonts w:ascii="SimSun" w:hAnsi="SimSun" w:eastAsia="SimSun" w:cs="SimSun"/>
          <w:sz w:val="24"/>
          <w:szCs w:val="24"/>
          <w:spacing w:val="-1"/>
        </w:rPr>
        <w:t>日最大</w:t>
      </w:r>
      <w:r>
        <w:rPr>
          <w:rFonts w:ascii="Times New Roman" w:hAnsi="Times New Roman" w:eastAsia="Times New Roman" w:cs="Times New Roman"/>
          <w:sz w:val="24"/>
          <w:szCs w:val="24"/>
          <w:spacing w:val="-1"/>
        </w:rPr>
        <w:t>8</w:t>
      </w:r>
      <w:r>
        <w:rPr>
          <w:rFonts w:ascii="SimSun" w:hAnsi="SimSun" w:eastAsia="SimSun" w:cs="SimSun"/>
          <w:sz w:val="24"/>
          <w:szCs w:val="24"/>
          <w:spacing w:val="-1"/>
        </w:rPr>
        <w:t>小时平均的指标为达标；</w:t>
      </w:r>
      <w:r>
        <w:rPr>
          <w:rFonts w:ascii="Times New Roman" w:hAnsi="Times New Roman" w:eastAsia="Times New Roman" w:cs="Times New Roman"/>
          <w:sz w:val="24"/>
          <w:szCs w:val="24"/>
          <w:spacing w:val="-1"/>
        </w:rPr>
        <w:t>PM2.5</w:t>
      </w:r>
      <w:r>
        <w:rPr>
          <w:rFonts w:ascii="Times New Roman" w:hAnsi="Times New Roman" w:eastAsia="Times New Roman" w:cs="Times New Roman"/>
          <w:sz w:val="24"/>
          <w:szCs w:val="24"/>
          <w:spacing w:val="-34"/>
        </w:rPr>
        <w:t xml:space="preserve"> </w:t>
      </w:r>
      <w:r>
        <w:rPr>
          <w:rFonts w:ascii="SimSun" w:hAnsi="SimSun" w:eastAsia="SimSun" w:cs="SimSun"/>
          <w:sz w:val="24"/>
          <w:szCs w:val="24"/>
          <w:spacing w:val="-2"/>
        </w:rPr>
        <w:t>、</w:t>
      </w:r>
      <w:r>
        <w:rPr>
          <w:rFonts w:ascii="Times New Roman" w:hAnsi="Times New Roman" w:eastAsia="Times New Roman" w:cs="Times New Roman"/>
          <w:sz w:val="24"/>
          <w:szCs w:val="24"/>
          <w:spacing w:val="-2"/>
        </w:rPr>
        <w:t>PM10</w:t>
      </w:r>
      <w:r>
        <w:rPr>
          <w:rFonts w:ascii="SimSun" w:hAnsi="SimSun" w:eastAsia="SimSun" w:cs="SimSun"/>
          <w:sz w:val="24"/>
          <w:szCs w:val="24"/>
          <w:spacing w:val="-2"/>
        </w:rPr>
        <w:t>的年评价</w:t>
      </w:r>
    </w:p>
    <w:p>
      <w:pPr>
        <w:ind w:left="118"/>
        <w:spacing w:line="220" w:lineRule="auto"/>
        <w:rPr>
          <w:rFonts w:ascii="SimSun" w:hAnsi="SimSun" w:eastAsia="SimSun" w:cs="SimSun"/>
          <w:sz w:val="24"/>
          <w:szCs w:val="24"/>
        </w:rPr>
      </w:pPr>
      <w:r>
        <w:rPr>
          <w:rFonts w:ascii="SimSun" w:hAnsi="SimSun" w:eastAsia="SimSun" w:cs="SimSun"/>
          <w:sz w:val="24"/>
          <w:szCs w:val="24"/>
          <w:spacing w:val="-1"/>
        </w:rPr>
        <w:t>指标均为超标。判定项目所在区域为非达标区。</w:t>
      </w:r>
    </w:p>
    <w:p>
      <w:pPr>
        <w:ind w:left="129" w:right="65" w:firstLine="464"/>
        <w:spacing w:before="213" w:line="385" w:lineRule="auto"/>
        <w:rPr>
          <w:rFonts w:ascii="SimSun" w:hAnsi="SimSun" w:eastAsia="SimSun" w:cs="SimSun"/>
          <w:sz w:val="24"/>
          <w:szCs w:val="24"/>
        </w:rPr>
      </w:pPr>
      <w:r>
        <w:rPr>
          <w:rFonts w:ascii="SimSun" w:hAnsi="SimSun" w:eastAsia="SimSun" w:cs="SimSun"/>
          <w:sz w:val="24"/>
          <w:szCs w:val="24"/>
          <w:spacing w:val="-3"/>
        </w:rPr>
        <w:t>评价结果表明：本项目区域为非达标区，评价区域监测点环境空</w:t>
      </w:r>
      <w:r>
        <w:rPr>
          <w:rFonts w:ascii="SimSun" w:hAnsi="SimSun" w:eastAsia="SimSun" w:cs="SimSun"/>
          <w:sz w:val="24"/>
          <w:szCs w:val="24"/>
          <w:spacing w:val="-4"/>
        </w:rPr>
        <w:t>气质量指标</w:t>
      </w:r>
      <w:r>
        <w:rPr>
          <w:rFonts w:ascii="SimSun" w:hAnsi="SimSun" w:eastAsia="SimSun" w:cs="SimSun"/>
          <w:sz w:val="24"/>
          <w:szCs w:val="24"/>
        </w:rPr>
        <w:t xml:space="preserve"> </w:t>
      </w:r>
      <w:r>
        <w:rPr>
          <w:rFonts w:ascii="SimSun" w:hAnsi="SimSun" w:eastAsia="SimSun" w:cs="SimSun"/>
          <w:sz w:val="24"/>
          <w:szCs w:val="24"/>
          <w:spacing w:val="-1"/>
        </w:rPr>
        <w:t>除</w:t>
      </w:r>
      <w:r>
        <w:rPr>
          <w:rFonts w:ascii="Times New Roman" w:hAnsi="Times New Roman" w:eastAsia="Times New Roman" w:cs="Times New Roman"/>
          <w:sz w:val="24"/>
          <w:szCs w:val="24"/>
          <w:spacing w:val="-1"/>
        </w:rPr>
        <w:t>PM2.5</w:t>
      </w:r>
      <w:r>
        <w:rPr>
          <w:rFonts w:ascii="SimSun" w:hAnsi="SimSun" w:eastAsia="SimSun" w:cs="SimSun"/>
          <w:sz w:val="24"/>
          <w:szCs w:val="24"/>
          <w:spacing w:val="-1"/>
        </w:rPr>
        <w:t>、</w:t>
      </w:r>
      <w:r>
        <w:rPr>
          <w:rFonts w:ascii="Times New Roman" w:hAnsi="Times New Roman" w:eastAsia="Times New Roman" w:cs="Times New Roman"/>
          <w:sz w:val="24"/>
          <w:szCs w:val="24"/>
          <w:spacing w:val="-1"/>
        </w:rPr>
        <w:t>PM10</w:t>
      </w:r>
      <w:r>
        <w:rPr>
          <w:rFonts w:ascii="SimSun" w:hAnsi="SimSun" w:eastAsia="SimSun" w:cs="SimSun"/>
          <w:sz w:val="24"/>
          <w:szCs w:val="24"/>
          <w:spacing w:val="-1"/>
        </w:rPr>
        <w:t>外，基本污染物均符合《环境空气质量标准》（</w:t>
      </w:r>
      <w:r>
        <w:rPr>
          <w:rFonts w:ascii="Times New Roman" w:hAnsi="Times New Roman" w:eastAsia="Times New Roman" w:cs="Times New Roman"/>
          <w:sz w:val="24"/>
          <w:szCs w:val="24"/>
          <w:spacing w:val="-1"/>
        </w:rPr>
        <w:t>GB3095-20</w:t>
      </w:r>
      <w:r>
        <w:rPr>
          <w:rFonts w:ascii="Times New Roman" w:hAnsi="Times New Roman" w:eastAsia="Times New Roman" w:cs="Times New Roman"/>
          <w:sz w:val="24"/>
          <w:szCs w:val="24"/>
          <w:spacing w:val="-2"/>
        </w:rPr>
        <w:t>12</w:t>
      </w:r>
      <w:r>
        <w:rPr>
          <w:rFonts w:ascii="SimSun" w:hAnsi="SimSun" w:eastAsia="SimSun" w:cs="SimSun"/>
          <w:sz w:val="24"/>
          <w:szCs w:val="24"/>
          <w:spacing w:val="-2"/>
        </w:rPr>
        <w:t>）</w:t>
      </w:r>
    </w:p>
    <w:p>
      <w:pPr>
        <w:ind w:left="135"/>
        <w:spacing w:line="220" w:lineRule="auto"/>
        <w:rPr>
          <w:rFonts w:ascii="SimSun" w:hAnsi="SimSun" w:eastAsia="SimSun" w:cs="SimSun"/>
          <w:sz w:val="24"/>
          <w:szCs w:val="24"/>
        </w:rPr>
      </w:pPr>
      <w:r>
        <w:rPr>
          <w:rFonts w:ascii="SimSun" w:hAnsi="SimSun" w:eastAsia="SimSun" w:cs="SimSun"/>
          <w:sz w:val="24"/>
          <w:szCs w:val="24"/>
          <w:spacing w:val="-5"/>
        </w:rPr>
        <w:t>的二级标准。</w:t>
      </w:r>
    </w:p>
    <w:p>
      <w:pPr>
        <w:ind w:left="595"/>
        <w:spacing w:before="214" w:line="219" w:lineRule="auto"/>
        <w:rPr>
          <w:rFonts w:ascii="SimSun" w:hAnsi="SimSun" w:eastAsia="SimSun" w:cs="SimSun"/>
          <w:sz w:val="24"/>
          <w:szCs w:val="24"/>
        </w:rPr>
      </w:pPr>
      <w:r>
        <w:rPr>
          <w:rFonts w:ascii="Times New Roman" w:hAnsi="Times New Roman" w:eastAsia="Times New Roman" w:cs="Times New Roman"/>
          <w:sz w:val="24"/>
          <w:szCs w:val="24"/>
          <w:spacing w:val="-1"/>
        </w:rPr>
        <w:t>3.1.2</w:t>
      </w:r>
      <w:r>
        <w:rPr>
          <w:rFonts w:ascii="SimSun" w:hAnsi="SimSun" w:eastAsia="SimSun" w:cs="SimSun"/>
          <w:sz w:val="24"/>
          <w:szCs w:val="24"/>
          <w:spacing w:val="-1"/>
        </w:rPr>
        <w:t>特征污染物环境质量现状调查</w:t>
      </w:r>
    </w:p>
    <w:p>
      <w:pPr>
        <w:ind w:left="114" w:right="104" w:firstLine="480"/>
        <w:spacing w:before="219" w:line="384" w:lineRule="auto"/>
        <w:rPr>
          <w:rFonts w:ascii="SimSun" w:hAnsi="SimSun" w:eastAsia="SimSun" w:cs="SimSun"/>
          <w:sz w:val="24"/>
          <w:szCs w:val="24"/>
        </w:rPr>
      </w:pPr>
      <w:r>
        <w:rPr>
          <w:rFonts w:ascii="SimSun" w:hAnsi="SimSun" w:eastAsia="SimSun" w:cs="SimSun"/>
          <w:sz w:val="24"/>
          <w:szCs w:val="24"/>
          <w:spacing w:val="-10"/>
        </w:rPr>
        <w:t>根据本项目产排污环节分析，本项目特征污染物为非甲烷总烃因子。</w:t>
      </w:r>
      <w:r>
        <w:rPr>
          <w:rFonts w:ascii="SimSun" w:hAnsi="SimSun" w:eastAsia="SimSun" w:cs="SimSun"/>
          <w:sz w:val="24"/>
          <w:szCs w:val="24"/>
          <w:spacing w:val="-11"/>
        </w:rPr>
        <w:t>根据《环</w:t>
      </w:r>
      <w:r>
        <w:rPr>
          <w:rFonts w:ascii="SimSun" w:hAnsi="SimSun" w:eastAsia="SimSun" w:cs="SimSun"/>
          <w:sz w:val="24"/>
          <w:szCs w:val="24"/>
        </w:rPr>
        <w:t xml:space="preserve"> </w:t>
      </w:r>
      <w:r>
        <w:rPr>
          <w:rFonts w:ascii="SimSun" w:hAnsi="SimSun" w:eastAsia="SimSun" w:cs="SimSun"/>
          <w:sz w:val="24"/>
          <w:szCs w:val="24"/>
          <w:spacing w:val="-2"/>
        </w:rPr>
        <w:t>境影响评价技术导则 大气环境》（</w:t>
      </w:r>
      <w:r>
        <w:rPr>
          <w:rFonts w:ascii="Times New Roman" w:hAnsi="Times New Roman" w:eastAsia="Times New Roman" w:cs="Times New Roman"/>
          <w:sz w:val="24"/>
          <w:szCs w:val="24"/>
          <w:spacing w:val="-2"/>
        </w:rPr>
        <w:t>HJ2.2-2018</w:t>
      </w:r>
      <w:r>
        <w:rPr>
          <w:rFonts w:ascii="SimSun" w:hAnsi="SimSun" w:eastAsia="SimSun" w:cs="SimSun"/>
          <w:sz w:val="24"/>
          <w:szCs w:val="24"/>
          <w:spacing w:val="-2"/>
        </w:rPr>
        <w:t>）文件，</w:t>
      </w:r>
      <w:r>
        <w:rPr>
          <w:rFonts w:ascii="Times New Roman" w:hAnsi="Times New Roman" w:eastAsia="Times New Roman" w:cs="Times New Roman"/>
          <w:sz w:val="24"/>
          <w:szCs w:val="24"/>
          <w:spacing w:val="-2"/>
        </w:rPr>
        <w:t>6.1.2.2</w:t>
      </w:r>
      <w:r>
        <w:rPr>
          <w:rFonts w:ascii="SimSun" w:hAnsi="SimSun" w:eastAsia="SimSun" w:cs="SimSun"/>
          <w:sz w:val="24"/>
          <w:szCs w:val="24"/>
          <w:spacing w:val="-2"/>
        </w:rPr>
        <w:t>调查评价范围内有</w:t>
      </w:r>
      <w:r>
        <w:rPr>
          <w:rFonts w:ascii="SimSun" w:hAnsi="SimSun" w:eastAsia="SimSun" w:cs="SimSun"/>
          <w:sz w:val="24"/>
          <w:szCs w:val="24"/>
        </w:rPr>
        <w:t xml:space="preserve"> </w:t>
      </w:r>
      <w:r>
        <w:rPr>
          <w:rFonts w:ascii="SimSun" w:hAnsi="SimSun" w:eastAsia="SimSun" w:cs="SimSun"/>
          <w:sz w:val="24"/>
          <w:szCs w:val="24"/>
          <w:spacing w:val="-3"/>
        </w:rPr>
        <w:t>环境质量标准的评价因子的环境质量监测数据或进行补充监测，用于评价项目所</w:t>
      </w:r>
      <w:r>
        <w:rPr>
          <w:rFonts w:ascii="SimSun" w:hAnsi="SimSun" w:eastAsia="SimSun" w:cs="SimSun"/>
          <w:sz w:val="24"/>
          <w:szCs w:val="24"/>
          <w:spacing w:val="1"/>
        </w:rPr>
        <w:t xml:space="preserve"> </w:t>
      </w:r>
      <w:r>
        <w:rPr>
          <w:rFonts w:ascii="SimSun" w:hAnsi="SimSun" w:eastAsia="SimSun" w:cs="SimSun"/>
          <w:sz w:val="24"/>
          <w:szCs w:val="24"/>
          <w:spacing w:val="-3"/>
        </w:rPr>
        <w:t>在区域环境质量现状。由于非甲烷总烃因子无环境质量标准，因此未进行现状监</w:t>
      </w:r>
    </w:p>
    <w:p>
      <w:pPr>
        <w:ind w:left="116"/>
        <w:spacing w:line="219" w:lineRule="auto"/>
        <w:rPr>
          <w:rFonts w:ascii="SimSun" w:hAnsi="SimSun" w:eastAsia="SimSun" w:cs="SimSun"/>
          <w:sz w:val="24"/>
          <w:szCs w:val="24"/>
        </w:rPr>
      </w:pPr>
      <w:r>
        <w:rPr>
          <w:rFonts w:ascii="SimSun" w:hAnsi="SimSun" w:eastAsia="SimSun" w:cs="SimSun"/>
          <w:sz w:val="24"/>
          <w:szCs w:val="24"/>
          <w:spacing w:val="-1"/>
        </w:rPr>
        <w:t>测。项目周边无可引用的监测数据。</w:t>
      </w:r>
    </w:p>
    <w:p>
      <w:pPr>
        <w:pStyle w:val="BodyText"/>
        <w:spacing w:line="318" w:lineRule="auto"/>
        <w:rPr/>
      </w:pPr>
      <w:r/>
    </w:p>
    <w:p>
      <w:pPr>
        <w:pStyle w:val="BodyText"/>
        <w:spacing w:line="318" w:lineRule="auto"/>
        <w:rPr/>
      </w:pPr>
      <w:r/>
    </w:p>
    <w:p>
      <w:pPr>
        <w:ind w:left="69"/>
        <w:spacing w:before="91" w:line="389" w:lineRule="exact"/>
        <w:rPr>
          <w:rFonts w:ascii="SimSun" w:hAnsi="SimSun" w:eastAsia="SimSun" w:cs="SimSun"/>
          <w:sz w:val="28"/>
          <w:szCs w:val="28"/>
        </w:rPr>
      </w:pPr>
      <w:r>
        <w:rPr>
          <w:rFonts w:ascii="Times New Roman" w:hAnsi="Times New Roman" w:eastAsia="Times New Roman" w:cs="Times New Roman"/>
          <w:sz w:val="28"/>
          <w:szCs w:val="28"/>
          <w:b/>
          <w:bCs/>
          <w:spacing w:val="3"/>
          <w:position w:val="2"/>
        </w:rPr>
        <w:t>‘</w:t>
      </w:r>
      <w:r>
        <w:rPr>
          <w:rFonts w:ascii="Times New Roman" w:hAnsi="Times New Roman" w:eastAsia="Times New Roman" w:cs="Times New Roman"/>
          <w:sz w:val="28"/>
          <w:szCs w:val="28"/>
          <w:b/>
          <w:bCs/>
          <w:spacing w:val="-41"/>
          <w:position w:val="2"/>
        </w:rPr>
        <w:t xml:space="preserve"> </w:t>
      </w:r>
      <w:r>
        <w:rPr>
          <w:rFonts w:ascii="SimSun" w:hAnsi="SimSun" w:eastAsia="SimSun" w:cs="SimSun"/>
          <w:sz w:val="28"/>
          <w:szCs w:val="28"/>
          <w14:textOutline w14:w="5103" w14:cap="sq" w14:cmpd="sng">
            <w14:solidFill>
              <w14:srgbClr w14:val="000000"/>
            </w14:solidFill>
            <w14:prstDash w14:val="solid"/>
            <w14:bevel/>
          </w14:textOutline>
          <w:spacing w:val="3"/>
          <w:position w:val="2"/>
        </w:rPr>
        <w:t>、完善环境保护目标调查，明确本项目周围农田</w:t>
      </w:r>
      <w:r>
        <w:rPr>
          <w:rFonts w:ascii="SimSun" w:hAnsi="SimSun" w:eastAsia="SimSun" w:cs="SimSun"/>
          <w:sz w:val="28"/>
          <w:szCs w:val="28"/>
          <w14:textOutline w14:w="5103" w14:cap="sq" w14:cmpd="sng">
            <w14:solidFill>
              <w14:srgbClr w14:val="000000"/>
            </w14:solidFill>
            <w14:prstDash w14:val="solid"/>
            <w14:bevel/>
          </w14:textOutline>
          <w:spacing w:val="2"/>
          <w:position w:val="2"/>
        </w:rPr>
        <w:t>性质，应作为本次</w:t>
      </w:r>
    </w:p>
    <w:p>
      <w:pPr>
        <w:ind w:left="115"/>
        <w:spacing w:before="227" w:line="219" w:lineRule="auto"/>
        <w:outlineLvl w:val="0"/>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评价的生态环境保护目标。</w:t>
      </w:r>
    </w:p>
    <w:p>
      <w:pPr>
        <w:ind w:left="621"/>
        <w:spacing w:before="216" w:line="219" w:lineRule="auto"/>
        <w:rPr>
          <w:rFonts w:ascii="Times New Roman" w:hAnsi="Times New Roman" w:eastAsia="Times New Roman" w:cs="Times New Roman"/>
          <w:sz w:val="24"/>
          <w:szCs w:val="24"/>
        </w:rPr>
      </w:pPr>
      <w:r>
        <w:rPr>
          <w:rFonts w:ascii="SimSun" w:hAnsi="SimSun" w:eastAsia="SimSun" w:cs="SimSun"/>
          <w:sz w:val="24"/>
          <w:szCs w:val="24"/>
          <w:spacing w:val="-5"/>
        </w:rPr>
        <w:t>已修改，见</w:t>
      </w:r>
      <w:r>
        <w:rPr>
          <w:rFonts w:ascii="Times New Roman" w:hAnsi="Times New Roman" w:eastAsia="Times New Roman" w:cs="Times New Roman"/>
          <w:sz w:val="24"/>
          <w:szCs w:val="24"/>
          <w:spacing w:val="-5"/>
        </w:rPr>
        <w:t>P35</w:t>
      </w:r>
    </w:p>
    <w:p>
      <w:pPr>
        <w:spacing w:line="219" w:lineRule="auto"/>
        <w:sectPr>
          <w:footerReference w:type="default" r:id="rId78"/>
          <w:pgSz w:w="11906" w:h="16839"/>
          <w:pgMar w:top="400" w:right="1695" w:bottom="1211" w:left="1693" w:header="0" w:footer="1049" w:gutter="0"/>
        </w:sectPr>
        <w:rPr>
          <w:rFonts w:ascii="Times New Roman" w:hAnsi="Times New Roman" w:eastAsia="Times New Roman" w:cs="Times New Roman"/>
          <w:sz w:val="24"/>
          <w:szCs w:val="24"/>
        </w:rPr>
      </w:pPr>
    </w:p>
    <w:p>
      <w:pPr>
        <w:pStyle w:val="BodyText"/>
        <w:spacing w:line="287" w:lineRule="auto"/>
        <w:rPr/>
      </w:pPr>
      <w:r/>
    </w:p>
    <w:p>
      <w:pPr>
        <w:pStyle w:val="BodyText"/>
        <w:spacing w:line="287" w:lineRule="auto"/>
        <w:rPr/>
      </w:pPr>
      <w:r/>
    </w:p>
    <w:p>
      <w:pPr>
        <w:pStyle w:val="BodyText"/>
        <w:spacing w:line="288" w:lineRule="auto"/>
        <w:rPr/>
      </w:pPr>
      <w:r/>
    </w:p>
    <w:p>
      <w:pPr>
        <w:pStyle w:val="BodyText"/>
        <w:spacing w:line="288" w:lineRule="auto"/>
        <w:rPr/>
      </w:pPr>
      <w:r/>
    </w:p>
    <w:p>
      <w:pPr>
        <w:ind w:left="595"/>
        <w:spacing w:before="78" w:line="219" w:lineRule="auto"/>
        <w:rPr>
          <w:rFonts w:ascii="SimSun" w:hAnsi="SimSun" w:eastAsia="SimSun" w:cs="SimSun"/>
          <w:sz w:val="24"/>
          <w:szCs w:val="24"/>
        </w:rPr>
      </w:pPr>
      <w:r>
        <w:rPr>
          <w:rFonts w:ascii="Times New Roman" w:hAnsi="Times New Roman" w:eastAsia="Times New Roman" w:cs="Times New Roman"/>
          <w:sz w:val="24"/>
          <w:szCs w:val="24"/>
          <w:spacing w:val="-1"/>
        </w:rPr>
        <w:t>3.7</w:t>
      </w:r>
      <w:r>
        <w:rPr>
          <w:rFonts w:ascii="SimSun" w:hAnsi="SimSun" w:eastAsia="SimSun" w:cs="SimSun"/>
          <w:sz w:val="24"/>
          <w:szCs w:val="24"/>
          <w:spacing w:val="-1"/>
        </w:rPr>
        <w:t>主要环境敏感目标</w:t>
      </w:r>
    </w:p>
    <w:p>
      <w:pPr>
        <w:ind w:left="595"/>
        <w:spacing w:before="213" w:line="219" w:lineRule="auto"/>
        <w:rPr>
          <w:rFonts w:ascii="SimSun" w:hAnsi="SimSun" w:eastAsia="SimSun" w:cs="SimSun"/>
          <w:sz w:val="24"/>
          <w:szCs w:val="24"/>
        </w:rPr>
      </w:pPr>
      <w:r>
        <w:rPr>
          <w:rFonts w:ascii="SimSun" w:hAnsi="SimSun" w:eastAsia="SimSun" w:cs="SimSun"/>
          <w:sz w:val="24"/>
          <w:szCs w:val="24"/>
          <w:spacing w:val="-1"/>
        </w:rPr>
        <w:t>根据本项目特点和外环境特征确定环境保护目标如下：</w:t>
      </w:r>
    </w:p>
    <w:p>
      <w:pPr>
        <w:ind w:left="614"/>
        <w:spacing w:before="214" w:line="502" w:lineRule="exact"/>
        <w:rPr>
          <w:rFonts w:ascii="SimSun" w:hAnsi="SimSun" w:eastAsia="SimSun" w:cs="SimSun"/>
          <w:sz w:val="24"/>
          <w:szCs w:val="24"/>
        </w:rPr>
      </w:pPr>
      <w:r>
        <w:rPr>
          <w:rFonts w:ascii="Times New Roman" w:hAnsi="Times New Roman" w:eastAsia="Times New Roman" w:cs="Times New Roman"/>
          <w:sz w:val="24"/>
          <w:szCs w:val="24"/>
          <w:spacing w:val="-2"/>
          <w:position w:val="20"/>
        </w:rPr>
        <w:t>1</w:t>
      </w:r>
      <w:r>
        <w:rPr>
          <w:rFonts w:ascii="Times New Roman" w:hAnsi="Times New Roman" w:eastAsia="Times New Roman" w:cs="Times New Roman"/>
          <w:sz w:val="24"/>
          <w:szCs w:val="24"/>
          <w:spacing w:val="-24"/>
          <w:position w:val="20"/>
        </w:rPr>
        <w:t xml:space="preserve"> </w:t>
      </w:r>
      <w:r>
        <w:rPr>
          <w:rFonts w:ascii="SimSun" w:hAnsi="SimSun" w:eastAsia="SimSun" w:cs="SimSun"/>
          <w:sz w:val="24"/>
          <w:szCs w:val="24"/>
          <w:spacing w:val="-2"/>
          <w:position w:val="20"/>
        </w:rPr>
        <w:t>．空气环境：保护项目区所在的区域环境空气质量，不因本项目实施而降</w:t>
      </w:r>
    </w:p>
    <w:p>
      <w:pPr>
        <w:ind w:left="114"/>
        <w:spacing w:line="219" w:lineRule="auto"/>
        <w:rPr>
          <w:rFonts w:ascii="SimSun" w:hAnsi="SimSun" w:eastAsia="SimSun" w:cs="SimSun"/>
          <w:sz w:val="24"/>
          <w:szCs w:val="24"/>
        </w:rPr>
      </w:pPr>
      <w:r>
        <w:rPr>
          <w:rFonts w:ascii="SimSun" w:hAnsi="SimSun" w:eastAsia="SimSun" w:cs="SimSun"/>
          <w:sz w:val="24"/>
          <w:szCs w:val="24"/>
        </w:rPr>
        <w:t>低空气质量级别，使该区域环境空气质量仍能达到</w:t>
      </w:r>
      <w:r>
        <w:rPr>
          <w:rFonts w:ascii="SimSun" w:hAnsi="SimSun" w:eastAsia="SimSun" w:cs="SimSun"/>
          <w:sz w:val="24"/>
          <w:szCs w:val="24"/>
          <w:spacing w:val="-1"/>
        </w:rPr>
        <w:t>《环境空气质量标准》</w:t>
      </w:r>
    </w:p>
    <w:p>
      <w:pPr>
        <w:spacing w:before="214" w:line="499" w:lineRule="exact"/>
        <w:jc w:val="right"/>
        <w:rPr>
          <w:rFonts w:ascii="SimSun" w:hAnsi="SimSun" w:eastAsia="SimSun" w:cs="SimSun"/>
          <w:sz w:val="24"/>
          <w:szCs w:val="24"/>
        </w:rPr>
      </w:pPr>
      <w:r>
        <w:rPr>
          <w:rFonts w:ascii="SimSun" w:hAnsi="SimSun" w:eastAsia="SimSun" w:cs="SimSun"/>
          <w:sz w:val="24"/>
          <w:szCs w:val="24"/>
          <w:spacing w:val="-2"/>
          <w:position w:val="19"/>
        </w:rPr>
        <w:t>（</w:t>
      </w:r>
      <w:r>
        <w:rPr>
          <w:rFonts w:ascii="Times New Roman" w:hAnsi="Times New Roman" w:eastAsia="Times New Roman" w:cs="Times New Roman"/>
          <w:sz w:val="24"/>
          <w:szCs w:val="24"/>
          <w:spacing w:val="-2"/>
          <w:position w:val="19"/>
        </w:rPr>
        <w:t>GB3095-2012</w:t>
      </w:r>
      <w:r>
        <w:rPr>
          <w:rFonts w:ascii="SimSun" w:hAnsi="SimSun" w:eastAsia="SimSun" w:cs="SimSun"/>
          <w:sz w:val="24"/>
          <w:szCs w:val="24"/>
          <w:spacing w:val="-2"/>
          <w:position w:val="19"/>
        </w:rPr>
        <w:t>）二级标准。根据现场调查，厂界外</w:t>
      </w:r>
      <w:r>
        <w:rPr>
          <w:rFonts w:ascii="Times New Roman" w:hAnsi="Times New Roman" w:eastAsia="Times New Roman" w:cs="Times New Roman"/>
          <w:sz w:val="24"/>
          <w:szCs w:val="24"/>
          <w:spacing w:val="-2"/>
          <w:position w:val="19"/>
        </w:rPr>
        <w:t>500</w:t>
      </w:r>
      <w:r>
        <w:rPr>
          <w:rFonts w:ascii="SimSun" w:hAnsi="SimSun" w:eastAsia="SimSun" w:cs="SimSun"/>
          <w:sz w:val="24"/>
          <w:szCs w:val="24"/>
          <w:spacing w:val="-2"/>
          <w:position w:val="19"/>
        </w:rPr>
        <w:t>米范围内无自</w:t>
      </w:r>
      <w:r>
        <w:rPr>
          <w:rFonts w:ascii="SimSun" w:hAnsi="SimSun" w:eastAsia="SimSun" w:cs="SimSun"/>
          <w:sz w:val="24"/>
          <w:szCs w:val="24"/>
          <w:spacing w:val="-3"/>
          <w:position w:val="19"/>
        </w:rPr>
        <w:t>然保护区、</w:t>
      </w:r>
    </w:p>
    <w:p>
      <w:pPr>
        <w:ind w:left="116"/>
        <w:spacing w:before="1" w:line="219" w:lineRule="auto"/>
        <w:rPr>
          <w:rFonts w:ascii="SimSun" w:hAnsi="SimSun" w:eastAsia="SimSun" w:cs="SimSun"/>
          <w:sz w:val="24"/>
          <w:szCs w:val="24"/>
        </w:rPr>
      </w:pPr>
      <w:r>
        <w:rPr>
          <w:rFonts w:ascii="SimSun" w:hAnsi="SimSun" w:eastAsia="SimSun" w:cs="SimSun"/>
          <w:sz w:val="24"/>
          <w:szCs w:val="24"/>
          <w:spacing w:val="-2"/>
        </w:rPr>
        <w:t>风景名胜区保护目标。</w:t>
      </w:r>
    </w:p>
    <w:p>
      <w:pPr>
        <w:ind w:left="591"/>
        <w:spacing w:before="216" w:line="499" w:lineRule="exact"/>
        <w:rPr>
          <w:rFonts w:ascii="SimSun" w:hAnsi="SimSun" w:eastAsia="SimSun" w:cs="SimSun"/>
          <w:sz w:val="24"/>
          <w:szCs w:val="24"/>
        </w:rPr>
      </w:pPr>
      <w:r>
        <w:rPr>
          <w:rFonts w:ascii="Times New Roman" w:hAnsi="Times New Roman" w:eastAsia="Times New Roman" w:cs="Times New Roman"/>
          <w:sz w:val="24"/>
          <w:szCs w:val="24"/>
          <w:spacing w:val="-3"/>
          <w:position w:val="19"/>
        </w:rPr>
        <w:t>2</w:t>
      </w:r>
      <w:r>
        <w:rPr>
          <w:rFonts w:ascii="SimSun" w:hAnsi="SimSun" w:eastAsia="SimSun" w:cs="SimSun"/>
          <w:sz w:val="24"/>
          <w:szCs w:val="24"/>
          <w:spacing w:val="-3"/>
          <w:position w:val="19"/>
        </w:rPr>
        <w:t>．水环境：根据现场调查，厂界外</w:t>
      </w:r>
      <w:r>
        <w:rPr>
          <w:rFonts w:ascii="Times New Roman" w:hAnsi="Times New Roman" w:eastAsia="Times New Roman" w:cs="Times New Roman"/>
          <w:sz w:val="24"/>
          <w:szCs w:val="24"/>
          <w:spacing w:val="-3"/>
          <w:position w:val="19"/>
        </w:rPr>
        <w:t>500</w:t>
      </w:r>
      <w:r>
        <w:rPr>
          <w:rFonts w:ascii="SimSun" w:hAnsi="SimSun" w:eastAsia="SimSun" w:cs="SimSun"/>
          <w:sz w:val="24"/>
          <w:szCs w:val="24"/>
          <w:spacing w:val="-3"/>
          <w:position w:val="19"/>
        </w:rPr>
        <w:t>米范围内无地下水集中式饮用水源和</w:t>
      </w:r>
    </w:p>
    <w:p>
      <w:pPr>
        <w:ind w:left="120"/>
        <w:spacing w:before="1" w:line="219" w:lineRule="auto"/>
        <w:rPr>
          <w:rFonts w:ascii="SimSun" w:hAnsi="SimSun" w:eastAsia="SimSun" w:cs="SimSun"/>
          <w:sz w:val="24"/>
          <w:szCs w:val="24"/>
        </w:rPr>
      </w:pPr>
      <w:r>
        <w:rPr>
          <w:rFonts w:ascii="SimSun" w:hAnsi="SimSun" w:eastAsia="SimSun" w:cs="SimSun"/>
          <w:sz w:val="24"/>
          <w:szCs w:val="24"/>
          <w:spacing w:val="-1"/>
        </w:rPr>
        <w:t>热水、矿泉水、温泉等特殊地下水资源。</w:t>
      </w:r>
    </w:p>
    <w:p>
      <w:pPr>
        <w:ind w:left="595"/>
        <w:spacing w:before="214" w:line="502" w:lineRule="exact"/>
        <w:rPr>
          <w:rFonts w:ascii="SimSun" w:hAnsi="SimSun" w:eastAsia="SimSun" w:cs="SimSun"/>
          <w:sz w:val="24"/>
          <w:szCs w:val="24"/>
        </w:rPr>
      </w:pPr>
      <w:r>
        <w:rPr>
          <w:rFonts w:ascii="Times New Roman" w:hAnsi="Times New Roman" w:eastAsia="Times New Roman" w:cs="Times New Roman"/>
          <w:sz w:val="24"/>
          <w:szCs w:val="24"/>
          <w:spacing w:val="-1"/>
          <w:position w:val="19"/>
        </w:rPr>
        <w:t>3</w:t>
      </w:r>
      <w:r>
        <w:rPr>
          <w:rFonts w:ascii="Times New Roman" w:hAnsi="Times New Roman" w:eastAsia="Times New Roman" w:cs="Times New Roman"/>
          <w:sz w:val="24"/>
          <w:szCs w:val="24"/>
          <w:spacing w:val="-28"/>
          <w:position w:val="19"/>
        </w:rPr>
        <w:t xml:space="preserve"> </w:t>
      </w:r>
      <w:r>
        <w:rPr>
          <w:rFonts w:ascii="SimSun" w:hAnsi="SimSun" w:eastAsia="SimSun" w:cs="SimSun"/>
          <w:sz w:val="24"/>
          <w:szCs w:val="24"/>
          <w:spacing w:val="-1"/>
          <w:position w:val="19"/>
        </w:rPr>
        <w:t>．声环境：根据现场调查，厂界外均为空地，厂界</w:t>
      </w:r>
      <w:r>
        <w:rPr>
          <w:rFonts w:ascii="Times New Roman" w:hAnsi="Times New Roman" w:eastAsia="Times New Roman" w:cs="Times New Roman"/>
          <w:sz w:val="24"/>
          <w:szCs w:val="24"/>
          <w:spacing w:val="-1"/>
          <w:position w:val="19"/>
        </w:rPr>
        <w:t>50</w:t>
      </w:r>
      <w:r>
        <w:rPr>
          <w:rFonts w:ascii="SimSun" w:hAnsi="SimSun" w:eastAsia="SimSun" w:cs="SimSun"/>
          <w:sz w:val="24"/>
          <w:szCs w:val="24"/>
          <w:spacing w:val="-2"/>
          <w:position w:val="19"/>
        </w:rPr>
        <w:t>米范围内无声环境保</w:t>
      </w:r>
    </w:p>
    <w:p>
      <w:pPr>
        <w:ind w:left="116"/>
        <w:spacing w:line="220" w:lineRule="auto"/>
        <w:rPr>
          <w:rFonts w:ascii="SimSun" w:hAnsi="SimSun" w:eastAsia="SimSun" w:cs="SimSun"/>
          <w:sz w:val="24"/>
          <w:szCs w:val="24"/>
        </w:rPr>
      </w:pPr>
      <w:r>
        <w:rPr>
          <w:rFonts w:ascii="SimSun" w:hAnsi="SimSun" w:eastAsia="SimSun" w:cs="SimSun"/>
          <w:sz w:val="24"/>
          <w:szCs w:val="24"/>
          <w:spacing w:val="-3"/>
        </w:rPr>
        <w:t>护目标；</w:t>
      </w:r>
    </w:p>
    <w:p>
      <w:pPr>
        <w:ind w:left="118" w:right="104" w:firstLine="471"/>
        <w:spacing w:before="213" w:line="385" w:lineRule="auto"/>
        <w:rPr>
          <w:rFonts w:ascii="SimSun" w:hAnsi="SimSun" w:eastAsia="SimSun" w:cs="SimSun"/>
          <w:sz w:val="24"/>
          <w:szCs w:val="24"/>
        </w:rPr>
      </w:pPr>
      <w:r>
        <w:rPr>
          <w:rFonts w:ascii="Times New Roman" w:hAnsi="Times New Roman" w:eastAsia="Times New Roman" w:cs="Times New Roman"/>
          <w:sz w:val="24"/>
          <w:szCs w:val="24"/>
          <w:spacing w:val="-1"/>
        </w:rPr>
        <w:t>4</w:t>
      </w:r>
      <w:r>
        <w:rPr>
          <w:rFonts w:ascii="Times New Roman" w:hAnsi="Times New Roman" w:eastAsia="Times New Roman" w:cs="Times New Roman"/>
          <w:sz w:val="24"/>
          <w:szCs w:val="24"/>
          <w:spacing w:val="-28"/>
        </w:rPr>
        <w:t xml:space="preserve"> </w:t>
      </w:r>
      <w:r>
        <w:rPr>
          <w:rFonts w:ascii="SimSun" w:hAnsi="SimSun" w:eastAsia="SimSun" w:cs="SimSun"/>
          <w:sz w:val="24"/>
          <w:szCs w:val="24"/>
          <w:spacing w:val="-1"/>
        </w:rPr>
        <w:t>．生态环境：本项目建设所在地属于建设用地，项目用地范围内</w:t>
      </w:r>
      <w:r>
        <w:rPr>
          <w:rFonts w:ascii="SimSun" w:hAnsi="SimSun" w:eastAsia="SimSun" w:cs="SimSun"/>
          <w:sz w:val="24"/>
          <w:szCs w:val="24"/>
          <w:spacing w:val="-2"/>
        </w:rPr>
        <w:t>周边农田</w:t>
      </w:r>
      <w:r>
        <w:rPr>
          <w:rFonts w:ascii="SimSun" w:hAnsi="SimSun" w:eastAsia="SimSun" w:cs="SimSun"/>
          <w:sz w:val="24"/>
          <w:szCs w:val="24"/>
        </w:rPr>
        <w:t xml:space="preserve"> </w:t>
      </w:r>
      <w:r>
        <w:rPr>
          <w:rFonts w:ascii="SimSun" w:hAnsi="SimSun" w:eastAsia="SimSun" w:cs="SimSun"/>
          <w:sz w:val="24"/>
          <w:szCs w:val="24"/>
          <w:spacing w:val="-4"/>
        </w:rPr>
        <w:t>为本项目生态环境保护目标。环境敏感目标分布见表</w:t>
      </w:r>
      <w:r>
        <w:rPr>
          <w:rFonts w:ascii="Times New Roman" w:hAnsi="Times New Roman" w:eastAsia="Times New Roman" w:cs="Times New Roman"/>
          <w:sz w:val="24"/>
          <w:szCs w:val="24"/>
          <w:spacing w:val="-4"/>
        </w:rPr>
        <w:t>3.7-</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4"/>
        </w:rPr>
        <w:t>1</w:t>
      </w:r>
      <w:r>
        <w:rPr>
          <w:rFonts w:ascii="SimSun" w:hAnsi="SimSun" w:eastAsia="SimSun" w:cs="SimSun"/>
          <w:sz w:val="24"/>
          <w:szCs w:val="24"/>
          <w:spacing w:val="-4"/>
        </w:rPr>
        <w:t>。环境保护目标</w:t>
      </w:r>
      <w:r>
        <w:rPr>
          <w:rFonts w:ascii="SimSun" w:hAnsi="SimSun" w:eastAsia="SimSun" w:cs="SimSun"/>
          <w:sz w:val="24"/>
          <w:szCs w:val="24"/>
          <w:spacing w:val="-5"/>
        </w:rPr>
        <w:t>分布见</w:t>
      </w:r>
    </w:p>
    <w:p>
      <w:pPr>
        <w:ind w:left="138"/>
        <w:spacing w:before="1" w:line="220" w:lineRule="auto"/>
        <w:rPr>
          <w:rFonts w:ascii="SimSun" w:hAnsi="SimSun" w:eastAsia="SimSun" w:cs="SimSun"/>
          <w:sz w:val="24"/>
          <w:szCs w:val="24"/>
        </w:rPr>
      </w:pPr>
      <w:r>
        <w:rPr>
          <w:rFonts w:ascii="SimSun" w:hAnsi="SimSun" w:eastAsia="SimSun" w:cs="SimSun"/>
          <w:sz w:val="24"/>
          <w:szCs w:val="24"/>
          <w:spacing w:val="-11"/>
        </w:rPr>
        <w:t>图</w:t>
      </w:r>
      <w:r>
        <w:rPr>
          <w:rFonts w:ascii="Times New Roman" w:hAnsi="Times New Roman" w:eastAsia="Times New Roman" w:cs="Times New Roman"/>
          <w:sz w:val="24"/>
          <w:szCs w:val="24"/>
          <w:spacing w:val="-11"/>
        </w:rPr>
        <w:t>5</w:t>
      </w:r>
      <w:r>
        <w:rPr>
          <w:rFonts w:ascii="SimSun" w:hAnsi="SimSun" w:eastAsia="SimSun" w:cs="SimSun"/>
          <w:sz w:val="24"/>
          <w:szCs w:val="24"/>
          <w:spacing w:val="-11"/>
        </w:rPr>
        <w:t>。</w:t>
      </w:r>
    </w:p>
    <w:p>
      <w:pPr>
        <w:ind w:left="2879"/>
        <w:spacing w:before="60" w:line="213"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rPr>
        <w:t>表3.7-1</w:t>
      </w:r>
      <w:r>
        <w:rPr>
          <w:rFonts w:ascii="SimSun" w:hAnsi="SimSun" w:eastAsia="SimSun" w:cs="SimSun"/>
          <w:sz w:val="24"/>
          <w:szCs w:val="24"/>
        </w:rPr>
        <w:t xml:space="preserve">  </w:t>
      </w:r>
      <w:r>
        <w:rPr>
          <w:rFonts w:ascii="SimSun" w:hAnsi="SimSun" w:eastAsia="SimSun" w:cs="SimSun"/>
          <w:sz w:val="24"/>
          <w:szCs w:val="24"/>
          <w14:textOutline w14:w="4358" w14:cap="sq" w14:cmpd="sng">
            <w14:solidFill>
              <w14:srgbClr w14:val="000000"/>
            </w14:solidFill>
            <w14:prstDash w14:val="solid"/>
            <w14:bevel/>
          </w14:textOutline>
        </w:rPr>
        <w:t>环境保护目标一览表</w:t>
      </w:r>
    </w:p>
    <w:tbl>
      <w:tblPr>
        <w:tblStyle w:val="TableNormal"/>
        <w:tblW w:w="8516" w:type="dxa"/>
        <w:tblInd w:w="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88"/>
        <w:gridCol w:w="959"/>
        <w:gridCol w:w="1061"/>
        <w:gridCol w:w="750"/>
        <w:gridCol w:w="1002"/>
        <w:gridCol w:w="1298"/>
        <w:gridCol w:w="2958"/>
      </w:tblGrid>
      <w:tr>
        <w:trPr>
          <w:trHeight w:val="570" w:hRule="atLeast"/>
        </w:trPr>
        <w:tc>
          <w:tcPr>
            <w:tcW w:w="488" w:type="dxa"/>
            <w:vAlign w:val="top"/>
            <w:textDirection w:val="tbRlV"/>
            <w:tcBorders>
              <w:top w:val="single" w:color="000000" w:sz="10" w:space="0"/>
              <w:left w:val="nil"/>
            </w:tcBorders>
          </w:tcPr>
          <w:p>
            <w:pPr>
              <w:pStyle w:val="TableText"/>
              <w:ind w:left="44"/>
              <w:spacing w:before="134" w:line="218" w:lineRule="auto"/>
              <w:rPr>
                <w:sz w:val="20"/>
                <w:szCs w:val="20"/>
              </w:rPr>
            </w:pPr>
            <w:r>
              <w:rPr>
                <w:sz w:val="20"/>
                <w:szCs w:val="20"/>
                <w:spacing w:val="8"/>
              </w:rPr>
              <w:t>序</w:t>
            </w:r>
            <w:r>
              <w:rPr>
                <w:sz w:val="20"/>
                <w:szCs w:val="20"/>
                <w:spacing w:val="-38"/>
              </w:rPr>
              <w:t xml:space="preserve"> </w:t>
            </w:r>
            <w:r>
              <w:rPr>
                <w:sz w:val="20"/>
                <w:szCs w:val="20"/>
                <w:spacing w:val="8"/>
              </w:rPr>
              <w:t>号</w:t>
            </w:r>
          </w:p>
        </w:tc>
        <w:tc>
          <w:tcPr>
            <w:tcW w:w="959" w:type="dxa"/>
            <w:vAlign w:val="top"/>
            <w:tcBorders>
              <w:top w:val="single" w:color="000000" w:sz="10" w:space="0"/>
            </w:tcBorders>
          </w:tcPr>
          <w:p>
            <w:pPr>
              <w:pStyle w:val="TableText"/>
              <w:ind w:left="167" w:right="162" w:hanging="2"/>
              <w:spacing w:before="44" w:line="238" w:lineRule="auto"/>
              <w:rPr>
                <w:sz w:val="20"/>
                <w:szCs w:val="20"/>
              </w:rPr>
            </w:pPr>
            <w:r>
              <w:rPr>
                <w:sz w:val="20"/>
                <w:szCs w:val="20"/>
                <w:spacing w:val="6"/>
              </w:rPr>
              <w:t>环境要</w:t>
            </w:r>
            <w:r>
              <w:rPr>
                <w:sz w:val="20"/>
                <w:szCs w:val="20"/>
                <w:spacing w:val="1"/>
              </w:rPr>
              <w:t xml:space="preserve"> </w:t>
            </w:r>
            <w:r>
              <w:rPr>
                <w:sz w:val="20"/>
                <w:szCs w:val="20"/>
                <w:spacing w:val="6"/>
              </w:rPr>
              <w:t>素名称</w:t>
            </w:r>
          </w:p>
        </w:tc>
        <w:tc>
          <w:tcPr>
            <w:tcW w:w="1061" w:type="dxa"/>
            <w:vAlign w:val="top"/>
            <w:tcBorders>
              <w:top w:val="single" w:color="000000" w:sz="10" w:space="0"/>
            </w:tcBorders>
          </w:tcPr>
          <w:p>
            <w:pPr>
              <w:pStyle w:val="TableText"/>
              <w:ind w:left="114"/>
              <w:spacing w:before="180" w:line="228" w:lineRule="auto"/>
              <w:rPr>
                <w:sz w:val="20"/>
                <w:szCs w:val="20"/>
              </w:rPr>
            </w:pPr>
            <w:r>
              <w:rPr>
                <w:sz w:val="20"/>
                <w:szCs w:val="20"/>
                <w:spacing w:val="7"/>
              </w:rPr>
              <w:t>保护对象</w:t>
            </w:r>
          </w:p>
        </w:tc>
        <w:tc>
          <w:tcPr>
            <w:tcW w:w="750" w:type="dxa"/>
            <w:vAlign w:val="top"/>
            <w:tcBorders>
              <w:top w:val="single" w:color="000000" w:sz="10" w:space="0"/>
            </w:tcBorders>
          </w:tcPr>
          <w:p>
            <w:pPr>
              <w:pStyle w:val="TableText"/>
              <w:ind w:left="169"/>
              <w:spacing w:before="44" w:line="271" w:lineRule="exact"/>
              <w:rPr>
                <w:sz w:val="20"/>
                <w:szCs w:val="20"/>
              </w:rPr>
            </w:pPr>
            <w:r>
              <w:rPr>
                <w:sz w:val="20"/>
                <w:szCs w:val="20"/>
                <w:spacing w:val="4"/>
                <w:position w:val="4"/>
              </w:rPr>
              <w:t>保护</w:t>
            </w:r>
          </w:p>
          <w:p>
            <w:pPr>
              <w:pStyle w:val="TableText"/>
              <w:ind w:left="194"/>
              <w:spacing w:line="225" w:lineRule="auto"/>
              <w:rPr>
                <w:sz w:val="20"/>
                <w:szCs w:val="20"/>
              </w:rPr>
            </w:pPr>
            <w:r>
              <w:rPr>
                <w:sz w:val="20"/>
                <w:szCs w:val="20"/>
                <w:spacing w:val="-8"/>
              </w:rPr>
              <w:t>内容</w:t>
            </w:r>
          </w:p>
        </w:tc>
        <w:tc>
          <w:tcPr>
            <w:tcW w:w="1002" w:type="dxa"/>
            <w:vAlign w:val="top"/>
            <w:tcBorders>
              <w:top w:val="single" w:color="000000" w:sz="10" w:space="0"/>
            </w:tcBorders>
          </w:tcPr>
          <w:p>
            <w:pPr>
              <w:pStyle w:val="TableText"/>
              <w:ind w:left="189" w:right="181"/>
              <w:spacing w:before="44" w:line="238" w:lineRule="auto"/>
              <w:rPr>
                <w:sz w:val="20"/>
                <w:szCs w:val="20"/>
              </w:rPr>
            </w:pPr>
            <w:r>
              <w:rPr>
                <w:sz w:val="20"/>
                <w:szCs w:val="20"/>
                <w:spacing w:val="6"/>
              </w:rPr>
              <w:t>相对厂</w:t>
            </w:r>
            <w:r>
              <w:rPr>
                <w:sz w:val="20"/>
                <w:szCs w:val="20"/>
                <w:spacing w:val="1"/>
              </w:rPr>
              <w:t xml:space="preserve"> </w:t>
            </w:r>
            <w:r>
              <w:rPr>
                <w:sz w:val="20"/>
                <w:szCs w:val="20"/>
                <w:spacing w:val="6"/>
              </w:rPr>
              <w:t>址方位</w:t>
            </w:r>
          </w:p>
        </w:tc>
        <w:tc>
          <w:tcPr>
            <w:tcW w:w="1298" w:type="dxa"/>
            <w:vAlign w:val="top"/>
            <w:tcBorders>
              <w:top w:val="single" w:color="000000" w:sz="10" w:space="0"/>
            </w:tcBorders>
          </w:tcPr>
          <w:p>
            <w:pPr>
              <w:pStyle w:val="TableText"/>
              <w:ind w:left="317" w:right="226" w:hanging="86"/>
              <w:spacing w:before="44" w:line="238" w:lineRule="auto"/>
              <w:rPr>
                <w:sz w:val="20"/>
                <w:szCs w:val="20"/>
              </w:rPr>
            </w:pPr>
            <w:r>
              <w:rPr>
                <w:sz w:val="20"/>
                <w:szCs w:val="20"/>
                <w:spacing w:val="7"/>
              </w:rPr>
              <w:t>相对距离</w:t>
            </w:r>
            <w:r>
              <w:rPr>
                <w:sz w:val="20"/>
                <w:szCs w:val="20"/>
              </w:rPr>
              <w:t xml:space="preserve"> </w:t>
            </w:r>
            <w:r>
              <w:rPr>
                <w:sz w:val="20"/>
                <w:szCs w:val="20"/>
                <w:spacing w:val="1"/>
              </w:rPr>
              <w:t>（</w:t>
            </w:r>
            <w:r>
              <w:rPr>
                <w:rFonts w:ascii="Times New Roman" w:hAnsi="Times New Roman" w:eastAsia="Times New Roman" w:cs="Times New Roman"/>
                <w:sz w:val="20"/>
                <w:szCs w:val="20"/>
              </w:rPr>
              <w:t>km</w:t>
            </w:r>
            <w:r>
              <w:rPr>
                <w:sz w:val="20"/>
                <w:szCs w:val="20"/>
                <w:spacing w:val="1"/>
              </w:rPr>
              <w:t>）</w:t>
            </w:r>
          </w:p>
        </w:tc>
        <w:tc>
          <w:tcPr>
            <w:tcW w:w="2958" w:type="dxa"/>
            <w:vAlign w:val="top"/>
            <w:tcBorders>
              <w:top w:val="single" w:color="000000" w:sz="10" w:space="0"/>
              <w:right w:val="nil"/>
            </w:tcBorders>
          </w:tcPr>
          <w:p>
            <w:pPr>
              <w:pStyle w:val="TableText"/>
              <w:ind w:left="1062"/>
              <w:spacing w:before="180" w:line="228" w:lineRule="auto"/>
              <w:rPr>
                <w:sz w:val="20"/>
                <w:szCs w:val="20"/>
              </w:rPr>
            </w:pPr>
            <w:r>
              <w:rPr>
                <w:sz w:val="20"/>
                <w:szCs w:val="20"/>
                <w:spacing w:val="7"/>
              </w:rPr>
              <w:t>执行标准</w:t>
            </w:r>
          </w:p>
        </w:tc>
      </w:tr>
      <w:tr>
        <w:trPr>
          <w:trHeight w:val="817" w:hRule="atLeast"/>
        </w:trPr>
        <w:tc>
          <w:tcPr>
            <w:tcW w:w="488" w:type="dxa"/>
            <w:vAlign w:val="top"/>
            <w:tcBorders>
              <w:left w:val="nil"/>
            </w:tcBorders>
          </w:tcPr>
          <w:p>
            <w:pPr>
              <w:spacing w:line="281" w:lineRule="auto"/>
              <w:rPr>
                <w:rFonts w:ascii="Arial"/>
                <w:sz w:val="21"/>
              </w:rPr>
            </w:pPr>
            <w:r/>
          </w:p>
          <w:p>
            <w:pPr>
              <w:ind w:left="214"/>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59" w:type="dxa"/>
            <w:vAlign w:val="top"/>
          </w:tcPr>
          <w:p>
            <w:pPr>
              <w:pStyle w:val="TableText"/>
              <w:ind w:left="377" w:right="162" w:hanging="212"/>
              <w:spacing w:before="169"/>
              <w:rPr>
                <w:sz w:val="20"/>
                <w:szCs w:val="20"/>
              </w:rPr>
            </w:pPr>
            <w:r>
              <w:rPr>
                <w:sz w:val="20"/>
                <w:szCs w:val="20"/>
                <w:spacing w:val="6"/>
              </w:rPr>
              <w:t>环境空</w:t>
            </w:r>
            <w:r>
              <w:rPr>
                <w:sz w:val="20"/>
                <w:szCs w:val="20"/>
                <w:spacing w:val="1"/>
              </w:rPr>
              <w:t xml:space="preserve"> </w:t>
            </w:r>
            <w:r>
              <w:rPr>
                <w:sz w:val="20"/>
                <w:szCs w:val="20"/>
              </w:rPr>
              <w:t>气</w:t>
            </w:r>
          </w:p>
        </w:tc>
        <w:tc>
          <w:tcPr>
            <w:tcW w:w="1061" w:type="dxa"/>
            <w:vAlign w:val="top"/>
          </w:tcPr>
          <w:p>
            <w:pPr>
              <w:pStyle w:val="TableText"/>
              <w:ind w:left="125"/>
              <w:spacing w:before="33" w:line="229" w:lineRule="auto"/>
              <w:rPr>
                <w:sz w:val="20"/>
                <w:szCs w:val="20"/>
              </w:rPr>
            </w:pPr>
            <w:r>
              <w:rPr>
                <w:sz w:val="20"/>
                <w:szCs w:val="20"/>
                <w:spacing w:val="4"/>
              </w:rPr>
              <w:t>呼图壁县</w:t>
            </w:r>
          </w:p>
          <w:p>
            <w:pPr>
              <w:pStyle w:val="TableText"/>
              <w:ind w:left="114"/>
              <w:spacing w:before="23" w:line="228" w:lineRule="auto"/>
              <w:rPr>
                <w:sz w:val="20"/>
                <w:szCs w:val="20"/>
              </w:rPr>
            </w:pPr>
            <w:r>
              <w:rPr>
                <w:sz w:val="20"/>
                <w:szCs w:val="20"/>
                <w:spacing w:val="7"/>
              </w:rPr>
              <w:t>种牛场居</w:t>
            </w:r>
          </w:p>
          <w:p>
            <w:pPr>
              <w:pStyle w:val="TableText"/>
              <w:ind w:left="343"/>
              <w:spacing w:before="26" w:line="211" w:lineRule="auto"/>
              <w:rPr>
                <w:sz w:val="20"/>
                <w:szCs w:val="20"/>
              </w:rPr>
            </w:pPr>
            <w:r>
              <w:rPr>
                <w:sz w:val="20"/>
                <w:szCs w:val="20"/>
                <w:spacing w:val="-6"/>
              </w:rPr>
              <w:t>民区</w:t>
            </w:r>
          </w:p>
        </w:tc>
        <w:tc>
          <w:tcPr>
            <w:tcW w:w="750" w:type="dxa"/>
            <w:vAlign w:val="top"/>
          </w:tcPr>
          <w:p>
            <w:pPr>
              <w:pStyle w:val="TableText"/>
              <w:ind w:left="170"/>
              <w:spacing w:before="304" w:line="228" w:lineRule="auto"/>
              <w:rPr>
                <w:sz w:val="20"/>
                <w:szCs w:val="20"/>
              </w:rPr>
            </w:pPr>
            <w:r>
              <w:rPr>
                <w:sz w:val="20"/>
                <w:szCs w:val="20"/>
                <w:spacing w:val="3"/>
              </w:rPr>
              <w:t>居民</w:t>
            </w:r>
          </w:p>
        </w:tc>
        <w:tc>
          <w:tcPr>
            <w:tcW w:w="1002" w:type="dxa"/>
            <w:vAlign w:val="top"/>
          </w:tcPr>
          <w:p>
            <w:pPr>
              <w:pStyle w:val="TableText"/>
              <w:ind w:left="300"/>
              <w:spacing w:before="304" w:line="228" w:lineRule="auto"/>
              <w:rPr>
                <w:sz w:val="20"/>
                <w:szCs w:val="20"/>
              </w:rPr>
            </w:pPr>
            <w:r>
              <w:rPr>
                <w:sz w:val="20"/>
                <w:szCs w:val="20"/>
                <w:spacing w:val="2"/>
              </w:rPr>
              <w:t>西侧</w:t>
            </w:r>
          </w:p>
        </w:tc>
        <w:tc>
          <w:tcPr>
            <w:tcW w:w="1298" w:type="dxa"/>
            <w:vAlign w:val="top"/>
          </w:tcPr>
          <w:p>
            <w:pPr>
              <w:spacing w:line="281" w:lineRule="auto"/>
              <w:rPr>
                <w:rFonts w:ascii="Arial"/>
                <w:sz w:val="21"/>
              </w:rPr>
            </w:pPr>
            <w:r/>
          </w:p>
          <w:p>
            <w:pPr>
              <w:ind w:left="468"/>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0.45</w:t>
            </w:r>
          </w:p>
        </w:tc>
        <w:tc>
          <w:tcPr>
            <w:tcW w:w="2958" w:type="dxa"/>
            <w:vAlign w:val="top"/>
            <w:tcBorders>
              <w:right w:val="nil"/>
            </w:tcBorders>
          </w:tcPr>
          <w:p>
            <w:pPr>
              <w:pStyle w:val="TableText"/>
              <w:ind w:left="438"/>
              <w:spacing w:before="170" w:line="228" w:lineRule="auto"/>
              <w:rPr>
                <w:sz w:val="20"/>
                <w:szCs w:val="20"/>
              </w:rPr>
            </w:pPr>
            <w:r>
              <w:rPr>
                <w:sz w:val="20"/>
                <w:szCs w:val="20"/>
                <w:spacing w:val="7"/>
              </w:rPr>
              <w:t>《环境空气质量标准》</w:t>
            </w:r>
          </w:p>
          <w:p>
            <w:pPr>
              <w:pStyle w:val="TableText"/>
              <w:ind w:left="261"/>
              <w:spacing w:before="24" w:line="228" w:lineRule="auto"/>
              <w:rPr>
                <w:sz w:val="20"/>
                <w:szCs w:val="20"/>
              </w:rPr>
            </w:pPr>
            <w:r>
              <w:rPr>
                <w:sz w:val="20"/>
                <w:szCs w:val="20"/>
                <w:spacing w:val="6"/>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3095-2012</w:t>
            </w:r>
            <w:r>
              <w:rPr>
                <w:sz w:val="20"/>
                <w:szCs w:val="20"/>
                <w:spacing w:val="6"/>
              </w:rPr>
              <w:t>）二级标准</w:t>
            </w:r>
          </w:p>
        </w:tc>
      </w:tr>
      <w:tr>
        <w:trPr>
          <w:trHeight w:val="546" w:hRule="atLeast"/>
        </w:trPr>
        <w:tc>
          <w:tcPr>
            <w:tcW w:w="488" w:type="dxa"/>
            <w:vAlign w:val="top"/>
            <w:tcBorders>
              <w:left w:val="nil"/>
            </w:tcBorders>
          </w:tcPr>
          <w:p>
            <w:pPr>
              <w:ind w:left="194"/>
              <w:spacing w:before="2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59" w:type="dxa"/>
            <w:vAlign w:val="top"/>
          </w:tcPr>
          <w:p>
            <w:pPr>
              <w:pStyle w:val="TableText"/>
              <w:ind w:left="170"/>
              <w:spacing w:before="173" w:line="228" w:lineRule="auto"/>
              <w:rPr>
                <w:sz w:val="20"/>
                <w:szCs w:val="20"/>
              </w:rPr>
            </w:pPr>
            <w:r>
              <w:rPr>
                <w:sz w:val="20"/>
                <w:szCs w:val="20"/>
                <w:spacing w:val="5"/>
              </w:rPr>
              <w:t>声环境</w:t>
            </w:r>
          </w:p>
        </w:tc>
        <w:tc>
          <w:tcPr>
            <w:tcW w:w="4111" w:type="dxa"/>
            <w:vAlign w:val="top"/>
            <w:gridSpan w:val="4"/>
          </w:tcPr>
          <w:p>
            <w:pPr>
              <w:pStyle w:val="TableText"/>
              <w:ind w:left="1326"/>
              <w:spacing w:before="173" w:line="228" w:lineRule="auto"/>
              <w:rPr>
                <w:sz w:val="20"/>
                <w:szCs w:val="20"/>
              </w:rPr>
            </w:pPr>
            <w:r>
              <w:rPr>
                <w:sz w:val="20"/>
                <w:szCs w:val="20"/>
                <w:spacing w:val="8"/>
              </w:rPr>
              <w:t>厂址区域声环境</w:t>
            </w:r>
          </w:p>
        </w:tc>
        <w:tc>
          <w:tcPr>
            <w:tcW w:w="2958" w:type="dxa"/>
            <w:vAlign w:val="top"/>
            <w:tcBorders>
              <w:right w:val="nil"/>
            </w:tcBorders>
          </w:tcPr>
          <w:p>
            <w:pPr>
              <w:pStyle w:val="TableText"/>
              <w:ind w:left="544"/>
              <w:spacing w:before="39" w:line="228" w:lineRule="auto"/>
              <w:rPr>
                <w:sz w:val="20"/>
                <w:szCs w:val="20"/>
              </w:rPr>
            </w:pPr>
            <w:r>
              <w:rPr>
                <w:sz w:val="20"/>
                <w:szCs w:val="20"/>
                <w:spacing w:val="7"/>
              </w:rPr>
              <w:t>《声环境质量标准》</w:t>
            </w:r>
          </w:p>
          <w:p>
            <w:pPr>
              <w:pStyle w:val="TableText"/>
              <w:ind w:left="419"/>
              <w:spacing w:before="24" w:line="208" w:lineRule="auto"/>
              <w:rPr>
                <w:sz w:val="20"/>
                <w:szCs w:val="20"/>
              </w:rPr>
            </w:pPr>
            <w:r>
              <w:rPr>
                <w:sz w:val="20"/>
                <w:szCs w:val="20"/>
                <w:spacing w:val="5"/>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5"/>
              </w:rPr>
              <w:t>3096-2008</w:t>
            </w:r>
            <w:r>
              <w:rPr>
                <w:sz w:val="20"/>
                <w:szCs w:val="20"/>
                <w:spacing w:val="5"/>
              </w:rPr>
              <w:t>）</w:t>
            </w:r>
            <w:r>
              <w:rPr>
                <w:rFonts w:ascii="Times New Roman" w:hAnsi="Times New Roman" w:eastAsia="Times New Roman" w:cs="Times New Roman"/>
                <w:sz w:val="20"/>
                <w:szCs w:val="20"/>
                <w:spacing w:val="5"/>
              </w:rPr>
              <w:t>2</w:t>
            </w:r>
            <w:r>
              <w:rPr>
                <w:sz w:val="20"/>
                <w:szCs w:val="20"/>
                <w:spacing w:val="5"/>
              </w:rPr>
              <w:t>类区</w:t>
            </w:r>
          </w:p>
        </w:tc>
      </w:tr>
      <w:tr>
        <w:trPr>
          <w:trHeight w:val="546" w:hRule="atLeast"/>
        </w:trPr>
        <w:tc>
          <w:tcPr>
            <w:tcW w:w="488" w:type="dxa"/>
            <w:vAlign w:val="top"/>
            <w:tcBorders>
              <w:left w:val="nil"/>
            </w:tcBorders>
          </w:tcPr>
          <w:p>
            <w:pPr>
              <w:ind w:left="198"/>
              <w:spacing w:before="2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959" w:type="dxa"/>
            <w:vAlign w:val="top"/>
          </w:tcPr>
          <w:p>
            <w:pPr>
              <w:pStyle w:val="TableText"/>
              <w:ind w:left="165"/>
              <w:spacing w:before="176" w:line="228" w:lineRule="auto"/>
              <w:rPr>
                <w:sz w:val="20"/>
                <w:szCs w:val="20"/>
              </w:rPr>
            </w:pPr>
            <w:r>
              <w:rPr>
                <w:sz w:val="20"/>
                <w:szCs w:val="20"/>
                <w:spacing w:val="6"/>
              </w:rPr>
              <w:t>地下水</w:t>
            </w:r>
          </w:p>
        </w:tc>
        <w:tc>
          <w:tcPr>
            <w:tcW w:w="4111" w:type="dxa"/>
            <w:vAlign w:val="top"/>
            <w:gridSpan w:val="4"/>
          </w:tcPr>
          <w:p>
            <w:pPr>
              <w:pStyle w:val="TableText"/>
              <w:ind w:left="1326"/>
              <w:spacing w:before="176" w:line="228" w:lineRule="auto"/>
              <w:rPr>
                <w:sz w:val="20"/>
                <w:szCs w:val="20"/>
              </w:rPr>
            </w:pPr>
            <w:r>
              <w:rPr>
                <w:sz w:val="20"/>
                <w:szCs w:val="20"/>
                <w:spacing w:val="8"/>
              </w:rPr>
              <w:t>厂址区域地下水</w:t>
            </w:r>
          </w:p>
        </w:tc>
        <w:tc>
          <w:tcPr>
            <w:tcW w:w="2958" w:type="dxa"/>
            <w:vAlign w:val="top"/>
            <w:tcBorders>
              <w:right w:val="nil"/>
            </w:tcBorders>
          </w:tcPr>
          <w:p>
            <w:pPr>
              <w:pStyle w:val="TableText"/>
              <w:ind w:left="544"/>
              <w:spacing w:before="41" w:line="228" w:lineRule="auto"/>
              <w:rPr>
                <w:sz w:val="20"/>
                <w:szCs w:val="20"/>
              </w:rPr>
            </w:pPr>
            <w:r>
              <w:rPr>
                <w:sz w:val="20"/>
                <w:szCs w:val="20"/>
                <w:spacing w:val="7"/>
              </w:rPr>
              <w:t>《地下水质量标准》</w:t>
            </w:r>
          </w:p>
          <w:p>
            <w:pPr>
              <w:pStyle w:val="TableText"/>
              <w:ind w:left="330"/>
              <w:spacing w:before="25" w:line="205" w:lineRule="auto"/>
              <w:rPr>
                <w:sz w:val="20"/>
                <w:szCs w:val="20"/>
              </w:rPr>
            </w:pPr>
            <w:r>
              <w:rPr>
                <w:sz w:val="20"/>
                <w:szCs w:val="20"/>
                <w:spacing w:val="5"/>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5"/>
              </w:rPr>
              <w:t>/T14848-2017</w:t>
            </w:r>
            <w:r>
              <w:rPr>
                <w:sz w:val="20"/>
                <w:szCs w:val="20"/>
                <w:spacing w:val="5"/>
              </w:rPr>
              <w:t>）</w:t>
            </w:r>
            <w:r>
              <w:rPr>
                <w:rFonts w:ascii="Times New Roman" w:hAnsi="Times New Roman" w:eastAsia="Times New Roman" w:cs="Times New Roman"/>
                <w:sz w:val="20"/>
                <w:szCs w:val="20"/>
                <w:spacing w:val="5"/>
              </w:rPr>
              <w:t>Ⅲ</w:t>
            </w:r>
            <w:r>
              <w:rPr>
                <w:sz w:val="20"/>
                <w:szCs w:val="20"/>
                <w:spacing w:val="5"/>
              </w:rPr>
              <w:t>类</w:t>
            </w:r>
          </w:p>
        </w:tc>
      </w:tr>
      <w:tr>
        <w:trPr>
          <w:trHeight w:val="546" w:hRule="atLeast"/>
        </w:trPr>
        <w:tc>
          <w:tcPr>
            <w:tcW w:w="488" w:type="dxa"/>
            <w:vAlign w:val="top"/>
            <w:tcBorders>
              <w:left w:val="nil"/>
            </w:tcBorders>
          </w:tcPr>
          <w:p>
            <w:pPr>
              <w:ind w:left="193"/>
              <w:spacing w:before="2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959" w:type="dxa"/>
            <w:vAlign w:val="top"/>
          </w:tcPr>
          <w:p>
            <w:pPr>
              <w:pStyle w:val="TableText"/>
              <w:ind w:left="165"/>
              <w:spacing w:before="179" w:line="228" w:lineRule="auto"/>
              <w:rPr>
                <w:sz w:val="20"/>
                <w:szCs w:val="20"/>
              </w:rPr>
            </w:pPr>
            <w:r>
              <w:rPr>
                <w:sz w:val="20"/>
                <w:szCs w:val="20"/>
                <w:spacing w:val="6"/>
              </w:rPr>
              <w:t>地表水</w:t>
            </w:r>
          </w:p>
        </w:tc>
        <w:tc>
          <w:tcPr>
            <w:tcW w:w="4111" w:type="dxa"/>
            <w:vAlign w:val="top"/>
            <w:gridSpan w:val="4"/>
          </w:tcPr>
          <w:p>
            <w:pPr>
              <w:pStyle w:val="TableText"/>
              <w:ind w:left="1326"/>
              <w:spacing w:before="179" w:line="228" w:lineRule="auto"/>
              <w:rPr>
                <w:sz w:val="20"/>
                <w:szCs w:val="20"/>
              </w:rPr>
            </w:pPr>
            <w:r>
              <w:rPr>
                <w:sz w:val="20"/>
                <w:szCs w:val="20"/>
                <w:spacing w:val="8"/>
              </w:rPr>
              <w:t>厂址周边地表水</w:t>
            </w:r>
          </w:p>
        </w:tc>
        <w:tc>
          <w:tcPr>
            <w:tcW w:w="2958" w:type="dxa"/>
            <w:vAlign w:val="top"/>
            <w:tcBorders>
              <w:right w:val="nil"/>
            </w:tcBorders>
          </w:tcPr>
          <w:p>
            <w:pPr>
              <w:pStyle w:val="TableText"/>
              <w:ind w:left="266" w:right="252" w:firstLine="67"/>
              <w:spacing w:before="46" w:line="226" w:lineRule="auto"/>
              <w:rPr>
                <w:sz w:val="20"/>
                <w:szCs w:val="20"/>
              </w:rPr>
            </w:pPr>
            <w:r>
              <w:rPr>
                <w:sz w:val="20"/>
                <w:szCs w:val="20"/>
                <w:spacing w:val="7"/>
              </w:rPr>
              <w:t>《地表水环境质量标准》</w:t>
            </w:r>
            <w:r>
              <w:rPr>
                <w:sz w:val="20"/>
                <w:szCs w:val="20"/>
                <w:spacing w:val="2"/>
              </w:rPr>
              <w:t xml:space="preserve">  </w:t>
            </w:r>
            <w:r>
              <w:rPr>
                <w:sz w:val="20"/>
                <w:szCs w:val="20"/>
                <w:spacing w:val="6"/>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3838-2002</w:t>
            </w:r>
            <w:r>
              <w:rPr>
                <w:sz w:val="20"/>
                <w:szCs w:val="20"/>
                <w:spacing w:val="6"/>
              </w:rPr>
              <w:t>）</w:t>
            </w:r>
            <w:r>
              <w:rPr>
                <w:rFonts w:ascii="Times New Roman" w:hAnsi="Times New Roman" w:eastAsia="Times New Roman" w:cs="Times New Roman"/>
                <w:sz w:val="20"/>
                <w:szCs w:val="20"/>
                <w:spacing w:val="6"/>
              </w:rPr>
              <w:t>Ⅲ</w:t>
            </w:r>
            <w:r>
              <w:rPr>
                <w:sz w:val="20"/>
                <w:szCs w:val="20"/>
                <w:spacing w:val="6"/>
              </w:rPr>
              <w:t>类标准</w:t>
            </w:r>
          </w:p>
        </w:tc>
      </w:tr>
      <w:tr>
        <w:trPr>
          <w:trHeight w:val="838" w:hRule="atLeast"/>
        </w:trPr>
        <w:tc>
          <w:tcPr>
            <w:tcW w:w="488" w:type="dxa"/>
            <w:vAlign w:val="top"/>
            <w:tcBorders>
              <w:bottom w:val="single" w:color="000000" w:sz="10" w:space="0"/>
              <w:left w:val="nil"/>
            </w:tcBorders>
          </w:tcPr>
          <w:p>
            <w:pPr>
              <w:spacing w:line="301" w:lineRule="auto"/>
              <w:rPr>
                <w:rFonts w:ascii="Arial"/>
                <w:sz w:val="21"/>
              </w:rPr>
            </w:pPr>
            <w:r/>
          </w:p>
          <w:p>
            <w:pPr>
              <w:ind w:left="200"/>
              <w:spacing w:before="5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959" w:type="dxa"/>
            <w:vAlign w:val="top"/>
            <w:tcBorders>
              <w:bottom w:val="single" w:color="000000" w:sz="10" w:space="0"/>
            </w:tcBorders>
          </w:tcPr>
          <w:p>
            <w:pPr>
              <w:spacing w:line="255" w:lineRule="auto"/>
              <w:rPr>
                <w:rFonts w:ascii="Arial"/>
                <w:sz w:val="21"/>
              </w:rPr>
            </w:pPr>
            <w:r/>
          </w:p>
          <w:p>
            <w:pPr>
              <w:pStyle w:val="TableText"/>
              <w:ind w:left="273"/>
              <w:spacing w:before="65" w:line="233" w:lineRule="auto"/>
              <w:rPr>
                <w:sz w:val="20"/>
                <w:szCs w:val="20"/>
              </w:rPr>
            </w:pPr>
            <w:r>
              <w:rPr>
                <w:sz w:val="20"/>
                <w:szCs w:val="20"/>
                <w:spacing w:val="3"/>
              </w:rPr>
              <w:t>生态</w:t>
            </w:r>
          </w:p>
        </w:tc>
        <w:tc>
          <w:tcPr>
            <w:tcW w:w="1061" w:type="dxa"/>
            <w:vAlign w:val="top"/>
            <w:tcBorders>
              <w:bottom w:val="single" w:color="000000" w:sz="10" w:space="0"/>
            </w:tcBorders>
          </w:tcPr>
          <w:p>
            <w:pPr>
              <w:spacing w:line="255" w:lineRule="auto"/>
              <w:rPr>
                <w:rFonts w:ascii="Arial"/>
                <w:sz w:val="21"/>
              </w:rPr>
            </w:pPr>
            <w:r/>
          </w:p>
          <w:p>
            <w:pPr>
              <w:pStyle w:val="TableText"/>
              <w:ind w:left="322"/>
              <w:spacing w:before="65" w:line="230" w:lineRule="auto"/>
              <w:rPr>
                <w:sz w:val="20"/>
                <w:szCs w:val="20"/>
              </w:rPr>
            </w:pPr>
            <w:r>
              <w:rPr>
                <w:sz w:val="20"/>
                <w:szCs w:val="20"/>
                <w:spacing w:val="4"/>
              </w:rPr>
              <w:t>农田</w:t>
            </w:r>
          </w:p>
        </w:tc>
        <w:tc>
          <w:tcPr>
            <w:tcW w:w="750" w:type="dxa"/>
            <w:vAlign w:val="top"/>
            <w:tcBorders>
              <w:bottom w:val="single" w:color="000000" w:sz="10" w:space="0"/>
            </w:tcBorders>
          </w:tcPr>
          <w:p>
            <w:pPr>
              <w:spacing w:line="255" w:lineRule="auto"/>
              <w:rPr>
                <w:rFonts w:ascii="Arial"/>
                <w:sz w:val="21"/>
              </w:rPr>
            </w:pPr>
            <w:r/>
          </w:p>
          <w:p>
            <w:pPr>
              <w:pStyle w:val="TableText"/>
              <w:ind w:left="169"/>
              <w:spacing w:before="65" w:line="230" w:lineRule="auto"/>
              <w:rPr>
                <w:sz w:val="20"/>
                <w:szCs w:val="20"/>
              </w:rPr>
            </w:pPr>
            <w:r>
              <w:rPr>
                <w:sz w:val="20"/>
                <w:szCs w:val="20"/>
                <w:spacing w:val="4"/>
              </w:rPr>
              <w:t>农田</w:t>
            </w:r>
          </w:p>
        </w:tc>
        <w:tc>
          <w:tcPr>
            <w:tcW w:w="1002" w:type="dxa"/>
            <w:vAlign w:val="top"/>
            <w:tcBorders>
              <w:bottom w:val="single" w:color="000000" w:sz="10" w:space="0"/>
            </w:tcBorders>
          </w:tcPr>
          <w:p>
            <w:pPr>
              <w:pStyle w:val="TableText"/>
              <w:ind w:left="299" w:right="84" w:hanging="182"/>
              <w:spacing w:before="185" w:line="239" w:lineRule="auto"/>
              <w:rPr>
                <w:sz w:val="20"/>
                <w:szCs w:val="20"/>
              </w:rPr>
            </w:pPr>
            <w:r>
              <w:rPr>
                <w:sz w:val="20"/>
                <w:szCs w:val="20"/>
                <w:spacing w:val="-3"/>
              </w:rPr>
              <w:t>东、南、</w:t>
            </w:r>
            <w:r>
              <w:rPr>
                <w:sz w:val="20"/>
                <w:szCs w:val="20"/>
              </w:rPr>
              <w:t xml:space="preserve"> </w:t>
            </w:r>
            <w:r>
              <w:rPr>
                <w:sz w:val="20"/>
                <w:szCs w:val="20"/>
                <w:spacing w:val="2"/>
              </w:rPr>
              <w:t>西侧</w:t>
            </w:r>
          </w:p>
        </w:tc>
        <w:tc>
          <w:tcPr>
            <w:tcW w:w="1298" w:type="dxa"/>
            <w:vAlign w:val="top"/>
            <w:tcBorders>
              <w:bottom w:val="single" w:color="000000" w:sz="10" w:space="0"/>
            </w:tcBorders>
          </w:tcPr>
          <w:p>
            <w:pPr>
              <w:pStyle w:val="TableText"/>
              <w:ind w:left="152" w:right="194" w:firstLine="4"/>
              <w:spacing w:before="47"/>
              <w:jc w:val="both"/>
              <w:rPr>
                <w:rFonts w:ascii="Times New Roman" w:hAnsi="Times New Roman" w:eastAsia="Times New Roman" w:cs="Times New Roman"/>
                <w:sz w:val="20"/>
                <w:szCs w:val="20"/>
              </w:rPr>
            </w:pPr>
            <w:r>
              <w:rPr>
                <w:sz w:val="20"/>
                <w:szCs w:val="20"/>
                <w:spacing w:val="-4"/>
              </w:rPr>
              <w:t>东侧</w:t>
            </w:r>
            <w:r>
              <w:rPr>
                <w:rFonts w:ascii="Times New Roman" w:hAnsi="Times New Roman" w:eastAsia="Times New Roman" w:cs="Times New Roman"/>
                <w:sz w:val="20"/>
                <w:szCs w:val="20"/>
                <w:spacing w:val="-4"/>
              </w:rPr>
              <w:t>20m</w:t>
            </w:r>
            <w:r>
              <w:rPr>
                <w:sz w:val="20"/>
                <w:szCs w:val="20"/>
                <w:spacing w:val="-4"/>
              </w:rPr>
              <w:t>；</w:t>
            </w:r>
            <w:r>
              <w:rPr>
                <w:sz w:val="20"/>
                <w:szCs w:val="20"/>
                <w:spacing w:val="3"/>
              </w:rPr>
              <w:t xml:space="preserve"> </w:t>
            </w:r>
            <w:r>
              <w:rPr>
                <w:sz w:val="20"/>
                <w:szCs w:val="20"/>
                <w:spacing w:val="-3"/>
              </w:rPr>
              <w:t>南侧</w:t>
            </w:r>
            <w:r>
              <w:rPr>
                <w:rFonts w:ascii="Times New Roman" w:hAnsi="Times New Roman" w:eastAsia="Times New Roman" w:cs="Times New Roman"/>
                <w:sz w:val="20"/>
                <w:szCs w:val="20"/>
                <w:spacing w:val="-3"/>
              </w:rPr>
              <w:t>10m</w:t>
            </w:r>
            <w:r>
              <w:rPr>
                <w:sz w:val="20"/>
                <w:szCs w:val="20"/>
                <w:spacing w:val="-3"/>
              </w:rPr>
              <w:t>；</w:t>
            </w:r>
            <w:r>
              <w:rPr>
                <w:sz w:val="20"/>
                <w:szCs w:val="20"/>
                <w:spacing w:val="2"/>
              </w:rPr>
              <w:t xml:space="preserve"> </w:t>
            </w:r>
            <w:r>
              <w:rPr>
                <w:sz w:val="20"/>
                <w:szCs w:val="20"/>
                <w:spacing w:val="14"/>
              </w:rPr>
              <w:t>西侧</w:t>
            </w:r>
            <w:r>
              <w:rPr>
                <w:rFonts w:ascii="Times New Roman" w:hAnsi="Times New Roman" w:eastAsia="Times New Roman" w:cs="Times New Roman"/>
                <w:sz w:val="20"/>
                <w:szCs w:val="20"/>
                <w:spacing w:val="14"/>
              </w:rPr>
              <w:t>159m</w:t>
            </w:r>
          </w:p>
        </w:tc>
        <w:tc>
          <w:tcPr>
            <w:tcW w:w="2958" w:type="dxa"/>
            <w:vAlign w:val="top"/>
            <w:tcBorders>
              <w:bottom w:val="single" w:color="000000" w:sz="10" w:space="0"/>
              <w:right w:val="nil"/>
            </w:tcBorders>
          </w:tcPr>
          <w:p>
            <w:pPr>
              <w:pStyle w:val="TableText"/>
              <w:ind w:left="174"/>
              <w:spacing w:before="49" w:line="228" w:lineRule="auto"/>
              <w:rPr>
                <w:sz w:val="20"/>
                <w:szCs w:val="20"/>
              </w:rPr>
            </w:pPr>
            <w:r>
              <w:rPr>
                <w:sz w:val="20"/>
                <w:szCs w:val="20"/>
                <w:spacing w:val="8"/>
              </w:rPr>
              <w:t>《土壤环境质量 农用地土壤</w:t>
            </w:r>
          </w:p>
          <w:p>
            <w:pPr>
              <w:pStyle w:val="TableText"/>
              <w:ind w:left="120"/>
              <w:spacing w:before="25" w:line="228" w:lineRule="auto"/>
              <w:rPr>
                <w:sz w:val="20"/>
                <w:szCs w:val="20"/>
              </w:rPr>
            </w:pPr>
            <w:r>
              <w:rPr>
                <w:sz w:val="20"/>
                <w:szCs w:val="20"/>
                <w:spacing w:val="9"/>
              </w:rPr>
              <w:t>污染风险管控标准（试行）》</w:t>
            </w:r>
          </w:p>
          <w:p>
            <w:pPr>
              <w:pStyle w:val="TableText"/>
              <w:ind w:left="525"/>
              <w:spacing w:before="25" w:line="216" w:lineRule="auto"/>
              <w:rPr>
                <w:sz w:val="20"/>
                <w:szCs w:val="20"/>
              </w:rPr>
            </w:pPr>
            <w:r>
              <w:rPr>
                <w:sz w:val="20"/>
                <w:szCs w:val="20"/>
                <w:spacing w:val="4"/>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4"/>
              </w:rPr>
              <w:t>15618-2018</w:t>
            </w:r>
            <w:r>
              <w:rPr>
                <w:sz w:val="20"/>
                <w:szCs w:val="20"/>
                <w:spacing w:val="4"/>
              </w:rPr>
              <w:t>）。</w:t>
            </w:r>
          </w:p>
        </w:tc>
      </w:tr>
    </w:tbl>
    <w:p>
      <w:pPr>
        <w:pStyle w:val="BodyText"/>
        <w:spacing w:line="337" w:lineRule="auto"/>
        <w:rPr/>
      </w:pPr>
      <w:r/>
    </w:p>
    <w:p>
      <w:pPr>
        <w:pStyle w:val="BodyText"/>
        <w:spacing w:line="337" w:lineRule="auto"/>
        <w:rPr/>
      </w:pPr>
      <w:r/>
    </w:p>
    <w:p>
      <w:pPr>
        <w:ind w:left="115"/>
        <w:spacing w:before="92" w:line="219" w:lineRule="auto"/>
        <w:outlineLvl w:val="0"/>
        <w:rPr>
          <w:rFonts w:ascii="SimSun" w:hAnsi="SimSun" w:eastAsia="SimSun" w:cs="SimSun"/>
          <w:sz w:val="28"/>
          <w:szCs w:val="28"/>
        </w:rPr>
      </w:pPr>
      <w:r>
        <w:rPr>
          <w:rFonts w:ascii="Times New Roman" w:hAnsi="Times New Roman" w:eastAsia="Times New Roman" w:cs="Times New Roman"/>
          <w:sz w:val="28"/>
          <w:szCs w:val="28"/>
          <w:b/>
          <w:bCs/>
        </w:rPr>
        <w:t>7</w:t>
      </w:r>
      <w:r>
        <w:rPr>
          <w:rFonts w:ascii="Times New Roman" w:hAnsi="Times New Roman" w:eastAsia="Times New Roman" w:cs="Times New Roman"/>
          <w:sz w:val="28"/>
          <w:szCs w:val="28"/>
          <w:b/>
          <w:bCs/>
          <w:spacing w:val="-41"/>
        </w:rPr>
        <w:t xml:space="preserve"> </w:t>
      </w:r>
      <w:r>
        <w:rPr>
          <w:rFonts w:ascii="SimSun" w:hAnsi="SimSun" w:eastAsia="SimSun" w:cs="SimSun"/>
          <w:sz w:val="28"/>
          <w:szCs w:val="28"/>
          <w14:textOutline w14:w="5103" w14:cap="sq" w14:cmpd="sng">
            <w14:solidFill>
              <w14:srgbClr w14:val="000000"/>
            </w14:solidFill>
            <w14:prstDash w14:val="solid"/>
            <w14:bevel/>
          </w14:textOutline>
        </w:rPr>
        <w:t>、完善大气环境影响分析。环评提出本项目生产</w:t>
      </w:r>
      <w:r>
        <w:rPr>
          <w:rFonts w:ascii="SimSun" w:hAnsi="SimSun" w:eastAsia="SimSun" w:cs="SimSun"/>
          <w:sz w:val="28"/>
          <w:szCs w:val="28"/>
          <w14:textOutline w14:w="5103" w14:cap="sq" w14:cmpd="sng">
            <w14:solidFill>
              <w14:srgbClr w14:val="000000"/>
            </w14:solidFill>
            <w14:prstDash w14:val="solid"/>
            <w14:bevel/>
          </w14:textOutline>
          <w:spacing w:val="-1"/>
        </w:rPr>
        <w:t>工艺中产生的挥发</w:t>
      </w:r>
    </w:p>
    <w:p>
      <w:pPr>
        <w:ind w:left="121" w:right="104" w:hanging="1"/>
        <w:spacing w:before="228" w:line="369"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4"/>
        </w:rPr>
        <w:t>性有机废气经负压收集后通过两级活性炭吸附处理，分析论证采用两</w:t>
      </w:r>
      <w:r>
        <w:rPr>
          <w:rFonts w:ascii="SimSun" w:hAnsi="SimSun" w:eastAsia="SimSun" w:cs="SimSun"/>
          <w:sz w:val="28"/>
          <w:szCs w:val="28"/>
          <w:spacing w:val="11"/>
        </w:rPr>
        <w:t xml:space="preserve"> </w:t>
      </w:r>
      <w:r>
        <w:rPr>
          <w:rFonts w:ascii="SimSun" w:hAnsi="SimSun" w:eastAsia="SimSun" w:cs="SimSun"/>
          <w:sz w:val="28"/>
          <w:szCs w:val="28"/>
          <w14:textOutline w14:w="5103" w14:cap="sq" w14:cmpd="sng">
            <w14:solidFill>
              <w14:srgbClr w14:val="000000"/>
            </w14:solidFill>
            <w14:prstDash w14:val="solid"/>
            <w14:bevel/>
          </w14:textOutline>
        </w:rPr>
        <w:t>级活性炭吸附装置净化处理挥发性有机废气是否符合自治区和昌吉</w:t>
      </w:r>
    </w:p>
    <w:p>
      <w:pPr>
        <w:ind w:left="118"/>
        <w:spacing w:line="219"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4"/>
        </w:rPr>
        <w:t>州最新大气污染控制要求。环评用《排放源统计调查产排污核算方法</w:t>
      </w:r>
    </w:p>
    <w:p>
      <w:pPr>
        <w:spacing w:line="219" w:lineRule="auto"/>
        <w:sectPr>
          <w:footerReference w:type="default" r:id="rId79"/>
          <w:pgSz w:w="11906" w:h="16839"/>
          <w:pgMar w:top="400" w:right="1695" w:bottom="1211" w:left="1693" w:header="0" w:footer="1049" w:gutter="0"/>
        </w:sectPr>
        <w:rPr>
          <w:rFonts w:ascii="SimSun" w:hAnsi="SimSun" w:eastAsia="SimSun" w:cs="SimSun"/>
          <w:sz w:val="28"/>
          <w:szCs w:val="28"/>
        </w:rPr>
      </w:pPr>
    </w:p>
    <w:p>
      <w:pPr>
        <w:pStyle w:val="BodyText"/>
        <w:spacing w:line="287" w:lineRule="auto"/>
        <w:rPr/>
      </w:pPr>
      <w:r/>
    </w:p>
    <w:p>
      <w:pPr>
        <w:pStyle w:val="BodyText"/>
        <w:spacing w:line="287" w:lineRule="auto"/>
        <w:rPr/>
      </w:pPr>
      <w:r/>
    </w:p>
    <w:p>
      <w:pPr>
        <w:pStyle w:val="BodyText"/>
        <w:spacing w:line="288" w:lineRule="auto"/>
        <w:rPr/>
      </w:pPr>
      <w:r/>
    </w:p>
    <w:p>
      <w:pPr>
        <w:pStyle w:val="BodyText"/>
        <w:spacing w:line="288" w:lineRule="auto"/>
        <w:rPr/>
      </w:pPr>
      <w:r/>
    </w:p>
    <w:p>
      <w:pPr>
        <w:ind w:left="25" w:firstLine="1"/>
        <w:spacing w:before="91" w:line="369" w:lineRule="auto"/>
        <w:jc w:val="both"/>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4"/>
        </w:rPr>
        <w:t>和系数手册》推荐的方法分析有机废气治理设施可行性，不符合现行</w:t>
      </w:r>
      <w:r>
        <w:rPr>
          <w:rFonts w:ascii="SimSun" w:hAnsi="SimSun" w:eastAsia="SimSun" w:cs="SimSun"/>
          <w:sz w:val="28"/>
          <w:szCs w:val="28"/>
          <w:spacing w:val="1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4"/>
        </w:rPr>
        <w:t>环境管理要求。建议选用国家推荐的污染防治可行技术、污染物净化</w:t>
      </w:r>
      <w:r>
        <w:rPr>
          <w:rFonts w:ascii="SimSun" w:hAnsi="SimSun" w:eastAsia="SimSun" w:cs="SimSun"/>
          <w:sz w:val="28"/>
          <w:szCs w:val="28"/>
          <w:spacing w:val="12"/>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
        </w:rPr>
        <w:t>效率不低于</w:t>
      </w:r>
      <w:r>
        <w:rPr>
          <w:rFonts w:ascii="Times New Roman" w:hAnsi="Times New Roman" w:eastAsia="Times New Roman" w:cs="Times New Roman"/>
          <w:sz w:val="28"/>
          <w:szCs w:val="28"/>
          <w:b/>
          <w:bCs/>
          <w:spacing w:val="-1"/>
        </w:rPr>
        <w:t>90%</w:t>
      </w:r>
      <w:r>
        <w:rPr>
          <w:rFonts w:ascii="SimSun" w:hAnsi="SimSun" w:eastAsia="SimSun" w:cs="SimSun"/>
          <w:sz w:val="28"/>
          <w:szCs w:val="28"/>
          <w14:textOutline w14:w="5103" w14:cap="sq" w14:cmpd="sng">
            <w14:solidFill>
              <w14:srgbClr w14:val="000000"/>
            </w14:solidFill>
            <w14:prstDash w14:val="solid"/>
            <w14:bevel/>
          </w14:textOutline>
          <w:spacing w:val="-1"/>
        </w:rPr>
        <w:t>的有机废气净化设施，降低挥发性有机废气排放量。</w:t>
      </w:r>
      <w:r>
        <w:rPr>
          <w:rFonts w:ascii="SimSun" w:hAnsi="SimSun" w:eastAsia="SimSun" w:cs="SimSun"/>
          <w:sz w:val="28"/>
          <w:szCs w:val="28"/>
          <w:spacing w:val="6"/>
        </w:rPr>
        <w:t xml:space="preserve"> </w:t>
      </w:r>
      <w:r>
        <w:rPr>
          <w:rFonts w:ascii="SimSun" w:hAnsi="SimSun" w:eastAsia="SimSun" w:cs="SimSun"/>
          <w:sz w:val="28"/>
          <w:szCs w:val="28"/>
          <w14:textOutline w14:w="5103" w14:cap="sq" w14:cmpd="sng">
            <w14:solidFill>
              <w14:srgbClr w14:val="000000"/>
            </w14:solidFill>
            <w14:prstDash w14:val="solid"/>
            <w14:bevel/>
          </w14:textOutline>
          <w:spacing w:val="-4"/>
        </w:rPr>
        <w:t>大气环境监测计划应补充厂区内有机废气监测方案，按照《挥发性有</w:t>
      </w:r>
    </w:p>
    <w:p>
      <w:pPr>
        <w:ind w:left="23"/>
        <w:spacing w:line="219"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机物无组织排放控制标准》（</w:t>
      </w:r>
      <w:r>
        <w:rPr>
          <w:rFonts w:ascii="Times New Roman" w:hAnsi="Times New Roman" w:eastAsia="Times New Roman" w:cs="Times New Roman"/>
          <w:sz w:val="28"/>
          <w:szCs w:val="28"/>
          <w:b/>
          <w:bCs/>
        </w:rPr>
        <w:t>GB37822-2019</w:t>
      </w:r>
      <w:r>
        <w:rPr>
          <w:rFonts w:ascii="SimSun" w:hAnsi="SimSun" w:eastAsia="SimSun" w:cs="SimSun"/>
          <w:sz w:val="28"/>
          <w:szCs w:val="28"/>
          <w14:textOutline w14:w="5103" w14:cap="sq" w14:cmpd="sng">
            <w14:solidFill>
              <w14:srgbClr w14:val="000000"/>
            </w14:solidFill>
            <w14:prstDash w14:val="solid"/>
            <w14:bevel/>
          </w14:textOutline>
        </w:rPr>
        <w:t>）中相关规定执行。</w:t>
      </w:r>
    </w:p>
    <w:p>
      <w:pPr>
        <w:ind w:left="529"/>
        <w:spacing w:before="214" w:line="219" w:lineRule="auto"/>
        <w:rPr>
          <w:rFonts w:ascii="Times New Roman" w:hAnsi="Times New Roman" w:eastAsia="Times New Roman" w:cs="Times New Roman"/>
          <w:sz w:val="24"/>
          <w:szCs w:val="24"/>
        </w:rPr>
      </w:pPr>
      <w:r>
        <w:rPr>
          <w:rFonts w:ascii="SimSun" w:hAnsi="SimSun" w:eastAsia="SimSun" w:cs="SimSun"/>
          <w:sz w:val="24"/>
          <w:szCs w:val="24"/>
          <w:spacing w:val="-5"/>
        </w:rPr>
        <w:t>已修改，见</w:t>
      </w:r>
      <w:r>
        <w:rPr>
          <w:rFonts w:ascii="Times New Roman" w:hAnsi="Times New Roman" w:eastAsia="Times New Roman" w:cs="Times New Roman"/>
          <w:sz w:val="24"/>
          <w:szCs w:val="24"/>
          <w:spacing w:val="-5"/>
        </w:rPr>
        <w:t>P43</w:t>
      </w:r>
    </w:p>
    <w:p>
      <w:pPr>
        <w:ind w:left="497"/>
        <w:spacing w:before="216" w:line="220" w:lineRule="auto"/>
        <w:rPr>
          <w:rFonts w:ascii="SimSun" w:hAnsi="SimSun" w:eastAsia="SimSun" w:cs="SimSun"/>
          <w:sz w:val="24"/>
          <w:szCs w:val="24"/>
        </w:rPr>
      </w:pPr>
      <w:hyperlink w:history="true" r:id="rId81">
        <w:r>
          <w:rPr>
            <w:rFonts w:ascii="Times New Roman" w:hAnsi="Times New Roman" w:eastAsia="Times New Roman" w:cs="Times New Roman"/>
            <w:sz w:val="24"/>
            <w:szCs w:val="24"/>
            <w:spacing w:val="-1"/>
          </w:rPr>
          <w:t>4.2.1.5</w:t>
        </w:r>
      </w:hyperlink>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1"/>
        </w:rPr>
        <w:t>废气治理设施合理可行性</w:t>
      </w:r>
    </w:p>
    <w:p>
      <w:pPr>
        <w:ind w:left="514"/>
        <w:spacing w:before="213"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）符合废气污染防治可行性技术</w:t>
      </w:r>
    </w:p>
    <w:p>
      <w:pPr>
        <w:ind w:left="503"/>
        <w:spacing w:before="215" w:line="219" w:lineRule="auto"/>
        <w:rPr>
          <w:rFonts w:ascii="SimSun" w:hAnsi="SimSun" w:eastAsia="SimSun" w:cs="SimSun"/>
          <w:sz w:val="24"/>
          <w:szCs w:val="24"/>
        </w:rPr>
      </w:pPr>
      <w:r>
        <w:rPr>
          <w:rFonts w:ascii="SimSun" w:hAnsi="SimSun" w:eastAsia="SimSun" w:cs="SimSun"/>
          <w:sz w:val="24"/>
          <w:szCs w:val="24"/>
          <w:spacing w:val="-1"/>
        </w:rPr>
        <w:t>根据《排污许可证申请与核发技术规范 橡胶和塑料制品工业》</w:t>
      </w:r>
    </w:p>
    <w:p>
      <w:pPr>
        <w:ind w:left="22" w:right="81" w:firstLine="12"/>
        <w:spacing w:before="215" w:line="385"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HJ1122-2020</w:t>
      </w:r>
      <w:r>
        <w:rPr>
          <w:rFonts w:ascii="SimSun" w:hAnsi="SimSun" w:eastAsia="SimSun" w:cs="SimSun"/>
          <w:sz w:val="24"/>
          <w:szCs w:val="24"/>
          <w:spacing w:val="-1"/>
        </w:rPr>
        <w:t>）中第二部分塑料制品工业附录</w:t>
      </w:r>
      <w:r>
        <w:rPr>
          <w:rFonts w:ascii="Times New Roman" w:hAnsi="Times New Roman" w:eastAsia="Times New Roman" w:cs="Times New Roman"/>
          <w:sz w:val="24"/>
          <w:szCs w:val="24"/>
          <w:spacing w:val="-1"/>
        </w:rPr>
        <w:t>A</w:t>
      </w:r>
      <w:r>
        <w:rPr>
          <w:rFonts w:ascii="SimSun" w:hAnsi="SimSun" w:eastAsia="SimSun" w:cs="SimSun"/>
          <w:sz w:val="24"/>
          <w:szCs w:val="24"/>
          <w:spacing w:val="-1"/>
        </w:rPr>
        <w:t>中表</w:t>
      </w:r>
      <w:r>
        <w:rPr>
          <w:rFonts w:ascii="Times New Roman" w:hAnsi="Times New Roman" w:eastAsia="Times New Roman" w:cs="Times New Roman"/>
          <w:sz w:val="24"/>
          <w:szCs w:val="24"/>
          <w:spacing w:val="-1"/>
        </w:rPr>
        <w:t>A.2</w:t>
      </w:r>
      <w:r>
        <w:rPr>
          <w:rFonts w:ascii="SimSun" w:hAnsi="SimSun" w:eastAsia="SimSun" w:cs="SimSun"/>
          <w:sz w:val="24"/>
          <w:szCs w:val="24"/>
          <w:spacing w:val="-1"/>
        </w:rPr>
        <w:t>塑料制品工业排污单位</w:t>
      </w:r>
      <w:r>
        <w:rPr>
          <w:rFonts w:ascii="SimSun" w:hAnsi="SimSun" w:eastAsia="SimSun" w:cs="SimSun"/>
          <w:sz w:val="24"/>
          <w:szCs w:val="24"/>
          <w:spacing w:val="10"/>
        </w:rPr>
        <w:t xml:space="preserve"> </w:t>
      </w:r>
      <w:r>
        <w:rPr>
          <w:rFonts w:ascii="SimSun" w:hAnsi="SimSun" w:eastAsia="SimSun" w:cs="SimSun"/>
          <w:sz w:val="24"/>
          <w:szCs w:val="24"/>
        </w:rPr>
        <w:t>废气污染防治可行性技术参考表，塑料薄膜制造类别污</w:t>
      </w:r>
      <w:r>
        <w:rPr>
          <w:rFonts w:ascii="SimSun" w:hAnsi="SimSun" w:eastAsia="SimSun" w:cs="SimSun"/>
          <w:sz w:val="24"/>
          <w:szCs w:val="24"/>
          <w:spacing w:val="-1"/>
        </w:rPr>
        <w:t>染防治设施名称及工艺</w:t>
      </w:r>
      <w:r>
        <w:rPr>
          <w:rFonts w:ascii="SimSun" w:hAnsi="SimSun" w:eastAsia="SimSun" w:cs="SimSun"/>
          <w:sz w:val="24"/>
          <w:szCs w:val="24"/>
        </w:rPr>
        <w:t xml:space="preserve">  </w:t>
      </w:r>
      <w:r>
        <w:rPr>
          <w:rFonts w:ascii="SimSun" w:hAnsi="SimSun" w:eastAsia="SimSun" w:cs="SimSun"/>
          <w:sz w:val="24"/>
          <w:szCs w:val="24"/>
          <w:spacing w:val="-1"/>
        </w:rPr>
        <w:t>有：除尘、喷淋、吸附、热力燃烧、催化燃烧、低温等离子体、</w:t>
      </w:r>
      <w:r>
        <w:rPr>
          <w:rFonts w:ascii="Times New Roman" w:hAnsi="Times New Roman" w:eastAsia="Times New Roman" w:cs="Times New Roman"/>
          <w:sz w:val="24"/>
          <w:szCs w:val="24"/>
          <w:spacing w:val="-1"/>
        </w:rPr>
        <w:t>UV</w:t>
      </w:r>
      <w:r>
        <w:rPr>
          <w:rFonts w:ascii="SimSun" w:hAnsi="SimSun" w:eastAsia="SimSun" w:cs="SimSun"/>
          <w:sz w:val="24"/>
          <w:szCs w:val="24"/>
          <w:spacing w:val="-1"/>
        </w:rPr>
        <w:t>光氧催化</w:t>
      </w:r>
      <w:r>
        <w:rPr>
          <w:rFonts w:ascii="Times New Roman" w:hAnsi="Times New Roman" w:eastAsia="Times New Roman" w:cs="Times New Roman"/>
          <w:sz w:val="24"/>
          <w:szCs w:val="24"/>
          <w:spacing w:val="-1"/>
        </w:rPr>
        <w:t>/</w:t>
      </w:r>
      <w:r>
        <w:rPr>
          <w:rFonts w:ascii="SimSun" w:hAnsi="SimSun" w:eastAsia="SimSun" w:cs="SimSun"/>
          <w:sz w:val="24"/>
          <w:szCs w:val="24"/>
          <w:spacing w:val="-1"/>
        </w:rPr>
        <w:t>光</w:t>
      </w:r>
    </w:p>
    <w:p>
      <w:pPr>
        <w:ind w:left="23"/>
        <w:spacing w:line="219" w:lineRule="auto"/>
        <w:rPr>
          <w:rFonts w:ascii="SimSun" w:hAnsi="SimSun" w:eastAsia="SimSun" w:cs="SimSun"/>
          <w:sz w:val="24"/>
          <w:szCs w:val="24"/>
        </w:rPr>
      </w:pPr>
      <w:r>
        <w:rPr>
          <w:rFonts w:ascii="SimSun" w:hAnsi="SimSun" w:eastAsia="SimSun" w:cs="SimSun"/>
          <w:sz w:val="24"/>
          <w:szCs w:val="24"/>
          <w:spacing w:val="-1"/>
        </w:rPr>
        <w:t>催化、生物法、以上组合技术。</w:t>
      </w:r>
    </w:p>
    <w:p>
      <w:pPr>
        <w:ind w:left="504"/>
        <w:spacing w:before="214" w:line="499" w:lineRule="exact"/>
        <w:rPr>
          <w:rFonts w:ascii="SimSun" w:hAnsi="SimSun" w:eastAsia="SimSun" w:cs="SimSun"/>
          <w:sz w:val="24"/>
          <w:szCs w:val="24"/>
        </w:rPr>
      </w:pPr>
      <w:r>
        <w:rPr>
          <w:rFonts w:ascii="SimSun" w:hAnsi="SimSun" w:eastAsia="SimSun" w:cs="SimSun"/>
          <w:sz w:val="24"/>
          <w:szCs w:val="24"/>
          <w:position w:val="19"/>
        </w:rPr>
        <w:t>本项目有组织废气采用活性炭吸附</w:t>
      </w:r>
      <w:r>
        <w:rPr>
          <w:rFonts w:ascii="Times New Roman" w:hAnsi="Times New Roman" w:eastAsia="Times New Roman" w:cs="Times New Roman"/>
          <w:sz w:val="24"/>
          <w:szCs w:val="24"/>
          <w:position w:val="19"/>
        </w:rPr>
        <w:t>+</w:t>
      </w:r>
      <w:r>
        <w:rPr>
          <w:rFonts w:ascii="SimSun" w:hAnsi="SimSun" w:eastAsia="SimSun" w:cs="SimSun"/>
          <w:sz w:val="24"/>
          <w:szCs w:val="24"/>
          <w:position w:val="19"/>
        </w:rPr>
        <w:t>直接催化</w:t>
      </w:r>
      <w:r>
        <w:rPr>
          <w:rFonts w:ascii="SimSun" w:hAnsi="SimSun" w:eastAsia="SimSun" w:cs="SimSun"/>
          <w:sz w:val="24"/>
          <w:szCs w:val="24"/>
          <w:spacing w:val="-1"/>
          <w:position w:val="19"/>
        </w:rPr>
        <w:t>燃烧法装置处理，属于两级组</w:t>
      </w:r>
    </w:p>
    <w:p>
      <w:pPr>
        <w:ind w:left="24"/>
        <w:spacing w:before="1" w:line="219" w:lineRule="auto"/>
        <w:rPr>
          <w:rFonts w:ascii="SimSun" w:hAnsi="SimSun" w:eastAsia="SimSun" w:cs="SimSun"/>
          <w:sz w:val="24"/>
          <w:szCs w:val="24"/>
        </w:rPr>
      </w:pPr>
      <w:r>
        <w:rPr>
          <w:rFonts w:ascii="SimSun" w:hAnsi="SimSun" w:eastAsia="SimSun" w:cs="SimSun"/>
          <w:sz w:val="24"/>
          <w:szCs w:val="24"/>
        </w:rPr>
        <w:t>合技术，属于《排污许可证申请与核发技术规</w:t>
      </w:r>
      <w:r>
        <w:rPr>
          <w:rFonts w:ascii="SimSun" w:hAnsi="SimSun" w:eastAsia="SimSun" w:cs="SimSun"/>
          <w:sz w:val="24"/>
          <w:szCs w:val="24"/>
          <w:spacing w:val="-1"/>
        </w:rPr>
        <w:t>范 橡胶和塑料制品工业》</w:t>
      </w:r>
    </w:p>
    <w:p>
      <w:pPr>
        <w:ind w:left="34"/>
        <w:spacing w:before="217"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HJ1122-2020</w:t>
      </w:r>
      <w:r>
        <w:rPr>
          <w:rFonts w:ascii="SimSun" w:hAnsi="SimSun" w:eastAsia="SimSun" w:cs="SimSun"/>
          <w:sz w:val="24"/>
          <w:szCs w:val="24"/>
          <w:spacing w:val="-2"/>
        </w:rPr>
        <w:t>）可行性技术。</w:t>
      </w:r>
    </w:p>
    <w:p>
      <w:pPr>
        <w:ind w:left="23" w:right="81" w:firstLine="480"/>
        <w:spacing w:before="216" w:line="384" w:lineRule="auto"/>
        <w:rPr>
          <w:rFonts w:ascii="SimSun" w:hAnsi="SimSun" w:eastAsia="SimSun" w:cs="SimSun"/>
          <w:sz w:val="24"/>
          <w:szCs w:val="24"/>
        </w:rPr>
      </w:pPr>
      <w:r>
        <w:rPr>
          <w:rFonts w:ascii="SimSun" w:hAnsi="SimSun" w:eastAsia="SimSun" w:cs="SimSun"/>
          <w:sz w:val="24"/>
          <w:szCs w:val="24"/>
          <w:spacing w:val="-1"/>
        </w:rPr>
        <w:t>本项目使用集气罩收集有机废气，经计算，废气产生量为</w:t>
      </w:r>
      <w:r>
        <w:rPr>
          <w:rFonts w:ascii="Times New Roman" w:hAnsi="Times New Roman" w:eastAsia="Times New Roman" w:cs="Times New Roman"/>
          <w:sz w:val="24"/>
          <w:szCs w:val="24"/>
          <w:spacing w:val="-1"/>
        </w:rPr>
        <w:t>1t/a</w:t>
      </w:r>
      <w:r>
        <w:rPr>
          <w:rFonts w:ascii="Times New Roman" w:hAnsi="Times New Roman" w:eastAsia="Times New Roman" w:cs="Times New Roman"/>
          <w:sz w:val="24"/>
          <w:szCs w:val="24"/>
          <w:spacing w:val="-32"/>
        </w:rPr>
        <w:t xml:space="preserve"> </w:t>
      </w:r>
      <w:r>
        <w:rPr>
          <w:rFonts w:ascii="SimSun" w:hAnsi="SimSun" w:eastAsia="SimSun" w:cs="SimSun"/>
          <w:sz w:val="24"/>
          <w:szCs w:val="24"/>
          <w:spacing w:val="-1"/>
        </w:rPr>
        <w:t>，</w:t>
      </w:r>
      <w:r>
        <w:rPr>
          <w:rFonts w:ascii="SimSun" w:hAnsi="SimSun" w:eastAsia="SimSun" w:cs="SimSun"/>
          <w:sz w:val="24"/>
          <w:szCs w:val="24"/>
          <w:spacing w:val="-2"/>
        </w:rPr>
        <w:t>产生浓度为</w:t>
      </w:r>
      <w:r>
        <w:rPr>
          <w:rFonts w:ascii="SimSun" w:hAnsi="SimSun" w:eastAsia="SimSun" w:cs="SimSun"/>
          <w:sz w:val="24"/>
          <w:szCs w:val="24"/>
        </w:rPr>
        <w:t xml:space="preserve"> </w:t>
      </w:r>
      <w:r>
        <w:rPr>
          <w:rFonts w:ascii="Times New Roman" w:hAnsi="Times New Roman" w:eastAsia="Times New Roman" w:cs="Times New Roman"/>
          <w:sz w:val="24"/>
          <w:szCs w:val="24"/>
          <w:spacing w:val="-3"/>
        </w:rPr>
        <w:t>31.57mg/m</w:t>
      </w:r>
      <w:r>
        <w:rPr>
          <w:rFonts w:ascii="SimSun" w:hAnsi="SimSun" w:eastAsia="SimSun" w:cs="SimSun"/>
          <w:sz w:val="24"/>
          <w:szCs w:val="24"/>
          <w:spacing w:val="-3"/>
        </w:rPr>
        <w:t>³, 在未经处理情况下废气排放浓度可满足《合成树脂工业污染物</w:t>
      </w:r>
      <w:r>
        <w:rPr>
          <w:rFonts w:ascii="SimSun" w:hAnsi="SimSun" w:eastAsia="SimSun" w:cs="SimSun"/>
          <w:sz w:val="24"/>
          <w:szCs w:val="24"/>
          <w:spacing w:val="-4"/>
        </w:rPr>
        <w:t>排放</w:t>
      </w:r>
      <w:r>
        <w:rPr>
          <w:rFonts w:ascii="SimSun" w:hAnsi="SimSun" w:eastAsia="SimSun" w:cs="SimSun"/>
          <w:sz w:val="24"/>
          <w:szCs w:val="24"/>
        </w:rPr>
        <w:t xml:space="preserve"> </w:t>
      </w:r>
      <w:r>
        <w:rPr>
          <w:rFonts w:ascii="SimSun" w:hAnsi="SimSun" w:eastAsia="SimSun" w:cs="SimSun"/>
          <w:sz w:val="24"/>
          <w:szCs w:val="24"/>
          <w:spacing w:val="-4"/>
        </w:rPr>
        <w:t>标准》（</w:t>
      </w:r>
      <w:r>
        <w:rPr>
          <w:rFonts w:ascii="Times New Roman" w:hAnsi="Times New Roman" w:eastAsia="Times New Roman" w:cs="Times New Roman"/>
          <w:sz w:val="24"/>
          <w:szCs w:val="24"/>
          <w:spacing w:val="-4"/>
        </w:rPr>
        <w:t>GB31572-2015</w:t>
      </w:r>
      <w:r>
        <w:rPr>
          <w:rFonts w:ascii="SimSun" w:hAnsi="SimSun" w:eastAsia="SimSun" w:cs="SimSun"/>
          <w:sz w:val="24"/>
          <w:szCs w:val="24"/>
          <w:spacing w:val="-4"/>
        </w:rPr>
        <w:t>）中表</w:t>
      </w:r>
      <w:r>
        <w:rPr>
          <w:rFonts w:ascii="Times New Roman" w:hAnsi="Times New Roman" w:eastAsia="Times New Roman" w:cs="Times New Roman"/>
          <w:sz w:val="24"/>
          <w:szCs w:val="24"/>
          <w:spacing w:val="-4"/>
        </w:rPr>
        <w:t>5</w:t>
      </w:r>
      <w:r>
        <w:rPr>
          <w:rFonts w:ascii="SimSun" w:hAnsi="SimSun" w:eastAsia="SimSun" w:cs="SimSun"/>
          <w:sz w:val="24"/>
          <w:szCs w:val="24"/>
          <w:spacing w:val="-4"/>
        </w:rPr>
        <w:t>大气污染物特别排放限值要求（浓度</w:t>
      </w:r>
      <w:r>
        <w:rPr>
          <w:rFonts w:ascii="Times New Roman" w:hAnsi="Times New Roman" w:eastAsia="Times New Roman" w:cs="Times New Roman"/>
          <w:sz w:val="24"/>
          <w:szCs w:val="24"/>
          <w:spacing w:val="-4"/>
        </w:rPr>
        <w:t>60mg/m</w:t>
      </w:r>
      <w:r>
        <w:rPr>
          <w:rFonts w:ascii="SimSun" w:hAnsi="SimSun" w:eastAsia="SimSun" w:cs="SimSun"/>
          <w:sz w:val="24"/>
          <w:szCs w:val="24"/>
          <w:spacing w:val="-4"/>
        </w:rPr>
        <w:t>³) ,</w:t>
      </w:r>
      <w:r>
        <w:rPr>
          <w:rFonts w:ascii="SimSun" w:hAnsi="SimSun" w:eastAsia="SimSun" w:cs="SimSun"/>
          <w:sz w:val="24"/>
          <w:szCs w:val="24"/>
          <w:spacing w:val="12"/>
        </w:rPr>
        <w:t xml:space="preserve"> </w:t>
      </w:r>
      <w:r>
        <w:rPr>
          <w:rFonts w:ascii="SimSun" w:hAnsi="SimSun" w:eastAsia="SimSun" w:cs="SimSun"/>
          <w:sz w:val="24"/>
          <w:szCs w:val="24"/>
        </w:rPr>
        <w:t>为减少挥发性有机废气对周边环境影响，采取了“活</w:t>
      </w:r>
      <w:r>
        <w:rPr>
          <w:rFonts w:ascii="SimSun" w:hAnsi="SimSun" w:eastAsia="SimSun" w:cs="SimSun"/>
          <w:sz w:val="24"/>
          <w:szCs w:val="24"/>
          <w:spacing w:val="-1"/>
        </w:rPr>
        <w:t>性炭吸附</w:t>
      </w:r>
      <w:r>
        <w:rPr>
          <w:rFonts w:ascii="Times New Roman" w:hAnsi="Times New Roman" w:eastAsia="Times New Roman" w:cs="Times New Roman"/>
          <w:sz w:val="24"/>
          <w:szCs w:val="24"/>
          <w:spacing w:val="-1"/>
        </w:rPr>
        <w:t>+</w:t>
      </w:r>
      <w:r>
        <w:rPr>
          <w:rFonts w:ascii="SimSun" w:hAnsi="SimSun" w:eastAsia="SimSun" w:cs="SimSun"/>
          <w:sz w:val="24"/>
          <w:szCs w:val="24"/>
          <w:spacing w:val="-1"/>
        </w:rPr>
        <w:t>直接催化燃烧法</w:t>
      </w:r>
    </w:p>
    <w:p>
      <w:pPr>
        <w:ind w:left="23"/>
        <w:spacing w:before="1" w:line="219" w:lineRule="auto"/>
        <w:rPr>
          <w:rFonts w:ascii="SimSun" w:hAnsi="SimSun" w:eastAsia="SimSun" w:cs="SimSun"/>
          <w:sz w:val="24"/>
          <w:szCs w:val="24"/>
        </w:rPr>
      </w:pPr>
      <w:r>
        <w:rPr>
          <w:rFonts w:ascii="SimSun" w:hAnsi="SimSun" w:eastAsia="SimSun" w:cs="SimSun"/>
          <w:sz w:val="24"/>
          <w:szCs w:val="24"/>
          <w:spacing w:val="-3"/>
        </w:rPr>
        <w:t>装置</w:t>
      </w:r>
      <w:r>
        <w:rPr>
          <w:rFonts w:ascii="Times New Roman" w:hAnsi="Times New Roman" w:eastAsia="Times New Roman" w:cs="Times New Roman"/>
          <w:sz w:val="24"/>
          <w:szCs w:val="24"/>
          <w:spacing w:val="-3"/>
        </w:rPr>
        <w:t>+15m</w:t>
      </w:r>
      <w:r>
        <w:rPr>
          <w:rFonts w:ascii="SimSun" w:hAnsi="SimSun" w:eastAsia="SimSun" w:cs="SimSun"/>
          <w:sz w:val="24"/>
          <w:szCs w:val="24"/>
          <w:spacing w:val="-3"/>
        </w:rPr>
        <w:t>排气筒</w:t>
      </w:r>
      <w:r>
        <w:rPr>
          <w:rFonts w:ascii="SimSun" w:hAnsi="SimSun" w:eastAsia="SimSun" w:cs="SimSun"/>
          <w:sz w:val="24"/>
          <w:szCs w:val="24"/>
          <w:spacing w:val="-86"/>
        </w:rPr>
        <w:t xml:space="preserve"> </w:t>
      </w:r>
      <w:r>
        <w:rPr>
          <w:rFonts w:ascii="SimSun" w:hAnsi="SimSun" w:eastAsia="SimSun" w:cs="SimSun"/>
          <w:sz w:val="24"/>
          <w:szCs w:val="24"/>
          <w:spacing w:val="-3"/>
        </w:rPr>
        <w:t>”处理措施。</w:t>
      </w:r>
    </w:p>
    <w:p>
      <w:pPr>
        <w:ind w:left="514"/>
        <w:spacing w:before="216"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）活性炭吸附</w:t>
      </w:r>
      <w:r>
        <w:rPr>
          <w:rFonts w:ascii="Times New Roman" w:hAnsi="Times New Roman" w:eastAsia="Times New Roman" w:cs="Times New Roman"/>
          <w:sz w:val="24"/>
          <w:szCs w:val="24"/>
          <w:spacing w:val="-2"/>
        </w:rPr>
        <w:t>+</w:t>
      </w:r>
      <w:r>
        <w:rPr>
          <w:rFonts w:ascii="SimSun" w:hAnsi="SimSun" w:eastAsia="SimSun" w:cs="SimSun"/>
          <w:sz w:val="24"/>
          <w:szCs w:val="24"/>
          <w:spacing w:val="-2"/>
        </w:rPr>
        <w:t>直接催化燃烧法装置优点</w:t>
      </w:r>
    </w:p>
    <w:p>
      <w:pPr>
        <w:ind w:left="25" w:right="1" w:firstLine="478"/>
        <w:spacing w:before="217" w:line="384" w:lineRule="auto"/>
        <w:rPr>
          <w:rFonts w:ascii="SimSun" w:hAnsi="SimSun" w:eastAsia="SimSun" w:cs="SimSun"/>
          <w:sz w:val="24"/>
          <w:szCs w:val="24"/>
        </w:rPr>
      </w:pPr>
      <w:r>
        <w:rPr>
          <w:rFonts w:ascii="SimSun" w:hAnsi="SimSun" w:eastAsia="SimSun" w:cs="SimSun"/>
          <w:sz w:val="24"/>
          <w:szCs w:val="24"/>
          <w:spacing w:val="-5"/>
        </w:rPr>
        <w:t>根据比选，“固定床吸附系统</w:t>
      </w:r>
      <w:r>
        <w:rPr>
          <w:rFonts w:ascii="SimSun" w:hAnsi="SimSun" w:eastAsia="SimSun" w:cs="SimSun"/>
          <w:sz w:val="24"/>
          <w:szCs w:val="24"/>
          <w:spacing w:val="-74"/>
        </w:rPr>
        <w:t xml:space="preserve"> </w:t>
      </w:r>
      <w:r>
        <w:rPr>
          <w:rFonts w:ascii="SimSun" w:hAnsi="SimSun" w:eastAsia="SimSun" w:cs="SimSun"/>
          <w:sz w:val="24"/>
          <w:szCs w:val="24"/>
          <w:spacing w:val="-5"/>
        </w:rPr>
        <w:t>”技术适用于生产和使用溶剂型和水性涂料的 </w:t>
      </w:r>
      <w:r>
        <w:rPr>
          <w:rFonts w:ascii="SimSun" w:hAnsi="SimSun" w:eastAsia="SimSun" w:cs="SimSun"/>
          <w:sz w:val="24"/>
          <w:szCs w:val="24"/>
          <w:spacing w:val="-2"/>
        </w:rPr>
        <w:t>企业；“旋转式（转轮、转筒）吸附系统</w:t>
      </w:r>
      <w:r>
        <w:rPr>
          <w:rFonts w:ascii="SimSun" w:hAnsi="SimSun" w:eastAsia="SimSun" w:cs="SimSun"/>
          <w:sz w:val="24"/>
          <w:szCs w:val="24"/>
          <w:spacing w:val="-89"/>
        </w:rPr>
        <w:t xml:space="preserve"> </w:t>
      </w:r>
      <w:r>
        <w:rPr>
          <w:rFonts w:ascii="SimSun" w:hAnsi="SimSun" w:eastAsia="SimSun" w:cs="SimSun"/>
          <w:sz w:val="24"/>
          <w:szCs w:val="24"/>
          <w:spacing w:val="-2"/>
        </w:rPr>
        <w:t>”技术适用于低浓度(≤</w:t>
      </w:r>
      <w:r>
        <w:rPr>
          <w:rFonts w:ascii="Times New Roman" w:hAnsi="Times New Roman" w:eastAsia="Times New Roman" w:cs="Times New Roman"/>
          <w:sz w:val="24"/>
          <w:szCs w:val="24"/>
          <w:spacing w:val="-3"/>
        </w:rPr>
        <w:t>5000mg/m</w:t>
      </w:r>
      <w:r>
        <w:rPr>
          <w:rFonts w:ascii="SimSun" w:hAnsi="SimSun" w:eastAsia="SimSun" w:cs="SimSun"/>
          <w:sz w:val="24"/>
          <w:szCs w:val="24"/>
          <w:spacing w:val="-3"/>
        </w:rPr>
        <w:t>³)</w:t>
      </w:r>
      <w:r>
        <w:rPr>
          <w:rFonts w:ascii="SimSun" w:hAnsi="SimSun" w:eastAsia="SimSun" w:cs="SimSun"/>
          <w:sz w:val="24"/>
          <w:szCs w:val="24"/>
          <w:spacing w:val="-46"/>
        </w:rPr>
        <w:t xml:space="preserve"> </w:t>
      </w:r>
      <w:r>
        <w:rPr>
          <w:rFonts w:ascii="SimSun" w:hAnsi="SimSun" w:eastAsia="SimSun" w:cs="SimSun"/>
          <w:sz w:val="24"/>
          <w:szCs w:val="24"/>
          <w:spacing w:val="-3"/>
        </w:rPr>
        <w:t>、</w:t>
      </w:r>
      <w:r>
        <w:rPr>
          <w:rFonts w:ascii="SimSun" w:hAnsi="SimSun" w:eastAsia="SimSun" w:cs="SimSun"/>
          <w:sz w:val="24"/>
          <w:szCs w:val="24"/>
        </w:rPr>
        <w:t xml:space="preserve"> </w:t>
      </w:r>
      <w:r>
        <w:rPr>
          <w:rFonts w:ascii="SimSun" w:hAnsi="SimSun" w:eastAsia="SimSun" w:cs="SimSun"/>
          <w:sz w:val="24"/>
          <w:szCs w:val="24"/>
          <w:spacing w:val="2"/>
        </w:rPr>
        <w:t>大风量(≤</w:t>
      </w:r>
      <w:r>
        <w:rPr>
          <w:rFonts w:ascii="Times New Roman" w:hAnsi="Times New Roman" w:eastAsia="Times New Roman" w:cs="Times New Roman"/>
          <w:sz w:val="24"/>
          <w:szCs w:val="24"/>
          <w:spacing w:val="2"/>
        </w:rPr>
        <w:t>100000m</w:t>
      </w:r>
      <w:r>
        <w:rPr>
          <w:rFonts w:ascii="SimSun" w:hAnsi="SimSun" w:eastAsia="SimSun" w:cs="SimSun"/>
          <w:sz w:val="24"/>
          <w:szCs w:val="24"/>
          <w:spacing w:val="2"/>
        </w:rPr>
        <w:t>³</w:t>
      </w:r>
      <w:r>
        <w:rPr>
          <w:rFonts w:ascii="Times New Roman" w:hAnsi="Times New Roman" w:eastAsia="Times New Roman" w:cs="Times New Roman"/>
          <w:sz w:val="24"/>
          <w:szCs w:val="24"/>
          <w:spacing w:val="2"/>
        </w:rPr>
        <w:t>/h</w:t>
      </w:r>
      <w:r>
        <w:rPr>
          <w:rFonts w:ascii="SimSun" w:hAnsi="SimSun" w:eastAsia="SimSun" w:cs="SimSun"/>
          <w:sz w:val="24"/>
          <w:szCs w:val="24"/>
          <w:spacing w:val="2"/>
        </w:rPr>
        <w:t>）的废气处理；“直燃式废气燃烧装置（</w:t>
      </w:r>
      <w:r>
        <w:rPr>
          <w:rFonts w:ascii="Times New Roman" w:hAnsi="Times New Roman" w:eastAsia="Times New Roman" w:cs="Times New Roman"/>
          <w:sz w:val="24"/>
          <w:szCs w:val="24"/>
        </w:rPr>
        <w:t>TO</w:t>
      </w:r>
      <w:r>
        <w:rPr>
          <w:rFonts w:ascii="SimSun" w:hAnsi="SimSun" w:eastAsia="SimSun" w:cs="SimSun"/>
          <w:sz w:val="24"/>
          <w:szCs w:val="24"/>
          <w:spacing w:val="1"/>
        </w:rPr>
        <w:t>）</w:t>
      </w:r>
      <w:r>
        <w:rPr>
          <w:rFonts w:ascii="SimSun" w:hAnsi="SimSun" w:eastAsia="SimSun" w:cs="SimSun"/>
          <w:sz w:val="24"/>
          <w:szCs w:val="24"/>
          <w:spacing w:val="-88"/>
        </w:rPr>
        <w:t xml:space="preserve"> </w:t>
      </w:r>
      <w:r>
        <w:rPr>
          <w:rFonts w:ascii="SimSun" w:hAnsi="SimSun" w:eastAsia="SimSun" w:cs="SimSun"/>
          <w:sz w:val="24"/>
          <w:szCs w:val="24"/>
          <w:spacing w:val="1"/>
        </w:rPr>
        <w:t>”技术适</w:t>
      </w:r>
      <w:r>
        <w:rPr>
          <w:rFonts w:ascii="SimSun" w:hAnsi="SimSun" w:eastAsia="SimSun" w:cs="SimSun"/>
          <w:sz w:val="24"/>
          <w:szCs w:val="24"/>
        </w:rPr>
        <w:t xml:space="preserve">  </w:t>
      </w:r>
      <w:r>
        <w:rPr>
          <w:rFonts w:ascii="SimSun" w:hAnsi="SimSun" w:eastAsia="SimSun" w:cs="SimSun"/>
          <w:sz w:val="24"/>
          <w:szCs w:val="24"/>
        </w:rPr>
        <w:t>用于化工、工业涂装等行业中高浓度</w:t>
      </w:r>
      <w:r>
        <w:rPr>
          <w:rFonts w:ascii="Times New Roman" w:hAnsi="Times New Roman" w:eastAsia="Times New Roman" w:cs="Times New Roman"/>
          <w:sz w:val="24"/>
          <w:szCs w:val="24"/>
        </w:rPr>
        <w:t>VOCs</w:t>
      </w:r>
      <w:r>
        <w:rPr>
          <w:rFonts w:ascii="SimSun" w:hAnsi="SimSun" w:eastAsia="SimSun" w:cs="SimSun"/>
          <w:sz w:val="24"/>
          <w:szCs w:val="24"/>
        </w:rPr>
        <w:t>的治理</w:t>
      </w:r>
      <w:r>
        <w:rPr>
          <w:rFonts w:ascii="SimSun" w:hAnsi="SimSun" w:eastAsia="SimSun" w:cs="SimSun"/>
          <w:sz w:val="24"/>
          <w:szCs w:val="24"/>
          <w:spacing w:val="-1"/>
        </w:rPr>
        <w:t>，对低浓度废气，燃料成本较</w:t>
      </w:r>
    </w:p>
    <w:p>
      <w:pPr>
        <w:spacing w:line="212" w:lineRule="auto"/>
        <w:jc w:val="right"/>
        <w:rPr>
          <w:rFonts w:ascii="SimSun" w:hAnsi="SimSun" w:eastAsia="SimSun" w:cs="SimSun"/>
          <w:sz w:val="24"/>
          <w:szCs w:val="24"/>
        </w:rPr>
      </w:pPr>
      <w:r>
        <w:rPr>
          <w:rFonts w:ascii="SimSun" w:hAnsi="SimSun" w:eastAsia="SimSun" w:cs="SimSun"/>
          <w:sz w:val="24"/>
          <w:szCs w:val="24"/>
          <w:spacing w:val="-2"/>
        </w:rPr>
        <w:t>高；“活性炭吸附</w:t>
      </w:r>
      <w:r>
        <w:rPr>
          <w:rFonts w:ascii="Times New Roman" w:hAnsi="Times New Roman" w:eastAsia="Times New Roman" w:cs="Times New Roman"/>
          <w:sz w:val="24"/>
          <w:szCs w:val="24"/>
          <w:spacing w:val="-2"/>
        </w:rPr>
        <w:t>+</w:t>
      </w:r>
      <w:r>
        <w:rPr>
          <w:rFonts w:ascii="SimSun" w:hAnsi="SimSun" w:eastAsia="SimSun" w:cs="SimSun"/>
          <w:sz w:val="24"/>
          <w:szCs w:val="24"/>
          <w:spacing w:val="-2"/>
        </w:rPr>
        <w:t>催化燃烧装置（</w:t>
      </w:r>
      <w:r>
        <w:rPr>
          <w:rFonts w:ascii="Times New Roman" w:hAnsi="Times New Roman" w:eastAsia="Times New Roman" w:cs="Times New Roman"/>
          <w:sz w:val="24"/>
          <w:szCs w:val="24"/>
          <w:spacing w:val="-2"/>
        </w:rPr>
        <w:t>CO</w:t>
      </w:r>
      <w:r>
        <w:rPr>
          <w:rFonts w:ascii="SimSun" w:hAnsi="SimSun" w:eastAsia="SimSun" w:cs="SimSun"/>
          <w:sz w:val="24"/>
          <w:szCs w:val="24"/>
          <w:spacing w:val="-2"/>
        </w:rPr>
        <w:t>）</w:t>
      </w:r>
      <w:r>
        <w:rPr>
          <w:rFonts w:ascii="SimSun" w:hAnsi="SimSun" w:eastAsia="SimSun" w:cs="SimSun"/>
          <w:sz w:val="24"/>
          <w:szCs w:val="24"/>
          <w:spacing w:val="-85"/>
        </w:rPr>
        <w:t xml:space="preserve"> </w:t>
      </w:r>
      <w:r>
        <w:rPr>
          <w:rFonts w:ascii="SimSun" w:hAnsi="SimSun" w:eastAsia="SimSun" w:cs="SimSun"/>
          <w:sz w:val="24"/>
          <w:szCs w:val="24"/>
          <w:spacing w:val="-2"/>
        </w:rPr>
        <w:t>”技术适用于中浓度（数千</w:t>
      </w:r>
      <w:r>
        <w:rPr>
          <w:rFonts w:ascii="Times New Roman" w:hAnsi="Times New Roman" w:eastAsia="Times New Roman" w:cs="Times New Roman"/>
          <w:sz w:val="24"/>
          <w:szCs w:val="24"/>
          <w:spacing w:val="-2"/>
        </w:rPr>
        <w:t>ppm</w:t>
      </w:r>
      <w:r>
        <w:rPr>
          <w:rFonts w:ascii="SimSun" w:hAnsi="SimSun" w:eastAsia="SimSun" w:cs="SimSun"/>
          <w:sz w:val="24"/>
          <w:szCs w:val="24"/>
          <w:spacing w:val="-2"/>
        </w:rPr>
        <w:t>范围</w:t>
      </w:r>
      <w:r>
        <w:rPr>
          <w:rFonts w:ascii="SimSun" w:hAnsi="SimSun" w:eastAsia="SimSun" w:cs="SimSun"/>
          <w:sz w:val="24"/>
          <w:szCs w:val="24"/>
          <w:spacing w:val="-59"/>
        </w:rPr>
        <w:t xml:space="preserve"> </w:t>
      </w:r>
      <w:r>
        <w:rPr>
          <w:rFonts w:ascii="SimSun" w:hAnsi="SimSun" w:eastAsia="SimSun" w:cs="SimSun"/>
          <w:sz w:val="24"/>
          <w:szCs w:val="24"/>
          <w:spacing w:val="-2"/>
        </w:rPr>
        <w:t>）</w:t>
      </w:r>
    </w:p>
    <w:p>
      <w:pPr>
        <w:spacing w:line="212" w:lineRule="auto"/>
        <w:sectPr>
          <w:footerReference w:type="default" r:id="rId80"/>
          <w:pgSz w:w="11906" w:h="16839"/>
          <w:pgMar w:top="400" w:right="1718" w:bottom="1211" w:left="1785" w:header="0" w:footer="1049" w:gutter="0"/>
        </w:sectPr>
        <w:rPr>
          <w:rFonts w:ascii="SimSun" w:hAnsi="SimSun" w:eastAsia="SimSun" w:cs="SimSun"/>
          <w:sz w:val="24"/>
          <w:szCs w:val="24"/>
        </w:rPr>
      </w:pPr>
    </w:p>
    <w:p>
      <w:pPr>
        <w:pStyle w:val="BodyText"/>
        <w:spacing w:line="286" w:lineRule="auto"/>
        <w:rPr/>
      </w:pPr>
      <w:r/>
    </w:p>
    <w:p>
      <w:pPr>
        <w:pStyle w:val="BodyText"/>
        <w:spacing w:line="286" w:lineRule="auto"/>
        <w:rPr/>
      </w:pPr>
      <w:r/>
    </w:p>
    <w:p>
      <w:pPr>
        <w:pStyle w:val="BodyText"/>
        <w:spacing w:line="287" w:lineRule="auto"/>
        <w:rPr/>
      </w:pPr>
      <w:r/>
    </w:p>
    <w:p>
      <w:pPr>
        <w:pStyle w:val="BodyText"/>
        <w:spacing w:line="287" w:lineRule="auto"/>
        <w:rPr/>
      </w:pPr>
      <w:r/>
    </w:p>
    <w:p>
      <w:pPr>
        <w:ind w:left="22" w:right="13" w:hanging="6"/>
        <w:spacing w:before="78" w:line="385" w:lineRule="auto"/>
        <w:rPr>
          <w:rFonts w:ascii="SimSun" w:hAnsi="SimSun" w:eastAsia="SimSun" w:cs="SimSun"/>
          <w:sz w:val="24"/>
          <w:szCs w:val="24"/>
        </w:rPr>
      </w:pPr>
      <w:r>
        <w:rPr>
          <w:rFonts w:ascii="Times New Roman" w:hAnsi="Times New Roman" w:eastAsia="Times New Roman" w:cs="Times New Roman"/>
          <w:sz w:val="24"/>
          <w:szCs w:val="24"/>
        </w:rPr>
        <w:t>VOCs</w:t>
      </w:r>
      <w:r>
        <w:rPr>
          <w:rFonts w:ascii="SimSun" w:hAnsi="SimSun" w:eastAsia="SimSun" w:cs="SimSun"/>
          <w:sz w:val="24"/>
          <w:szCs w:val="24"/>
        </w:rPr>
        <w:t>的治理，催化剂易阻塞、烧结、中毒、破损及活性衰退；“蓄热</w:t>
      </w:r>
      <w:r>
        <w:rPr>
          <w:rFonts w:ascii="SimSun" w:hAnsi="SimSun" w:eastAsia="SimSun" w:cs="SimSun"/>
          <w:sz w:val="24"/>
          <w:szCs w:val="24"/>
          <w:spacing w:val="-1"/>
        </w:rPr>
        <w:t>热力燃烧</w:t>
      </w:r>
      <w:r>
        <w:rPr>
          <w:rFonts w:ascii="SimSun" w:hAnsi="SimSun" w:eastAsia="SimSun" w:cs="SimSun"/>
          <w:sz w:val="24"/>
          <w:szCs w:val="24"/>
        </w:rPr>
        <w:t xml:space="preserve"> </w:t>
      </w:r>
      <w:r>
        <w:rPr>
          <w:rFonts w:ascii="SimSun" w:hAnsi="SimSun" w:eastAsia="SimSun" w:cs="SimSun"/>
          <w:sz w:val="24"/>
          <w:szCs w:val="24"/>
          <w:spacing w:val="-7"/>
        </w:rPr>
        <w:t>装置（</w:t>
      </w:r>
      <w:r>
        <w:rPr>
          <w:rFonts w:ascii="Times New Roman" w:hAnsi="Times New Roman" w:eastAsia="Times New Roman" w:cs="Times New Roman"/>
          <w:sz w:val="24"/>
          <w:szCs w:val="24"/>
          <w:spacing w:val="-7"/>
        </w:rPr>
        <w:t>RTO</w:t>
      </w:r>
      <w:r>
        <w:rPr>
          <w:rFonts w:ascii="SimSun" w:hAnsi="SimSun" w:eastAsia="SimSun" w:cs="SimSun"/>
          <w:sz w:val="24"/>
          <w:szCs w:val="24"/>
          <w:spacing w:val="-7"/>
        </w:rPr>
        <w:t>）”技术适用于中高浓度、不具有回收价值</w:t>
      </w:r>
      <w:r>
        <w:rPr>
          <w:rFonts w:ascii="Times New Roman" w:hAnsi="Times New Roman" w:eastAsia="Times New Roman" w:cs="Times New Roman"/>
          <w:sz w:val="24"/>
          <w:szCs w:val="24"/>
          <w:spacing w:val="-7"/>
        </w:rPr>
        <w:t>VOCs</w:t>
      </w:r>
      <w:r>
        <w:rPr>
          <w:rFonts w:ascii="SimSun" w:hAnsi="SimSun" w:eastAsia="SimSun" w:cs="SimSun"/>
          <w:sz w:val="24"/>
          <w:szCs w:val="24"/>
          <w:spacing w:val="-7"/>
        </w:rPr>
        <w:t>的治理，低</w:t>
      </w:r>
      <w:r>
        <w:rPr>
          <w:rFonts w:ascii="SimSun" w:hAnsi="SimSun" w:eastAsia="SimSun" w:cs="SimSun"/>
          <w:sz w:val="24"/>
          <w:szCs w:val="24"/>
          <w:spacing w:val="-57"/>
        </w:rPr>
        <w:t xml:space="preserve"> </w:t>
      </w:r>
      <w:r>
        <w:rPr>
          <w:rFonts w:ascii="Times New Roman" w:hAnsi="Times New Roman" w:eastAsia="Times New Roman" w:cs="Times New Roman"/>
          <w:sz w:val="24"/>
          <w:szCs w:val="24"/>
          <w:spacing w:val="-7"/>
        </w:rPr>
        <w:t>VOCs  </w:t>
      </w:r>
      <w:r>
        <w:rPr>
          <w:rFonts w:ascii="SimSun" w:hAnsi="SimSun" w:eastAsia="SimSun" w:cs="SimSun"/>
          <w:sz w:val="24"/>
          <w:szCs w:val="24"/>
          <w:spacing w:val="-7"/>
        </w:rPr>
        <w:t>浓</w:t>
      </w:r>
      <w:r>
        <w:rPr>
          <w:rFonts w:ascii="SimSun" w:hAnsi="SimSun" w:eastAsia="SimSun" w:cs="SimSun"/>
          <w:sz w:val="24"/>
          <w:szCs w:val="24"/>
        </w:rPr>
        <w:t xml:space="preserve"> </w:t>
      </w:r>
      <w:r>
        <w:rPr>
          <w:rFonts w:ascii="SimSun" w:hAnsi="SimSun" w:eastAsia="SimSun" w:cs="SimSun"/>
          <w:sz w:val="24"/>
          <w:szCs w:val="24"/>
          <w:spacing w:val="-1"/>
        </w:rPr>
        <w:t>度时燃料费用高；“蓄热活性炭吸附</w:t>
      </w:r>
      <w:r>
        <w:rPr>
          <w:rFonts w:ascii="Times New Roman" w:hAnsi="Times New Roman" w:eastAsia="Times New Roman" w:cs="Times New Roman"/>
          <w:sz w:val="24"/>
          <w:szCs w:val="24"/>
          <w:spacing w:val="-1"/>
        </w:rPr>
        <w:t>+</w:t>
      </w:r>
      <w:r>
        <w:rPr>
          <w:rFonts w:ascii="SimSun" w:hAnsi="SimSun" w:eastAsia="SimSun" w:cs="SimSun"/>
          <w:sz w:val="24"/>
          <w:szCs w:val="24"/>
          <w:spacing w:val="-1"/>
        </w:rPr>
        <w:t>催化燃烧装置装置（</w:t>
      </w:r>
      <w:r>
        <w:rPr>
          <w:rFonts w:ascii="Times New Roman" w:hAnsi="Times New Roman" w:eastAsia="Times New Roman" w:cs="Times New Roman"/>
          <w:sz w:val="24"/>
          <w:szCs w:val="24"/>
          <w:spacing w:val="-1"/>
        </w:rPr>
        <w:t>RC</w:t>
      </w:r>
      <w:r>
        <w:rPr>
          <w:rFonts w:ascii="Times New Roman" w:hAnsi="Times New Roman" w:eastAsia="Times New Roman" w:cs="Times New Roman"/>
          <w:sz w:val="24"/>
          <w:szCs w:val="24"/>
          <w:spacing w:val="-2"/>
        </w:rPr>
        <w:t>O</w:t>
      </w:r>
      <w:r>
        <w:rPr>
          <w:rFonts w:ascii="SimSun" w:hAnsi="SimSun" w:eastAsia="SimSun" w:cs="SimSun"/>
          <w:sz w:val="24"/>
          <w:szCs w:val="24"/>
          <w:spacing w:val="-2"/>
        </w:rPr>
        <w:t>）</w:t>
      </w:r>
      <w:r>
        <w:rPr>
          <w:rFonts w:ascii="SimSun" w:hAnsi="SimSun" w:eastAsia="SimSun" w:cs="SimSun"/>
          <w:sz w:val="24"/>
          <w:szCs w:val="24"/>
          <w:spacing w:val="-88"/>
        </w:rPr>
        <w:t xml:space="preserve"> </w:t>
      </w:r>
      <w:r>
        <w:rPr>
          <w:rFonts w:ascii="SimSun" w:hAnsi="SimSun" w:eastAsia="SimSun" w:cs="SimSun"/>
          <w:sz w:val="24"/>
          <w:szCs w:val="24"/>
          <w:spacing w:val="-2"/>
        </w:rPr>
        <w:t>”技术适用于</w:t>
      </w:r>
      <w:r>
        <w:rPr>
          <w:rFonts w:ascii="SimSun" w:hAnsi="SimSun" w:eastAsia="SimSun" w:cs="SimSun"/>
          <w:sz w:val="24"/>
          <w:szCs w:val="24"/>
        </w:rPr>
        <w:t xml:space="preserve"> </w:t>
      </w:r>
      <w:r>
        <w:rPr>
          <w:rFonts w:ascii="SimSun" w:hAnsi="SimSun" w:eastAsia="SimSun" w:cs="SimSun"/>
          <w:sz w:val="24"/>
          <w:szCs w:val="24"/>
          <w:spacing w:val="2"/>
        </w:rPr>
        <w:t>中高浓度废气治理；“管壳式冷凝器、板面式冷凝器</w:t>
      </w:r>
      <w:r>
        <w:rPr>
          <w:rFonts w:ascii="SimSun" w:hAnsi="SimSun" w:eastAsia="SimSun" w:cs="SimSun"/>
          <w:sz w:val="24"/>
          <w:szCs w:val="24"/>
          <w:spacing w:val="-78"/>
        </w:rPr>
        <w:t xml:space="preserve"> </w:t>
      </w:r>
      <w:r>
        <w:rPr>
          <w:rFonts w:ascii="SimSun" w:hAnsi="SimSun" w:eastAsia="SimSun" w:cs="SimSun"/>
          <w:sz w:val="24"/>
          <w:szCs w:val="24"/>
          <w:spacing w:val="2"/>
        </w:rPr>
        <w:t>”技术适用于高浓度(≥</w:t>
      </w:r>
      <w:r>
        <w:rPr>
          <w:rFonts w:ascii="SimSun" w:hAnsi="SimSun" w:eastAsia="SimSun" w:cs="SimSun"/>
          <w:sz w:val="24"/>
          <w:szCs w:val="24"/>
        </w:rPr>
        <w:t xml:space="preserve">  </w:t>
      </w:r>
      <w:r>
        <w:rPr>
          <w:rFonts w:ascii="Times New Roman" w:hAnsi="Times New Roman" w:eastAsia="Times New Roman" w:cs="Times New Roman"/>
          <w:sz w:val="24"/>
          <w:szCs w:val="24"/>
          <w:spacing w:val="-5"/>
        </w:rPr>
        <w:t>10000mg/m</w:t>
      </w:r>
      <w:r>
        <w:rPr>
          <w:rFonts w:ascii="SimSun" w:hAnsi="SimSun" w:eastAsia="SimSun" w:cs="SimSun"/>
          <w:sz w:val="24"/>
          <w:szCs w:val="24"/>
          <w:spacing w:val="-5"/>
        </w:rPr>
        <w:t>³)</w:t>
      </w:r>
      <w:r>
        <w:rPr>
          <w:rFonts w:ascii="SimSun" w:hAnsi="SimSun" w:eastAsia="SimSun" w:cs="SimSun"/>
          <w:sz w:val="24"/>
          <w:szCs w:val="24"/>
          <w:spacing w:val="30"/>
        </w:rPr>
        <w:t xml:space="preserve"> </w:t>
      </w:r>
      <w:r>
        <w:rPr>
          <w:rFonts w:ascii="SimSun" w:hAnsi="SimSun" w:eastAsia="SimSun" w:cs="SimSun"/>
          <w:sz w:val="24"/>
          <w:szCs w:val="24"/>
          <w:spacing w:val="-5"/>
        </w:rPr>
        <w:t>,</w:t>
      </w:r>
      <w:r>
        <w:rPr>
          <w:rFonts w:ascii="SimSun" w:hAnsi="SimSun" w:eastAsia="SimSun" w:cs="SimSun"/>
          <w:sz w:val="24"/>
          <w:szCs w:val="24"/>
          <w:spacing w:val="52"/>
        </w:rPr>
        <w:t xml:space="preserve"> </w:t>
      </w:r>
      <w:r>
        <w:rPr>
          <w:rFonts w:ascii="SimSun" w:hAnsi="SimSun" w:eastAsia="SimSun" w:cs="SimSun"/>
          <w:sz w:val="24"/>
          <w:szCs w:val="24"/>
          <w:spacing w:val="-5"/>
        </w:rPr>
        <w:t>净化效率不高；“沸石浓缩转</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5"/>
        </w:rPr>
        <w:t>+TO/ RTO</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5"/>
        </w:rPr>
        <w:t>”技</w:t>
      </w:r>
      <w:r>
        <w:rPr>
          <w:rFonts w:ascii="SimSun" w:hAnsi="SimSun" w:eastAsia="SimSun" w:cs="SimSun"/>
          <w:sz w:val="24"/>
          <w:szCs w:val="24"/>
          <w:spacing w:val="-6"/>
        </w:rPr>
        <w:t>术适用于如汽车制</w:t>
      </w:r>
      <w:r>
        <w:rPr>
          <w:rFonts w:ascii="SimSun" w:hAnsi="SimSun" w:eastAsia="SimSun" w:cs="SimSun"/>
          <w:sz w:val="24"/>
          <w:szCs w:val="24"/>
        </w:rPr>
        <w:t xml:space="preserve"> </w:t>
      </w:r>
      <w:r>
        <w:rPr>
          <w:rFonts w:ascii="SimSun" w:hAnsi="SimSun" w:eastAsia="SimSun" w:cs="SimSun"/>
          <w:sz w:val="24"/>
          <w:szCs w:val="24"/>
          <w:spacing w:val="4"/>
        </w:rPr>
        <w:t>造行业企业等产生废气量大(≥</w:t>
      </w:r>
      <w:r>
        <w:rPr>
          <w:rFonts w:ascii="Times New Roman" w:hAnsi="Times New Roman" w:eastAsia="Times New Roman" w:cs="Times New Roman"/>
          <w:sz w:val="24"/>
          <w:szCs w:val="24"/>
          <w:spacing w:val="4"/>
        </w:rPr>
        <w:t>100000m</w:t>
      </w:r>
      <w:r>
        <w:rPr>
          <w:rFonts w:ascii="SimSun" w:hAnsi="SimSun" w:eastAsia="SimSun" w:cs="SimSun"/>
          <w:sz w:val="24"/>
          <w:szCs w:val="24"/>
          <w:spacing w:val="4"/>
        </w:rPr>
        <w:t>³</w:t>
      </w:r>
      <w:r>
        <w:rPr>
          <w:rFonts w:ascii="Times New Roman" w:hAnsi="Times New Roman" w:eastAsia="Times New Roman" w:cs="Times New Roman"/>
          <w:sz w:val="24"/>
          <w:szCs w:val="24"/>
          <w:spacing w:val="4"/>
        </w:rPr>
        <w:t>/h</w:t>
      </w:r>
      <w:r>
        <w:rPr>
          <w:rFonts w:ascii="SimSun" w:hAnsi="SimSun" w:eastAsia="SimSun" w:cs="SimSun"/>
          <w:sz w:val="24"/>
          <w:szCs w:val="24"/>
          <w:spacing w:val="4"/>
        </w:rPr>
        <w:t>）且浓度低的企业；</w:t>
      </w:r>
      <w:r>
        <w:rPr>
          <w:rFonts w:ascii="Times New Roman" w:hAnsi="Times New Roman" w:eastAsia="Times New Roman" w:cs="Times New Roman"/>
          <w:sz w:val="24"/>
          <w:szCs w:val="24"/>
          <w:spacing w:val="4"/>
        </w:rPr>
        <w:t>“</w:t>
      </w:r>
      <w:r>
        <w:rPr>
          <w:rFonts w:ascii="SimSun" w:hAnsi="SimSun" w:eastAsia="SimSun" w:cs="SimSun"/>
          <w:sz w:val="24"/>
          <w:szCs w:val="24"/>
          <w:spacing w:val="4"/>
        </w:rPr>
        <w:t>活性炭</w:t>
      </w:r>
      <w:r>
        <w:rPr>
          <w:rFonts w:ascii="Times New Roman" w:hAnsi="Times New Roman" w:eastAsia="Times New Roman" w:cs="Times New Roman"/>
          <w:sz w:val="24"/>
          <w:szCs w:val="24"/>
          <w:spacing w:val="4"/>
        </w:rPr>
        <w:t>+ </w:t>
      </w:r>
      <w:r>
        <w:rPr>
          <w:rFonts w:ascii="Times New Roman" w:hAnsi="Times New Roman" w:eastAsia="Times New Roman" w:cs="Times New Roman"/>
          <w:sz w:val="24"/>
          <w:szCs w:val="24"/>
        </w:rPr>
        <w:t>CO</w:t>
      </w:r>
      <w:r>
        <w:rPr>
          <w:rFonts w:ascii="Times New Roman" w:hAnsi="Times New Roman" w:eastAsia="Times New Roman" w:cs="Times New Roman"/>
          <w:sz w:val="24"/>
          <w:szCs w:val="24"/>
          <w:spacing w:val="4"/>
        </w:rPr>
        <w:t>”</w:t>
      </w:r>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1"/>
        </w:rPr>
        <w:t>技术适用于低浓度(≤</w:t>
      </w:r>
      <w:r>
        <w:rPr>
          <w:rFonts w:ascii="Times New Roman" w:hAnsi="Times New Roman" w:eastAsia="Times New Roman" w:cs="Times New Roman"/>
          <w:sz w:val="24"/>
          <w:szCs w:val="24"/>
          <w:spacing w:val="1"/>
        </w:rPr>
        <w:t>1000</w:t>
      </w:r>
      <w:r>
        <w:rPr>
          <w:rFonts w:ascii="Times New Roman" w:hAnsi="Times New Roman" w:eastAsia="Times New Roman" w:cs="Times New Roman"/>
          <w:sz w:val="24"/>
          <w:szCs w:val="24"/>
        </w:rPr>
        <w:t>mg</w:t>
      </w:r>
      <w:r>
        <w:rPr>
          <w:rFonts w:ascii="Times New Roman" w:hAnsi="Times New Roman" w:eastAsia="Times New Roman" w:cs="Times New Roman"/>
          <w:sz w:val="24"/>
          <w:szCs w:val="24"/>
          <w:spacing w:val="1"/>
        </w:rPr>
        <w:t>/m</w:t>
      </w:r>
      <w:r>
        <w:rPr>
          <w:rFonts w:ascii="SimSun" w:hAnsi="SimSun" w:eastAsia="SimSun" w:cs="SimSun"/>
          <w:sz w:val="24"/>
          <w:szCs w:val="24"/>
          <w:spacing w:val="1"/>
        </w:rPr>
        <w:t>³)</w:t>
      </w:r>
      <w:r>
        <w:rPr>
          <w:rFonts w:ascii="SimSun" w:hAnsi="SimSun" w:eastAsia="SimSun" w:cs="SimSun"/>
          <w:sz w:val="24"/>
          <w:szCs w:val="24"/>
          <w:spacing w:val="32"/>
        </w:rPr>
        <w:t xml:space="preserve"> </w:t>
      </w:r>
      <w:r>
        <w:rPr>
          <w:rFonts w:ascii="SimSun" w:hAnsi="SimSun" w:eastAsia="SimSun" w:cs="SimSun"/>
          <w:sz w:val="24"/>
          <w:szCs w:val="24"/>
          <w:spacing w:val="1"/>
        </w:rPr>
        <w:t>的废气处理，</w:t>
      </w:r>
      <w:r>
        <w:rPr>
          <w:rFonts w:ascii="SimSun" w:hAnsi="SimSun" w:eastAsia="SimSun" w:cs="SimSun"/>
          <w:sz w:val="24"/>
          <w:szCs w:val="24"/>
        </w:rPr>
        <w:t>该技术采用电作为热源，一次</w:t>
      </w:r>
    </w:p>
    <w:p>
      <w:pPr>
        <w:ind w:left="26"/>
        <w:spacing w:line="219" w:lineRule="auto"/>
        <w:rPr>
          <w:rFonts w:ascii="SimSun" w:hAnsi="SimSun" w:eastAsia="SimSun" w:cs="SimSun"/>
          <w:sz w:val="24"/>
          <w:szCs w:val="24"/>
        </w:rPr>
      </w:pPr>
      <w:r>
        <w:rPr>
          <w:rFonts w:ascii="SimSun" w:hAnsi="SimSun" w:eastAsia="SimSun" w:cs="SimSun"/>
          <w:sz w:val="24"/>
          <w:szCs w:val="24"/>
          <w:spacing w:val="-1"/>
        </w:rPr>
        <w:t>性投资费用低，能耗低，净化效率高。</w:t>
      </w:r>
    </w:p>
    <w:p>
      <w:pPr>
        <w:ind w:left="29" w:right="13" w:firstLine="473"/>
        <w:spacing w:before="213" w:line="385" w:lineRule="auto"/>
        <w:jc w:val="both"/>
        <w:rPr>
          <w:rFonts w:ascii="SimSun" w:hAnsi="SimSun" w:eastAsia="SimSun" w:cs="SimSun"/>
          <w:sz w:val="24"/>
          <w:szCs w:val="24"/>
        </w:rPr>
      </w:pPr>
      <w:r>
        <w:rPr>
          <w:rFonts w:ascii="SimSun" w:hAnsi="SimSun" w:eastAsia="SimSun" w:cs="SimSun"/>
          <w:sz w:val="24"/>
          <w:szCs w:val="24"/>
          <w:spacing w:val="-3"/>
        </w:rPr>
        <w:t>根据本项目的生产工艺的特点，有机废气的产生浓度较低，温度</w:t>
      </w:r>
      <w:r>
        <w:rPr>
          <w:rFonts w:ascii="SimSun" w:hAnsi="SimSun" w:eastAsia="SimSun" w:cs="SimSun"/>
          <w:sz w:val="24"/>
          <w:szCs w:val="24"/>
          <w:spacing w:val="-4"/>
        </w:rPr>
        <w:t>不高，湿度</w:t>
      </w:r>
      <w:r>
        <w:rPr>
          <w:rFonts w:ascii="SimSun" w:hAnsi="SimSun" w:eastAsia="SimSun" w:cs="SimSun"/>
          <w:sz w:val="24"/>
          <w:szCs w:val="24"/>
        </w:rPr>
        <w:t xml:space="preserve"> </w:t>
      </w:r>
      <w:r>
        <w:rPr>
          <w:rFonts w:ascii="SimSun" w:hAnsi="SimSun" w:eastAsia="SimSun" w:cs="SimSun"/>
          <w:sz w:val="24"/>
          <w:szCs w:val="24"/>
          <w:spacing w:val="-9"/>
        </w:rPr>
        <w:t>小，不含颗粒状。结合本项目特点及常见</w:t>
      </w:r>
      <w:r>
        <w:rPr>
          <w:rFonts w:ascii="Times New Roman" w:hAnsi="Times New Roman" w:eastAsia="Times New Roman" w:cs="Times New Roman"/>
          <w:sz w:val="24"/>
          <w:szCs w:val="24"/>
          <w:spacing w:val="-9"/>
        </w:rPr>
        <w:t>VOCs</w:t>
      </w:r>
      <w:r>
        <w:rPr>
          <w:rFonts w:ascii="SimSun" w:hAnsi="SimSun" w:eastAsia="SimSun" w:cs="SimSun"/>
          <w:sz w:val="24"/>
          <w:szCs w:val="24"/>
          <w:spacing w:val="-9"/>
        </w:rPr>
        <w:t>控制技术的优缺点，本项目采用</w:t>
      </w:r>
      <w:r>
        <w:rPr>
          <w:rFonts w:ascii="Times New Roman" w:hAnsi="Times New Roman" w:eastAsia="Times New Roman" w:cs="Times New Roman"/>
          <w:sz w:val="24"/>
          <w:szCs w:val="24"/>
          <w:spacing w:val="-9"/>
        </w:rPr>
        <w:t>“</w:t>
      </w:r>
      <w:r>
        <w:rPr>
          <w:rFonts w:ascii="SimSun" w:hAnsi="SimSun" w:eastAsia="SimSun" w:cs="SimSun"/>
          <w:sz w:val="24"/>
          <w:szCs w:val="24"/>
          <w:spacing w:val="-9"/>
        </w:rPr>
        <w:t>活</w:t>
      </w:r>
    </w:p>
    <w:p>
      <w:pPr>
        <w:ind w:left="26"/>
        <w:spacing w:line="218" w:lineRule="auto"/>
        <w:rPr>
          <w:rFonts w:ascii="SimSun" w:hAnsi="SimSun" w:eastAsia="SimSun" w:cs="SimSun"/>
          <w:sz w:val="24"/>
          <w:szCs w:val="24"/>
        </w:rPr>
      </w:pPr>
      <w:r>
        <w:rPr>
          <w:rFonts w:ascii="SimSun" w:hAnsi="SimSun" w:eastAsia="SimSun" w:cs="SimSun"/>
          <w:sz w:val="24"/>
          <w:szCs w:val="24"/>
          <w:spacing w:val="-1"/>
        </w:rPr>
        <w:t>性炭吸附</w:t>
      </w:r>
      <w:r>
        <w:rPr>
          <w:rFonts w:ascii="Times New Roman" w:hAnsi="Times New Roman" w:eastAsia="Times New Roman" w:cs="Times New Roman"/>
          <w:sz w:val="24"/>
          <w:szCs w:val="24"/>
          <w:spacing w:val="-1"/>
        </w:rPr>
        <w:t>+</w:t>
      </w:r>
      <w:r>
        <w:rPr>
          <w:rFonts w:ascii="SimSun" w:hAnsi="SimSun" w:eastAsia="SimSun" w:cs="SimSun"/>
          <w:sz w:val="24"/>
          <w:szCs w:val="24"/>
          <w:spacing w:val="-1"/>
        </w:rPr>
        <w:t>催化燃烧装置装置（</w:t>
      </w:r>
      <w:r>
        <w:rPr>
          <w:rFonts w:ascii="Times New Roman" w:hAnsi="Times New Roman" w:eastAsia="Times New Roman" w:cs="Times New Roman"/>
          <w:sz w:val="24"/>
          <w:szCs w:val="24"/>
          <w:spacing w:val="-1"/>
        </w:rPr>
        <w:t>CO</w:t>
      </w:r>
      <w:r>
        <w:rPr>
          <w:rFonts w:ascii="SimSun" w:hAnsi="SimSun" w:eastAsia="SimSun" w:cs="SimSun"/>
          <w:sz w:val="24"/>
          <w:szCs w:val="24"/>
          <w:spacing w:val="-1"/>
        </w:rPr>
        <w:t>）</w:t>
      </w:r>
      <w:r>
        <w:rPr>
          <w:rFonts w:ascii="Times New Roman" w:hAnsi="Times New Roman" w:eastAsia="Times New Roman" w:cs="Times New Roman"/>
          <w:sz w:val="24"/>
          <w:szCs w:val="24"/>
          <w:spacing w:val="-1"/>
        </w:rPr>
        <w:t>”</w:t>
      </w:r>
      <w:r>
        <w:rPr>
          <w:rFonts w:ascii="SimSun" w:hAnsi="SimSun" w:eastAsia="SimSun" w:cs="SimSun"/>
          <w:sz w:val="24"/>
          <w:szCs w:val="24"/>
          <w:spacing w:val="-1"/>
        </w:rPr>
        <w:t>处理有机废气。</w:t>
      </w:r>
    </w:p>
    <w:p>
      <w:pPr>
        <w:ind w:left="514"/>
        <w:spacing w:before="215" w:line="501" w:lineRule="exact"/>
        <w:rPr>
          <w:rFonts w:ascii="SimSun" w:hAnsi="SimSun" w:eastAsia="SimSun" w:cs="SimSun"/>
          <w:sz w:val="24"/>
          <w:szCs w:val="24"/>
        </w:rPr>
      </w:pPr>
      <w:r>
        <w:rPr>
          <w:rFonts w:ascii="SimSun" w:hAnsi="SimSun" w:eastAsia="SimSun" w:cs="SimSun"/>
          <w:sz w:val="24"/>
          <w:szCs w:val="24"/>
          <w:spacing w:val="-2"/>
          <w:position w:val="19"/>
        </w:rPr>
        <w:t>（</w:t>
      </w:r>
      <w:r>
        <w:rPr>
          <w:rFonts w:ascii="Times New Roman" w:hAnsi="Times New Roman" w:eastAsia="Times New Roman" w:cs="Times New Roman"/>
          <w:sz w:val="24"/>
          <w:szCs w:val="24"/>
          <w:spacing w:val="-2"/>
          <w:position w:val="19"/>
        </w:rPr>
        <w:t>3</w:t>
      </w:r>
      <w:r>
        <w:rPr>
          <w:rFonts w:ascii="SimSun" w:hAnsi="SimSun" w:eastAsia="SimSun" w:cs="SimSun"/>
          <w:sz w:val="24"/>
          <w:szCs w:val="24"/>
          <w:spacing w:val="-2"/>
          <w:position w:val="19"/>
        </w:rPr>
        <w:t>）废气治理措施原理及特点</w:t>
      </w:r>
    </w:p>
    <w:p>
      <w:pPr>
        <w:ind w:left="496"/>
        <w:spacing w:before="1" w:line="220" w:lineRule="auto"/>
        <w:rPr>
          <w:rFonts w:ascii="SimSun" w:hAnsi="SimSun" w:eastAsia="SimSun" w:cs="SimSun"/>
          <w:sz w:val="24"/>
          <w:szCs w:val="24"/>
        </w:rPr>
      </w:pPr>
      <w:r>
        <w:rPr>
          <w:rFonts w:ascii="Times New Roman" w:hAnsi="Times New Roman" w:eastAsia="Times New Roman" w:cs="Times New Roman"/>
          <w:sz w:val="24"/>
          <w:szCs w:val="24"/>
          <w:spacing w:val="-5"/>
        </w:rPr>
        <w:t>A</w:t>
      </w:r>
      <w:r>
        <w:rPr>
          <w:rFonts w:ascii="Times New Roman" w:hAnsi="Times New Roman" w:eastAsia="Times New Roman" w:cs="Times New Roman"/>
          <w:sz w:val="24"/>
          <w:szCs w:val="24"/>
          <w:spacing w:val="-34"/>
        </w:rPr>
        <w:t xml:space="preserve"> </w:t>
      </w:r>
      <w:r>
        <w:rPr>
          <w:rFonts w:ascii="SimSun" w:hAnsi="SimSun" w:eastAsia="SimSun" w:cs="SimSun"/>
          <w:sz w:val="24"/>
          <w:szCs w:val="24"/>
          <w:spacing w:val="-5"/>
        </w:rPr>
        <w:t>、运行原理</w:t>
      </w:r>
    </w:p>
    <w:p>
      <w:pPr>
        <w:ind w:left="22" w:right="13" w:firstLine="481"/>
        <w:spacing w:before="215" w:line="384" w:lineRule="auto"/>
        <w:rPr>
          <w:rFonts w:ascii="SimSun" w:hAnsi="SimSun" w:eastAsia="SimSun" w:cs="SimSun"/>
          <w:sz w:val="24"/>
          <w:szCs w:val="24"/>
        </w:rPr>
      </w:pPr>
      <w:r>
        <w:rPr>
          <w:rFonts w:ascii="SimSun" w:hAnsi="SimSun" w:eastAsia="SimSun" w:cs="SimSun"/>
          <w:sz w:val="24"/>
          <w:szCs w:val="24"/>
          <w:spacing w:val="-3"/>
        </w:rPr>
        <w:t>本项目采用活性炭吸附</w:t>
      </w:r>
      <w:r>
        <w:rPr>
          <w:rFonts w:ascii="Times New Roman" w:hAnsi="Times New Roman" w:eastAsia="Times New Roman" w:cs="Times New Roman"/>
          <w:sz w:val="24"/>
          <w:szCs w:val="24"/>
          <w:spacing w:val="-3"/>
        </w:rPr>
        <w:t>+</w:t>
      </w:r>
      <w:r>
        <w:rPr>
          <w:rFonts w:ascii="SimSun" w:hAnsi="SimSun" w:eastAsia="SimSun" w:cs="SimSun"/>
          <w:sz w:val="24"/>
          <w:szCs w:val="24"/>
          <w:spacing w:val="-3"/>
        </w:rPr>
        <w:t>催化燃烧装置（</w:t>
      </w:r>
      <w:r>
        <w:rPr>
          <w:rFonts w:ascii="Times New Roman" w:hAnsi="Times New Roman" w:eastAsia="Times New Roman" w:cs="Times New Roman"/>
          <w:sz w:val="24"/>
          <w:szCs w:val="24"/>
          <w:spacing w:val="-3"/>
        </w:rPr>
        <w:t>CO</w:t>
      </w:r>
      <w:r>
        <w:rPr>
          <w:rFonts w:ascii="SimSun" w:hAnsi="SimSun" w:eastAsia="SimSun" w:cs="SimSun"/>
          <w:sz w:val="24"/>
          <w:szCs w:val="24"/>
          <w:spacing w:val="-3"/>
        </w:rPr>
        <w:t>）装置处理挥发性有机废气：根</w:t>
      </w:r>
      <w:r>
        <w:rPr>
          <w:rFonts w:ascii="SimSun" w:hAnsi="SimSun" w:eastAsia="SimSun" w:cs="SimSun"/>
          <w:sz w:val="24"/>
          <w:szCs w:val="24"/>
          <w:spacing w:val="8"/>
        </w:rPr>
        <w:t xml:space="preserve"> </w:t>
      </w:r>
      <w:r>
        <w:rPr>
          <w:rFonts w:ascii="SimSun" w:hAnsi="SimSun" w:eastAsia="SimSun" w:cs="SimSun"/>
          <w:sz w:val="24"/>
          <w:szCs w:val="24"/>
          <w:spacing w:val="-3"/>
        </w:rPr>
        <w:t>据活性炭吸附吸附效率高、催化燃烧装置具有节能效果的原理，采用双气路连续</w:t>
      </w:r>
      <w:r>
        <w:rPr>
          <w:rFonts w:ascii="SimSun" w:hAnsi="SimSun" w:eastAsia="SimSun" w:cs="SimSun"/>
          <w:sz w:val="24"/>
          <w:szCs w:val="24"/>
          <w:spacing w:val="1"/>
        </w:rPr>
        <w:t xml:space="preserve"> </w:t>
      </w:r>
      <w:r>
        <w:rPr>
          <w:rFonts w:ascii="SimSun" w:hAnsi="SimSun" w:eastAsia="SimSun" w:cs="SimSun"/>
          <w:sz w:val="24"/>
          <w:szCs w:val="24"/>
          <w:spacing w:val="-3"/>
        </w:rPr>
        <w:t>工作，一个活性炭吸附</w:t>
      </w:r>
      <w:r>
        <w:rPr>
          <w:rFonts w:ascii="Times New Roman" w:hAnsi="Times New Roman" w:eastAsia="Times New Roman" w:cs="Times New Roman"/>
          <w:sz w:val="24"/>
          <w:szCs w:val="24"/>
          <w:spacing w:val="-3"/>
        </w:rPr>
        <w:t>+</w:t>
      </w:r>
      <w:r>
        <w:rPr>
          <w:rFonts w:ascii="SimSun" w:hAnsi="SimSun" w:eastAsia="SimSun" w:cs="SimSun"/>
          <w:sz w:val="24"/>
          <w:szCs w:val="24"/>
          <w:spacing w:val="-3"/>
        </w:rPr>
        <w:t>催化燃烧装置（</w:t>
      </w:r>
      <w:r>
        <w:rPr>
          <w:rFonts w:ascii="Times New Roman" w:hAnsi="Times New Roman" w:eastAsia="Times New Roman" w:cs="Times New Roman"/>
          <w:sz w:val="24"/>
          <w:szCs w:val="24"/>
          <w:spacing w:val="-3"/>
        </w:rPr>
        <w:t>CO</w:t>
      </w:r>
      <w:r>
        <w:rPr>
          <w:rFonts w:ascii="SimSun" w:hAnsi="SimSun" w:eastAsia="SimSun" w:cs="SimSun"/>
          <w:sz w:val="24"/>
          <w:szCs w:val="24"/>
          <w:spacing w:val="-3"/>
        </w:rPr>
        <w:t>）室，两个吸附床交替使用。先将有</w:t>
      </w:r>
      <w:r>
        <w:rPr>
          <w:rFonts w:ascii="SimSun" w:hAnsi="SimSun" w:eastAsia="SimSun" w:cs="SimSun"/>
          <w:sz w:val="24"/>
          <w:szCs w:val="24"/>
          <w:spacing w:val="16"/>
        </w:rPr>
        <w:t xml:space="preserve"> </w:t>
      </w:r>
      <w:r>
        <w:rPr>
          <w:rFonts w:ascii="SimSun" w:hAnsi="SimSun" w:eastAsia="SimSun" w:cs="SimSun"/>
          <w:sz w:val="24"/>
          <w:szCs w:val="24"/>
          <w:spacing w:val="-3"/>
        </w:rPr>
        <w:t>机废气用活性炭吸附，当活性炭快达到饱和时停止吸附，然后用热气流将有机物</w:t>
      </w:r>
    </w:p>
    <w:p>
      <w:pPr>
        <w:ind w:left="26"/>
        <w:spacing w:before="1" w:line="218" w:lineRule="auto"/>
        <w:rPr>
          <w:rFonts w:ascii="SimSun" w:hAnsi="SimSun" w:eastAsia="SimSun" w:cs="SimSun"/>
          <w:sz w:val="24"/>
          <w:szCs w:val="24"/>
        </w:rPr>
      </w:pPr>
      <w:r>
        <w:rPr>
          <w:rFonts w:ascii="SimSun" w:hAnsi="SimSun" w:eastAsia="SimSun" w:cs="SimSun"/>
          <w:sz w:val="24"/>
          <w:szCs w:val="24"/>
        </w:rPr>
        <w:t>从活性炭上脱附下来使活性炭再生；脱附下</w:t>
      </w:r>
      <w:r>
        <w:rPr>
          <w:rFonts w:ascii="SimSun" w:hAnsi="SimSun" w:eastAsia="SimSun" w:cs="SimSun"/>
          <w:sz w:val="24"/>
          <w:szCs w:val="24"/>
          <w:spacing w:val="-1"/>
        </w:rPr>
        <w:t>来的有机物被送往催化燃烧装置</w:t>
      </w:r>
    </w:p>
    <w:p>
      <w:pPr>
        <w:ind w:left="34"/>
        <w:spacing w:before="217"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CO</w:t>
      </w:r>
      <w:r>
        <w:rPr>
          <w:rFonts w:ascii="SimSun" w:hAnsi="SimSun" w:eastAsia="SimSun" w:cs="SimSun"/>
          <w:sz w:val="24"/>
          <w:szCs w:val="24"/>
          <w:spacing w:val="-2"/>
        </w:rPr>
        <w:t>）成二氧化碳及水蒸气排出。</w:t>
      </w:r>
    </w:p>
    <w:p>
      <w:pPr>
        <w:ind w:right="13"/>
        <w:spacing w:before="215" w:line="499" w:lineRule="exact"/>
        <w:jc w:val="right"/>
        <w:rPr>
          <w:rFonts w:ascii="SimSun" w:hAnsi="SimSun" w:eastAsia="SimSun" w:cs="SimSun"/>
          <w:sz w:val="24"/>
          <w:szCs w:val="24"/>
        </w:rPr>
      </w:pPr>
      <w:r>
        <w:rPr>
          <w:rFonts w:ascii="SimSun" w:hAnsi="SimSun" w:eastAsia="SimSun" w:cs="SimSun"/>
          <w:sz w:val="24"/>
          <w:szCs w:val="24"/>
          <w:spacing w:val="-3"/>
          <w:position w:val="19"/>
        </w:rPr>
        <w:t>活性炭是经过活化处理后的碳，其具备比表面积大，孔</w:t>
      </w:r>
      <w:r>
        <w:rPr>
          <w:rFonts w:ascii="SimSun" w:hAnsi="SimSun" w:eastAsia="SimSun" w:cs="SimSun"/>
          <w:sz w:val="24"/>
          <w:szCs w:val="24"/>
          <w:spacing w:val="-4"/>
          <w:position w:val="19"/>
        </w:rPr>
        <w:t>隙多的特点，使其具</w:t>
      </w:r>
    </w:p>
    <w:p>
      <w:pPr>
        <w:ind w:left="24"/>
        <w:spacing w:line="212" w:lineRule="auto"/>
        <w:rPr>
          <w:rFonts w:ascii="SimSun" w:hAnsi="SimSun" w:eastAsia="SimSun" w:cs="SimSun"/>
          <w:sz w:val="24"/>
          <w:szCs w:val="24"/>
        </w:rPr>
      </w:pPr>
      <w:r>
        <w:rPr>
          <w:rFonts w:ascii="SimSun" w:hAnsi="SimSun" w:eastAsia="SimSun" w:cs="SimSun"/>
          <w:sz w:val="24"/>
          <w:szCs w:val="24"/>
          <w:spacing w:val="-2"/>
        </w:rPr>
        <w:t>有较强吸附能力。颗粒碳比表面积一般可达</w:t>
      </w:r>
      <w:r>
        <w:rPr>
          <w:rFonts w:ascii="Times New Roman" w:hAnsi="Times New Roman" w:eastAsia="Times New Roman" w:cs="Times New Roman"/>
          <w:sz w:val="24"/>
          <w:szCs w:val="24"/>
          <w:spacing w:val="-2"/>
        </w:rPr>
        <w:t>700-</w:t>
      </w:r>
      <w:r>
        <w:rPr>
          <w:rFonts w:ascii="Times New Roman" w:hAnsi="Times New Roman" w:eastAsia="Times New Roman" w:cs="Times New Roman"/>
          <w:sz w:val="24"/>
          <w:szCs w:val="24"/>
          <w:spacing w:val="-23"/>
        </w:rPr>
        <w:t xml:space="preserve"> </w:t>
      </w:r>
      <w:r>
        <w:rPr>
          <w:rFonts w:ascii="Times New Roman" w:hAnsi="Times New Roman" w:eastAsia="Times New Roman" w:cs="Times New Roman"/>
          <w:sz w:val="24"/>
          <w:szCs w:val="24"/>
          <w:spacing w:val="-2"/>
        </w:rPr>
        <w:t>1200</w:t>
      </w:r>
      <w:r>
        <w:rPr>
          <w:rFonts w:ascii="SimSun" w:hAnsi="SimSun" w:eastAsia="SimSun" w:cs="SimSun"/>
          <w:sz w:val="24"/>
          <w:szCs w:val="24"/>
          <w:spacing w:val="-2"/>
        </w:rPr>
        <w:t>㎡</w:t>
      </w:r>
      <w:r>
        <w:rPr>
          <w:rFonts w:ascii="Times New Roman" w:hAnsi="Times New Roman" w:eastAsia="Times New Roman" w:cs="Times New Roman"/>
          <w:sz w:val="24"/>
          <w:szCs w:val="24"/>
          <w:spacing w:val="-2"/>
        </w:rPr>
        <w:t>/g</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2"/>
        </w:rPr>
        <w:t>，其孔径大小范围在</w:t>
      </w:r>
    </w:p>
    <w:p>
      <w:pPr>
        <w:ind w:left="24" w:right="13" w:firstLine="17"/>
        <w:spacing w:before="228" w:line="384" w:lineRule="auto"/>
        <w:rPr>
          <w:rFonts w:ascii="SimSun" w:hAnsi="SimSun" w:eastAsia="SimSun" w:cs="SimSun"/>
          <w:sz w:val="24"/>
          <w:szCs w:val="24"/>
        </w:rPr>
      </w:pPr>
      <w:r>
        <w:rPr>
          <w:rFonts w:ascii="Times New Roman" w:hAnsi="Times New Roman" w:eastAsia="Times New Roman" w:cs="Times New Roman"/>
          <w:sz w:val="24"/>
          <w:szCs w:val="24"/>
          <w:spacing w:val="-1"/>
        </w:rPr>
        <w:t>1.5nm-5um</w:t>
      </w:r>
      <w:r>
        <w:rPr>
          <w:rFonts w:ascii="SimSun" w:hAnsi="SimSun" w:eastAsia="SimSun" w:cs="SimSun"/>
          <w:sz w:val="24"/>
          <w:szCs w:val="24"/>
          <w:spacing w:val="-1"/>
        </w:rPr>
        <w:t>之间。其吸附方式主要通过</w:t>
      </w:r>
      <w:r>
        <w:rPr>
          <w:rFonts w:ascii="Times New Roman" w:hAnsi="Times New Roman" w:eastAsia="Times New Roman" w:cs="Times New Roman"/>
          <w:sz w:val="24"/>
          <w:szCs w:val="24"/>
          <w:spacing w:val="-1"/>
        </w:rPr>
        <w:t>2</w:t>
      </w:r>
      <w:r>
        <w:rPr>
          <w:rFonts w:ascii="SimSun" w:hAnsi="SimSun" w:eastAsia="SimSun" w:cs="SimSun"/>
          <w:sz w:val="24"/>
          <w:szCs w:val="24"/>
          <w:spacing w:val="-1"/>
        </w:rPr>
        <w:t>种途径：一是活性炭与气体分子间的范</w:t>
      </w:r>
      <w:r>
        <w:rPr>
          <w:rFonts w:ascii="SimSun" w:hAnsi="SimSun" w:eastAsia="SimSun" w:cs="SimSun"/>
          <w:sz w:val="24"/>
          <w:szCs w:val="24"/>
          <w:spacing w:val="5"/>
        </w:rPr>
        <w:t xml:space="preserve">  </w:t>
      </w:r>
      <w:r>
        <w:rPr>
          <w:rFonts w:ascii="SimSun" w:hAnsi="SimSun" w:eastAsia="SimSun" w:cs="SimSun"/>
          <w:sz w:val="24"/>
          <w:szCs w:val="24"/>
          <w:spacing w:val="-3"/>
        </w:rPr>
        <w:t>德华力，当气体分子经过活性炭表面，范德华力起主导作用时，气体分子先被吸</w:t>
      </w:r>
      <w:r>
        <w:rPr>
          <w:rFonts w:ascii="SimSun" w:hAnsi="SimSun" w:eastAsia="SimSun" w:cs="SimSun"/>
          <w:sz w:val="24"/>
          <w:szCs w:val="24"/>
        </w:rPr>
        <w:t xml:space="preserve"> </w:t>
      </w:r>
      <w:r>
        <w:rPr>
          <w:rFonts w:ascii="SimSun" w:hAnsi="SimSun" w:eastAsia="SimSun" w:cs="SimSun"/>
          <w:sz w:val="24"/>
          <w:szCs w:val="24"/>
          <w:spacing w:val="-3"/>
        </w:rPr>
        <w:t>附至活性炭外表面，小于活性炭孔径的分子经内部扩散转移至内表面，从而达到</w:t>
      </w:r>
      <w:r>
        <w:rPr>
          <w:rFonts w:ascii="SimSun" w:hAnsi="SimSun" w:eastAsia="SimSun" w:cs="SimSun"/>
          <w:sz w:val="24"/>
          <w:szCs w:val="24"/>
        </w:rPr>
        <w:t xml:space="preserve"> </w:t>
      </w:r>
      <w:r>
        <w:rPr>
          <w:rFonts w:ascii="SimSun" w:hAnsi="SimSun" w:eastAsia="SimSun" w:cs="SimSun"/>
          <w:sz w:val="24"/>
          <w:szCs w:val="24"/>
          <w:spacing w:val="-3"/>
        </w:rPr>
        <w:t>吸附的效果，此为物理吸附；二是吸附质与吸附剂表面原子间的化学键合成，此</w:t>
      </w:r>
      <w:r>
        <w:rPr>
          <w:rFonts w:ascii="SimSun" w:hAnsi="SimSun" w:eastAsia="SimSun" w:cs="SimSun"/>
          <w:sz w:val="24"/>
          <w:szCs w:val="24"/>
        </w:rPr>
        <w:t xml:space="preserve"> </w:t>
      </w:r>
      <w:r>
        <w:rPr>
          <w:rFonts w:ascii="SimSun" w:hAnsi="SimSun" w:eastAsia="SimSun" w:cs="SimSun"/>
          <w:sz w:val="24"/>
          <w:szCs w:val="24"/>
          <w:spacing w:val="-3"/>
        </w:rPr>
        <w:t>为化学吸附。活性炭吸附一般适用于大风量、低浓度、低湿度、低含尘的有机废</w:t>
      </w:r>
    </w:p>
    <w:p>
      <w:pPr>
        <w:ind w:left="24"/>
        <w:spacing w:before="1" w:line="220" w:lineRule="auto"/>
        <w:rPr>
          <w:rFonts w:ascii="SimSun" w:hAnsi="SimSun" w:eastAsia="SimSun" w:cs="SimSun"/>
          <w:sz w:val="24"/>
          <w:szCs w:val="24"/>
        </w:rPr>
      </w:pPr>
      <w:r>
        <w:rPr>
          <w:rFonts w:ascii="SimSun" w:hAnsi="SimSun" w:eastAsia="SimSun" w:cs="SimSun"/>
          <w:sz w:val="24"/>
          <w:szCs w:val="24"/>
          <w:spacing w:val="-6"/>
        </w:rPr>
        <w:t>气。</w:t>
      </w:r>
    </w:p>
    <w:p>
      <w:pPr>
        <w:spacing w:line="220" w:lineRule="auto"/>
        <w:sectPr>
          <w:footerReference w:type="default" r:id="rId82"/>
          <w:pgSz w:w="11906" w:h="16839"/>
          <w:pgMar w:top="400" w:right="1785" w:bottom="1211" w:left="1785" w:header="0" w:footer="1049" w:gutter="0"/>
        </w:sectPr>
        <w:rPr>
          <w:rFonts w:ascii="SimSun" w:hAnsi="SimSun" w:eastAsia="SimSun" w:cs="SimSun"/>
          <w:sz w:val="24"/>
          <w:szCs w:val="24"/>
        </w:rPr>
      </w:pPr>
    </w:p>
    <w:p>
      <w:pPr>
        <w:pStyle w:val="BodyText"/>
        <w:spacing w:line="288" w:lineRule="auto"/>
        <w:rPr/>
      </w:pPr>
      <w:r/>
    </w:p>
    <w:p>
      <w:pPr>
        <w:pStyle w:val="BodyText"/>
        <w:spacing w:line="288" w:lineRule="auto"/>
        <w:rPr/>
      </w:pPr>
      <w:r/>
    </w:p>
    <w:p>
      <w:pPr>
        <w:pStyle w:val="BodyText"/>
        <w:spacing w:line="288" w:lineRule="auto"/>
        <w:rPr/>
      </w:pPr>
      <w:r/>
    </w:p>
    <w:p>
      <w:pPr>
        <w:pStyle w:val="BodyText"/>
        <w:spacing w:line="288" w:lineRule="auto"/>
        <w:rPr/>
      </w:pPr>
      <w:r/>
    </w:p>
    <w:p>
      <w:pPr>
        <w:ind w:left="25" w:right="23" w:firstLine="493"/>
        <w:spacing w:before="78" w:line="384" w:lineRule="auto"/>
        <w:rPr>
          <w:rFonts w:ascii="SimSun" w:hAnsi="SimSun" w:eastAsia="SimSun" w:cs="SimSun"/>
          <w:sz w:val="24"/>
          <w:szCs w:val="24"/>
        </w:rPr>
      </w:pPr>
      <w:r>
        <w:rPr>
          <w:rFonts w:ascii="SimSun" w:hAnsi="SimSun" w:eastAsia="SimSun" w:cs="SimSun"/>
          <w:sz w:val="24"/>
          <w:szCs w:val="24"/>
          <w:spacing w:val="-3"/>
        </w:rPr>
        <w:t>当有机废气的浓度达到</w:t>
      </w:r>
      <w:r>
        <w:rPr>
          <w:rFonts w:ascii="Times New Roman" w:hAnsi="Times New Roman" w:eastAsia="Times New Roman" w:cs="Times New Roman"/>
          <w:sz w:val="24"/>
          <w:szCs w:val="24"/>
          <w:spacing w:val="-3"/>
        </w:rPr>
        <w:t>2000PPm</w:t>
      </w:r>
      <w:r>
        <w:rPr>
          <w:rFonts w:ascii="SimSun" w:hAnsi="SimSun" w:eastAsia="SimSun" w:cs="SimSun"/>
          <w:sz w:val="24"/>
          <w:szCs w:val="24"/>
          <w:spacing w:val="-3"/>
        </w:rPr>
        <w:t>以上时，有机废气在催化床可维持自燃，不</w:t>
      </w:r>
      <w:r>
        <w:rPr>
          <w:rFonts w:ascii="SimSun" w:hAnsi="SimSun" w:eastAsia="SimSun" w:cs="SimSun"/>
          <w:sz w:val="24"/>
          <w:szCs w:val="24"/>
          <w:spacing w:val="15"/>
        </w:rPr>
        <w:t xml:space="preserve"> </w:t>
      </w:r>
      <w:r>
        <w:rPr>
          <w:rFonts w:ascii="SimSun" w:hAnsi="SimSun" w:eastAsia="SimSun" w:cs="SimSun"/>
          <w:sz w:val="24"/>
          <w:szCs w:val="24"/>
          <w:spacing w:val="-3"/>
        </w:rPr>
        <w:t>用外加热。燃烧后的尾气一部分排入大气，大部分被送往吸附床，用于活性炭再</w:t>
      </w:r>
      <w:r>
        <w:rPr>
          <w:rFonts w:ascii="SimSun" w:hAnsi="SimSun" w:eastAsia="SimSun" w:cs="SimSun"/>
          <w:sz w:val="24"/>
          <w:szCs w:val="24"/>
        </w:rPr>
        <w:t xml:space="preserve"> </w:t>
      </w:r>
      <w:r>
        <w:rPr>
          <w:rFonts w:ascii="SimSun" w:hAnsi="SimSun" w:eastAsia="SimSun" w:cs="SimSun"/>
          <w:sz w:val="24"/>
          <w:szCs w:val="24"/>
          <w:spacing w:val="-3"/>
        </w:rPr>
        <w:t>生。这样可满足燃烧和吸附所需的热能，达到节能的目的。再生后的可进入下次</w:t>
      </w:r>
      <w:r>
        <w:rPr>
          <w:rFonts w:ascii="SimSun" w:hAnsi="SimSun" w:eastAsia="SimSun" w:cs="SimSun"/>
          <w:sz w:val="24"/>
          <w:szCs w:val="24"/>
        </w:rPr>
        <w:t xml:space="preserve"> </w:t>
      </w:r>
      <w:r>
        <w:rPr>
          <w:rFonts w:ascii="SimSun" w:hAnsi="SimSun" w:eastAsia="SimSun" w:cs="SimSun"/>
          <w:sz w:val="24"/>
          <w:szCs w:val="24"/>
          <w:spacing w:val="-3"/>
        </w:rPr>
        <w:t>吸附；在脱附时，净化操作可用另一个吸附床进行，既适合于连续操作，也适合</w:t>
      </w:r>
    </w:p>
    <w:p>
      <w:pPr>
        <w:ind w:left="27"/>
        <w:spacing w:line="219" w:lineRule="auto"/>
        <w:rPr>
          <w:rFonts w:ascii="SimSun" w:hAnsi="SimSun" w:eastAsia="SimSun" w:cs="SimSun"/>
          <w:sz w:val="24"/>
          <w:szCs w:val="24"/>
        </w:rPr>
      </w:pPr>
      <w:r>
        <w:rPr>
          <w:rFonts w:ascii="SimSun" w:hAnsi="SimSun" w:eastAsia="SimSun" w:cs="SimSun"/>
          <w:sz w:val="24"/>
          <w:szCs w:val="24"/>
          <w:spacing w:val="-3"/>
        </w:rPr>
        <w:t>于间断操作。</w:t>
      </w:r>
    </w:p>
    <w:p>
      <w:pPr>
        <w:ind w:right="23"/>
        <w:spacing w:before="214" w:line="456" w:lineRule="exact"/>
        <w:jc w:val="right"/>
        <w:rPr>
          <w:rFonts w:ascii="SimSun" w:hAnsi="SimSun" w:eastAsia="SimSun" w:cs="SimSun"/>
          <w:sz w:val="24"/>
          <w:szCs w:val="24"/>
        </w:rPr>
      </w:pPr>
      <w:r>
        <w:rPr>
          <w:rFonts w:ascii="SimSun" w:hAnsi="SimSun" w:eastAsia="SimSun" w:cs="SimSun"/>
          <w:sz w:val="24"/>
          <w:szCs w:val="24"/>
          <w:spacing w:val="-2"/>
          <w:position w:val="16"/>
        </w:rPr>
        <w:t>活性炭吸附箱截面积为</w:t>
      </w:r>
      <w:r>
        <w:rPr>
          <w:rFonts w:ascii="Times New Roman" w:hAnsi="Times New Roman" w:eastAsia="Times New Roman" w:cs="Times New Roman"/>
          <w:sz w:val="24"/>
          <w:szCs w:val="24"/>
          <w:spacing w:val="-2"/>
          <w:position w:val="16"/>
        </w:rPr>
        <w:t>4.84</w:t>
      </w:r>
      <w:r>
        <w:rPr>
          <w:rFonts w:ascii="SimSun" w:hAnsi="SimSun" w:eastAsia="SimSun" w:cs="SimSun"/>
          <w:sz w:val="24"/>
          <w:szCs w:val="24"/>
          <w:spacing w:val="-2"/>
          <w:position w:val="16"/>
        </w:rPr>
        <w:t>㎡，装填高度</w:t>
      </w:r>
      <w:r>
        <w:rPr>
          <w:rFonts w:ascii="Times New Roman" w:hAnsi="Times New Roman" w:eastAsia="Times New Roman" w:cs="Times New Roman"/>
          <w:sz w:val="24"/>
          <w:szCs w:val="24"/>
          <w:spacing w:val="-2"/>
          <w:position w:val="16"/>
        </w:rPr>
        <w:t>800mm</w:t>
      </w:r>
      <w:r>
        <w:rPr>
          <w:rFonts w:ascii="SimSun" w:hAnsi="SimSun" w:eastAsia="SimSun" w:cs="SimSun"/>
          <w:sz w:val="24"/>
          <w:szCs w:val="24"/>
          <w:spacing w:val="-2"/>
          <w:position w:val="16"/>
        </w:rPr>
        <w:t>，单个活性炭吸附箱活性炭</w:t>
      </w:r>
    </w:p>
    <w:p>
      <w:pPr>
        <w:ind w:left="23"/>
        <w:spacing w:line="322" w:lineRule="exact"/>
        <w:rPr>
          <w:rFonts w:ascii="SimSun" w:hAnsi="SimSun" w:eastAsia="SimSun" w:cs="SimSun"/>
          <w:sz w:val="24"/>
          <w:szCs w:val="24"/>
        </w:rPr>
      </w:pPr>
      <w:r>
        <w:rPr>
          <w:rFonts w:ascii="SimSun" w:hAnsi="SimSun" w:eastAsia="SimSun" w:cs="SimSun"/>
          <w:sz w:val="24"/>
          <w:szCs w:val="24"/>
          <w:spacing w:val="-1"/>
          <w:position w:val="1"/>
        </w:rPr>
        <w:t>装填量为</w:t>
      </w:r>
      <w:r>
        <w:rPr>
          <w:rFonts w:ascii="Times New Roman" w:hAnsi="Times New Roman" w:eastAsia="Times New Roman" w:cs="Times New Roman"/>
          <w:sz w:val="24"/>
          <w:szCs w:val="24"/>
          <w:spacing w:val="-1"/>
          <w:position w:val="1"/>
        </w:rPr>
        <w:t>4.84×0.8=3.872m</w:t>
      </w:r>
      <w:r>
        <w:rPr>
          <w:rFonts w:ascii="SimSun" w:hAnsi="SimSun" w:eastAsia="SimSun" w:cs="SimSun"/>
          <w:sz w:val="24"/>
          <w:szCs w:val="24"/>
          <w:spacing w:val="-1"/>
          <w:position w:val="1"/>
        </w:rPr>
        <w:t>³。</w:t>
      </w:r>
    </w:p>
    <w:p>
      <w:pPr>
        <w:ind w:left="509"/>
        <w:spacing w:before="222" w:line="499" w:lineRule="exact"/>
        <w:rPr>
          <w:rFonts w:ascii="SimSun" w:hAnsi="SimSun" w:eastAsia="SimSun" w:cs="SimSun"/>
          <w:sz w:val="24"/>
          <w:szCs w:val="24"/>
        </w:rPr>
      </w:pPr>
      <w:r>
        <w:rPr>
          <w:rFonts w:ascii="SimSun" w:hAnsi="SimSun" w:eastAsia="SimSun" w:cs="SimSun"/>
          <w:sz w:val="24"/>
          <w:szCs w:val="24"/>
          <w:spacing w:val="-1"/>
          <w:position w:val="19"/>
        </w:rPr>
        <w:t>结合实验室测试和工程经验数据，蜂窝活性炭动态吸附量按</w:t>
      </w:r>
      <w:r>
        <w:rPr>
          <w:rFonts w:ascii="Times New Roman" w:hAnsi="Times New Roman" w:eastAsia="Times New Roman" w:cs="Times New Roman"/>
          <w:sz w:val="24"/>
          <w:szCs w:val="24"/>
          <w:spacing w:val="-1"/>
          <w:position w:val="19"/>
        </w:rPr>
        <w:t>4%</w:t>
      </w:r>
      <w:r>
        <w:rPr>
          <w:rFonts w:ascii="SimSun" w:hAnsi="SimSun" w:eastAsia="SimSun" w:cs="SimSun"/>
          <w:sz w:val="24"/>
          <w:szCs w:val="24"/>
          <w:spacing w:val="-1"/>
          <w:position w:val="19"/>
        </w:rPr>
        <w:t>设计，蜂窝</w:t>
      </w:r>
    </w:p>
    <w:p>
      <w:pPr>
        <w:ind w:left="27"/>
        <w:spacing w:line="212" w:lineRule="auto"/>
        <w:rPr>
          <w:rFonts w:ascii="SimSun" w:hAnsi="SimSun" w:eastAsia="SimSun" w:cs="SimSun"/>
          <w:sz w:val="24"/>
          <w:szCs w:val="24"/>
        </w:rPr>
      </w:pPr>
      <w:r>
        <w:rPr>
          <w:rFonts w:ascii="SimSun" w:hAnsi="SimSun" w:eastAsia="SimSun" w:cs="SimSun"/>
          <w:sz w:val="24"/>
          <w:szCs w:val="24"/>
          <w:spacing w:val="-2"/>
        </w:rPr>
        <w:t>活性炭密度</w:t>
      </w:r>
      <w:r>
        <w:rPr>
          <w:rFonts w:ascii="Times New Roman" w:hAnsi="Times New Roman" w:eastAsia="Times New Roman" w:cs="Times New Roman"/>
          <w:sz w:val="24"/>
          <w:szCs w:val="24"/>
          <w:spacing w:val="-2"/>
        </w:rPr>
        <w:t>450kg/m</w:t>
      </w:r>
      <w:r>
        <w:rPr>
          <w:rFonts w:ascii="SimSun" w:hAnsi="SimSun" w:eastAsia="SimSun" w:cs="SimSun"/>
          <w:sz w:val="24"/>
          <w:szCs w:val="24"/>
          <w:spacing w:val="-2"/>
        </w:rPr>
        <w:t>³,</w:t>
      </w:r>
      <w:r>
        <w:rPr>
          <w:rFonts w:ascii="SimSun" w:hAnsi="SimSun" w:eastAsia="SimSun" w:cs="SimSun"/>
          <w:sz w:val="24"/>
          <w:szCs w:val="24"/>
          <w:spacing w:val="73"/>
        </w:rPr>
        <w:t xml:space="preserve"> </w:t>
      </w:r>
      <w:r>
        <w:rPr>
          <w:rFonts w:ascii="SimSun" w:hAnsi="SimSun" w:eastAsia="SimSun" w:cs="SimSun"/>
          <w:sz w:val="24"/>
          <w:szCs w:val="24"/>
          <w:spacing w:val="-2"/>
        </w:rPr>
        <w:t>单个活性炭吸附箱活性炭重量为</w:t>
      </w:r>
      <w:r>
        <w:rPr>
          <w:rFonts w:ascii="Times New Roman" w:hAnsi="Times New Roman" w:eastAsia="Times New Roman" w:cs="Times New Roman"/>
          <w:sz w:val="24"/>
          <w:szCs w:val="24"/>
          <w:spacing w:val="-2"/>
        </w:rPr>
        <w:t>450kg/m</w:t>
      </w:r>
      <w:r>
        <w:rPr>
          <w:rFonts w:ascii="SimSun" w:hAnsi="SimSun" w:eastAsia="SimSun" w:cs="SimSun"/>
          <w:sz w:val="24"/>
          <w:szCs w:val="24"/>
          <w:spacing w:val="-2"/>
        </w:rPr>
        <w:t>³</w:t>
      </w:r>
      <w:r>
        <w:rPr>
          <w:rFonts w:ascii="Times New Roman" w:hAnsi="Times New Roman" w:eastAsia="Times New Roman" w:cs="Times New Roman"/>
          <w:sz w:val="24"/>
          <w:szCs w:val="24"/>
          <w:spacing w:val="-2"/>
        </w:rPr>
        <w:t>×3.872m</w:t>
      </w:r>
      <w:r>
        <w:rPr>
          <w:rFonts w:ascii="SimSun" w:hAnsi="SimSun" w:eastAsia="SimSun" w:cs="SimSun"/>
          <w:sz w:val="24"/>
          <w:szCs w:val="24"/>
          <w:spacing w:val="-2"/>
        </w:rPr>
        <w:t>³</w:t>
      </w:r>
    </w:p>
    <w:p>
      <w:pPr>
        <w:ind w:left="18"/>
        <w:spacing w:before="180" w:line="323" w:lineRule="exact"/>
        <w:rPr>
          <w:rFonts w:ascii="SimSun" w:hAnsi="SimSun" w:eastAsia="SimSun" w:cs="SimSun"/>
          <w:sz w:val="24"/>
          <w:szCs w:val="24"/>
        </w:rPr>
      </w:pPr>
      <w:r>
        <w:rPr>
          <w:rFonts w:ascii="Times New Roman" w:hAnsi="Times New Roman" w:eastAsia="Times New Roman" w:cs="Times New Roman"/>
          <w:sz w:val="24"/>
          <w:szCs w:val="24"/>
          <w:spacing w:val="-2"/>
          <w:position w:val="2"/>
        </w:rPr>
        <w:t>=</w:t>
      </w:r>
      <w:r>
        <w:rPr>
          <w:rFonts w:ascii="Times New Roman" w:hAnsi="Times New Roman" w:eastAsia="Times New Roman" w:cs="Times New Roman"/>
          <w:sz w:val="24"/>
          <w:szCs w:val="24"/>
          <w:spacing w:val="-28"/>
          <w:position w:val="2"/>
        </w:rPr>
        <w:t xml:space="preserve"> </w:t>
      </w:r>
      <w:r>
        <w:rPr>
          <w:rFonts w:ascii="Times New Roman" w:hAnsi="Times New Roman" w:eastAsia="Times New Roman" w:cs="Times New Roman"/>
          <w:sz w:val="24"/>
          <w:szCs w:val="24"/>
          <w:spacing w:val="-2"/>
          <w:position w:val="2"/>
        </w:rPr>
        <w:t>1754.4kg</w:t>
      </w:r>
      <w:r>
        <w:rPr>
          <w:rFonts w:ascii="Times New Roman" w:hAnsi="Times New Roman" w:eastAsia="Times New Roman" w:cs="Times New Roman"/>
          <w:sz w:val="24"/>
          <w:szCs w:val="24"/>
          <w:spacing w:val="-31"/>
          <w:position w:val="2"/>
        </w:rPr>
        <w:t xml:space="preserve"> </w:t>
      </w:r>
      <w:r>
        <w:rPr>
          <w:rFonts w:ascii="SimSun" w:hAnsi="SimSun" w:eastAsia="SimSun" w:cs="SimSun"/>
          <w:sz w:val="24"/>
          <w:szCs w:val="24"/>
          <w:spacing w:val="-2"/>
          <w:position w:val="2"/>
        </w:rPr>
        <w:t>，达到动态吸附饱和，单个床体可以吸附的</w:t>
      </w:r>
      <w:r>
        <w:rPr>
          <w:rFonts w:ascii="Times New Roman" w:hAnsi="Times New Roman" w:eastAsia="Times New Roman" w:cs="Times New Roman"/>
          <w:sz w:val="24"/>
          <w:szCs w:val="24"/>
          <w:spacing w:val="-2"/>
          <w:position w:val="2"/>
        </w:rPr>
        <w:t>VOCs</w:t>
      </w:r>
      <w:r>
        <w:rPr>
          <w:rFonts w:ascii="SimSun" w:hAnsi="SimSun" w:eastAsia="SimSun" w:cs="SimSun"/>
          <w:sz w:val="24"/>
          <w:szCs w:val="24"/>
          <w:spacing w:val="-2"/>
          <w:position w:val="2"/>
        </w:rPr>
        <w:t>量为</w:t>
      </w:r>
    </w:p>
    <w:p>
      <w:pPr>
        <w:ind w:left="18"/>
        <w:spacing w:before="179" w:line="499" w:lineRule="exact"/>
        <w:rPr>
          <w:rFonts w:ascii="SimSun" w:hAnsi="SimSun" w:eastAsia="SimSun" w:cs="SimSun"/>
          <w:sz w:val="24"/>
          <w:szCs w:val="24"/>
        </w:rPr>
      </w:pPr>
      <w:r>
        <w:rPr>
          <w:rFonts w:ascii="Times New Roman" w:hAnsi="Times New Roman" w:eastAsia="Times New Roman" w:cs="Times New Roman"/>
          <w:sz w:val="24"/>
          <w:szCs w:val="24"/>
          <w:spacing w:val="-2"/>
          <w:position w:val="17"/>
        </w:rPr>
        <w:t>=4%×</w:t>
      </w:r>
      <w:r>
        <w:rPr>
          <w:rFonts w:ascii="Times New Roman" w:hAnsi="Times New Roman" w:eastAsia="Times New Roman" w:cs="Times New Roman"/>
          <w:sz w:val="24"/>
          <w:szCs w:val="24"/>
          <w:spacing w:val="-32"/>
          <w:position w:val="17"/>
        </w:rPr>
        <w:t xml:space="preserve"> </w:t>
      </w:r>
      <w:r>
        <w:rPr>
          <w:rFonts w:ascii="Times New Roman" w:hAnsi="Times New Roman" w:eastAsia="Times New Roman" w:cs="Times New Roman"/>
          <w:sz w:val="24"/>
          <w:szCs w:val="24"/>
          <w:spacing w:val="-2"/>
          <w:position w:val="17"/>
        </w:rPr>
        <w:t>1742.4kg=70kg</w:t>
      </w:r>
      <w:r>
        <w:rPr>
          <w:rFonts w:ascii="Times New Roman" w:hAnsi="Times New Roman" w:eastAsia="Times New Roman" w:cs="Times New Roman"/>
          <w:sz w:val="24"/>
          <w:szCs w:val="24"/>
          <w:spacing w:val="-27"/>
          <w:position w:val="17"/>
        </w:rPr>
        <w:t xml:space="preserve"> </w:t>
      </w:r>
      <w:r>
        <w:rPr>
          <w:rFonts w:ascii="SimSun" w:hAnsi="SimSun" w:eastAsia="SimSun" w:cs="SimSun"/>
          <w:sz w:val="24"/>
          <w:szCs w:val="24"/>
          <w:spacing w:val="-2"/>
          <w:position w:val="17"/>
        </w:rPr>
        <w:t>。吸附达到动态吸附饱和时间</w:t>
      </w:r>
      <w:r>
        <w:rPr>
          <w:rFonts w:ascii="Times New Roman" w:hAnsi="Times New Roman" w:eastAsia="Times New Roman" w:cs="Times New Roman"/>
          <w:sz w:val="24"/>
          <w:szCs w:val="24"/>
          <w:spacing w:val="-2"/>
          <w:position w:val="17"/>
        </w:rPr>
        <w:t>=70×</w:t>
      </w:r>
      <w:r>
        <w:rPr>
          <w:rFonts w:ascii="Times New Roman" w:hAnsi="Times New Roman" w:eastAsia="Times New Roman" w:cs="Times New Roman"/>
          <w:sz w:val="24"/>
          <w:szCs w:val="24"/>
          <w:spacing w:val="-33"/>
          <w:position w:val="17"/>
        </w:rPr>
        <w:t xml:space="preserve"> </w:t>
      </w:r>
      <w:r>
        <w:rPr>
          <w:rFonts w:ascii="Times New Roman" w:hAnsi="Times New Roman" w:eastAsia="Times New Roman" w:cs="Times New Roman"/>
          <w:sz w:val="24"/>
          <w:szCs w:val="24"/>
          <w:spacing w:val="-2"/>
          <w:position w:val="17"/>
        </w:rPr>
        <w:t>106</w:t>
      </w:r>
      <w:r>
        <w:rPr>
          <w:rFonts w:ascii="SimSun" w:hAnsi="SimSun" w:eastAsia="SimSun" w:cs="SimSun"/>
          <w:sz w:val="24"/>
          <w:szCs w:val="24"/>
          <w:spacing w:val="-2"/>
          <w:position w:val="17"/>
        </w:rPr>
        <w:t>÷</w:t>
      </w:r>
      <w:r>
        <w:rPr>
          <w:rFonts w:ascii="Times New Roman" w:hAnsi="Times New Roman" w:eastAsia="Times New Roman" w:cs="Times New Roman"/>
          <w:sz w:val="24"/>
          <w:szCs w:val="24"/>
          <w:spacing w:val="-2"/>
          <w:position w:val="17"/>
        </w:rPr>
        <w:t>200</w:t>
      </w:r>
      <w:r>
        <w:rPr>
          <w:rFonts w:ascii="Times New Roman" w:hAnsi="Times New Roman" w:eastAsia="Times New Roman" w:cs="Times New Roman"/>
          <w:sz w:val="24"/>
          <w:szCs w:val="24"/>
          <w:spacing w:val="-3"/>
          <w:position w:val="17"/>
        </w:rPr>
        <w:t>00m</w:t>
      </w:r>
      <w:r>
        <w:rPr>
          <w:rFonts w:ascii="SimSun" w:hAnsi="SimSun" w:eastAsia="SimSun" w:cs="SimSun"/>
          <w:sz w:val="24"/>
          <w:szCs w:val="24"/>
          <w:spacing w:val="-3"/>
          <w:position w:val="17"/>
        </w:rPr>
        <w:t>³</w:t>
      </w:r>
    </w:p>
    <w:p>
      <w:pPr>
        <w:ind w:left="14"/>
        <w:spacing w:line="323"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position w:val="2"/>
        </w:rPr>
        <w:t>/h×60=58.33h</w:t>
      </w:r>
    </w:p>
    <w:p>
      <w:pPr>
        <w:ind w:right="23"/>
        <w:spacing w:before="222" w:line="499" w:lineRule="exact"/>
        <w:jc w:val="right"/>
        <w:rPr>
          <w:rFonts w:ascii="SimSun" w:hAnsi="SimSun" w:eastAsia="SimSun" w:cs="SimSun"/>
          <w:sz w:val="24"/>
          <w:szCs w:val="24"/>
        </w:rPr>
      </w:pPr>
      <w:r>
        <w:rPr>
          <w:rFonts w:ascii="SimSun" w:hAnsi="SimSun" w:eastAsia="SimSun" w:cs="SimSun"/>
          <w:sz w:val="24"/>
          <w:szCs w:val="24"/>
          <w:spacing w:val="-1"/>
          <w:position w:val="19"/>
        </w:rPr>
        <w:t>活性炭吸附床在吸附</w:t>
      </w:r>
      <w:r>
        <w:rPr>
          <w:rFonts w:ascii="Times New Roman" w:hAnsi="Times New Roman" w:eastAsia="Times New Roman" w:cs="Times New Roman"/>
          <w:sz w:val="24"/>
          <w:szCs w:val="24"/>
          <w:spacing w:val="-1"/>
          <w:position w:val="19"/>
        </w:rPr>
        <w:t>58.33h</w:t>
      </w:r>
      <w:r>
        <w:rPr>
          <w:rFonts w:ascii="SimSun" w:hAnsi="SimSun" w:eastAsia="SimSun" w:cs="SimSun"/>
          <w:sz w:val="24"/>
          <w:szCs w:val="24"/>
          <w:spacing w:val="-1"/>
          <w:position w:val="19"/>
        </w:rPr>
        <w:t>后即达到蜂窝活性炭</w:t>
      </w:r>
      <w:r>
        <w:rPr>
          <w:rFonts w:ascii="SimSun" w:hAnsi="SimSun" w:eastAsia="SimSun" w:cs="SimSun"/>
          <w:sz w:val="24"/>
          <w:szCs w:val="24"/>
          <w:spacing w:val="-2"/>
          <w:position w:val="19"/>
        </w:rPr>
        <w:t>的动态饱和时间。蜂窝活性</w:t>
      </w:r>
    </w:p>
    <w:p>
      <w:pPr>
        <w:ind w:left="27"/>
        <w:spacing w:before="1" w:line="218" w:lineRule="auto"/>
        <w:rPr>
          <w:rFonts w:ascii="SimSun" w:hAnsi="SimSun" w:eastAsia="SimSun" w:cs="SimSun"/>
          <w:sz w:val="24"/>
          <w:szCs w:val="24"/>
        </w:rPr>
      </w:pPr>
      <w:r>
        <w:rPr>
          <w:rFonts w:ascii="SimSun" w:hAnsi="SimSun" w:eastAsia="SimSun" w:cs="SimSun"/>
          <w:sz w:val="24"/>
          <w:szCs w:val="24"/>
        </w:rPr>
        <w:t>炭更换周期为</w:t>
      </w:r>
      <w:r>
        <w:rPr>
          <w:rFonts w:ascii="Times New Roman" w:hAnsi="Times New Roman" w:eastAsia="Times New Roman" w:cs="Times New Roman"/>
          <w:sz w:val="24"/>
          <w:szCs w:val="24"/>
        </w:rPr>
        <w:t>2-2.5</w:t>
      </w:r>
      <w:r>
        <w:rPr>
          <w:rFonts w:ascii="SimSun" w:hAnsi="SimSun" w:eastAsia="SimSun" w:cs="SimSun"/>
          <w:sz w:val="24"/>
          <w:szCs w:val="24"/>
        </w:rPr>
        <w:t>年，贵金属催化剂更换</w:t>
      </w:r>
      <w:r>
        <w:rPr>
          <w:rFonts w:ascii="SimSun" w:hAnsi="SimSun" w:eastAsia="SimSun" w:cs="SimSun"/>
          <w:sz w:val="24"/>
          <w:szCs w:val="24"/>
          <w:spacing w:val="-1"/>
        </w:rPr>
        <w:t>周期为</w:t>
      </w:r>
      <w:r>
        <w:rPr>
          <w:rFonts w:ascii="Times New Roman" w:hAnsi="Times New Roman" w:eastAsia="Times New Roman" w:cs="Times New Roman"/>
          <w:sz w:val="24"/>
          <w:szCs w:val="24"/>
          <w:spacing w:val="-1"/>
        </w:rPr>
        <w:t>2</w:t>
      </w:r>
      <w:r>
        <w:rPr>
          <w:rFonts w:ascii="SimSun" w:hAnsi="SimSun" w:eastAsia="SimSun" w:cs="SimSun"/>
          <w:sz w:val="24"/>
          <w:szCs w:val="24"/>
          <w:spacing w:val="-1"/>
        </w:rPr>
        <w:t>年左右或</w:t>
      </w:r>
      <w:r>
        <w:rPr>
          <w:rFonts w:ascii="Times New Roman" w:hAnsi="Times New Roman" w:eastAsia="Times New Roman" w:cs="Times New Roman"/>
          <w:sz w:val="24"/>
          <w:szCs w:val="24"/>
          <w:spacing w:val="-1"/>
        </w:rPr>
        <w:t>8000</w:t>
      </w:r>
      <w:r>
        <w:rPr>
          <w:rFonts w:ascii="SimSun" w:hAnsi="SimSun" w:eastAsia="SimSun" w:cs="SimSun"/>
          <w:sz w:val="24"/>
          <w:szCs w:val="24"/>
          <w:spacing w:val="-1"/>
        </w:rPr>
        <w:t>小时。</w:t>
      </w:r>
    </w:p>
    <w:p>
      <w:pPr>
        <w:ind w:left="21" w:firstLine="491"/>
        <w:spacing w:before="212" w:line="385" w:lineRule="auto"/>
        <w:rPr>
          <w:rFonts w:ascii="SimSun" w:hAnsi="SimSun" w:eastAsia="SimSun" w:cs="SimSun"/>
          <w:sz w:val="24"/>
          <w:szCs w:val="24"/>
        </w:rPr>
      </w:pPr>
      <w:r>
        <w:rPr>
          <w:rFonts w:ascii="SimSun" w:hAnsi="SimSun" w:eastAsia="SimSun" w:cs="SimSun"/>
          <w:sz w:val="24"/>
          <w:szCs w:val="24"/>
          <w:spacing w:val="-1"/>
        </w:rPr>
        <w:t>吸附</w:t>
      </w:r>
      <w:r>
        <w:rPr>
          <w:rFonts w:ascii="Times New Roman" w:hAnsi="Times New Roman" w:eastAsia="Times New Roman" w:cs="Times New Roman"/>
          <w:sz w:val="24"/>
          <w:szCs w:val="24"/>
          <w:spacing w:val="-1"/>
        </w:rPr>
        <w:t>-</w:t>
      </w:r>
      <w:r>
        <w:rPr>
          <w:rFonts w:ascii="SimSun" w:hAnsi="SimSun" w:eastAsia="SimSun" w:cs="SimSun"/>
          <w:sz w:val="24"/>
          <w:szCs w:val="24"/>
          <w:spacing w:val="-1"/>
        </w:rPr>
        <w:t>活性炭吸附</w:t>
      </w:r>
      <w:r>
        <w:rPr>
          <w:rFonts w:ascii="Times New Roman" w:hAnsi="Times New Roman" w:eastAsia="Times New Roman" w:cs="Times New Roman"/>
          <w:sz w:val="24"/>
          <w:szCs w:val="24"/>
          <w:spacing w:val="-1"/>
        </w:rPr>
        <w:t>+</w:t>
      </w:r>
      <w:r>
        <w:rPr>
          <w:rFonts w:ascii="SimSun" w:hAnsi="SimSun" w:eastAsia="SimSun" w:cs="SimSun"/>
          <w:sz w:val="24"/>
          <w:szCs w:val="24"/>
          <w:spacing w:val="-1"/>
        </w:rPr>
        <w:t>催化燃烧装置（</w:t>
      </w:r>
      <w:r>
        <w:rPr>
          <w:rFonts w:ascii="Times New Roman" w:hAnsi="Times New Roman" w:eastAsia="Times New Roman" w:cs="Times New Roman"/>
          <w:sz w:val="24"/>
          <w:szCs w:val="24"/>
          <w:spacing w:val="-1"/>
        </w:rPr>
        <w:t>CO</w:t>
      </w:r>
      <w:r>
        <w:rPr>
          <w:rFonts w:ascii="SimSun" w:hAnsi="SimSun" w:eastAsia="SimSun" w:cs="SimSun"/>
          <w:sz w:val="24"/>
          <w:szCs w:val="24"/>
          <w:spacing w:val="-1"/>
        </w:rPr>
        <w:t>）设备设计原理先进、用材独特，性</w:t>
      </w:r>
      <w:r>
        <w:rPr>
          <w:rFonts w:ascii="SimSun" w:hAnsi="SimSun" w:eastAsia="SimSun" w:cs="SimSun"/>
          <w:sz w:val="24"/>
          <w:szCs w:val="24"/>
          <w:spacing w:val="6"/>
        </w:rPr>
        <w:t xml:space="preserve">  </w:t>
      </w:r>
      <w:r>
        <w:rPr>
          <w:rFonts w:ascii="SimSun" w:hAnsi="SimSun" w:eastAsia="SimSun" w:cs="SimSun"/>
          <w:sz w:val="24"/>
          <w:szCs w:val="24"/>
          <w:spacing w:val="-3"/>
        </w:rPr>
        <w:t>能稳定，结构简便，安全可靠，节能省力，无二次污染。设备占地面积小，重量</w:t>
      </w:r>
      <w:r>
        <w:rPr>
          <w:rFonts w:ascii="SimSun" w:hAnsi="SimSun" w:eastAsia="SimSun" w:cs="SimSun"/>
          <w:sz w:val="24"/>
          <w:szCs w:val="24"/>
          <w:spacing w:val="2"/>
        </w:rPr>
        <w:t xml:space="preserve"> </w:t>
      </w:r>
      <w:r>
        <w:rPr>
          <w:rFonts w:ascii="SimSun" w:hAnsi="SimSun" w:eastAsia="SimSun" w:cs="SimSun"/>
          <w:sz w:val="24"/>
          <w:szCs w:val="24"/>
          <w:spacing w:val="-3"/>
        </w:rPr>
        <w:t>轻。吸附床采用抽屉式结构，装填方便，便于更换。采用新型的活性炭吸附材料</w:t>
      </w:r>
      <w:r>
        <w:rPr>
          <w:rFonts w:ascii="SimSun" w:hAnsi="SimSun" w:eastAsia="SimSun" w:cs="SimSun"/>
          <w:sz w:val="24"/>
          <w:szCs w:val="24"/>
          <w:spacing w:val="2"/>
        </w:rPr>
        <w:t xml:space="preserve"> </w:t>
      </w:r>
      <w:r>
        <w:rPr>
          <w:rFonts w:ascii="Times New Roman" w:hAnsi="Times New Roman" w:eastAsia="Times New Roman" w:cs="Times New Roman"/>
          <w:sz w:val="24"/>
          <w:szCs w:val="24"/>
        </w:rPr>
        <w:t>-</w:t>
      </w:r>
      <w:r>
        <w:rPr>
          <w:rFonts w:ascii="SimSun" w:hAnsi="SimSun" w:eastAsia="SimSun" w:cs="SimSun"/>
          <w:sz w:val="24"/>
          <w:szCs w:val="24"/>
        </w:rPr>
        <w:t>蜂窝状块形活性炭，活性炭吸附</w:t>
      </w:r>
      <w:r>
        <w:rPr>
          <w:rFonts w:ascii="Times New Roman" w:hAnsi="Times New Roman" w:eastAsia="Times New Roman" w:cs="Times New Roman"/>
          <w:sz w:val="24"/>
          <w:szCs w:val="24"/>
        </w:rPr>
        <w:t>+</w:t>
      </w:r>
      <w:r>
        <w:rPr>
          <w:rFonts w:ascii="SimSun" w:hAnsi="SimSun" w:eastAsia="SimSun" w:cs="SimSun"/>
          <w:sz w:val="24"/>
          <w:szCs w:val="24"/>
        </w:rPr>
        <w:t>催化燃烧装置（</w:t>
      </w:r>
      <w:r>
        <w:rPr>
          <w:rFonts w:ascii="Times New Roman" w:hAnsi="Times New Roman" w:eastAsia="Times New Roman" w:cs="Times New Roman"/>
          <w:sz w:val="24"/>
          <w:szCs w:val="24"/>
        </w:rPr>
        <w:t>CO</w:t>
      </w:r>
      <w:r>
        <w:rPr>
          <w:rFonts w:ascii="SimSun" w:hAnsi="SimSun" w:eastAsia="SimSun" w:cs="SimSun"/>
          <w:sz w:val="24"/>
          <w:szCs w:val="24"/>
        </w:rPr>
        <w:t>）</w:t>
      </w:r>
      <w:r>
        <w:rPr>
          <w:rFonts w:ascii="SimSun" w:hAnsi="SimSun" w:eastAsia="SimSun" w:cs="SimSun"/>
          <w:sz w:val="24"/>
          <w:szCs w:val="24"/>
          <w:spacing w:val="-1"/>
        </w:rPr>
        <w:t>室采用蜂窝陶瓷状为载</w:t>
      </w:r>
      <w:r>
        <w:rPr>
          <w:rFonts w:ascii="SimSun" w:hAnsi="SimSun" w:eastAsia="SimSun" w:cs="SimSun"/>
          <w:sz w:val="24"/>
          <w:szCs w:val="24"/>
        </w:rPr>
        <w:t xml:space="preserve">  </w:t>
      </w:r>
      <w:r>
        <w:rPr>
          <w:rFonts w:ascii="SimSun" w:hAnsi="SimSun" w:eastAsia="SimSun" w:cs="SimSun"/>
          <w:sz w:val="24"/>
          <w:szCs w:val="24"/>
          <w:spacing w:val="-2"/>
        </w:rPr>
        <w:t>体的贵金属催化剂，阻力小，活性高。当有机蒸气浓度达到</w:t>
      </w:r>
      <w:r>
        <w:rPr>
          <w:rFonts w:ascii="Times New Roman" w:hAnsi="Times New Roman" w:eastAsia="Times New Roman" w:cs="Times New Roman"/>
          <w:sz w:val="24"/>
          <w:szCs w:val="24"/>
          <w:spacing w:val="-2"/>
        </w:rPr>
        <w:t>2000PPm</w:t>
      </w:r>
      <w:r>
        <w:rPr>
          <w:rFonts w:ascii="SimSun" w:hAnsi="SimSun" w:eastAsia="SimSun" w:cs="SimSun"/>
          <w:sz w:val="24"/>
          <w:szCs w:val="24"/>
          <w:spacing w:val="-2"/>
        </w:rPr>
        <w:t>以上时，可</w:t>
      </w:r>
      <w:r>
        <w:rPr>
          <w:rFonts w:ascii="SimSun" w:hAnsi="SimSun" w:eastAsia="SimSun" w:cs="SimSun"/>
          <w:sz w:val="24"/>
          <w:szCs w:val="24"/>
        </w:rPr>
        <w:t xml:space="preserve"> </w:t>
      </w:r>
      <w:r>
        <w:rPr>
          <w:rFonts w:ascii="SimSun" w:hAnsi="SimSun" w:eastAsia="SimSun" w:cs="SimSun"/>
          <w:sz w:val="24"/>
          <w:szCs w:val="24"/>
          <w:spacing w:val="-3"/>
        </w:rPr>
        <w:t>维持自燃。耗电量小，由于床层阻力小，用低压风机就可以工作，不但耗电少而</w:t>
      </w:r>
      <w:r>
        <w:rPr>
          <w:rFonts w:ascii="SimSun" w:hAnsi="SimSun" w:eastAsia="SimSun" w:cs="SimSun"/>
          <w:sz w:val="24"/>
          <w:szCs w:val="24"/>
          <w:spacing w:val="2"/>
        </w:rPr>
        <w:t xml:space="preserve"> </w:t>
      </w:r>
      <w:r>
        <w:rPr>
          <w:rFonts w:ascii="SimSun" w:hAnsi="SimSun" w:eastAsia="SimSun" w:cs="SimSun"/>
          <w:sz w:val="24"/>
          <w:szCs w:val="24"/>
          <w:spacing w:val="-3"/>
        </w:rPr>
        <w:t>且噪音低。活性炭吸附</w:t>
      </w:r>
      <w:r>
        <w:rPr>
          <w:rFonts w:ascii="Times New Roman" w:hAnsi="Times New Roman" w:eastAsia="Times New Roman" w:cs="Times New Roman"/>
          <w:sz w:val="24"/>
          <w:szCs w:val="24"/>
          <w:spacing w:val="-3"/>
        </w:rPr>
        <w:t>+</w:t>
      </w:r>
      <w:r>
        <w:rPr>
          <w:rFonts w:ascii="SimSun" w:hAnsi="SimSun" w:eastAsia="SimSun" w:cs="SimSun"/>
          <w:sz w:val="24"/>
          <w:szCs w:val="24"/>
          <w:spacing w:val="-3"/>
        </w:rPr>
        <w:t>催化燃烧装置（</w:t>
      </w:r>
      <w:r>
        <w:rPr>
          <w:rFonts w:ascii="Times New Roman" w:hAnsi="Times New Roman" w:eastAsia="Times New Roman" w:cs="Times New Roman"/>
          <w:sz w:val="24"/>
          <w:szCs w:val="24"/>
          <w:spacing w:val="-3"/>
        </w:rPr>
        <w:t>CO</w:t>
      </w:r>
      <w:r>
        <w:rPr>
          <w:rFonts w:ascii="SimSun" w:hAnsi="SimSun" w:eastAsia="SimSun" w:cs="SimSun"/>
          <w:sz w:val="24"/>
          <w:szCs w:val="24"/>
          <w:spacing w:val="-3"/>
        </w:rPr>
        <w:t>）时，需电加热启动。有机物在催化</w:t>
      </w:r>
      <w:r>
        <w:rPr>
          <w:rFonts w:ascii="SimSun" w:hAnsi="SimSun" w:eastAsia="SimSun" w:cs="SimSun"/>
          <w:sz w:val="24"/>
          <w:szCs w:val="24"/>
          <w:spacing w:val="17"/>
        </w:rPr>
        <w:t xml:space="preserve"> </w:t>
      </w:r>
      <w:r>
        <w:rPr>
          <w:rFonts w:ascii="SimSun" w:hAnsi="SimSun" w:eastAsia="SimSun" w:cs="SimSun"/>
          <w:sz w:val="24"/>
          <w:szCs w:val="24"/>
          <w:spacing w:val="-3"/>
        </w:rPr>
        <w:t>床活性炭吸附</w:t>
      </w:r>
      <w:r>
        <w:rPr>
          <w:rFonts w:ascii="Times New Roman" w:hAnsi="Times New Roman" w:eastAsia="Times New Roman" w:cs="Times New Roman"/>
          <w:sz w:val="24"/>
          <w:szCs w:val="24"/>
          <w:spacing w:val="-3"/>
        </w:rPr>
        <w:t>+</w:t>
      </w:r>
      <w:r>
        <w:rPr>
          <w:rFonts w:ascii="SimSun" w:hAnsi="SimSun" w:eastAsia="SimSun" w:cs="SimSun"/>
          <w:sz w:val="24"/>
          <w:szCs w:val="24"/>
          <w:spacing w:val="-3"/>
        </w:rPr>
        <w:t>催化燃烧装置（</w:t>
      </w:r>
      <w:r>
        <w:rPr>
          <w:rFonts w:ascii="Times New Roman" w:hAnsi="Times New Roman" w:eastAsia="Times New Roman" w:cs="Times New Roman"/>
          <w:sz w:val="24"/>
          <w:szCs w:val="24"/>
          <w:spacing w:val="-3"/>
        </w:rPr>
        <w:t>CO</w:t>
      </w:r>
      <w:r>
        <w:rPr>
          <w:rFonts w:ascii="SimSun" w:hAnsi="SimSun" w:eastAsia="SimSun" w:cs="SimSun"/>
          <w:sz w:val="24"/>
          <w:szCs w:val="24"/>
          <w:spacing w:val="-3"/>
        </w:rPr>
        <w:t>）开始后，其燃烧热可足以维持其反应所需的</w:t>
      </w:r>
      <w:r>
        <w:rPr>
          <w:rFonts w:ascii="SimSun" w:hAnsi="SimSun" w:eastAsia="SimSun" w:cs="SimSun"/>
          <w:sz w:val="24"/>
          <w:szCs w:val="24"/>
          <w:spacing w:val="14"/>
        </w:rPr>
        <w:t xml:space="preserve"> </w:t>
      </w:r>
      <w:r>
        <w:rPr>
          <w:rFonts w:ascii="SimSun" w:hAnsi="SimSun" w:eastAsia="SimSun" w:cs="SimSun"/>
          <w:sz w:val="24"/>
          <w:szCs w:val="24"/>
        </w:rPr>
        <w:t>温度，此时电加热停止，启动电加热时间大约为</w:t>
      </w:r>
      <w:r>
        <w:rPr>
          <w:rFonts w:ascii="Times New Roman" w:hAnsi="Times New Roman" w:eastAsia="Times New Roman" w:cs="Times New Roman"/>
          <w:sz w:val="24"/>
          <w:szCs w:val="24"/>
        </w:rPr>
        <w:t>1</w:t>
      </w:r>
      <w:r>
        <w:rPr>
          <w:rFonts w:ascii="SimSun" w:hAnsi="SimSun" w:eastAsia="SimSun" w:cs="SimSun"/>
          <w:sz w:val="24"/>
          <w:szCs w:val="24"/>
        </w:rPr>
        <w:t>小时左右</w:t>
      </w:r>
      <w:r>
        <w:rPr>
          <w:rFonts w:ascii="SimSun" w:hAnsi="SimSun" w:eastAsia="SimSun" w:cs="SimSun"/>
          <w:sz w:val="24"/>
          <w:szCs w:val="24"/>
          <w:spacing w:val="-1"/>
        </w:rPr>
        <w:t>。吸附有机物废气的</w:t>
      </w:r>
      <w:r>
        <w:rPr>
          <w:rFonts w:ascii="SimSun" w:hAnsi="SimSun" w:eastAsia="SimSun" w:cs="SimSun"/>
          <w:sz w:val="24"/>
          <w:szCs w:val="24"/>
        </w:rPr>
        <w:t xml:space="preserve"> </w:t>
      </w:r>
      <w:r>
        <w:rPr>
          <w:rFonts w:ascii="SimSun" w:hAnsi="SimSun" w:eastAsia="SimSun" w:cs="SimSun"/>
          <w:sz w:val="24"/>
          <w:szCs w:val="24"/>
          <w:spacing w:val="-2"/>
        </w:rPr>
        <w:t>活性炭床，用活性炭吸附</w:t>
      </w:r>
      <w:r>
        <w:rPr>
          <w:rFonts w:ascii="Times New Roman" w:hAnsi="Times New Roman" w:eastAsia="Times New Roman" w:cs="Times New Roman"/>
          <w:sz w:val="24"/>
          <w:szCs w:val="24"/>
          <w:spacing w:val="-2"/>
        </w:rPr>
        <w:t>+</w:t>
      </w:r>
      <w:r>
        <w:rPr>
          <w:rFonts w:ascii="SimSun" w:hAnsi="SimSun" w:eastAsia="SimSun" w:cs="SimSun"/>
          <w:sz w:val="24"/>
          <w:szCs w:val="24"/>
          <w:spacing w:val="-2"/>
        </w:rPr>
        <w:t>催化燃烧装置（</w:t>
      </w:r>
      <w:r>
        <w:rPr>
          <w:rFonts w:ascii="Times New Roman" w:hAnsi="Times New Roman" w:eastAsia="Times New Roman" w:cs="Times New Roman"/>
          <w:sz w:val="24"/>
          <w:szCs w:val="24"/>
          <w:spacing w:val="-2"/>
        </w:rPr>
        <w:t>CO</w:t>
      </w:r>
      <w:r>
        <w:rPr>
          <w:rFonts w:ascii="SimSun" w:hAnsi="SimSun" w:eastAsia="SimSun" w:cs="SimSun"/>
          <w:sz w:val="24"/>
          <w:szCs w:val="24"/>
          <w:spacing w:val="-2"/>
        </w:rPr>
        <w:t>）进行废气脱附，不需外部能量，</w:t>
      </w:r>
    </w:p>
    <w:p>
      <w:pPr>
        <w:ind w:left="23"/>
        <w:spacing w:line="219" w:lineRule="auto"/>
        <w:rPr>
          <w:rFonts w:ascii="SimSun" w:hAnsi="SimSun" w:eastAsia="SimSun" w:cs="SimSun"/>
          <w:sz w:val="24"/>
          <w:szCs w:val="24"/>
        </w:rPr>
      </w:pPr>
      <w:r>
        <w:rPr>
          <w:rFonts w:ascii="SimSun" w:hAnsi="SimSun" w:eastAsia="SimSun" w:cs="SimSun"/>
          <w:sz w:val="24"/>
          <w:szCs w:val="24"/>
          <w:spacing w:val="-1"/>
        </w:rPr>
        <w:t>运行费用低，节能效果显著。</w:t>
      </w:r>
    </w:p>
    <w:p>
      <w:pPr>
        <w:ind w:left="498"/>
        <w:spacing w:before="214" w:line="219" w:lineRule="auto"/>
        <w:rPr>
          <w:rFonts w:ascii="SimSun" w:hAnsi="SimSun" w:eastAsia="SimSun" w:cs="SimSun"/>
          <w:sz w:val="24"/>
          <w:szCs w:val="24"/>
        </w:rPr>
      </w:pPr>
      <w:r>
        <w:rPr>
          <w:rFonts w:ascii="Times New Roman" w:hAnsi="Times New Roman" w:eastAsia="Times New Roman" w:cs="Times New Roman"/>
          <w:sz w:val="24"/>
          <w:szCs w:val="24"/>
          <w:spacing w:val="-6"/>
        </w:rPr>
        <w:t>B</w:t>
      </w:r>
      <w:r>
        <w:rPr>
          <w:rFonts w:ascii="Times New Roman" w:hAnsi="Times New Roman" w:eastAsia="Times New Roman" w:cs="Times New Roman"/>
          <w:sz w:val="24"/>
          <w:szCs w:val="24"/>
          <w:spacing w:val="-29"/>
        </w:rPr>
        <w:t xml:space="preserve"> </w:t>
      </w:r>
      <w:r>
        <w:rPr>
          <w:rFonts w:ascii="SimSun" w:hAnsi="SimSun" w:eastAsia="SimSun" w:cs="SimSun"/>
          <w:sz w:val="24"/>
          <w:szCs w:val="24"/>
          <w:spacing w:val="-6"/>
        </w:rPr>
        <w:t>、技术特点</w:t>
      </w:r>
    </w:p>
    <w:p>
      <w:pPr>
        <w:ind w:left="503"/>
        <w:spacing w:before="215" w:line="212" w:lineRule="auto"/>
        <w:rPr>
          <w:rFonts w:ascii="SimSun" w:hAnsi="SimSun" w:eastAsia="SimSun" w:cs="SimSun"/>
          <w:sz w:val="24"/>
          <w:szCs w:val="24"/>
        </w:rPr>
      </w:pPr>
      <w:r>
        <w:rPr>
          <w:rFonts w:ascii="SimSun" w:hAnsi="SimSun" w:eastAsia="SimSun" w:cs="SimSun"/>
          <w:sz w:val="24"/>
          <w:szCs w:val="24"/>
          <w:spacing w:val="2"/>
        </w:rPr>
        <w:t>适应范围：适用于低浓度(≤</w:t>
      </w:r>
      <w:r>
        <w:rPr>
          <w:rFonts w:ascii="Times New Roman" w:hAnsi="Times New Roman" w:eastAsia="Times New Roman" w:cs="Times New Roman"/>
          <w:sz w:val="24"/>
          <w:szCs w:val="24"/>
          <w:spacing w:val="2"/>
        </w:rPr>
        <w:t>1000-</w:t>
      </w:r>
      <w:r>
        <w:rPr>
          <w:rFonts w:ascii="Times New Roman" w:hAnsi="Times New Roman" w:eastAsia="Times New Roman" w:cs="Times New Roman"/>
          <w:sz w:val="24"/>
          <w:szCs w:val="24"/>
        </w:rPr>
        <w:t>mg</w:t>
      </w:r>
      <w:r>
        <w:rPr>
          <w:rFonts w:ascii="Times New Roman" w:hAnsi="Times New Roman" w:eastAsia="Times New Roman" w:cs="Times New Roman"/>
          <w:sz w:val="24"/>
          <w:szCs w:val="24"/>
          <w:spacing w:val="2"/>
        </w:rPr>
        <w:t>/m</w:t>
      </w:r>
      <w:r>
        <w:rPr>
          <w:rFonts w:ascii="SimSun" w:hAnsi="SimSun" w:eastAsia="SimSun" w:cs="SimSun"/>
          <w:sz w:val="24"/>
          <w:szCs w:val="24"/>
          <w:spacing w:val="2"/>
        </w:rPr>
        <w:t>³)</w:t>
      </w:r>
      <w:r>
        <w:rPr>
          <w:rFonts w:ascii="SimSun" w:hAnsi="SimSun" w:eastAsia="SimSun" w:cs="SimSun"/>
          <w:sz w:val="24"/>
          <w:szCs w:val="24"/>
          <w:spacing w:val="45"/>
        </w:rPr>
        <w:t xml:space="preserve"> </w:t>
      </w:r>
      <w:r>
        <w:rPr>
          <w:rFonts w:ascii="SimSun" w:hAnsi="SimSun" w:eastAsia="SimSun" w:cs="SimSun"/>
          <w:sz w:val="24"/>
          <w:szCs w:val="24"/>
          <w:spacing w:val="2"/>
        </w:rPr>
        <w:t>的废气处理；</w:t>
      </w:r>
      <w:r>
        <w:rPr>
          <w:rFonts w:ascii="SimSun" w:hAnsi="SimSun" w:eastAsia="SimSun" w:cs="SimSun"/>
          <w:sz w:val="24"/>
          <w:szCs w:val="24"/>
          <w:spacing w:val="1"/>
        </w:rPr>
        <w:t>不适合高浓度、</w:t>
      </w:r>
    </w:p>
    <w:p>
      <w:pPr>
        <w:spacing w:line="212" w:lineRule="auto"/>
        <w:sectPr>
          <w:footerReference w:type="default" r:id="rId83"/>
          <w:pgSz w:w="11906" w:h="16839"/>
          <w:pgMar w:top="400" w:right="1776" w:bottom="1211" w:left="1785" w:header="0" w:footer="1049" w:gutter="0"/>
        </w:sectPr>
        <w:rPr>
          <w:rFonts w:ascii="SimSun" w:hAnsi="SimSun" w:eastAsia="SimSun" w:cs="SimSun"/>
          <w:sz w:val="24"/>
          <w:szCs w:val="24"/>
        </w:rPr>
      </w:pPr>
    </w:p>
    <w:p>
      <w:pPr>
        <w:pStyle w:val="BodyText"/>
        <w:spacing w:line="287" w:lineRule="auto"/>
        <w:rPr/>
      </w:pPr>
      <w:r/>
    </w:p>
    <w:p>
      <w:pPr>
        <w:pStyle w:val="BodyText"/>
        <w:spacing w:line="287" w:lineRule="auto"/>
        <w:rPr/>
      </w:pPr>
      <w:r/>
    </w:p>
    <w:p>
      <w:pPr>
        <w:pStyle w:val="BodyText"/>
        <w:spacing w:line="288" w:lineRule="auto"/>
        <w:rPr/>
      </w:pPr>
      <w:r/>
    </w:p>
    <w:p>
      <w:pPr>
        <w:pStyle w:val="BodyText"/>
        <w:spacing w:line="288" w:lineRule="auto"/>
        <w:rPr/>
      </w:pPr>
      <w:r/>
    </w:p>
    <w:p>
      <w:pPr>
        <w:spacing w:before="78" w:line="499" w:lineRule="exact"/>
        <w:jc w:val="right"/>
        <w:rPr>
          <w:rFonts w:ascii="SimSun" w:hAnsi="SimSun" w:eastAsia="SimSun" w:cs="SimSun"/>
          <w:sz w:val="24"/>
          <w:szCs w:val="24"/>
        </w:rPr>
      </w:pPr>
      <w:r>
        <w:rPr>
          <w:rFonts w:ascii="SimSun" w:hAnsi="SimSun" w:eastAsia="SimSun" w:cs="SimSun"/>
          <w:sz w:val="24"/>
          <w:szCs w:val="24"/>
          <w:spacing w:val="-7"/>
          <w:position w:val="19"/>
        </w:rPr>
        <w:t>含颗粒物状、湿度大的废气；不适合处理含高沸点物质</w:t>
      </w:r>
      <w:r>
        <w:rPr>
          <w:rFonts w:ascii="SimSun" w:hAnsi="SimSun" w:eastAsia="SimSun" w:cs="SimSun"/>
          <w:sz w:val="24"/>
          <w:szCs w:val="24"/>
          <w:spacing w:val="-8"/>
          <w:position w:val="19"/>
        </w:rPr>
        <w:t>、硫化物、卤素、重金属、</w:t>
      </w:r>
    </w:p>
    <w:p>
      <w:pPr>
        <w:ind w:left="119"/>
        <w:spacing w:line="220" w:lineRule="auto"/>
        <w:rPr>
          <w:rFonts w:ascii="SimSun" w:hAnsi="SimSun" w:eastAsia="SimSun" w:cs="SimSun"/>
          <w:sz w:val="24"/>
          <w:szCs w:val="24"/>
        </w:rPr>
      </w:pPr>
      <w:r>
        <w:rPr>
          <w:rFonts w:ascii="SimSun" w:hAnsi="SimSun" w:eastAsia="SimSun" w:cs="SimSun"/>
          <w:sz w:val="24"/>
          <w:szCs w:val="24"/>
          <w:spacing w:val="-2"/>
        </w:rPr>
        <w:t>油雾、强酸或碱性的废气。</w:t>
      </w:r>
    </w:p>
    <w:p>
      <w:pPr>
        <w:ind w:left="115" w:right="104" w:firstLine="486"/>
        <w:spacing w:before="212" w:line="385" w:lineRule="auto"/>
        <w:rPr>
          <w:rFonts w:ascii="SimSun" w:hAnsi="SimSun" w:eastAsia="SimSun" w:cs="SimSun"/>
          <w:sz w:val="24"/>
          <w:szCs w:val="24"/>
        </w:rPr>
      </w:pPr>
      <w:r>
        <w:rPr>
          <w:rFonts w:ascii="SimSun" w:hAnsi="SimSun" w:eastAsia="SimSun" w:cs="SimSun"/>
          <w:sz w:val="24"/>
          <w:szCs w:val="24"/>
          <w:spacing w:val="-1"/>
        </w:rPr>
        <w:t>高效去除率：能高效去除挥发性有机物（</w:t>
      </w:r>
      <w:r>
        <w:rPr>
          <w:rFonts w:ascii="Times New Roman" w:hAnsi="Times New Roman" w:eastAsia="Times New Roman" w:cs="Times New Roman"/>
          <w:sz w:val="24"/>
          <w:szCs w:val="24"/>
          <w:spacing w:val="-1"/>
        </w:rPr>
        <w:t>VOCs</w:t>
      </w:r>
      <w:r>
        <w:rPr>
          <w:rFonts w:ascii="SimSun" w:hAnsi="SimSun" w:eastAsia="SimSun" w:cs="SimSun"/>
          <w:sz w:val="24"/>
          <w:szCs w:val="24"/>
          <w:spacing w:val="-1"/>
        </w:rPr>
        <w:t>）及硫化氢、氨气等无机物</w:t>
      </w:r>
      <w:r>
        <w:rPr>
          <w:rFonts w:ascii="SimSun" w:hAnsi="SimSun" w:eastAsia="SimSun" w:cs="SimSun"/>
          <w:sz w:val="24"/>
          <w:szCs w:val="24"/>
          <w:spacing w:val="17"/>
        </w:rPr>
        <w:t xml:space="preserve"> </w:t>
      </w:r>
      <w:r>
        <w:rPr>
          <w:rFonts w:ascii="SimSun" w:hAnsi="SimSun" w:eastAsia="SimSun" w:cs="SimSun"/>
          <w:sz w:val="24"/>
          <w:szCs w:val="24"/>
          <w:spacing w:val="-3"/>
        </w:rPr>
        <w:t>类污染物，采用“活性炭吸附</w:t>
      </w:r>
      <w:r>
        <w:rPr>
          <w:rFonts w:ascii="Times New Roman" w:hAnsi="Times New Roman" w:eastAsia="Times New Roman" w:cs="Times New Roman"/>
          <w:sz w:val="24"/>
          <w:szCs w:val="24"/>
          <w:spacing w:val="-3"/>
        </w:rPr>
        <w:t>+</w:t>
      </w:r>
      <w:r>
        <w:rPr>
          <w:rFonts w:ascii="SimSun" w:hAnsi="SimSun" w:eastAsia="SimSun" w:cs="SimSun"/>
          <w:sz w:val="24"/>
          <w:szCs w:val="24"/>
          <w:spacing w:val="-3"/>
        </w:rPr>
        <w:t>催化燃烧装置装置（</w:t>
      </w:r>
      <w:r>
        <w:rPr>
          <w:rFonts w:ascii="Times New Roman" w:hAnsi="Times New Roman" w:eastAsia="Times New Roman" w:cs="Times New Roman"/>
          <w:sz w:val="24"/>
          <w:szCs w:val="24"/>
          <w:spacing w:val="-3"/>
        </w:rPr>
        <w:t>CO</w:t>
      </w:r>
      <w:r>
        <w:rPr>
          <w:rFonts w:ascii="SimSun" w:hAnsi="SimSun" w:eastAsia="SimSun" w:cs="SimSun"/>
          <w:sz w:val="24"/>
          <w:szCs w:val="24"/>
          <w:spacing w:val="-3"/>
        </w:rPr>
        <w:t>）”后熔融挤出生产工序</w:t>
      </w:r>
    </w:p>
    <w:p>
      <w:pPr>
        <w:ind w:left="116"/>
        <w:spacing w:line="218" w:lineRule="auto"/>
        <w:rPr>
          <w:rFonts w:ascii="Times New Roman" w:hAnsi="Times New Roman" w:eastAsia="Times New Roman" w:cs="Times New Roman"/>
          <w:sz w:val="24"/>
          <w:szCs w:val="24"/>
        </w:rPr>
      </w:pPr>
      <w:r>
        <w:rPr>
          <w:rFonts w:ascii="SimSun" w:hAnsi="SimSun" w:eastAsia="SimSun" w:cs="SimSun"/>
          <w:sz w:val="24"/>
          <w:szCs w:val="24"/>
        </w:rPr>
        <w:t>有机废气排放浓度及速率可满足《合成树脂工</w:t>
      </w:r>
      <w:r>
        <w:rPr>
          <w:rFonts w:ascii="SimSun" w:hAnsi="SimSun" w:eastAsia="SimSun" w:cs="SimSun"/>
          <w:sz w:val="24"/>
          <w:szCs w:val="24"/>
          <w:spacing w:val="-1"/>
        </w:rPr>
        <w:t>业污染物排放标准》（</w:t>
      </w:r>
      <w:r>
        <w:rPr>
          <w:rFonts w:ascii="Times New Roman" w:hAnsi="Times New Roman" w:eastAsia="Times New Roman" w:cs="Times New Roman"/>
          <w:sz w:val="24"/>
          <w:szCs w:val="24"/>
          <w:spacing w:val="-1"/>
        </w:rPr>
        <w:t>GB</w:t>
      </w:r>
    </w:p>
    <w:p>
      <w:pPr>
        <w:ind w:left="115"/>
        <w:spacing w:before="215" w:line="212" w:lineRule="auto"/>
        <w:rPr>
          <w:rFonts w:ascii="SimSun" w:hAnsi="SimSun" w:eastAsia="SimSun" w:cs="SimSun"/>
          <w:sz w:val="24"/>
          <w:szCs w:val="24"/>
        </w:rPr>
      </w:pPr>
      <w:r>
        <w:rPr>
          <w:rFonts w:ascii="Times New Roman" w:hAnsi="Times New Roman" w:eastAsia="Times New Roman" w:cs="Times New Roman"/>
          <w:sz w:val="24"/>
          <w:szCs w:val="24"/>
        </w:rPr>
        <w:t>31572-2015</w:t>
      </w:r>
      <w:r>
        <w:rPr>
          <w:rFonts w:ascii="SimSun" w:hAnsi="SimSun" w:eastAsia="SimSun" w:cs="SimSun"/>
          <w:sz w:val="24"/>
          <w:szCs w:val="24"/>
        </w:rPr>
        <w:t>）中表</w:t>
      </w:r>
      <w:r>
        <w:rPr>
          <w:rFonts w:ascii="Times New Roman" w:hAnsi="Times New Roman" w:eastAsia="Times New Roman" w:cs="Times New Roman"/>
          <w:sz w:val="24"/>
          <w:szCs w:val="24"/>
        </w:rPr>
        <w:t>5</w:t>
      </w:r>
      <w:r>
        <w:rPr>
          <w:rFonts w:ascii="SimSun" w:hAnsi="SimSun" w:eastAsia="SimSun" w:cs="SimSun"/>
          <w:sz w:val="24"/>
          <w:szCs w:val="24"/>
        </w:rPr>
        <w:t>大气污染物特别排放限值中非甲</w:t>
      </w:r>
      <w:r>
        <w:rPr>
          <w:rFonts w:ascii="SimSun" w:hAnsi="SimSun" w:eastAsia="SimSun" w:cs="SimSun"/>
          <w:sz w:val="24"/>
          <w:szCs w:val="24"/>
          <w:spacing w:val="-1"/>
        </w:rPr>
        <w:t>烷总烃</w:t>
      </w:r>
      <w:r>
        <w:rPr>
          <w:rFonts w:ascii="Times New Roman" w:hAnsi="Times New Roman" w:eastAsia="Times New Roman" w:cs="Times New Roman"/>
          <w:sz w:val="24"/>
          <w:szCs w:val="24"/>
          <w:spacing w:val="-1"/>
        </w:rPr>
        <w:t>60mg/m</w:t>
      </w:r>
      <w:r>
        <w:rPr>
          <w:rFonts w:ascii="SimSun" w:hAnsi="SimSun" w:eastAsia="SimSun" w:cs="SimSun"/>
          <w:sz w:val="24"/>
          <w:szCs w:val="24"/>
          <w:spacing w:val="-1"/>
        </w:rPr>
        <w:t>³要求。</w:t>
      </w:r>
    </w:p>
    <w:p>
      <w:pPr>
        <w:ind w:left="595"/>
        <w:spacing w:before="226" w:line="219" w:lineRule="auto"/>
        <w:rPr>
          <w:rFonts w:ascii="SimSun" w:hAnsi="SimSun" w:eastAsia="SimSun" w:cs="SimSun"/>
          <w:sz w:val="24"/>
          <w:szCs w:val="24"/>
        </w:rPr>
      </w:pPr>
      <w:r>
        <w:rPr>
          <w:rFonts w:ascii="SimSun" w:hAnsi="SimSun" w:eastAsia="SimSun" w:cs="SimSun"/>
          <w:sz w:val="24"/>
          <w:szCs w:val="24"/>
          <w:spacing w:val="-1"/>
        </w:rPr>
        <w:t>运行成本：一次性投资费用低；能耗低。</w:t>
      </w:r>
    </w:p>
    <w:p>
      <w:pPr>
        <w:ind w:left="601"/>
        <w:spacing w:before="214" w:line="219" w:lineRule="auto"/>
        <w:rPr>
          <w:rFonts w:ascii="SimSun" w:hAnsi="SimSun" w:eastAsia="SimSun" w:cs="SimSun"/>
          <w:sz w:val="24"/>
          <w:szCs w:val="24"/>
        </w:rPr>
      </w:pPr>
      <w:r>
        <w:rPr>
          <w:rFonts w:ascii="SimSun" w:hAnsi="SimSun" w:eastAsia="SimSun" w:cs="SimSun"/>
          <w:sz w:val="24"/>
          <w:szCs w:val="24"/>
          <w:spacing w:val="-1"/>
        </w:rPr>
        <w:t>总之，活性炭吸附</w:t>
      </w:r>
      <w:r>
        <w:rPr>
          <w:rFonts w:ascii="Times New Roman" w:hAnsi="Times New Roman" w:eastAsia="Times New Roman" w:cs="Times New Roman"/>
          <w:sz w:val="24"/>
          <w:szCs w:val="24"/>
          <w:spacing w:val="-1"/>
        </w:rPr>
        <w:t>+</w:t>
      </w:r>
      <w:r>
        <w:rPr>
          <w:rFonts w:ascii="SimSun" w:hAnsi="SimSun" w:eastAsia="SimSun" w:cs="SimSun"/>
          <w:sz w:val="24"/>
          <w:szCs w:val="24"/>
          <w:spacing w:val="-1"/>
        </w:rPr>
        <w:t>直接催化燃烧法装置能有效去除挥发性有机废气</w:t>
      </w:r>
    </w:p>
    <w:p>
      <w:pPr>
        <w:ind w:left="126"/>
        <w:spacing w:before="215" w:line="21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VOCs</w:t>
      </w:r>
      <w:r>
        <w:rPr>
          <w:rFonts w:ascii="SimSun" w:hAnsi="SimSun" w:eastAsia="SimSun" w:cs="SimSun"/>
          <w:sz w:val="24"/>
          <w:szCs w:val="24"/>
          <w:spacing w:val="7"/>
        </w:rPr>
        <w:t>），</w:t>
      </w:r>
      <w:r>
        <w:rPr>
          <w:rFonts w:ascii="SimSun" w:hAnsi="SimSun" w:eastAsia="SimSun" w:cs="SimSun"/>
          <w:sz w:val="24"/>
          <w:szCs w:val="24"/>
          <w:spacing w:val="-1"/>
        </w:rPr>
        <w:t>处理后的有机废气排放达到《合成树脂工业污染物</w:t>
      </w:r>
      <w:r>
        <w:rPr>
          <w:rFonts w:ascii="SimSun" w:hAnsi="SimSun" w:eastAsia="SimSun" w:cs="SimSun"/>
          <w:sz w:val="24"/>
          <w:szCs w:val="24"/>
          <w:spacing w:val="-2"/>
        </w:rPr>
        <w:t>排放标准》</w:t>
      </w:r>
    </w:p>
    <w:p>
      <w:pPr>
        <w:ind w:left="116" w:right="198" w:firstLine="10"/>
        <w:spacing w:before="217" w:line="384"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GB31572-2015</w:t>
      </w:r>
      <w:r>
        <w:rPr>
          <w:rFonts w:ascii="SimSun" w:hAnsi="SimSun" w:eastAsia="SimSun" w:cs="SimSun"/>
          <w:sz w:val="24"/>
          <w:szCs w:val="24"/>
          <w:spacing w:val="-1"/>
        </w:rPr>
        <w:t>）中表</w:t>
      </w:r>
      <w:r>
        <w:rPr>
          <w:rFonts w:ascii="Times New Roman" w:hAnsi="Times New Roman" w:eastAsia="Times New Roman" w:cs="Times New Roman"/>
          <w:sz w:val="24"/>
          <w:szCs w:val="24"/>
          <w:spacing w:val="-1"/>
        </w:rPr>
        <w:t>5</w:t>
      </w:r>
      <w:r>
        <w:rPr>
          <w:rFonts w:ascii="SimSun" w:hAnsi="SimSun" w:eastAsia="SimSun" w:cs="SimSun"/>
          <w:sz w:val="24"/>
          <w:szCs w:val="24"/>
          <w:spacing w:val="-1"/>
        </w:rPr>
        <w:t>大气污染物特别排放限值。厂界废气执行表</w:t>
      </w:r>
      <w:r>
        <w:rPr>
          <w:rFonts w:ascii="Times New Roman" w:hAnsi="Times New Roman" w:eastAsia="Times New Roman" w:cs="Times New Roman"/>
          <w:sz w:val="24"/>
          <w:szCs w:val="24"/>
          <w:spacing w:val="-1"/>
        </w:rPr>
        <w:t>9</w:t>
      </w:r>
      <w:r>
        <w:rPr>
          <w:rFonts w:ascii="SimSun" w:hAnsi="SimSun" w:eastAsia="SimSun" w:cs="SimSun"/>
          <w:sz w:val="24"/>
          <w:szCs w:val="24"/>
          <w:spacing w:val="-1"/>
        </w:rPr>
        <w:t>废气排放</w:t>
      </w:r>
      <w:r>
        <w:rPr>
          <w:rFonts w:ascii="SimSun" w:hAnsi="SimSun" w:eastAsia="SimSun" w:cs="SimSun"/>
          <w:sz w:val="24"/>
          <w:szCs w:val="24"/>
          <w:spacing w:val="18"/>
        </w:rPr>
        <w:t xml:space="preserve"> </w:t>
      </w:r>
      <w:r>
        <w:rPr>
          <w:rFonts w:ascii="SimSun" w:hAnsi="SimSun" w:eastAsia="SimSun" w:cs="SimSun"/>
          <w:sz w:val="24"/>
          <w:szCs w:val="24"/>
        </w:rPr>
        <w:t>标准。厂区内执行《挥发性有机物无组织排放控制标准》（</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1"/>
        </w:rPr>
        <w:t>37822-2019</w:t>
      </w:r>
      <w:r>
        <w:rPr>
          <w:rFonts w:ascii="SimSun" w:hAnsi="SimSun" w:eastAsia="SimSun" w:cs="SimSun"/>
          <w:sz w:val="24"/>
          <w:szCs w:val="24"/>
          <w:spacing w:val="-1"/>
        </w:rPr>
        <w:t>）相</w:t>
      </w:r>
    </w:p>
    <w:p>
      <w:pPr>
        <w:ind w:left="119"/>
        <w:spacing w:before="1" w:line="218" w:lineRule="auto"/>
        <w:rPr>
          <w:rFonts w:ascii="SimSun" w:hAnsi="SimSun" w:eastAsia="SimSun" w:cs="SimSun"/>
          <w:sz w:val="24"/>
          <w:szCs w:val="24"/>
        </w:rPr>
      </w:pPr>
      <w:r>
        <w:rPr>
          <w:rFonts w:ascii="SimSun" w:hAnsi="SimSun" w:eastAsia="SimSun" w:cs="SimSun"/>
          <w:sz w:val="24"/>
          <w:szCs w:val="24"/>
          <w:spacing w:val="-1"/>
        </w:rPr>
        <w:t>关要求。本项目处理工艺合理可行。</w:t>
      </w:r>
    </w:p>
    <w:p>
      <w:pPr>
        <w:ind w:left="589"/>
        <w:spacing w:before="217" w:line="221" w:lineRule="auto"/>
        <w:rPr>
          <w:rFonts w:ascii="SimSun" w:hAnsi="SimSun" w:eastAsia="SimSun" w:cs="SimSun"/>
          <w:sz w:val="24"/>
          <w:szCs w:val="24"/>
        </w:rPr>
      </w:pPr>
      <w:hyperlink w:history="true" r:id="rId39">
        <w:r>
          <w:rPr>
            <w:rFonts w:ascii="Times New Roman" w:hAnsi="Times New Roman" w:eastAsia="Times New Roman" w:cs="Times New Roman"/>
            <w:sz w:val="24"/>
            <w:szCs w:val="24"/>
            <w:spacing w:val="-1"/>
          </w:rPr>
          <w:t>4.2.1.6</w:t>
        </w:r>
      </w:hyperlink>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1"/>
        </w:rPr>
        <w:t>监测计划</w:t>
      </w:r>
    </w:p>
    <w:p>
      <w:pPr>
        <w:ind w:left="117" w:right="104" w:firstLine="479"/>
        <w:spacing w:before="211" w:line="385" w:lineRule="auto"/>
        <w:rPr>
          <w:rFonts w:ascii="SimSun" w:hAnsi="SimSun" w:eastAsia="SimSun" w:cs="SimSun"/>
          <w:sz w:val="24"/>
          <w:szCs w:val="24"/>
        </w:rPr>
      </w:pPr>
      <w:r>
        <w:rPr>
          <w:rFonts w:ascii="SimSun" w:hAnsi="SimSun" w:eastAsia="SimSun" w:cs="SimSun"/>
          <w:sz w:val="24"/>
          <w:szCs w:val="24"/>
          <w:spacing w:val="-3"/>
        </w:rPr>
        <w:t>本项目常规废气监测可委托监测，委托监测单位应具有相应资</w:t>
      </w:r>
      <w:r>
        <w:rPr>
          <w:rFonts w:ascii="SimSun" w:hAnsi="SimSun" w:eastAsia="SimSun" w:cs="SimSun"/>
          <w:sz w:val="24"/>
          <w:szCs w:val="24"/>
          <w:spacing w:val="-4"/>
        </w:rPr>
        <w:t>质。根据《排</w:t>
      </w:r>
      <w:r>
        <w:rPr>
          <w:rFonts w:ascii="SimSun" w:hAnsi="SimSun" w:eastAsia="SimSun" w:cs="SimSun"/>
          <w:sz w:val="24"/>
          <w:szCs w:val="24"/>
        </w:rPr>
        <w:t xml:space="preserve"> </w:t>
      </w:r>
      <w:r>
        <w:rPr>
          <w:rFonts w:ascii="SimSun" w:hAnsi="SimSun" w:eastAsia="SimSun" w:cs="SimSun"/>
          <w:sz w:val="24"/>
          <w:szCs w:val="24"/>
          <w:spacing w:val="-1"/>
        </w:rPr>
        <w:t>污许可证申领与核发技术规范 总则》（</w:t>
      </w:r>
      <w:r>
        <w:rPr>
          <w:rFonts w:ascii="Times New Roman" w:hAnsi="Times New Roman" w:eastAsia="Times New Roman" w:cs="Times New Roman"/>
          <w:sz w:val="24"/>
          <w:szCs w:val="24"/>
          <w:spacing w:val="-1"/>
        </w:rPr>
        <w:t>HJ 942-2018</w:t>
      </w:r>
      <w:r>
        <w:rPr>
          <w:rFonts w:ascii="SimSun" w:hAnsi="SimSun" w:eastAsia="SimSun" w:cs="SimSun"/>
          <w:sz w:val="24"/>
          <w:szCs w:val="24"/>
          <w:spacing w:val="-1"/>
        </w:rPr>
        <w:t>）、《排污单位自行监测技</w:t>
      </w:r>
      <w:r>
        <w:rPr>
          <w:rFonts w:ascii="SimSun" w:hAnsi="SimSun" w:eastAsia="SimSun" w:cs="SimSun"/>
          <w:sz w:val="24"/>
          <w:szCs w:val="24"/>
          <w:spacing w:val="8"/>
        </w:rPr>
        <w:t xml:space="preserve"> </w:t>
      </w:r>
      <w:r>
        <w:rPr>
          <w:rFonts w:ascii="SimSun" w:hAnsi="SimSun" w:eastAsia="SimSun" w:cs="SimSun"/>
          <w:sz w:val="24"/>
          <w:szCs w:val="24"/>
          <w:spacing w:val="-2"/>
        </w:rPr>
        <w:t>术指南 橡胶和塑料制品》（</w:t>
      </w:r>
      <w:r>
        <w:rPr>
          <w:rFonts w:ascii="Times New Roman" w:hAnsi="Times New Roman" w:eastAsia="Times New Roman" w:cs="Times New Roman"/>
          <w:sz w:val="24"/>
          <w:szCs w:val="24"/>
          <w:spacing w:val="-2"/>
        </w:rPr>
        <w:t>HJ1207-2021</w:t>
      </w:r>
      <w:r>
        <w:rPr>
          <w:rFonts w:ascii="SimSun" w:hAnsi="SimSun" w:eastAsia="SimSun" w:cs="SimSun"/>
          <w:sz w:val="24"/>
          <w:szCs w:val="24"/>
          <w:spacing w:val="-2"/>
        </w:rPr>
        <w:t>）、《排污许</w:t>
      </w:r>
      <w:r>
        <w:rPr>
          <w:rFonts w:ascii="SimSun" w:hAnsi="SimSun" w:eastAsia="SimSun" w:cs="SimSun"/>
          <w:sz w:val="24"/>
          <w:szCs w:val="24"/>
          <w:spacing w:val="-3"/>
        </w:rPr>
        <w:t>可证申领与核发技术规范</w:t>
      </w:r>
    </w:p>
    <w:p>
      <w:pPr>
        <w:ind w:left="114"/>
        <w:spacing w:line="218" w:lineRule="auto"/>
        <w:rPr>
          <w:rFonts w:ascii="SimSun" w:hAnsi="SimSun" w:eastAsia="SimSun" w:cs="SimSun"/>
          <w:sz w:val="24"/>
          <w:szCs w:val="24"/>
        </w:rPr>
      </w:pPr>
      <w:r>
        <w:rPr>
          <w:rFonts w:ascii="SimSun" w:hAnsi="SimSun" w:eastAsia="SimSun" w:cs="SimSun"/>
          <w:sz w:val="24"/>
          <w:szCs w:val="24"/>
          <w:spacing w:val="-1"/>
        </w:rPr>
        <w:t>橡胶和塑料制品》（</w:t>
      </w:r>
      <w:r>
        <w:rPr>
          <w:rFonts w:ascii="Times New Roman" w:hAnsi="Times New Roman" w:eastAsia="Times New Roman" w:cs="Times New Roman"/>
          <w:sz w:val="24"/>
          <w:szCs w:val="24"/>
          <w:spacing w:val="-1"/>
        </w:rPr>
        <w:t>HJ1122-2020</w:t>
      </w:r>
      <w:r>
        <w:rPr>
          <w:rFonts w:ascii="SimSun" w:hAnsi="SimSun" w:eastAsia="SimSun" w:cs="SimSun"/>
          <w:sz w:val="24"/>
          <w:szCs w:val="24"/>
          <w:spacing w:val="-1"/>
        </w:rPr>
        <w:t>）和《挥发性有机物无组织排放控制标准》</w:t>
      </w:r>
    </w:p>
    <w:p>
      <w:pPr>
        <w:ind w:left="126"/>
        <w:spacing w:before="215" w:line="232"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GB37822-2019</w:t>
      </w:r>
      <w:r>
        <w:rPr>
          <w:rFonts w:ascii="SimSun" w:hAnsi="SimSun" w:eastAsia="SimSun" w:cs="SimSun"/>
          <w:sz w:val="24"/>
          <w:szCs w:val="24"/>
          <w:spacing w:val="-2"/>
        </w:rPr>
        <w:t>）。</w:t>
      </w:r>
    </w:p>
    <w:p>
      <w:pPr>
        <w:ind w:left="2816"/>
        <w:spacing w:before="119" w:line="219" w:lineRule="auto"/>
        <w:rPr>
          <w:rFonts w:ascii="SimSun" w:hAnsi="SimSun" w:eastAsia="SimSun" w:cs="SimSun"/>
          <w:sz w:val="24"/>
          <w:szCs w:val="24"/>
        </w:rPr>
      </w:pPr>
      <w:r>
        <w:rPr>
          <w:rFonts w:ascii="SimSun" w:hAnsi="SimSun" w:eastAsia="SimSun" w:cs="SimSun"/>
          <w:sz w:val="24"/>
          <w:szCs w:val="24"/>
          <w:spacing w:val="-1"/>
        </w:rPr>
        <w:t>表</w:t>
      </w:r>
      <w:r>
        <w:rPr>
          <w:rFonts w:ascii="Times New Roman" w:hAnsi="Times New Roman" w:eastAsia="Times New Roman" w:cs="Times New Roman"/>
          <w:sz w:val="24"/>
          <w:szCs w:val="24"/>
          <w:spacing w:val="-1"/>
        </w:rPr>
        <w:t>4.2-9    </w:t>
      </w:r>
      <w:r>
        <w:rPr>
          <w:rFonts w:ascii="SimSun" w:hAnsi="SimSun" w:eastAsia="SimSun" w:cs="SimSun"/>
          <w:sz w:val="24"/>
          <w:szCs w:val="24"/>
          <w:spacing w:val="-1"/>
        </w:rPr>
        <w:t>环境监测计划内容</w:t>
      </w:r>
    </w:p>
    <w:p>
      <w:pPr>
        <w:spacing w:line="15" w:lineRule="auto"/>
        <w:rPr>
          <w:rFonts w:ascii="Arial"/>
          <w:sz w:val="2"/>
        </w:rPr>
      </w:pPr>
      <w:r>
        <w:rPr>
          <w:rFonts w:ascii="Arial"/>
          <w:sz w:val="2"/>
        </w:rPr>
      </w:r>
    </w:p>
    <w:tbl>
      <w:tblPr>
        <w:tblStyle w:val="TableNormal"/>
        <w:tblW w:w="8516"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14"/>
        <w:gridCol w:w="1878"/>
        <w:gridCol w:w="1076"/>
        <w:gridCol w:w="1438"/>
        <w:gridCol w:w="3310"/>
      </w:tblGrid>
      <w:tr>
        <w:trPr>
          <w:trHeight w:val="725" w:hRule="atLeast"/>
        </w:trPr>
        <w:tc>
          <w:tcPr>
            <w:tcW w:w="814" w:type="dxa"/>
            <w:vAlign w:val="top"/>
            <w:tcBorders>
              <w:top w:val="single" w:color="000000" w:sz="10" w:space="0"/>
              <w:left w:val="nil"/>
            </w:tcBorders>
          </w:tcPr>
          <w:p>
            <w:pPr>
              <w:pStyle w:val="TableText"/>
              <w:ind w:left="205"/>
              <w:spacing w:before="114" w:line="360" w:lineRule="exact"/>
              <w:rPr>
                <w:sz w:val="20"/>
                <w:szCs w:val="20"/>
              </w:rPr>
            </w:pPr>
            <w:r>
              <w:rPr>
                <w:sz w:val="20"/>
                <w:szCs w:val="20"/>
                <w:spacing w:val="4"/>
                <w:position w:val="11"/>
              </w:rPr>
              <w:t>环境</w:t>
            </w:r>
          </w:p>
          <w:p>
            <w:pPr>
              <w:pStyle w:val="TableText"/>
              <w:ind w:left="206"/>
              <w:spacing w:line="222" w:lineRule="auto"/>
              <w:rPr>
                <w:sz w:val="20"/>
                <w:szCs w:val="20"/>
              </w:rPr>
            </w:pPr>
            <w:r>
              <w:rPr>
                <w:sz w:val="20"/>
                <w:szCs w:val="20"/>
                <w:spacing w:val="4"/>
              </w:rPr>
              <w:t>要素</w:t>
            </w:r>
          </w:p>
        </w:tc>
        <w:tc>
          <w:tcPr>
            <w:tcW w:w="1878" w:type="dxa"/>
            <w:vAlign w:val="top"/>
            <w:tcBorders>
              <w:top w:val="single" w:color="000000" w:sz="10" w:space="0"/>
            </w:tcBorders>
          </w:tcPr>
          <w:p>
            <w:pPr>
              <w:pStyle w:val="TableText"/>
              <w:ind w:left="630"/>
              <w:spacing w:before="294" w:line="229" w:lineRule="auto"/>
              <w:rPr>
                <w:sz w:val="20"/>
                <w:szCs w:val="20"/>
              </w:rPr>
            </w:pPr>
            <w:r>
              <w:rPr>
                <w:sz w:val="20"/>
                <w:szCs w:val="20"/>
                <w:spacing w:val="6"/>
              </w:rPr>
              <w:t>监测点</w:t>
            </w:r>
          </w:p>
        </w:tc>
        <w:tc>
          <w:tcPr>
            <w:tcW w:w="1076" w:type="dxa"/>
            <w:vAlign w:val="top"/>
            <w:tcBorders>
              <w:top w:val="single" w:color="000000" w:sz="10" w:space="0"/>
            </w:tcBorders>
          </w:tcPr>
          <w:p>
            <w:pPr>
              <w:pStyle w:val="TableText"/>
              <w:ind w:left="125"/>
              <w:spacing w:before="294" w:line="228" w:lineRule="auto"/>
              <w:rPr>
                <w:sz w:val="20"/>
                <w:szCs w:val="20"/>
              </w:rPr>
            </w:pPr>
            <w:r>
              <w:rPr>
                <w:sz w:val="20"/>
                <w:szCs w:val="20"/>
                <w:spacing w:val="7"/>
              </w:rPr>
              <w:t>监测因子</w:t>
            </w:r>
          </w:p>
        </w:tc>
        <w:tc>
          <w:tcPr>
            <w:tcW w:w="1438" w:type="dxa"/>
            <w:vAlign w:val="top"/>
            <w:tcBorders>
              <w:top w:val="single" w:color="000000" w:sz="10" w:space="0"/>
            </w:tcBorders>
          </w:tcPr>
          <w:p>
            <w:pPr>
              <w:pStyle w:val="TableText"/>
              <w:ind w:left="304"/>
              <w:spacing w:before="293" w:line="228" w:lineRule="auto"/>
              <w:rPr>
                <w:sz w:val="20"/>
                <w:szCs w:val="20"/>
              </w:rPr>
            </w:pPr>
            <w:r>
              <w:rPr>
                <w:sz w:val="20"/>
                <w:szCs w:val="20"/>
                <w:spacing w:val="7"/>
              </w:rPr>
              <w:t>监测频次</w:t>
            </w:r>
          </w:p>
        </w:tc>
        <w:tc>
          <w:tcPr>
            <w:tcW w:w="3310" w:type="dxa"/>
            <w:vAlign w:val="top"/>
            <w:tcBorders>
              <w:top w:val="single" w:color="000000" w:sz="10" w:space="0"/>
              <w:right w:val="nil"/>
            </w:tcBorders>
          </w:tcPr>
          <w:p>
            <w:pPr>
              <w:pStyle w:val="TableText"/>
              <w:ind w:left="1241"/>
              <w:spacing w:before="293" w:line="228" w:lineRule="auto"/>
              <w:rPr>
                <w:sz w:val="20"/>
                <w:szCs w:val="20"/>
              </w:rPr>
            </w:pPr>
            <w:r>
              <w:rPr>
                <w:sz w:val="20"/>
                <w:szCs w:val="20"/>
                <w:spacing w:val="7"/>
              </w:rPr>
              <w:t>执行标准</w:t>
            </w:r>
          </w:p>
        </w:tc>
      </w:tr>
      <w:tr>
        <w:trPr>
          <w:trHeight w:val="1077" w:hRule="atLeast"/>
        </w:trPr>
        <w:tc>
          <w:tcPr>
            <w:tcW w:w="814" w:type="dxa"/>
            <w:vAlign w:val="top"/>
            <w:tcBorders>
              <w:left w:val="nil"/>
            </w:tcBorders>
          </w:tcPr>
          <w:p>
            <w:pPr>
              <w:pStyle w:val="TableText"/>
              <w:ind w:left="206"/>
              <w:spacing w:before="294" w:line="228" w:lineRule="auto"/>
              <w:rPr>
                <w:sz w:val="20"/>
                <w:szCs w:val="20"/>
              </w:rPr>
            </w:pPr>
            <w:r>
              <w:rPr>
                <w:sz w:val="20"/>
                <w:szCs w:val="20"/>
                <w:spacing w:val="4"/>
              </w:rPr>
              <w:t>有组</w:t>
            </w:r>
          </w:p>
          <w:p>
            <w:pPr>
              <w:pStyle w:val="TableText"/>
              <w:ind w:left="314"/>
              <w:spacing w:before="112" w:line="232" w:lineRule="auto"/>
              <w:rPr>
                <w:sz w:val="20"/>
                <w:szCs w:val="20"/>
              </w:rPr>
            </w:pPr>
            <w:r>
              <w:rPr>
                <w:sz w:val="20"/>
                <w:szCs w:val="20"/>
              </w:rPr>
              <w:t>织</w:t>
            </w:r>
          </w:p>
        </w:tc>
        <w:tc>
          <w:tcPr>
            <w:tcW w:w="1878" w:type="dxa"/>
            <w:vAlign w:val="top"/>
          </w:tcPr>
          <w:p>
            <w:pPr>
              <w:spacing w:line="406" w:lineRule="auto"/>
              <w:rPr>
                <w:rFonts w:ascii="Arial"/>
                <w:sz w:val="21"/>
              </w:rPr>
            </w:pPr>
            <w:r/>
          </w:p>
          <w:p>
            <w:pPr>
              <w:pStyle w:val="TableText"/>
              <w:ind w:left="629"/>
              <w:spacing w:before="65" w:line="229" w:lineRule="auto"/>
              <w:rPr>
                <w:sz w:val="20"/>
                <w:szCs w:val="20"/>
              </w:rPr>
            </w:pPr>
            <w:r>
              <w:rPr>
                <w:sz w:val="20"/>
                <w:szCs w:val="20"/>
                <w:spacing w:val="6"/>
              </w:rPr>
              <w:t>排放口</w:t>
            </w:r>
          </w:p>
        </w:tc>
        <w:tc>
          <w:tcPr>
            <w:tcW w:w="1076" w:type="dxa"/>
            <w:vAlign w:val="top"/>
          </w:tcPr>
          <w:p>
            <w:pPr>
              <w:pStyle w:val="TableText"/>
              <w:ind w:left="438" w:right="116" w:hanging="311"/>
              <w:spacing w:before="294" w:line="280" w:lineRule="auto"/>
              <w:rPr>
                <w:sz w:val="20"/>
                <w:szCs w:val="20"/>
              </w:rPr>
            </w:pPr>
            <w:r>
              <w:rPr>
                <w:sz w:val="20"/>
                <w:szCs w:val="20"/>
                <w:spacing w:val="6"/>
              </w:rPr>
              <w:t>非甲烷总</w:t>
            </w:r>
            <w:r>
              <w:rPr>
                <w:sz w:val="20"/>
                <w:szCs w:val="20"/>
                <w:spacing w:val="1"/>
              </w:rPr>
              <w:t xml:space="preserve"> </w:t>
            </w:r>
            <w:r>
              <w:rPr>
                <w:sz w:val="20"/>
                <w:szCs w:val="20"/>
              </w:rPr>
              <w:t>烃</w:t>
            </w:r>
          </w:p>
        </w:tc>
        <w:tc>
          <w:tcPr>
            <w:tcW w:w="1438" w:type="dxa"/>
            <w:vAlign w:val="top"/>
          </w:tcPr>
          <w:p>
            <w:pPr>
              <w:pStyle w:val="TableText"/>
              <w:ind w:left="466" w:right="112" w:hanging="334"/>
              <w:spacing w:before="293" w:line="280" w:lineRule="auto"/>
              <w:rPr>
                <w:sz w:val="20"/>
                <w:szCs w:val="20"/>
              </w:rPr>
            </w:pPr>
            <w:r>
              <w:rPr>
                <w:rFonts w:ascii="Times New Roman" w:hAnsi="Times New Roman" w:eastAsia="Times New Roman" w:cs="Times New Roman"/>
                <w:sz w:val="20"/>
                <w:szCs w:val="20"/>
                <w:spacing w:val="4"/>
              </w:rPr>
              <w:t>1</w:t>
            </w:r>
            <w:r>
              <w:rPr>
                <w:sz w:val="20"/>
                <w:szCs w:val="20"/>
                <w:spacing w:val="4"/>
              </w:rPr>
              <w:t>次</w:t>
            </w:r>
            <w:r>
              <w:rPr>
                <w:rFonts w:ascii="Times New Roman" w:hAnsi="Times New Roman" w:eastAsia="Times New Roman" w:cs="Times New Roman"/>
                <w:sz w:val="20"/>
                <w:szCs w:val="20"/>
                <w:spacing w:val="4"/>
              </w:rPr>
              <w:t>/</w:t>
            </w:r>
            <w:r>
              <w:rPr>
                <w:sz w:val="20"/>
                <w:szCs w:val="20"/>
                <w:spacing w:val="4"/>
              </w:rPr>
              <w:t>半年，每</w:t>
            </w:r>
            <w:r>
              <w:rPr>
                <w:sz w:val="20"/>
                <w:szCs w:val="20"/>
                <w:spacing w:val="3"/>
              </w:rPr>
              <w:t xml:space="preserve"> </w:t>
            </w:r>
            <w:r>
              <w:rPr>
                <w:sz w:val="20"/>
                <w:szCs w:val="20"/>
                <w:spacing w:val="3"/>
              </w:rPr>
              <w:t>次</w:t>
            </w:r>
            <w:r>
              <w:rPr>
                <w:rFonts w:ascii="Times New Roman" w:hAnsi="Times New Roman" w:eastAsia="Times New Roman" w:cs="Times New Roman"/>
                <w:sz w:val="20"/>
                <w:szCs w:val="20"/>
                <w:spacing w:val="3"/>
              </w:rPr>
              <w:t>1</w:t>
            </w:r>
            <w:r>
              <w:rPr>
                <w:sz w:val="20"/>
                <w:szCs w:val="20"/>
                <w:spacing w:val="3"/>
              </w:rPr>
              <w:t>天</w:t>
            </w:r>
          </w:p>
        </w:tc>
        <w:tc>
          <w:tcPr>
            <w:tcW w:w="3310" w:type="dxa"/>
            <w:vAlign w:val="top"/>
            <w:tcBorders>
              <w:right w:val="nil"/>
            </w:tcBorders>
          </w:tcPr>
          <w:p>
            <w:pPr>
              <w:pStyle w:val="TableText"/>
              <w:ind w:left="118"/>
              <w:spacing w:before="113" w:line="228" w:lineRule="auto"/>
              <w:rPr>
                <w:sz w:val="20"/>
                <w:szCs w:val="20"/>
              </w:rPr>
            </w:pPr>
            <w:r>
              <w:rPr>
                <w:sz w:val="20"/>
                <w:szCs w:val="20"/>
                <w:spacing w:val="8"/>
              </w:rPr>
              <w:t>《合成树脂工业污染物排放标准》</w:t>
            </w:r>
          </w:p>
          <w:p>
            <w:pPr>
              <w:pStyle w:val="TableText"/>
              <w:ind w:left="123"/>
              <w:spacing w:before="113" w:line="228" w:lineRule="auto"/>
              <w:rPr>
                <w:sz w:val="20"/>
                <w:szCs w:val="20"/>
              </w:rPr>
            </w:pPr>
            <w:r>
              <w:rPr>
                <w:sz w:val="20"/>
                <w:szCs w:val="20"/>
                <w:spacing w:val="1"/>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1"/>
              </w:rPr>
              <w:t>31572-2015</w:t>
            </w:r>
            <w:r>
              <w:rPr>
                <w:sz w:val="20"/>
                <w:szCs w:val="20"/>
                <w:spacing w:val="1"/>
              </w:rPr>
              <w:t>）中大气污染物特</w:t>
            </w:r>
          </w:p>
          <w:p>
            <w:pPr>
              <w:pStyle w:val="TableText"/>
              <w:ind w:left="1138"/>
              <w:spacing w:before="113" w:line="215" w:lineRule="auto"/>
              <w:rPr>
                <w:sz w:val="20"/>
                <w:szCs w:val="20"/>
              </w:rPr>
            </w:pPr>
            <w:r>
              <w:rPr>
                <w:sz w:val="20"/>
                <w:szCs w:val="20"/>
                <w:spacing w:val="7"/>
              </w:rPr>
              <w:t>别排放限值</w:t>
            </w:r>
          </w:p>
        </w:tc>
      </w:tr>
      <w:tr>
        <w:trPr>
          <w:trHeight w:val="1078" w:hRule="atLeast"/>
        </w:trPr>
        <w:tc>
          <w:tcPr>
            <w:tcW w:w="814" w:type="dxa"/>
            <w:vAlign w:val="top"/>
            <w:vMerge w:val="restart"/>
            <w:tcBorders>
              <w:bottom w:val="nil"/>
              <w:left w:val="nil"/>
            </w:tcBorders>
          </w:tcPr>
          <w:p>
            <w:pPr>
              <w:spacing w:line="316" w:lineRule="auto"/>
              <w:rPr>
                <w:rFonts w:ascii="Arial"/>
                <w:sz w:val="21"/>
              </w:rPr>
            </w:pPr>
            <w:r/>
          </w:p>
          <w:p>
            <w:pPr>
              <w:spacing w:line="317" w:lineRule="auto"/>
              <w:rPr>
                <w:rFonts w:ascii="Arial"/>
                <w:sz w:val="21"/>
              </w:rPr>
            </w:pPr>
            <w:r/>
          </w:p>
          <w:p>
            <w:pPr>
              <w:pStyle w:val="TableText"/>
              <w:ind w:left="207"/>
              <w:spacing w:before="65" w:line="228" w:lineRule="auto"/>
              <w:rPr>
                <w:sz w:val="20"/>
                <w:szCs w:val="20"/>
              </w:rPr>
            </w:pPr>
            <w:r>
              <w:rPr>
                <w:sz w:val="20"/>
                <w:szCs w:val="20"/>
                <w:spacing w:val="3"/>
              </w:rPr>
              <w:t>无组</w:t>
            </w:r>
          </w:p>
          <w:p>
            <w:pPr>
              <w:pStyle w:val="TableText"/>
              <w:ind w:left="314"/>
              <w:spacing w:before="112" w:line="232" w:lineRule="auto"/>
              <w:rPr>
                <w:sz w:val="20"/>
                <w:szCs w:val="20"/>
              </w:rPr>
            </w:pPr>
            <w:r>
              <w:rPr>
                <w:sz w:val="20"/>
                <w:szCs w:val="20"/>
              </w:rPr>
              <w:t>织</w:t>
            </w:r>
          </w:p>
        </w:tc>
        <w:tc>
          <w:tcPr>
            <w:tcW w:w="1878" w:type="dxa"/>
            <w:vAlign w:val="top"/>
          </w:tcPr>
          <w:p>
            <w:pPr>
              <w:pStyle w:val="TableText"/>
              <w:ind w:left="116"/>
              <w:spacing w:before="121" w:line="228" w:lineRule="auto"/>
              <w:rPr>
                <w:sz w:val="20"/>
                <w:szCs w:val="20"/>
              </w:rPr>
            </w:pPr>
            <w:r>
              <w:rPr>
                <w:sz w:val="20"/>
                <w:szCs w:val="20"/>
                <w:spacing w:val="6"/>
              </w:rPr>
              <w:t>厂区边界（上风向</w:t>
            </w:r>
          </w:p>
          <w:p>
            <w:pPr>
              <w:pStyle w:val="TableText"/>
              <w:ind w:left="744" w:right="106" w:hanging="615"/>
              <w:spacing w:before="112" w:line="271" w:lineRule="auto"/>
              <w:rPr>
                <w:sz w:val="20"/>
                <w:szCs w:val="20"/>
              </w:rPr>
            </w:pPr>
            <w:r>
              <w:rPr>
                <w:rFonts w:ascii="Times New Roman" w:hAnsi="Times New Roman" w:eastAsia="Times New Roman" w:cs="Times New Roman"/>
                <w:sz w:val="20"/>
                <w:szCs w:val="20"/>
                <w:spacing w:val="4"/>
              </w:rPr>
              <w:t>1</w:t>
            </w:r>
            <w:r>
              <w:rPr>
                <w:sz w:val="20"/>
                <w:szCs w:val="20"/>
                <w:spacing w:val="4"/>
              </w:rPr>
              <w:t>个点，下风向</w:t>
            </w:r>
            <w:r>
              <w:rPr>
                <w:rFonts w:ascii="Times New Roman" w:hAnsi="Times New Roman" w:eastAsia="Times New Roman" w:cs="Times New Roman"/>
                <w:sz w:val="20"/>
                <w:szCs w:val="20"/>
                <w:spacing w:val="4"/>
              </w:rPr>
              <w:t>3</w:t>
            </w:r>
            <w:r>
              <w:rPr>
                <w:sz w:val="20"/>
                <w:szCs w:val="20"/>
                <w:spacing w:val="4"/>
              </w:rPr>
              <w:t>个</w:t>
            </w:r>
            <w:r>
              <w:rPr>
                <w:sz w:val="20"/>
                <w:szCs w:val="20"/>
              </w:rPr>
              <w:t xml:space="preserve"> </w:t>
            </w:r>
            <w:r>
              <w:rPr>
                <w:sz w:val="20"/>
                <w:szCs w:val="20"/>
                <w:spacing w:val="-5"/>
              </w:rPr>
              <w:t>点）</w:t>
            </w:r>
          </w:p>
        </w:tc>
        <w:tc>
          <w:tcPr>
            <w:tcW w:w="1076" w:type="dxa"/>
            <w:vAlign w:val="top"/>
            <w:vMerge w:val="restart"/>
            <w:tcBorders>
              <w:bottom w:val="nil"/>
            </w:tcBorders>
          </w:tcPr>
          <w:p>
            <w:pPr>
              <w:spacing w:line="316" w:lineRule="auto"/>
              <w:rPr>
                <w:rFonts w:ascii="Arial"/>
                <w:sz w:val="21"/>
              </w:rPr>
            </w:pPr>
            <w:r/>
          </w:p>
          <w:p>
            <w:pPr>
              <w:spacing w:line="317" w:lineRule="auto"/>
              <w:rPr>
                <w:rFonts w:ascii="Arial"/>
                <w:sz w:val="21"/>
              </w:rPr>
            </w:pPr>
            <w:r/>
          </w:p>
          <w:p>
            <w:pPr>
              <w:pStyle w:val="TableText"/>
              <w:ind w:left="438" w:right="116" w:hanging="311"/>
              <w:spacing w:before="65" w:line="280" w:lineRule="auto"/>
              <w:rPr>
                <w:sz w:val="20"/>
                <w:szCs w:val="20"/>
              </w:rPr>
            </w:pPr>
            <w:r>
              <w:rPr>
                <w:sz w:val="20"/>
                <w:szCs w:val="20"/>
                <w:spacing w:val="6"/>
              </w:rPr>
              <w:t>非甲烷总</w:t>
            </w:r>
            <w:r>
              <w:rPr>
                <w:sz w:val="20"/>
                <w:szCs w:val="20"/>
                <w:spacing w:val="1"/>
              </w:rPr>
              <w:t xml:space="preserve"> </w:t>
            </w:r>
            <w:r>
              <w:rPr>
                <w:sz w:val="20"/>
                <w:szCs w:val="20"/>
              </w:rPr>
              <w:t>烃</w:t>
            </w:r>
          </w:p>
        </w:tc>
        <w:tc>
          <w:tcPr>
            <w:tcW w:w="1438" w:type="dxa"/>
            <w:vAlign w:val="top"/>
            <w:vMerge w:val="restart"/>
            <w:tcBorders>
              <w:bottom w:val="nil"/>
            </w:tcBorders>
          </w:tcPr>
          <w:p>
            <w:pPr>
              <w:spacing w:line="316" w:lineRule="auto"/>
              <w:rPr>
                <w:rFonts w:ascii="Arial"/>
                <w:sz w:val="21"/>
              </w:rPr>
            </w:pPr>
            <w:r/>
          </w:p>
          <w:p>
            <w:pPr>
              <w:spacing w:line="317" w:lineRule="auto"/>
              <w:rPr>
                <w:rFonts w:ascii="Arial"/>
                <w:sz w:val="21"/>
              </w:rPr>
            </w:pPr>
            <w:r/>
          </w:p>
          <w:p>
            <w:pPr>
              <w:pStyle w:val="TableText"/>
              <w:ind w:left="624" w:right="106" w:hanging="494"/>
              <w:spacing w:before="65" w:line="280" w:lineRule="auto"/>
              <w:rPr>
                <w:sz w:val="20"/>
                <w:szCs w:val="20"/>
              </w:rPr>
            </w:pPr>
            <w:r>
              <w:rPr>
                <w:rFonts w:ascii="Times New Roman" w:hAnsi="Times New Roman" w:eastAsia="Times New Roman" w:cs="Times New Roman"/>
                <w:sz w:val="20"/>
                <w:szCs w:val="20"/>
                <w:spacing w:val="-8"/>
              </w:rPr>
              <w:t>1</w:t>
            </w:r>
            <w:r>
              <w:rPr>
                <w:sz w:val="20"/>
                <w:szCs w:val="20"/>
                <w:spacing w:val="-8"/>
              </w:rPr>
              <w:t>次</w:t>
            </w:r>
            <w:r>
              <w:rPr>
                <w:rFonts w:ascii="Times New Roman" w:hAnsi="Times New Roman" w:eastAsia="Times New Roman" w:cs="Times New Roman"/>
                <w:sz w:val="20"/>
                <w:szCs w:val="20"/>
                <w:spacing w:val="-8"/>
              </w:rPr>
              <w:t>/</w:t>
            </w:r>
            <w:r>
              <w:rPr>
                <w:sz w:val="20"/>
                <w:szCs w:val="20"/>
                <w:spacing w:val="-8"/>
              </w:rPr>
              <w:t>年，每次</w:t>
            </w: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3"/>
              </w:rPr>
              <w:t xml:space="preserve"> </w:t>
            </w:r>
            <w:r>
              <w:rPr>
                <w:sz w:val="20"/>
                <w:szCs w:val="20"/>
              </w:rPr>
              <w:t>天</w:t>
            </w:r>
          </w:p>
        </w:tc>
        <w:tc>
          <w:tcPr>
            <w:tcW w:w="3310" w:type="dxa"/>
            <w:vAlign w:val="top"/>
            <w:tcBorders>
              <w:right w:val="nil"/>
            </w:tcBorders>
          </w:tcPr>
          <w:p>
            <w:pPr>
              <w:pStyle w:val="TableText"/>
              <w:ind w:left="175" w:right="65" w:hanging="57"/>
              <w:spacing w:before="301" w:line="280" w:lineRule="auto"/>
              <w:rPr>
                <w:sz w:val="20"/>
                <w:szCs w:val="20"/>
              </w:rPr>
            </w:pPr>
            <w:r>
              <w:rPr>
                <w:sz w:val="20"/>
                <w:szCs w:val="20"/>
                <w:spacing w:val="8"/>
              </w:rPr>
              <w:t>《合成树脂工业污染物排放标准》</w:t>
            </w:r>
            <w:r>
              <w:rPr>
                <w:sz w:val="20"/>
                <w:szCs w:val="20"/>
                <w:spacing w:val="1"/>
              </w:rPr>
              <w:t xml:space="preserve"> </w:t>
            </w:r>
            <w:r>
              <w:rPr>
                <w:sz w:val="20"/>
                <w:szCs w:val="20"/>
                <w:spacing w:val="6"/>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31572-2015</w:t>
            </w:r>
            <w:r>
              <w:rPr>
                <w:sz w:val="20"/>
                <w:szCs w:val="20"/>
                <w:spacing w:val="6"/>
              </w:rPr>
              <w:t>）排放限值要求</w:t>
            </w:r>
          </w:p>
        </w:tc>
      </w:tr>
      <w:tr>
        <w:trPr>
          <w:trHeight w:val="813" w:hRule="atLeast"/>
        </w:trPr>
        <w:tc>
          <w:tcPr>
            <w:tcW w:w="814" w:type="dxa"/>
            <w:vAlign w:val="top"/>
            <w:vMerge w:val="continue"/>
            <w:tcBorders>
              <w:bottom w:val="single" w:color="000000" w:sz="10" w:space="0"/>
              <w:left w:val="nil"/>
              <w:top w:val="nil"/>
            </w:tcBorders>
          </w:tcPr>
          <w:p>
            <w:pPr>
              <w:rPr>
                <w:rFonts w:ascii="Arial"/>
                <w:sz w:val="21"/>
              </w:rPr>
            </w:pPr>
            <w:r/>
          </w:p>
        </w:tc>
        <w:tc>
          <w:tcPr>
            <w:tcW w:w="1878" w:type="dxa"/>
            <w:vAlign w:val="top"/>
            <w:tcBorders>
              <w:bottom w:val="single" w:color="000000" w:sz="10" w:space="0"/>
            </w:tcBorders>
          </w:tcPr>
          <w:p>
            <w:pPr>
              <w:pStyle w:val="TableText"/>
              <w:ind w:left="505" w:right="172" w:hanging="318"/>
              <w:spacing w:before="164" w:line="280" w:lineRule="auto"/>
              <w:rPr>
                <w:rFonts w:ascii="Times New Roman" w:hAnsi="Times New Roman" w:eastAsia="Times New Roman" w:cs="Times New Roman"/>
                <w:sz w:val="20"/>
                <w:szCs w:val="20"/>
              </w:rPr>
            </w:pPr>
            <w:r>
              <w:rPr>
                <w:sz w:val="20"/>
                <w:szCs w:val="20"/>
                <w:spacing w:val="7"/>
              </w:rPr>
              <w:t>下风向、厂房门</w:t>
            </w: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rPr>
              <w:t xml:space="preserve"> </w:t>
            </w:r>
            <w:r>
              <w:rPr>
                <w:sz w:val="20"/>
                <w:szCs w:val="20"/>
                <w:spacing w:val="4"/>
              </w:rPr>
              <w:t>窗口外</w:t>
            </w:r>
            <w:r>
              <w:rPr>
                <w:rFonts w:ascii="Times New Roman" w:hAnsi="Times New Roman" w:eastAsia="Times New Roman" w:cs="Times New Roman"/>
                <w:sz w:val="20"/>
                <w:szCs w:val="20"/>
                <w:spacing w:val="4"/>
              </w:rPr>
              <w:t>1m</w:t>
            </w:r>
          </w:p>
        </w:tc>
        <w:tc>
          <w:tcPr>
            <w:tcW w:w="1076" w:type="dxa"/>
            <w:vAlign w:val="top"/>
            <w:vMerge w:val="continue"/>
            <w:tcBorders>
              <w:bottom w:val="single" w:color="000000" w:sz="10" w:space="0"/>
              <w:top w:val="nil"/>
            </w:tcBorders>
          </w:tcPr>
          <w:p>
            <w:pPr>
              <w:rPr>
                <w:rFonts w:ascii="Arial"/>
                <w:sz w:val="21"/>
              </w:rPr>
            </w:pPr>
            <w:r/>
          </w:p>
        </w:tc>
        <w:tc>
          <w:tcPr>
            <w:tcW w:w="1438" w:type="dxa"/>
            <w:vAlign w:val="top"/>
            <w:vMerge w:val="continue"/>
            <w:tcBorders>
              <w:bottom w:val="single" w:color="000000" w:sz="10" w:space="0"/>
              <w:top w:val="nil"/>
            </w:tcBorders>
          </w:tcPr>
          <w:p>
            <w:pPr>
              <w:rPr>
                <w:rFonts w:ascii="Arial"/>
                <w:sz w:val="21"/>
              </w:rPr>
            </w:pPr>
            <w:r/>
          </w:p>
        </w:tc>
        <w:tc>
          <w:tcPr>
            <w:tcW w:w="3310" w:type="dxa"/>
            <w:vAlign w:val="top"/>
            <w:tcBorders>
              <w:bottom w:val="single" w:color="000000" w:sz="10" w:space="0"/>
              <w:right w:val="nil"/>
            </w:tcBorders>
          </w:tcPr>
          <w:p>
            <w:pPr>
              <w:pStyle w:val="TableText"/>
              <w:ind w:left="483" w:right="187" w:hanging="288"/>
              <w:spacing w:before="164" w:line="280" w:lineRule="auto"/>
              <w:rPr>
                <w:sz w:val="20"/>
                <w:szCs w:val="20"/>
              </w:rPr>
            </w:pPr>
            <w:r>
              <w:rPr>
                <w:sz w:val="20"/>
                <w:szCs w:val="20"/>
                <w:spacing w:val="8"/>
              </w:rPr>
              <w:t>《挥发性有机物无组织排放控制</w:t>
            </w:r>
            <w:r>
              <w:rPr>
                <w:sz w:val="20"/>
                <w:szCs w:val="20"/>
                <w:spacing w:val="11"/>
              </w:rPr>
              <w:t xml:space="preserve"> </w:t>
            </w:r>
            <w:r>
              <w:rPr>
                <w:sz w:val="20"/>
                <w:szCs w:val="20"/>
                <w:spacing w:val="6"/>
              </w:rPr>
              <w:t>标准》（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37822-2019</w:t>
            </w:r>
            <w:r>
              <w:rPr>
                <w:sz w:val="20"/>
                <w:szCs w:val="20"/>
                <w:spacing w:val="6"/>
              </w:rPr>
              <w:t>）</w:t>
            </w:r>
          </w:p>
        </w:tc>
      </w:tr>
    </w:tbl>
    <w:p>
      <w:pPr>
        <w:pStyle w:val="BodyText"/>
        <w:rPr/>
      </w:pPr>
      <w:r/>
    </w:p>
    <w:p>
      <w:pPr>
        <w:sectPr>
          <w:footerReference w:type="default" r:id="rId84"/>
          <w:pgSz w:w="11906" w:h="16839"/>
          <w:pgMar w:top="400" w:right="1695" w:bottom="1211" w:left="1693" w:header="0" w:footer="1049" w:gutter="0"/>
        </w:sectPr>
        <w:rPr/>
      </w:pP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23"/>
        <w:spacing w:before="91" w:line="219" w:lineRule="auto"/>
        <w:outlineLvl w:val="0"/>
        <w:rPr>
          <w:rFonts w:ascii="SimSun" w:hAnsi="SimSun" w:eastAsia="SimSun" w:cs="SimSun"/>
          <w:sz w:val="28"/>
          <w:szCs w:val="28"/>
        </w:rPr>
      </w:pPr>
      <w:r>
        <w:rPr>
          <w:rFonts w:ascii="Times New Roman" w:hAnsi="Times New Roman" w:eastAsia="Times New Roman" w:cs="Times New Roman"/>
          <w:sz w:val="28"/>
          <w:szCs w:val="28"/>
          <w:b/>
          <w:bCs/>
          <w:spacing w:val="-1"/>
        </w:rPr>
        <w:t>8</w:t>
      </w:r>
      <w:r>
        <w:rPr>
          <w:rFonts w:ascii="Times New Roman" w:hAnsi="Times New Roman" w:eastAsia="Times New Roman" w:cs="Times New Roman"/>
          <w:sz w:val="28"/>
          <w:szCs w:val="28"/>
          <w:b/>
          <w:bCs/>
          <w:spacing w:val="-25"/>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
        </w:rPr>
        <w:t>、根据环评核算，本项目需要申请大气污染物总量控制指标为</w:t>
      </w:r>
    </w:p>
    <w:p>
      <w:pPr>
        <w:ind w:left="16"/>
        <w:spacing w:before="226" w:line="562" w:lineRule="exact"/>
        <w:rPr>
          <w:rFonts w:ascii="SimSun" w:hAnsi="SimSun" w:eastAsia="SimSun" w:cs="SimSun"/>
          <w:sz w:val="28"/>
          <w:szCs w:val="28"/>
        </w:rPr>
      </w:pPr>
      <w:r>
        <w:rPr>
          <w:rFonts w:ascii="Times New Roman" w:hAnsi="Times New Roman" w:eastAsia="Times New Roman" w:cs="Times New Roman"/>
          <w:sz w:val="28"/>
          <w:szCs w:val="28"/>
          <w:b/>
          <w:bCs/>
          <w:position w:val="21"/>
        </w:rPr>
        <w:t>VOCs0.62t/a</w:t>
      </w:r>
      <w:r>
        <w:rPr>
          <w:rFonts w:ascii="Times New Roman" w:hAnsi="Times New Roman" w:eastAsia="Times New Roman" w:cs="Times New Roman"/>
          <w:sz w:val="28"/>
          <w:szCs w:val="28"/>
          <w:b/>
          <w:bCs/>
          <w:spacing w:val="-35"/>
          <w:position w:val="21"/>
        </w:rPr>
        <w:t xml:space="preserve"> </w:t>
      </w:r>
      <w:r>
        <w:rPr>
          <w:rFonts w:ascii="SimSun" w:hAnsi="SimSun" w:eastAsia="SimSun" w:cs="SimSun"/>
          <w:sz w:val="28"/>
          <w:szCs w:val="28"/>
          <w14:textOutline w14:w="5103" w14:cap="sq" w14:cmpd="sng">
            <w14:solidFill>
              <w14:srgbClr w14:val="000000"/>
            </w14:solidFill>
            <w14:prstDash w14:val="solid"/>
            <w14:bevel/>
          </w14:textOutline>
          <w:position w:val="21"/>
        </w:rPr>
        <w:t>。需执行新增污染物倍</w:t>
      </w:r>
      <w:r>
        <w:rPr>
          <w:rFonts w:ascii="SimSun" w:hAnsi="SimSun" w:eastAsia="SimSun" w:cs="SimSun"/>
          <w:sz w:val="28"/>
          <w:szCs w:val="28"/>
          <w14:textOutline w14:w="5103" w14:cap="sq" w14:cmpd="sng">
            <w14:solidFill>
              <w14:srgbClr w14:val="000000"/>
            </w14:solidFill>
            <w14:prstDash w14:val="solid"/>
            <w14:bevel/>
          </w14:textOutline>
          <w:spacing w:val="-1"/>
          <w:position w:val="21"/>
        </w:rPr>
        <w:t>量替代，替代总量为</w:t>
      </w:r>
      <w:r>
        <w:rPr>
          <w:rFonts w:ascii="Times New Roman" w:hAnsi="Times New Roman" w:eastAsia="Times New Roman" w:cs="Times New Roman"/>
          <w:sz w:val="28"/>
          <w:szCs w:val="28"/>
          <w:b/>
          <w:bCs/>
          <w:spacing w:val="-1"/>
          <w:position w:val="21"/>
        </w:rPr>
        <w:t>1.24t/a</w:t>
      </w:r>
      <w:r>
        <w:rPr>
          <w:rFonts w:ascii="Times New Roman" w:hAnsi="Times New Roman" w:eastAsia="Times New Roman" w:cs="Times New Roman"/>
          <w:sz w:val="28"/>
          <w:szCs w:val="28"/>
          <w:b/>
          <w:bCs/>
          <w:spacing w:val="-33"/>
          <w:position w:val="2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
          <w:position w:val="21"/>
        </w:rPr>
        <w:t>。明</w:t>
      </w:r>
    </w:p>
    <w:p>
      <w:pPr>
        <w:ind w:left="25"/>
        <w:spacing w:before="1" w:line="219"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确新增大气污染物总量指标倍量替代来源。</w:t>
      </w:r>
    </w:p>
    <w:p>
      <w:pPr>
        <w:ind w:left="529"/>
        <w:spacing w:before="213" w:line="219" w:lineRule="auto"/>
        <w:rPr>
          <w:rFonts w:ascii="Times New Roman" w:hAnsi="Times New Roman" w:eastAsia="Times New Roman" w:cs="Times New Roman"/>
          <w:sz w:val="24"/>
          <w:szCs w:val="24"/>
        </w:rPr>
      </w:pPr>
      <w:r>
        <w:rPr>
          <w:rFonts w:ascii="SimSun" w:hAnsi="SimSun" w:eastAsia="SimSun" w:cs="SimSun"/>
          <w:sz w:val="24"/>
          <w:szCs w:val="24"/>
          <w:spacing w:val="-5"/>
        </w:rPr>
        <w:t>已修改，见</w:t>
      </w:r>
      <w:r>
        <w:rPr>
          <w:rFonts w:ascii="Times New Roman" w:hAnsi="Times New Roman" w:eastAsia="Times New Roman" w:cs="Times New Roman"/>
          <w:sz w:val="24"/>
          <w:szCs w:val="24"/>
          <w:spacing w:val="-5"/>
        </w:rPr>
        <w:t>P36</w:t>
      </w:r>
    </w:p>
    <w:p>
      <w:pPr>
        <w:ind w:left="11" w:right="160" w:firstLine="491"/>
        <w:spacing w:before="213" w:line="385" w:lineRule="auto"/>
        <w:rPr>
          <w:rFonts w:ascii="SimSun" w:hAnsi="SimSun" w:eastAsia="SimSun" w:cs="SimSun"/>
          <w:sz w:val="24"/>
          <w:szCs w:val="24"/>
        </w:rPr>
      </w:pPr>
      <w:r>
        <w:rPr>
          <w:rFonts w:ascii="SimSun" w:hAnsi="SimSun" w:eastAsia="SimSun" w:cs="SimSun"/>
          <w:sz w:val="24"/>
          <w:szCs w:val="24"/>
        </w:rPr>
        <w:t>根据自治区党委自治区人民政府印发的《新疆维</w:t>
      </w:r>
      <w:r>
        <w:rPr>
          <w:rFonts w:ascii="SimSun" w:hAnsi="SimSun" w:eastAsia="SimSun" w:cs="SimSun"/>
          <w:sz w:val="24"/>
          <w:szCs w:val="24"/>
          <w:spacing w:val="-1"/>
        </w:rPr>
        <w:t>吾尔自治区生态环境保护</w:t>
      </w:r>
      <w:r>
        <w:rPr>
          <w:rFonts w:ascii="SimSun" w:hAnsi="SimSun" w:eastAsia="SimSun" w:cs="SimSun"/>
          <w:sz w:val="24"/>
          <w:szCs w:val="24"/>
        </w:rPr>
        <w:t xml:space="preserve"> </w:t>
      </w:r>
      <w:r>
        <w:rPr>
          <w:rFonts w:ascii="SimSun" w:hAnsi="SimSun" w:eastAsia="SimSun" w:cs="SimSun"/>
          <w:sz w:val="24"/>
          <w:szCs w:val="24"/>
          <w:spacing w:val="-3"/>
        </w:rPr>
        <w:t>“十四五</w:t>
      </w:r>
      <w:r>
        <w:rPr>
          <w:rFonts w:ascii="SimSun" w:hAnsi="SimSun" w:eastAsia="SimSun" w:cs="SimSun"/>
          <w:sz w:val="24"/>
          <w:szCs w:val="24"/>
          <w:spacing w:val="-81"/>
        </w:rPr>
        <w:t xml:space="preserve"> </w:t>
      </w:r>
      <w:r>
        <w:rPr>
          <w:rFonts w:ascii="SimSun" w:hAnsi="SimSun" w:eastAsia="SimSun" w:cs="SimSun"/>
          <w:sz w:val="24"/>
          <w:szCs w:val="24"/>
          <w:spacing w:val="-3"/>
        </w:rPr>
        <w:t>”规划》，新疆“十四五</w:t>
      </w:r>
      <w:r>
        <w:rPr>
          <w:rFonts w:ascii="SimSun" w:hAnsi="SimSun" w:eastAsia="SimSun" w:cs="SimSun"/>
          <w:sz w:val="24"/>
          <w:szCs w:val="24"/>
          <w:spacing w:val="-88"/>
        </w:rPr>
        <w:t xml:space="preserve"> </w:t>
      </w:r>
      <w:r>
        <w:rPr>
          <w:rFonts w:ascii="SimSun" w:hAnsi="SimSun" w:eastAsia="SimSun" w:cs="SimSun"/>
          <w:sz w:val="24"/>
          <w:szCs w:val="24"/>
          <w:spacing w:val="-3"/>
        </w:rPr>
        <w:t>”生态环境保护规划总量控制指标为</w:t>
      </w:r>
      <w:r>
        <w:rPr>
          <w:rFonts w:ascii="Times New Roman" w:hAnsi="Times New Roman" w:eastAsia="Times New Roman" w:cs="Times New Roman"/>
          <w:sz w:val="24"/>
          <w:szCs w:val="24"/>
          <w:spacing w:val="-3"/>
        </w:rPr>
        <w:t>COD</w:t>
      </w:r>
      <w:r>
        <w:rPr>
          <w:rFonts w:ascii="SimSun" w:hAnsi="SimSun" w:eastAsia="SimSun" w:cs="SimSun"/>
          <w:sz w:val="24"/>
          <w:szCs w:val="24"/>
          <w:spacing w:val="-3"/>
        </w:rPr>
        <w:t>、</w:t>
      </w:r>
    </w:p>
    <w:p>
      <w:pPr>
        <w:ind w:left="23"/>
        <w:spacing w:before="1" w:line="218" w:lineRule="auto"/>
        <w:rPr>
          <w:rFonts w:ascii="SimSun" w:hAnsi="SimSun" w:eastAsia="SimSun" w:cs="SimSun"/>
          <w:sz w:val="24"/>
          <w:szCs w:val="24"/>
        </w:rPr>
      </w:pPr>
      <w:r>
        <w:rPr>
          <w:rFonts w:ascii="SimSun" w:hAnsi="SimSun" w:eastAsia="SimSun" w:cs="SimSun"/>
          <w:sz w:val="24"/>
          <w:szCs w:val="24"/>
          <w:spacing w:val="-1"/>
        </w:rPr>
        <w:t>氨氮、氮氧化物和</w:t>
      </w:r>
      <w:r>
        <w:rPr>
          <w:rFonts w:ascii="Times New Roman" w:hAnsi="Times New Roman" w:eastAsia="Times New Roman" w:cs="Times New Roman"/>
          <w:sz w:val="24"/>
          <w:szCs w:val="24"/>
          <w:spacing w:val="-1"/>
        </w:rPr>
        <w:t>VOCs</w:t>
      </w:r>
      <w:r>
        <w:rPr>
          <w:rFonts w:ascii="SimSun" w:hAnsi="SimSun" w:eastAsia="SimSun" w:cs="SimSun"/>
          <w:sz w:val="24"/>
          <w:szCs w:val="24"/>
          <w:spacing w:val="-1"/>
        </w:rPr>
        <w:t>。</w:t>
      </w:r>
    </w:p>
    <w:p>
      <w:pPr>
        <w:ind w:left="23" w:right="13" w:firstLine="480"/>
        <w:spacing w:before="214" w:line="385" w:lineRule="auto"/>
        <w:rPr>
          <w:rFonts w:ascii="SimSun" w:hAnsi="SimSun" w:eastAsia="SimSun" w:cs="SimSun"/>
          <w:sz w:val="24"/>
          <w:szCs w:val="24"/>
        </w:rPr>
      </w:pPr>
      <w:r>
        <w:rPr>
          <w:rFonts w:ascii="SimSun" w:hAnsi="SimSun" w:eastAsia="SimSun" w:cs="SimSun"/>
          <w:sz w:val="24"/>
          <w:szCs w:val="24"/>
          <w:spacing w:val="-3"/>
        </w:rPr>
        <w:t>根据本项目污染物因子排放特点，本项目不新增二氧化硫、氮氧</w:t>
      </w:r>
      <w:r>
        <w:rPr>
          <w:rFonts w:ascii="SimSun" w:hAnsi="SimSun" w:eastAsia="SimSun" w:cs="SimSun"/>
          <w:sz w:val="24"/>
          <w:szCs w:val="24"/>
          <w:spacing w:val="-4"/>
        </w:rPr>
        <w:t>化物废气排</w:t>
      </w:r>
      <w:r>
        <w:rPr>
          <w:rFonts w:ascii="SimSun" w:hAnsi="SimSun" w:eastAsia="SimSun" w:cs="SimSun"/>
          <w:sz w:val="24"/>
          <w:szCs w:val="24"/>
        </w:rPr>
        <w:t xml:space="preserve"> </w:t>
      </w:r>
      <w:r>
        <w:rPr>
          <w:rFonts w:ascii="SimSun" w:hAnsi="SimSun" w:eastAsia="SimSun" w:cs="SimSun"/>
          <w:sz w:val="24"/>
          <w:szCs w:val="24"/>
          <w:spacing w:val="-1"/>
        </w:rPr>
        <w:t>放量，不新增废水排放量。故不考虑</w:t>
      </w:r>
      <w:r>
        <w:rPr>
          <w:rFonts w:ascii="Times New Roman" w:hAnsi="Times New Roman" w:eastAsia="Times New Roman" w:cs="Times New Roman"/>
          <w:sz w:val="24"/>
          <w:szCs w:val="24"/>
          <w:spacing w:val="-1"/>
        </w:rPr>
        <w:t>COD</w:t>
      </w:r>
      <w:r>
        <w:rPr>
          <w:rFonts w:ascii="Times New Roman" w:hAnsi="Times New Roman" w:eastAsia="Times New Roman" w:cs="Times New Roman"/>
          <w:sz w:val="24"/>
          <w:szCs w:val="24"/>
          <w:spacing w:val="-34"/>
        </w:rPr>
        <w:t xml:space="preserve"> </w:t>
      </w:r>
      <w:r>
        <w:rPr>
          <w:rFonts w:ascii="SimSun" w:hAnsi="SimSun" w:eastAsia="SimSun" w:cs="SimSun"/>
          <w:sz w:val="24"/>
          <w:szCs w:val="24"/>
          <w:spacing w:val="-1"/>
        </w:rPr>
        <w:t>、氨氮总量指标和二氧化硫、氮</w:t>
      </w:r>
      <w:r>
        <w:rPr>
          <w:rFonts w:ascii="SimSun" w:hAnsi="SimSun" w:eastAsia="SimSun" w:cs="SimSun"/>
          <w:sz w:val="24"/>
          <w:szCs w:val="24"/>
          <w:spacing w:val="-2"/>
        </w:rPr>
        <w:t>氧化</w:t>
      </w:r>
    </w:p>
    <w:p>
      <w:pPr>
        <w:ind w:left="23"/>
        <w:spacing w:line="220" w:lineRule="auto"/>
        <w:rPr>
          <w:rFonts w:ascii="SimSun" w:hAnsi="SimSun" w:eastAsia="SimSun" w:cs="SimSun"/>
          <w:sz w:val="24"/>
          <w:szCs w:val="24"/>
        </w:rPr>
      </w:pPr>
      <w:r>
        <w:rPr>
          <w:rFonts w:ascii="SimSun" w:hAnsi="SimSun" w:eastAsia="SimSun" w:cs="SimSun"/>
          <w:sz w:val="24"/>
          <w:szCs w:val="24"/>
          <w:spacing w:val="-2"/>
        </w:rPr>
        <w:t>物总量指标。</w:t>
      </w:r>
    </w:p>
    <w:p>
      <w:pPr>
        <w:ind w:left="33" w:right="100" w:firstLine="470"/>
        <w:spacing w:before="213" w:line="385" w:lineRule="auto"/>
        <w:rPr>
          <w:rFonts w:ascii="SimSun" w:hAnsi="SimSun" w:eastAsia="SimSun" w:cs="SimSun"/>
          <w:sz w:val="24"/>
          <w:szCs w:val="24"/>
        </w:rPr>
      </w:pPr>
      <w:r>
        <w:rPr>
          <w:rFonts w:ascii="SimSun" w:hAnsi="SimSun" w:eastAsia="SimSun" w:cs="SimSun"/>
          <w:sz w:val="24"/>
          <w:szCs w:val="24"/>
          <w:spacing w:val="-2"/>
        </w:rPr>
        <w:t>本项目需要申请总量控制指标的污染物为</w:t>
      </w:r>
      <w:r>
        <w:rPr>
          <w:rFonts w:ascii="Times New Roman" w:hAnsi="Times New Roman" w:eastAsia="Times New Roman" w:cs="Times New Roman"/>
          <w:sz w:val="24"/>
          <w:szCs w:val="24"/>
          <w:spacing w:val="-2"/>
        </w:rPr>
        <w:t>VOCs0.</w:t>
      </w:r>
      <w:r>
        <w:rPr>
          <w:rFonts w:ascii="Times New Roman" w:hAnsi="Times New Roman" w:eastAsia="Times New Roman" w:cs="Times New Roman"/>
          <w:sz w:val="24"/>
          <w:szCs w:val="24"/>
          <w:spacing w:val="-28"/>
        </w:rPr>
        <w:t xml:space="preserve"> </w:t>
      </w:r>
      <w:r>
        <w:rPr>
          <w:rFonts w:ascii="Times New Roman" w:hAnsi="Times New Roman" w:eastAsia="Times New Roman" w:cs="Times New Roman"/>
          <w:sz w:val="24"/>
          <w:szCs w:val="24"/>
          <w:spacing w:val="-2"/>
        </w:rPr>
        <w:t>15t/a</w:t>
      </w:r>
      <w:r>
        <w:rPr>
          <w:rFonts w:ascii="Times New Roman" w:hAnsi="Times New Roman" w:eastAsia="Times New Roman" w:cs="Times New Roman"/>
          <w:sz w:val="24"/>
          <w:szCs w:val="24"/>
          <w:spacing w:val="-28"/>
        </w:rPr>
        <w:t xml:space="preserve"> </w:t>
      </w:r>
      <w:r>
        <w:rPr>
          <w:rFonts w:ascii="SimSun" w:hAnsi="SimSun" w:eastAsia="SimSun" w:cs="SimSun"/>
          <w:sz w:val="24"/>
          <w:szCs w:val="24"/>
          <w:spacing w:val="-2"/>
        </w:rPr>
        <w:t>。需执行倍量替代，</w:t>
      </w:r>
      <w:r>
        <w:rPr>
          <w:rFonts w:ascii="SimSun" w:hAnsi="SimSun" w:eastAsia="SimSun" w:cs="SimSun"/>
          <w:sz w:val="24"/>
          <w:szCs w:val="24"/>
        </w:rPr>
        <w:t xml:space="preserve"> </w:t>
      </w:r>
      <w:r>
        <w:rPr>
          <w:rFonts w:ascii="SimSun" w:hAnsi="SimSun" w:eastAsia="SimSun" w:cs="SimSun"/>
          <w:sz w:val="24"/>
          <w:szCs w:val="24"/>
          <w:spacing w:val="-1"/>
        </w:rPr>
        <w:t>替代总量为</w:t>
      </w:r>
      <w:r>
        <w:rPr>
          <w:rFonts w:ascii="Times New Roman" w:hAnsi="Times New Roman" w:eastAsia="Times New Roman" w:cs="Times New Roman"/>
          <w:sz w:val="24"/>
          <w:szCs w:val="24"/>
          <w:spacing w:val="-1"/>
        </w:rPr>
        <w:t>0.3t/a</w:t>
      </w:r>
      <w:r>
        <w:rPr>
          <w:rFonts w:ascii="Times New Roman" w:hAnsi="Times New Roman" w:eastAsia="Times New Roman" w:cs="Times New Roman"/>
          <w:sz w:val="24"/>
          <w:szCs w:val="24"/>
          <w:spacing w:val="-28"/>
        </w:rPr>
        <w:t xml:space="preserve"> </w:t>
      </w:r>
      <w:r>
        <w:rPr>
          <w:rFonts w:ascii="SimSun" w:hAnsi="SimSun" w:eastAsia="SimSun" w:cs="SimSun"/>
          <w:sz w:val="24"/>
          <w:szCs w:val="24"/>
          <w:spacing w:val="-1"/>
        </w:rPr>
        <w:t>。企业向当地生态环境部门</w:t>
      </w:r>
      <w:r>
        <w:rPr>
          <w:rFonts w:ascii="SimSun" w:hAnsi="SimSun" w:eastAsia="SimSun" w:cs="SimSun"/>
          <w:sz w:val="24"/>
          <w:szCs w:val="24"/>
          <w:spacing w:val="-2"/>
        </w:rPr>
        <w:t>申请，由当地环保部门调控进行倍</w:t>
      </w:r>
    </w:p>
    <w:p>
      <w:pPr>
        <w:ind w:left="23"/>
        <w:spacing w:before="1" w:line="219" w:lineRule="auto"/>
        <w:rPr>
          <w:rFonts w:ascii="SimSun" w:hAnsi="SimSun" w:eastAsia="SimSun" w:cs="SimSun"/>
          <w:sz w:val="24"/>
          <w:szCs w:val="24"/>
        </w:rPr>
      </w:pPr>
      <w:r>
        <w:rPr>
          <w:rFonts w:ascii="SimSun" w:hAnsi="SimSun" w:eastAsia="SimSun" w:cs="SimSun"/>
          <w:sz w:val="24"/>
          <w:szCs w:val="24"/>
          <w:spacing w:val="-3"/>
        </w:rPr>
        <w:t>量替代。</w:t>
      </w:r>
    </w:p>
    <w:p>
      <w:pPr>
        <w:pStyle w:val="BodyText"/>
        <w:spacing w:line="346" w:lineRule="auto"/>
        <w:rPr/>
      </w:pPr>
      <w:r/>
    </w:p>
    <w:p>
      <w:pPr>
        <w:pStyle w:val="BodyText"/>
        <w:spacing w:line="347" w:lineRule="auto"/>
        <w:rPr/>
      </w:pPr>
      <w:r/>
    </w:p>
    <w:p>
      <w:pPr>
        <w:ind w:left="22"/>
        <w:spacing w:before="91" w:line="220" w:lineRule="auto"/>
        <w:outlineLvl w:val="0"/>
        <w:rPr>
          <w:rFonts w:ascii="SimSun" w:hAnsi="SimSun" w:eastAsia="SimSun" w:cs="SimSun"/>
          <w:sz w:val="28"/>
          <w:szCs w:val="28"/>
        </w:rPr>
      </w:pPr>
      <w:r>
        <w:rPr>
          <w:rFonts w:ascii="Times New Roman" w:hAnsi="Times New Roman" w:eastAsia="Times New Roman" w:cs="Times New Roman"/>
          <w:sz w:val="28"/>
          <w:szCs w:val="28"/>
          <w:b/>
          <w:bCs/>
        </w:rPr>
        <w:t>9</w:t>
      </w:r>
      <w:r>
        <w:rPr>
          <w:rFonts w:ascii="Times New Roman" w:hAnsi="Times New Roman" w:eastAsia="Times New Roman" w:cs="Times New Roman"/>
          <w:sz w:val="28"/>
          <w:szCs w:val="28"/>
          <w:b/>
          <w:bCs/>
          <w:spacing w:val="-41"/>
        </w:rPr>
        <w:t xml:space="preserve"> </w:t>
      </w:r>
      <w:r>
        <w:rPr>
          <w:rFonts w:ascii="SimSun" w:hAnsi="SimSun" w:eastAsia="SimSun" w:cs="SimSun"/>
          <w:sz w:val="28"/>
          <w:szCs w:val="28"/>
          <w14:textOutline w14:w="5103" w14:cap="sq" w14:cmpd="sng">
            <w14:solidFill>
              <w14:srgbClr w14:val="000000"/>
            </w14:solidFill>
            <w14:prstDash w14:val="solid"/>
            <w14:bevel/>
          </w14:textOutline>
        </w:rPr>
        <w:t>、完善水环境影响分析，说明该企业现有生</w:t>
      </w:r>
      <w:r>
        <w:rPr>
          <w:rFonts w:ascii="SimSun" w:hAnsi="SimSun" w:eastAsia="SimSun" w:cs="SimSun"/>
          <w:sz w:val="28"/>
          <w:szCs w:val="28"/>
          <w14:textOutline w14:w="5103" w14:cap="sq" w14:cmpd="sng">
            <w14:solidFill>
              <w14:srgbClr w14:val="000000"/>
            </w14:solidFill>
            <w14:prstDash w14:val="solid"/>
            <w14:bevel/>
          </w14:textOutline>
          <w:spacing w:val="-1"/>
        </w:rPr>
        <w:t>活废水处理方案及排放</w:t>
      </w:r>
    </w:p>
    <w:p>
      <w:pPr>
        <w:ind w:left="29"/>
        <w:spacing w:before="226" w:line="559" w:lineRule="exact"/>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4"/>
          <w:position w:val="21"/>
        </w:rPr>
        <w:t>去向，分析论证本项目工作人员生活废水排放方案是否满足现行环境</w:t>
      </w:r>
    </w:p>
    <w:p>
      <w:pPr>
        <w:ind w:left="31"/>
        <w:spacing w:before="1" w:line="219"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3"/>
        </w:rPr>
        <w:t>管理要求。</w:t>
      </w:r>
    </w:p>
    <w:p>
      <w:pPr>
        <w:ind w:left="529"/>
        <w:spacing w:before="216" w:line="219" w:lineRule="auto"/>
        <w:rPr>
          <w:rFonts w:ascii="Times New Roman" w:hAnsi="Times New Roman" w:eastAsia="Times New Roman" w:cs="Times New Roman"/>
          <w:sz w:val="24"/>
          <w:szCs w:val="24"/>
        </w:rPr>
      </w:pPr>
      <w:r>
        <w:rPr>
          <w:rFonts w:ascii="SimSun" w:hAnsi="SimSun" w:eastAsia="SimSun" w:cs="SimSun"/>
          <w:sz w:val="24"/>
          <w:szCs w:val="24"/>
          <w:spacing w:val="-5"/>
        </w:rPr>
        <w:t>已修改，见</w:t>
      </w:r>
      <w:r>
        <w:rPr>
          <w:rFonts w:ascii="Times New Roman" w:hAnsi="Times New Roman" w:eastAsia="Times New Roman" w:cs="Times New Roman"/>
          <w:sz w:val="24"/>
          <w:szCs w:val="24"/>
          <w:spacing w:val="-5"/>
        </w:rPr>
        <w:t>P30</w:t>
      </w:r>
    </w:p>
    <w:p>
      <w:pPr>
        <w:ind w:left="514"/>
        <w:spacing w:before="213"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）生活污水依托可行性</w:t>
      </w:r>
    </w:p>
    <w:p>
      <w:pPr>
        <w:ind w:right="13"/>
        <w:spacing w:before="215" w:line="502" w:lineRule="exact"/>
        <w:jc w:val="right"/>
        <w:rPr>
          <w:rFonts w:ascii="SimSun" w:hAnsi="SimSun" w:eastAsia="SimSun" w:cs="SimSun"/>
          <w:sz w:val="24"/>
          <w:szCs w:val="24"/>
        </w:rPr>
      </w:pPr>
      <w:r>
        <w:rPr>
          <w:rFonts w:ascii="SimSun" w:hAnsi="SimSun" w:eastAsia="SimSun" w:cs="SimSun"/>
          <w:sz w:val="24"/>
          <w:szCs w:val="24"/>
          <w:spacing w:val="-3"/>
          <w:position w:val="20"/>
        </w:rPr>
        <w:t>企业厂区建设有一座</w:t>
      </w:r>
      <w:r>
        <w:rPr>
          <w:rFonts w:ascii="Times New Roman" w:hAnsi="Times New Roman" w:eastAsia="Times New Roman" w:cs="Times New Roman"/>
          <w:sz w:val="24"/>
          <w:szCs w:val="24"/>
          <w:spacing w:val="-3"/>
          <w:position w:val="20"/>
        </w:rPr>
        <w:t>10m</w:t>
      </w:r>
      <w:r>
        <w:rPr>
          <w:rFonts w:ascii="SimSun" w:hAnsi="SimSun" w:eastAsia="SimSun" w:cs="SimSun"/>
          <w:sz w:val="24"/>
          <w:szCs w:val="24"/>
          <w:spacing w:val="-3"/>
          <w:position w:val="20"/>
        </w:rPr>
        <w:t>³</w:t>
      </w:r>
      <w:r>
        <w:rPr>
          <w:rFonts w:ascii="Times New Roman" w:hAnsi="Times New Roman" w:eastAsia="Times New Roman" w:cs="Times New Roman"/>
          <w:sz w:val="24"/>
          <w:szCs w:val="24"/>
          <w:spacing w:val="-3"/>
          <w:position w:val="20"/>
        </w:rPr>
        <w:t>/d</w:t>
      </w:r>
      <w:r>
        <w:rPr>
          <w:rFonts w:ascii="SimSun" w:hAnsi="SimSun" w:eastAsia="SimSun" w:cs="SimSun"/>
          <w:sz w:val="24"/>
          <w:szCs w:val="24"/>
          <w:spacing w:val="-3"/>
          <w:position w:val="20"/>
        </w:rPr>
        <w:t>地埋式一体化污</w:t>
      </w:r>
      <w:r>
        <w:rPr>
          <w:rFonts w:ascii="SimSun" w:hAnsi="SimSun" w:eastAsia="SimSun" w:cs="SimSun"/>
          <w:sz w:val="24"/>
          <w:szCs w:val="24"/>
          <w:spacing w:val="-4"/>
          <w:position w:val="20"/>
        </w:rPr>
        <w:t>水处理装置，用于处理现有厂区</w:t>
      </w:r>
    </w:p>
    <w:p>
      <w:pPr>
        <w:ind w:left="32"/>
        <w:spacing w:line="219" w:lineRule="auto"/>
        <w:rPr>
          <w:rFonts w:ascii="SimSun" w:hAnsi="SimSun" w:eastAsia="SimSun" w:cs="SimSun"/>
          <w:sz w:val="24"/>
          <w:szCs w:val="24"/>
        </w:rPr>
      </w:pPr>
      <w:r>
        <w:rPr>
          <w:rFonts w:ascii="SimSun" w:hAnsi="SimSun" w:eastAsia="SimSun" w:cs="SimSun"/>
          <w:sz w:val="24"/>
          <w:szCs w:val="24"/>
          <w:spacing w:val="-1"/>
        </w:rPr>
        <w:t>员工生活污水，地埋式一体化污水处理装置处理工艺如下：</w:t>
      </w:r>
    </w:p>
    <w:p>
      <w:pPr>
        <w:ind w:left="506"/>
        <w:spacing w:before="215" w:line="220" w:lineRule="auto"/>
        <w:rPr>
          <w:rFonts w:ascii="SimSun" w:hAnsi="SimSun" w:eastAsia="SimSun" w:cs="SimSun"/>
          <w:sz w:val="24"/>
          <w:szCs w:val="24"/>
        </w:rPr>
      </w:pPr>
      <w:r>
        <w:rPr>
          <w:rFonts w:ascii="SimSun" w:hAnsi="SimSun" w:eastAsia="SimSun" w:cs="SimSun"/>
          <w:sz w:val="24"/>
          <w:szCs w:val="24"/>
          <w:spacing w:val="-2"/>
        </w:rPr>
        <w:t>工艺流程图如下：</w:t>
      </w:r>
    </w:p>
    <w:p>
      <w:pPr>
        <w:spacing w:line="220" w:lineRule="auto"/>
        <w:sectPr>
          <w:footerReference w:type="default" r:id="rId85"/>
          <w:pgSz w:w="11906" w:h="16839"/>
          <w:pgMar w:top="400" w:right="1785" w:bottom="1211" w:left="1785" w:header="0" w:footer="1049" w:gutter="0"/>
        </w:sectPr>
        <w:rPr>
          <w:rFonts w:ascii="SimSun" w:hAnsi="SimSun" w:eastAsia="SimSun" w:cs="SimSun"/>
          <w:sz w:val="24"/>
          <w:szCs w:val="24"/>
        </w:rPr>
      </w:pPr>
    </w:p>
    <w:p>
      <w:pPr>
        <w:pStyle w:val="BodyText"/>
        <w:spacing w:line="271" w:lineRule="auto"/>
        <w:rPr/>
      </w:pPr>
      <w:r>
        <w:pict>
          <v:rect id="_x0000_s34" style="position:absolute;margin-left:443.9pt;margin-top:159.95pt;mso-position-vertical-relative:page;mso-position-horizontal-relative:page;width:0.05pt;height:0.6pt;z-index:252070912;" o:allowincell="f" fillcolor="#000000" filled="true" stroked="false"/>
        </w:pict>
      </w:r>
      <w:r>
        <w:pict>
          <v:shape id="_x0000_s36" style="position:absolute;margin-left:136.338pt;margin-top:138.717pt;mso-position-vertical-relative:page;mso-position-horizontal-relative:page;width:29.85pt;height:45.1pt;z-index:252063744;" o:allowincell="f" filled="false" stroked="false" type="#_x0000_t202">
            <v:fill on="false"/>
            <v:stroke on="false"/>
            <v:path/>
            <v:imagedata o:title=""/>
            <o:lock v:ext="edit" aspectratio="false"/>
            <v:textbox inset="0mm,0mm,0mm,0mm" style="layout-flow:vertical-ideographic;">
              <w:txbxContent>
                <w:p>
                  <w:pPr>
                    <w:pStyle w:val="BodyText"/>
                    <w:ind w:left="383"/>
                    <w:spacing w:before="20" w:line="247" w:lineRule="exact"/>
                    <w:tabs>
                      <w:tab w:val="left" w:pos="395"/>
                    </w:tabs>
                    <w:rPr/>
                  </w:pPr>
                  <w:r>
                    <w:rPr/>
                    <w:tab/>
                  </w:r>
                </w:p>
                <w:p>
                  <w:pPr>
                    <w:ind w:left="20"/>
                    <w:spacing w:before="52" w:line="209" w:lineRule="auto"/>
                    <w:rPr>
                      <w:rFonts w:ascii="SimSun" w:hAnsi="SimSun" w:eastAsia="SimSun" w:cs="SimSun"/>
                      <w:sz w:val="22"/>
                      <w:szCs w:val="22"/>
                    </w:rPr>
                  </w:pPr>
                  <w:r>
                    <w:rPr>
                      <w:rFonts w:ascii="SimSun" w:hAnsi="SimSun" w:eastAsia="SimSun" w:cs="SimSun"/>
                      <w:sz w:val="22"/>
                      <w:szCs w:val="22"/>
                    </w:rPr>
                    <w:t>格</w:t>
                  </w:r>
                  <w:r>
                    <w:rPr>
                      <w:rFonts w:ascii="SimSun" w:hAnsi="SimSun" w:eastAsia="SimSun" w:cs="SimSun"/>
                      <w:sz w:val="22"/>
                      <w:szCs w:val="22"/>
                      <w:spacing w:val="-11"/>
                    </w:rPr>
                    <w:t xml:space="preserve"> </w:t>
                  </w:r>
                  <w:r>
                    <w:rPr>
                      <w:rFonts w:ascii="SimSun" w:hAnsi="SimSun" w:eastAsia="SimSun" w:cs="SimSun"/>
                      <w:sz w:val="22"/>
                      <w:szCs w:val="22"/>
                    </w:rPr>
                    <w:t>栅</w:t>
                  </w:r>
                  <w:r>
                    <w:rPr>
                      <w:rFonts w:ascii="SimSun" w:hAnsi="SimSun" w:eastAsia="SimSun" w:cs="SimSun"/>
                      <w:sz w:val="22"/>
                      <w:szCs w:val="22"/>
                      <w:spacing w:val="-9"/>
                    </w:rPr>
                    <w:t xml:space="preserve"> </w:t>
                  </w:r>
                  <w:r>
                    <w:rPr>
                      <w:rFonts w:ascii="SimSun" w:hAnsi="SimSun" w:eastAsia="SimSun" w:cs="SimSun"/>
                      <w:sz w:val="22"/>
                      <w:szCs w:val="22"/>
                    </w:rPr>
                    <w:t>池</w:t>
                  </w:r>
                </w:p>
              </w:txbxContent>
            </v:textbox>
          </v:shape>
        </w:pict>
      </w:r>
      <w:r>
        <w:pict>
          <v:shape id="_x0000_s38" style="position:absolute;margin-left:166.473pt;margin-top:140.793pt;mso-position-vertical-relative:page;mso-position-horizontal-relative:page;width:14.1pt;height:39.6pt;z-index:252073984;" o:allowincell="f" filled="false" stroked="false" type="#_x0000_t202">
            <v:fill on="false"/>
            <v:stroke on="false"/>
            <v:path/>
            <v:imagedata o:title=""/>
            <o:lock v:ext="edit" aspectratio="false"/>
            <v:textbox inset="0mm,0mm,0mm,0mm" style="layout-flow:vertical-ideographic;">
              <w:txbxContent>
                <w:p>
                  <w:pPr>
                    <w:ind w:left="20"/>
                    <w:spacing w:before="20" w:line="216" w:lineRule="auto"/>
                    <w:rPr>
                      <w:rFonts w:ascii="SimSun" w:hAnsi="SimSun" w:eastAsia="SimSun" w:cs="SimSun"/>
                      <w:sz w:val="20"/>
                      <w:szCs w:val="20"/>
                    </w:rPr>
                  </w:pPr>
                  <w:r>
                    <w:rPr>
                      <w:rFonts w:ascii="SimSun" w:hAnsi="SimSun" w:eastAsia="SimSun" w:cs="SimSun"/>
                      <w:sz w:val="20"/>
                      <w:szCs w:val="20"/>
                      <w:spacing w:val="8"/>
                    </w:rPr>
                    <w:t>调</w:t>
                  </w:r>
                  <w:r>
                    <w:rPr>
                      <w:rFonts w:ascii="SimSun" w:hAnsi="SimSun" w:eastAsia="SimSun" w:cs="SimSun"/>
                      <w:sz w:val="20"/>
                      <w:szCs w:val="20"/>
                      <w:spacing w:val="-37"/>
                    </w:rPr>
                    <w:t xml:space="preserve"> </w:t>
                  </w:r>
                  <w:r>
                    <w:rPr>
                      <w:rFonts w:ascii="SimSun" w:hAnsi="SimSun" w:eastAsia="SimSun" w:cs="SimSun"/>
                      <w:sz w:val="20"/>
                      <w:szCs w:val="20"/>
                      <w:spacing w:val="8"/>
                    </w:rPr>
                    <w:t>节</w:t>
                  </w:r>
                  <w:r>
                    <w:rPr>
                      <w:rFonts w:ascii="SimSun" w:hAnsi="SimSun" w:eastAsia="SimSun" w:cs="SimSun"/>
                      <w:sz w:val="20"/>
                      <w:szCs w:val="20"/>
                      <w:spacing w:val="-37"/>
                    </w:rPr>
                    <w:t xml:space="preserve"> </w:t>
                  </w:r>
                  <w:r>
                    <w:rPr>
                      <w:rFonts w:ascii="SimSun" w:hAnsi="SimSun" w:eastAsia="SimSun" w:cs="SimSun"/>
                      <w:sz w:val="20"/>
                      <w:szCs w:val="20"/>
                      <w:spacing w:val="8"/>
                    </w:rPr>
                    <w:t>池</w:t>
                  </w:r>
                </w:p>
              </w:txbxContent>
            </v:textbox>
          </v:shape>
        </w:pict>
      </w:r>
      <w:r>
        <w:pict>
          <v:shape id="_x0000_s40" style="position:absolute;margin-left:199.554pt;margin-top:139.473pt;mso-position-vertical-relative:page;mso-position-horizontal-relative:page;width:14pt;height:39.7pt;z-index:252065792;" o:allowincell="f" filled="false" stroked="false" type="#_x0000_t202">
            <v:fill on="false"/>
            <v:stroke on="false"/>
            <v:path/>
            <v:imagedata o:title=""/>
            <o:lock v:ext="edit" aspectratio="false"/>
            <v:textbox inset="0mm,0mm,0mm,0mm" style="layout-flow:vertical-ideographic;">
              <w:txbxContent>
                <w:p>
                  <w:pPr>
                    <w:ind w:left="20"/>
                    <w:spacing w:before="19" w:line="215" w:lineRule="auto"/>
                    <w:rPr>
                      <w:rFonts w:ascii="SimSun" w:hAnsi="SimSun" w:eastAsia="SimSun" w:cs="SimSun"/>
                      <w:sz w:val="20"/>
                      <w:szCs w:val="20"/>
                    </w:rPr>
                  </w:pPr>
                  <w:r>
                    <w:rPr>
                      <w:rFonts w:ascii="SimSun" w:hAnsi="SimSun" w:eastAsia="SimSun" w:cs="SimSun"/>
                      <w:sz w:val="20"/>
                      <w:szCs w:val="20"/>
                      <w:spacing w:val="8"/>
                    </w:rPr>
                    <w:t>提</w:t>
                  </w:r>
                  <w:r>
                    <w:rPr>
                      <w:rFonts w:ascii="SimSun" w:hAnsi="SimSun" w:eastAsia="SimSun" w:cs="SimSun"/>
                      <w:sz w:val="20"/>
                      <w:szCs w:val="20"/>
                      <w:spacing w:val="-34"/>
                    </w:rPr>
                    <w:t xml:space="preserve"> </w:t>
                  </w:r>
                  <w:r>
                    <w:rPr>
                      <w:rFonts w:ascii="SimSun" w:hAnsi="SimSun" w:eastAsia="SimSun" w:cs="SimSun"/>
                      <w:sz w:val="20"/>
                      <w:szCs w:val="20"/>
                      <w:spacing w:val="8"/>
                    </w:rPr>
                    <w:t>升</w:t>
                  </w:r>
                  <w:r>
                    <w:rPr>
                      <w:rFonts w:ascii="SimSun" w:hAnsi="SimSun" w:eastAsia="SimSun" w:cs="SimSun"/>
                      <w:sz w:val="20"/>
                      <w:szCs w:val="20"/>
                      <w:spacing w:val="-38"/>
                    </w:rPr>
                    <w:t xml:space="preserve"> </w:t>
                  </w:r>
                  <w:r>
                    <w:rPr>
                      <w:rFonts w:ascii="SimSun" w:hAnsi="SimSun" w:eastAsia="SimSun" w:cs="SimSun"/>
                      <w:sz w:val="20"/>
                      <w:szCs w:val="20"/>
                      <w:spacing w:val="8"/>
                    </w:rPr>
                    <w:t>泵</w:t>
                  </w:r>
                </w:p>
              </w:txbxContent>
            </v:textbox>
          </v:shape>
        </w:pict>
      </w:r>
      <w:r>
        <w:pict>
          <v:shape id="_x0000_s42" style="position:absolute;margin-left:421.251pt;margin-top:132.838pt;mso-position-vertical-relative:page;mso-position-horizontal-relative:page;width:14.9pt;height:61.05pt;z-index:252072960;" o:allowincell="f" filled="false" stroked="false" type="#_x0000_t202">
            <v:fill on="false"/>
            <v:stroke on="false"/>
            <v:path/>
            <v:imagedata o:title=""/>
            <o:lock v:ext="edit" aspectratio="false"/>
            <v:textbox inset="0mm,0mm,0mm,0mm" style="layout-flow:vertical-ideographic;">
              <w:txbxContent>
                <w:p>
                  <w:pPr>
                    <w:ind w:left="20"/>
                    <w:spacing w:before="20" w:line="210" w:lineRule="auto"/>
                    <w:rPr>
                      <w:rFonts w:ascii="SimSun" w:hAnsi="SimSun" w:eastAsia="SimSun" w:cs="SimSun"/>
                      <w:sz w:val="22"/>
                      <w:szCs w:val="22"/>
                    </w:rPr>
                  </w:pPr>
                  <w:r>
                    <w:rPr>
                      <w:rFonts w:ascii="SimSun" w:hAnsi="SimSun" w:eastAsia="SimSun" w:cs="SimSun"/>
                      <w:sz w:val="22"/>
                      <w:szCs w:val="22"/>
                    </w:rPr>
                    <w:t>达</w:t>
                  </w:r>
                  <w:r>
                    <w:rPr>
                      <w:rFonts w:ascii="SimSun" w:hAnsi="SimSun" w:eastAsia="SimSun" w:cs="SimSun"/>
                      <w:sz w:val="22"/>
                      <w:szCs w:val="22"/>
                      <w:spacing w:val="-10"/>
                    </w:rPr>
                    <w:t xml:space="preserve"> </w:t>
                  </w:r>
                  <w:r>
                    <w:rPr>
                      <w:rFonts w:ascii="SimSun" w:hAnsi="SimSun" w:eastAsia="SimSun" w:cs="SimSun"/>
                      <w:sz w:val="22"/>
                      <w:szCs w:val="22"/>
                    </w:rPr>
                    <w:t>标</w:t>
                  </w:r>
                  <w:r>
                    <w:rPr>
                      <w:rFonts w:ascii="SimSun" w:hAnsi="SimSun" w:eastAsia="SimSun" w:cs="SimSun"/>
                      <w:sz w:val="22"/>
                      <w:szCs w:val="22"/>
                      <w:spacing w:val="-12"/>
                    </w:rPr>
                    <w:t xml:space="preserve"> </w:t>
                  </w:r>
                  <w:r>
                    <w:rPr>
                      <w:rFonts w:ascii="SimSun" w:hAnsi="SimSun" w:eastAsia="SimSun" w:cs="SimSun"/>
                      <w:sz w:val="22"/>
                      <w:szCs w:val="22"/>
                    </w:rPr>
                    <w:t>排</w:t>
                  </w:r>
                  <w:r>
                    <w:rPr>
                      <w:rFonts w:ascii="SimSun" w:hAnsi="SimSun" w:eastAsia="SimSun" w:cs="SimSun"/>
                      <w:sz w:val="22"/>
                      <w:szCs w:val="22"/>
                      <w:spacing w:val="-9"/>
                    </w:rPr>
                    <w:t xml:space="preserve"> </w:t>
                  </w:r>
                  <w:r>
                    <w:rPr>
                      <w:rFonts w:ascii="SimSun" w:hAnsi="SimSun" w:eastAsia="SimSun" w:cs="SimSun"/>
                      <w:sz w:val="22"/>
                      <w:szCs w:val="22"/>
                    </w:rPr>
                    <w:t>放</w:t>
                  </w:r>
                </w:p>
              </w:txbxContent>
            </v:textbox>
          </v:shape>
        </w:pict>
      </w:r>
      <w:r>
        <w:pict>
          <v:shape id="_x0000_s44" style="position:absolute;margin-left:116.334pt;margin-top:135.5pt;mso-position-vertical-relative:page;mso-position-horizontal-relative:page;width:309.95pt;height:73.2pt;z-index:252080128;" o:allowincell="f" filled="false" stroked="false" type="#_x0000_t202">
            <v:fill on="false"/>
            <v:stroke on="false"/>
            <v:path/>
            <v:imagedata o:title=""/>
            <o:lock v:ext="edit" aspectratio="false"/>
            <v:textbox inset="0mm,0mm,0mm,0mm" style="layout-flow:vertical-ideographic;">
              <w:txbxContent>
                <w:p>
                  <w:pPr>
                    <w:ind w:firstLine="429"/>
                    <w:spacing w:before="20" w:line="735" w:lineRule="exact"/>
                    <w:rPr/>
                  </w:pPr>
                  <w:r>
                    <w:rPr>
                      <w:position w:val="-14"/>
                    </w:rPr>
                    <w:drawing>
                      <wp:inline distT="0" distB="0" distL="0" distR="0">
                        <wp:extent cx="466890" cy="76186"/>
                        <wp:effectExtent l="0" t="0" r="0" b="0"/>
                        <wp:docPr id="80" name="IM 80"/>
                        <wp:cNvGraphicFramePr/>
                        <a:graphic>
                          <a:graphicData uri="http://schemas.openxmlformats.org/drawingml/2006/picture">
                            <pic:pic>
                              <pic:nvPicPr>
                                <pic:cNvPr id="80" name="IM 80"/>
                                <pic:cNvPicPr/>
                              </pic:nvPicPr>
                              <pic:blipFill>
                                <a:blip r:embed="rId87"/>
                                <a:stretch>
                                  <a:fillRect/>
                                </a:stretch>
                              </pic:blipFill>
                              <pic:spPr>
                                <a:xfrm rot="0">
                                  <a:off x="0" y="0"/>
                                  <a:ext cx="466890" cy="76186"/>
                                </a:xfrm>
                                <a:prstGeom prst="rect">
                                  <a:avLst/>
                                </a:prstGeom>
                              </pic:spPr>
                            </pic:pic>
                          </a:graphicData>
                        </a:graphic>
                      </wp:inline>
                    </w:drawing>
                  </w:r>
                </w:p>
                <w:p>
                  <w:pPr>
                    <w:pStyle w:val="BodyText"/>
                    <w:spacing w:line="395" w:lineRule="auto"/>
                    <w:rPr/>
                  </w:pPr>
                  <w:r/>
                </w:p>
                <w:p>
                  <w:pPr>
                    <w:ind w:firstLine="441"/>
                    <w:spacing w:line="532" w:lineRule="exact"/>
                    <w:rPr/>
                  </w:pPr>
                  <w:r>
                    <w:rPr>
                      <w:position w:val="-10"/>
                    </w:rPr>
                    <w:drawing>
                      <wp:inline distT="0" distB="0" distL="0" distR="0">
                        <wp:extent cx="337820" cy="76200"/>
                        <wp:effectExtent l="0" t="0" r="0" b="0"/>
                        <wp:docPr id="82" name="IM 82"/>
                        <wp:cNvGraphicFramePr/>
                        <a:graphic>
                          <a:graphicData uri="http://schemas.openxmlformats.org/drawingml/2006/picture">
                            <pic:pic>
                              <pic:nvPicPr>
                                <pic:cNvPr id="82" name="IM 82"/>
                                <pic:cNvPicPr/>
                              </pic:nvPicPr>
                              <pic:blipFill>
                                <a:blip r:embed="rId88"/>
                                <a:stretch>
                                  <a:fillRect/>
                                </a:stretch>
                              </pic:blipFill>
                              <pic:spPr>
                                <a:xfrm rot="0">
                                  <a:off x="0" y="0"/>
                                  <a:ext cx="337820" cy="76200"/>
                                </a:xfrm>
                                <a:prstGeom prst="rect">
                                  <a:avLst/>
                                </a:prstGeom>
                              </pic:spPr>
                            </pic:pic>
                          </a:graphicData>
                        </a:graphic>
                      </wp:inline>
                    </w:drawing>
                  </w:r>
                </w:p>
                <w:p>
                  <w:pPr>
                    <w:ind w:left="70"/>
                    <w:spacing w:before="42" w:line="213" w:lineRule="exact"/>
                    <w:rPr>
                      <w:sz w:val="20"/>
                      <w:szCs w:val="20"/>
                    </w:rPr>
                  </w:pPr>
                  <w:r>
                    <w:rPr>
                      <w:rFonts w:ascii="SimSun" w:hAnsi="SimSun" w:eastAsia="SimSun" w:cs="SimSun"/>
                      <w:sz w:val="20"/>
                      <w:szCs w:val="20"/>
                      <w:spacing w:val="7"/>
                      <w:position w:val="4"/>
                    </w:rPr>
                    <w:t>沉</w:t>
                  </w:r>
                  <w:r>
                    <w:rPr>
                      <w:rFonts w:ascii="SimSun" w:hAnsi="SimSun" w:eastAsia="SimSun" w:cs="SimSun"/>
                      <w:sz w:val="20"/>
                      <w:szCs w:val="20"/>
                      <w:spacing w:val="-35"/>
                      <w:position w:val="4"/>
                    </w:rPr>
                    <w:t xml:space="preserve"> </w:t>
                  </w:r>
                  <w:r>
                    <w:rPr>
                      <w:rFonts w:ascii="SimSun" w:hAnsi="SimSun" w:eastAsia="SimSun" w:cs="SimSun"/>
                      <w:sz w:val="20"/>
                      <w:szCs w:val="20"/>
                      <w:spacing w:val="7"/>
                      <w:position w:val="4"/>
                    </w:rPr>
                    <w:t>淀</w:t>
                  </w:r>
                  <w:r>
                    <w:rPr>
                      <w:rFonts w:ascii="SimSun" w:hAnsi="SimSun" w:eastAsia="SimSun" w:cs="SimSun"/>
                      <w:sz w:val="20"/>
                      <w:szCs w:val="20"/>
                      <w:spacing w:val="-37"/>
                      <w:position w:val="4"/>
                    </w:rPr>
                    <w:t xml:space="preserve"> </w:t>
                  </w:r>
                  <w:r>
                    <w:rPr>
                      <w:rFonts w:ascii="SimSun" w:hAnsi="SimSun" w:eastAsia="SimSun" w:cs="SimSun"/>
                      <w:sz w:val="20"/>
                      <w:szCs w:val="20"/>
                      <w:spacing w:val="7"/>
                      <w:position w:val="4"/>
                    </w:rPr>
                    <w:t>池 </w:t>
                  </w:r>
                  <w:r>
                    <w:rPr>
                      <w:sz w:val="20"/>
                      <w:szCs w:val="20"/>
                      <w:position w:val="-7"/>
                    </w:rPr>
                    <w:drawing>
                      <wp:inline distT="0" distB="0" distL="0" distR="0">
                        <wp:extent cx="76200" cy="327025"/>
                        <wp:effectExtent l="0" t="0" r="0" b="0"/>
                        <wp:docPr id="84" name="IM 84"/>
                        <wp:cNvGraphicFramePr/>
                        <a:graphic>
                          <a:graphicData uri="http://schemas.openxmlformats.org/drawingml/2006/picture">
                            <pic:pic>
                              <pic:nvPicPr>
                                <pic:cNvPr id="84" name="IM 84"/>
                                <pic:cNvPicPr/>
                              </pic:nvPicPr>
                              <pic:blipFill>
                                <a:blip r:embed="rId89"/>
                                <a:stretch>
                                  <a:fillRect/>
                                </a:stretch>
                              </pic:blipFill>
                              <pic:spPr>
                                <a:xfrm rot="0">
                                  <a:off x="0" y="0"/>
                                  <a:ext cx="76200" cy="327025"/>
                                </a:xfrm>
                                <a:prstGeom prst="rect">
                                  <a:avLst/>
                                </a:prstGeom>
                              </pic:spPr>
                            </pic:pic>
                          </a:graphicData>
                        </a:graphic>
                      </wp:inline>
                    </w:drawing>
                  </w:r>
                </w:p>
                <w:p>
                  <w:pPr>
                    <w:ind w:left="444"/>
                    <w:spacing w:before="141" w:line="532" w:lineRule="exact"/>
                    <w:rPr/>
                  </w:pPr>
                  <w:r>
                    <w:rPr>
                      <w:position w:val="-11"/>
                    </w:rPr>
                    <w:drawing>
                      <wp:inline distT="0" distB="0" distL="0" distR="0">
                        <wp:extent cx="337820" cy="76200"/>
                        <wp:effectExtent l="0" t="0" r="0" b="0"/>
                        <wp:docPr id="86" name="IM 86"/>
                        <wp:cNvGraphicFramePr/>
                        <a:graphic>
                          <a:graphicData uri="http://schemas.openxmlformats.org/drawingml/2006/picture">
                            <pic:pic>
                              <pic:nvPicPr>
                                <pic:cNvPr id="86" name="IM 86"/>
                                <pic:cNvPicPr/>
                              </pic:nvPicPr>
                              <pic:blipFill>
                                <a:blip r:embed="rId90"/>
                                <a:stretch>
                                  <a:fillRect/>
                                </a:stretch>
                              </pic:blipFill>
                              <pic:spPr>
                                <a:xfrm rot="0">
                                  <a:off x="0" y="0"/>
                                  <a:ext cx="337820" cy="76200"/>
                                </a:xfrm>
                                <a:prstGeom prst="rect">
                                  <a:avLst/>
                                </a:prstGeom>
                              </pic:spPr>
                            </pic:pic>
                          </a:graphicData>
                        </a:graphic>
                      </wp:inline>
                    </w:drawing>
                  </w:r>
                </w:p>
                <w:p>
                  <w:pPr>
                    <w:pStyle w:val="BodyText"/>
                    <w:spacing w:line="392" w:lineRule="auto"/>
                    <w:rPr/>
                  </w:pPr>
                  <w:r/>
                </w:p>
                <w:p>
                  <w:pPr>
                    <w:ind w:left="435"/>
                    <w:spacing w:line="478" w:lineRule="exact"/>
                    <w:rPr/>
                  </w:pPr>
                  <w:r>
                    <w:rPr>
                      <w:position w:val="-10"/>
                    </w:rPr>
                    <w:drawing>
                      <wp:inline distT="0" distB="0" distL="0" distR="0">
                        <wp:extent cx="303529" cy="76200"/>
                        <wp:effectExtent l="0" t="0" r="0" b="0"/>
                        <wp:docPr id="88" name="IM 88"/>
                        <wp:cNvGraphicFramePr/>
                        <a:graphic>
                          <a:graphicData uri="http://schemas.openxmlformats.org/drawingml/2006/picture">
                            <pic:pic>
                              <pic:nvPicPr>
                                <pic:cNvPr id="88" name="IM 88"/>
                                <pic:cNvPicPr/>
                              </pic:nvPicPr>
                              <pic:blipFill>
                                <a:blip r:embed="rId91"/>
                                <a:stretch>
                                  <a:fillRect/>
                                </a:stretch>
                              </pic:blipFill>
                              <pic:spPr>
                                <a:xfrm rot="0">
                                  <a:off x="0" y="0"/>
                                  <a:ext cx="303529" cy="76200"/>
                                </a:xfrm>
                                <a:prstGeom prst="rect">
                                  <a:avLst/>
                                </a:prstGeom>
                              </pic:spPr>
                            </pic:pic>
                          </a:graphicData>
                        </a:graphic>
                      </wp:inline>
                    </w:drawing>
                  </w:r>
                </w:p>
                <w:p>
                  <w:pPr>
                    <w:pStyle w:val="BodyText"/>
                    <w:spacing w:line="353" w:lineRule="auto"/>
                    <w:rPr/>
                  </w:pPr>
                  <w:r/>
                </w:p>
                <w:p>
                  <w:pPr>
                    <w:ind w:left="436"/>
                    <w:spacing w:line="306" w:lineRule="exact"/>
                    <w:rPr/>
                  </w:pPr>
                  <w:r>
                    <w:rPr>
                      <w:position w:val="-6"/>
                    </w:rPr>
                    <w:drawing>
                      <wp:inline distT="0" distB="0" distL="0" distR="0">
                        <wp:extent cx="194398" cy="76200"/>
                        <wp:effectExtent l="0" t="0" r="0" b="0"/>
                        <wp:docPr id="90" name="IM 90"/>
                        <wp:cNvGraphicFramePr/>
                        <a:graphic>
                          <a:graphicData uri="http://schemas.openxmlformats.org/drawingml/2006/picture">
                            <pic:pic>
                              <pic:nvPicPr>
                                <pic:cNvPr id="90" name="IM 90"/>
                                <pic:cNvPicPr/>
                              </pic:nvPicPr>
                              <pic:blipFill>
                                <a:blip r:embed="rId92"/>
                                <a:stretch>
                                  <a:fillRect/>
                                </a:stretch>
                              </pic:blipFill>
                              <pic:spPr>
                                <a:xfrm rot="0">
                                  <a:off x="0" y="0"/>
                                  <a:ext cx="194398" cy="76200"/>
                                </a:xfrm>
                                <a:prstGeom prst="rect">
                                  <a:avLst/>
                                </a:prstGeom>
                              </pic:spPr>
                            </pic:pic>
                          </a:graphicData>
                        </a:graphic>
                      </wp:inline>
                    </w:drawing>
                  </w:r>
                </w:p>
                <w:p>
                  <w:pPr>
                    <w:pStyle w:val="BodyText"/>
                    <w:spacing w:line="357" w:lineRule="auto"/>
                    <w:rPr/>
                  </w:pPr>
                  <w:r/>
                </w:p>
                <w:p>
                  <w:pPr>
                    <w:ind w:firstLine="20"/>
                    <w:spacing w:before="1" w:line="902" w:lineRule="exact"/>
                    <w:rPr/>
                  </w:pPr>
                  <w:r>
                    <w:rPr>
                      <w:position w:val="-18"/>
                    </w:rPr>
                    <w:drawing>
                      <wp:inline distT="0" distB="0" distL="0" distR="0">
                        <wp:extent cx="572566" cy="586740"/>
                        <wp:effectExtent l="0" t="0" r="0" b="0"/>
                        <wp:docPr id="92" name="IM 92"/>
                        <wp:cNvGraphicFramePr/>
                        <a:graphic>
                          <a:graphicData uri="http://schemas.openxmlformats.org/drawingml/2006/picture">
                            <pic:pic>
                              <pic:nvPicPr>
                                <pic:cNvPr id="92" name="IM 92"/>
                                <pic:cNvPicPr/>
                              </pic:nvPicPr>
                              <pic:blipFill>
                                <a:blip r:embed="rId93"/>
                                <a:stretch>
                                  <a:fillRect/>
                                </a:stretch>
                              </pic:blipFill>
                              <pic:spPr>
                                <a:xfrm rot="0">
                                  <a:off x="0" y="0"/>
                                  <a:ext cx="572566" cy="586740"/>
                                </a:xfrm>
                                <a:prstGeom prst="rect">
                                  <a:avLst/>
                                </a:prstGeom>
                              </pic:spPr>
                            </pic:pic>
                          </a:graphicData>
                        </a:graphic>
                      </wp:inline>
                    </w:drawing>
                  </w:r>
                </w:p>
                <w:p>
                  <w:pPr>
                    <w:pStyle w:val="BodyText"/>
                    <w:spacing w:line="333" w:lineRule="auto"/>
                    <w:rPr/>
                  </w:pPr>
                  <w:r/>
                </w:p>
                <w:p>
                  <w:pPr>
                    <w:ind w:firstLine="390"/>
                    <w:spacing w:line="387" w:lineRule="exact"/>
                    <w:rPr/>
                  </w:pPr>
                  <w:r>
                    <w:rPr>
                      <w:position w:val="-7"/>
                    </w:rPr>
                    <w:drawing>
                      <wp:inline distT="0" distB="0" distL="0" distR="0">
                        <wp:extent cx="245948" cy="76175"/>
                        <wp:effectExtent l="0" t="0" r="0" b="0"/>
                        <wp:docPr id="94" name="IM 94"/>
                        <wp:cNvGraphicFramePr/>
                        <a:graphic>
                          <a:graphicData uri="http://schemas.openxmlformats.org/drawingml/2006/picture">
                            <pic:pic>
                              <pic:nvPicPr>
                                <pic:cNvPr id="94" name="IM 94"/>
                                <pic:cNvPicPr/>
                              </pic:nvPicPr>
                              <pic:blipFill>
                                <a:blip r:embed="rId94"/>
                                <a:stretch>
                                  <a:fillRect/>
                                </a:stretch>
                              </pic:blipFill>
                              <pic:spPr>
                                <a:xfrm rot="0">
                                  <a:off x="0" y="0"/>
                                  <a:ext cx="245948" cy="76175"/>
                                </a:xfrm>
                                <a:prstGeom prst="rect">
                                  <a:avLst/>
                                </a:prstGeom>
                              </pic:spPr>
                            </pic:pic>
                          </a:graphicData>
                        </a:graphic>
                      </wp:inline>
                    </w:drawing>
                  </w:r>
                </w:p>
              </w:txbxContent>
            </v:textbox>
          </v:shape>
        </w:pict>
      </w:r>
      <w:r>
        <w:pict>
          <v:rect id="_x0000_s46" style="position:absolute;margin-left:127pt;margin-top:270.65pt;mso-position-vertical-relative:page;mso-position-horizontal-relative:page;width:44pt;height:0.6pt;z-index:252079104;" o:allowincell="f" fillcolor="#000000" filled="true" stroked="false"/>
        </w:pict>
      </w:r>
      <w:r>
        <w:pict>
          <v:rect id="_x0000_s48" style="position:absolute;margin-left:333.45pt;margin-top:118.25pt;mso-position-vertical-relative:page;mso-position-horizontal-relative:page;width:0.05pt;height:0.6pt;z-index:252076032;" o:allowincell="f" fillcolor="#000000" filled="true" stroked="false"/>
        </w:pict>
      </w:r>
      <w:r>
        <w:pict>
          <v:rect id="_x0000_s50" style="position:absolute;margin-left:412.9pt;margin-top:123.8pt;mso-position-vertical-relative:page;mso-position-horizontal-relative:page;width:0.05pt;height:0.65pt;z-index:252077056;" o:allowincell="f" fillcolor="#000000" filled="true" stroked="false"/>
        </w:pict>
      </w:r>
      <w:r>
        <w:drawing>
          <wp:anchor distT="0" distB="0" distL="0" distR="0" simplePos="0" relativeHeight="252083200" behindDoc="0" locked="0" layoutInCell="0" allowOverlap="1">
            <wp:simplePos x="0" y="0"/>
            <wp:positionH relativeFrom="page">
              <wp:posOffset>3994150</wp:posOffset>
            </wp:positionH>
            <wp:positionV relativeFrom="page">
              <wp:posOffset>1530350</wp:posOffset>
            </wp:positionV>
            <wp:extent cx="23494" cy="7619"/>
            <wp:effectExtent l="0" t="0" r="0" b="0"/>
            <wp:wrapNone/>
            <wp:docPr id="96" name="IM 96"/>
            <wp:cNvGraphicFramePr/>
            <a:graphic>
              <a:graphicData uri="http://schemas.openxmlformats.org/drawingml/2006/picture">
                <pic:pic>
                  <pic:nvPicPr>
                    <pic:cNvPr id="96" name="IM 96"/>
                    <pic:cNvPicPr/>
                  </pic:nvPicPr>
                  <pic:blipFill>
                    <a:blip r:embed="rId95"/>
                    <a:stretch>
                      <a:fillRect/>
                    </a:stretch>
                  </pic:blipFill>
                  <pic:spPr>
                    <a:xfrm rot="0">
                      <a:off x="0" y="0"/>
                      <a:ext cx="23494" cy="7619"/>
                    </a:xfrm>
                    <a:prstGeom prst="rect">
                      <a:avLst/>
                    </a:prstGeom>
                  </pic:spPr>
                </pic:pic>
              </a:graphicData>
            </a:graphic>
          </wp:anchor>
        </w:drawing>
      </w:r>
      <w:r>
        <w:drawing>
          <wp:anchor distT="0" distB="0" distL="0" distR="0" simplePos="0" relativeHeight="252078080" behindDoc="0" locked="0" layoutInCell="0" allowOverlap="1">
            <wp:simplePos x="0" y="0"/>
            <wp:positionH relativeFrom="page">
              <wp:posOffset>3739514</wp:posOffset>
            </wp:positionH>
            <wp:positionV relativeFrom="page">
              <wp:posOffset>1530350</wp:posOffset>
            </wp:positionV>
            <wp:extent cx="23495" cy="7619"/>
            <wp:effectExtent l="0" t="0" r="0" b="0"/>
            <wp:wrapNone/>
            <wp:docPr id="98" name="IM 98"/>
            <wp:cNvGraphicFramePr/>
            <a:graphic>
              <a:graphicData uri="http://schemas.openxmlformats.org/drawingml/2006/picture">
                <pic:pic>
                  <pic:nvPicPr>
                    <pic:cNvPr id="98" name="IM 98"/>
                    <pic:cNvPicPr/>
                  </pic:nvPicPr>
                  <pic:blipFill>
                    <a:blip r:embed="rId96"/>
                    <a:stretch>
                      <a:fillRect/>
                    </a:stretch>
                  </pic:blipFill>
                  <pic:spPr>
                    <a:xfrm rot="0">
                      <a:off x="0" y="0"/>
                      <a:ext cx="23495" cy="7619"/>
                    </a:xfrm>
                    <a:prstGeom prst="rect">
                      <a:avLst/>
                    </a:prstGeom>
                  </pic:spPr>
                </pic:pic>
              </a:graphicData>
            </a:graphic>
          </wp:anchor>
        </w:drawing>
      </w:r>
      <w:r>
        <w:drawing>
          <wp:anchor distT="0" distB="0" distL="0" distR="0" simplePos="0" relativeHeight="252081152" behindDoc="0" locked="0" layoutInCell="0" allowOverlap="1">
            <wp:simplePos x="0" y="0"/>
            <wp:positionH relativeFrom="page">
              <wp:posOffset>4549609</wp:posOffset>
            </wp:positionH>
            <wp:positionV relativeFrom="page">
              <wp:posOffset>2727414</wp:posOffset>
            </wp:positionV>
            <wp:extent cx="466890" cy="76186"/>
            <wp:effectExtent l="0" t="0" r="0" b="0"/>
            <wp:wrapNone/>
            <wp:docPr id="100" name="IM 100"/>
            <wp:cNvGraphicFramePr/>
            <a:graphic>
              <a:graphicData uri="http://schemas.openxmlformats.org/drawingml/2006/picture">
                <pic:pic>
                  <pic:nvPicPr>
                    <pic:cNvPr id="100" name="IM 100"/>
                    <pic:cNvPicPr/>
                  </pic:nvPicPr>
                  <pic:blipFill>
                    <a:blip r:embed="rId97"/>
                    <a:stretch>
                      <a:fillRect/>
                    </a:stretch>
                  </pic:blipFill>
                  <pic:spPr>
                    <a:xfrm rot="0">
                      <a:off x="0" y="0"/>
                      <a:ext cx="466890" cy="76186"/>
                    </a:xfrm>
                    <a:prstGeom prst="rect">
                      <a:avLst/>
                    </a:prstGeom>
                  </pic:spPr>
                </pic:pic>
              </a:graphicData>
            </a:graphic>
          </wp:anchor>
        </w:drawing>
      </w:r>
      <w:r>
        <w:drawing>
          <wp:anchor distT="0" distB="0" distL="0" distR="0" simplePos="0" relativeHeight="252085248" behindDoc="0" locked="0" layoutInCell="0" allowOverlap="1">
            <wp:simplePos x="0" y="0"/>
            <wp:positionH relativeFrom="page">
              <wp:posOffset>3040862</wp:posOffset>
            </wp:positionH>
            <wp:positionV relativeFrom="page">
              <wp:posOffset>1388732</wp:posOffset>
            </wp:positionV>
            <wp:extent cx="76200" cy="312432"/>
            <wp:effectExtent l="0" t="0" r="0" b="0"/>
            <wp:wrapNone/>
            <wp:docPr id="102" name="IM 102"/>
            <wp:cNvGraphicFramePr/>
            <a:graphic>
              <a:graphicData uri="http://schemas.openxmlformats.org/drawingml/2006/picture">
                <pic:pic>
                  <pic:nvPicPr>
                    <pic:cNvPr id="102" name="IM 102"/>
                    <pic:cNvPicPr/>
                  </pic:nvPicPr>
                  <pic:blipFill>
                    <a:blip r:embed="rId98"/>
                    <a:stretch>
                      <a:fillRect/>
                    </a:stretch>
                  </pic:blipFill>
                  <pic:spPr>
                    <a:xfrm rot="0">
                      <a:off x="0" y="0"/>
                      <a:ext cx="76200" cy="312432"/>
                    </a:xfrm>
                    <a:prstGeom prst="rect">
                      <a:avLst/>
                    </a:prstGeom>
                  </pic:spPr>
                </pic:pic>
              </a:graphicData>
            </a:graphic>
          </wp:anchor>
        </w:drawing>
      </w:r>
      <w:r>
        <w:pict>
          <v:shape id="_x0000_s52" style="position:absolute;margin-left:229.75pt;margin-top:132.45pt;mso-position-vertical-relative:page;mso-position-horizontal-relative:page;width:22.45pt;height:71.5pt;z-index:252084224;"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388" w:type="dxa"/>
                    <w:tblInd w:w="30" w:type="dxa"/>
                    <w:tblLayout w:type="fixed"/>
                    <w:tblBorders>
                      <w:left w:val="single" w:color="000000" w:sz="8" w:space="0"/>
                      <w:bottom w:val="single" w:color="000000" w:sz="8" w:space="0"/>
                      <w:right w:val="single" w:color="000000" w:sz="8" w:space="0"/>
                      <w:top w:val="single" w:color="000000" w:sz="8" w:space="0"/>
                    </w:tblBorders>
                  </w:tblPr>
                  <w:tblGrid>
                    <w:gridCol w:w="388"/>
                  </w:tblGrid>
                  <w:tr>
                    <w:trPr>
                      <w:trHeight w:val="1349" w:hRule="atLeast"/>
                    </w:trPr>
                    <w:tc>
                      <w:tcPr>
                        <w:tcW w:w="388" w:type="dxa"/>
                        <w:vAlign w:val="top"/>
                      </w:tcPr>
                      <w:p>
                        <w:pPr>
                          <w:pStyle w:val="TableText"/>
                          <w:ind w:left="136" w:right="30" w:hanging="6"/>
                          <w:spacing w:before="169" w:line="278" w:lineRule="auto"/>
                          <w:jc w:val="both"/>
                          <w:rPr>
                            <w:sz w:val="20"/>
                            <w:szCs w:val="20"/>
                          </w:rPr>
                        </w:pPr>
                        <w:r>
                          <w:rPr>
                            <w:rFonts w:ascii="Times New Roman" w:hAnsi="Times New Roman" w:eastAsia="Times New Roman" w:cs="Times New Roman"/>
                            <w:sz w:val="20"/>
                            <w:szCs w:val="20"/>
                            <w:spacing w:val="4"/>
                          </w:rPr>
                          <w:t>A</w:t>
                        </w:r>
                        <w:r>
                          <w:rPr>
                            <w:rFonts w:ascii="Times New Roman" w:hAnsi="Times New Roman" w:eastAsia="Times New Roman" w:cs="Times New Roman"/>
                            <w:sz w:val="20"/>
                            <w:szCs w:val="20"/>
                          </w:rPr>
                          <w:t xml:space="preserve">  </w:t>
                        </w:r>
                        <w:r>
                          <w:rPr>
                            <w:sz w:val="20"/>
                            <w:szCs w:val="20"/>
                          </w:rPr>
                          <w:t>生 </w:t>
                        </w:r>
                        <w:r>
                          <w:rPr>
                            <w:sz w:val="20"/>
                            <w:szCs w:val="20"/>
                          </w:rPr>
                          <w:t>化 </w:t>
                        </w:r>
                        <w:r>
                          <w:rPr>
                            <w:sz w:val="20"/>
                            <w:szCs w:val="20"/>
                          </w:rPr>
                          <w:t>池</w:t>
                        </w:r>
                      </w:p>
                    </w:tc>
                  </w:tr>
                </w:tbl>
                <w:p>
                  <w:pPr>
                    <w:pStyle w:val="BodyText"/>
                    <w:rPr/>
                  </w:pPr>
                  <w:r/>
                </w:p>
              </w:txbxContent>
            </v:textbox>
          </v:shape>
        </w:pict>
      </w:r>
      <w:r>
        <w:pict>
          <v:shape id="_x0000_s54" style="position:absolute;margin-left:366.85pt;margin-top:133.1pt;mso-position-vertical-relative:page;mso-position-horizontal-relative:page;width:22.5pt;height:49.75pt;z-index:252082176;"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389" w:type="dxa"/>
                    <w:tblInd w:w="30" w:type="dxa"/>
                    <w:tblLayout w:type="fixed"/>
                    <w:tblBorders>
                      <w:left w:val="single" w:color="000000" w:sz="8" w:space="0"/>
                      <w:bottom w:val="single" w:color="000000" w:sz="8" w:space="0"/>
                      <w:right w:val="single" w:color="000000" w:sz="8" w:space="0"/>
                      <w:top w:val="single" w:color="000000" w:sz="8" w:space="0"/>
                    </w:tblBorders>
                  </w:tblPr>
                  <w:tblGrid>
                    <w:gridCol w:w="389"/>
                  </w:tblGrid>
                  <w:tr>
                    <w:trPr>
                      <w:trHeight w:val="914" w:hRule="atLeast"/>
                    </w:trPr>
                    <w:tc>
                      <w:tcPr>
                        <w:tcW w:w="389" w:type="dxa"/>
                        <w:vAlign w:val="top"/>
                        <w:textDirection w:val="tbRlV"/>
                      </w:tcPr>
                      <w:p>
                        <w:pPr>
                          <w:pStyle w:val="TableText"/>
                          <w:ind w:left="88"/>
                          <w:spacing w:before="29" w:line="216" w:lineRule="auto"/>
                          <w:rPr>
                            <w:sz w:val="20"/>
                            <w:szCs w:val="20"/>
                          </w:rPr>
                        </w:pPr>
                        <w:r>
                          <w:rPr>
                            <w:sz w:val="20"/>
                            <w:szCs w:val="20"/>
                            <w:spacing w:val="8"/>
                          </w:rPr>
                          <w:t>清</w:t>
                        </w:r>
                        <w:r>
                          <w:rPr>
                            <w:sz w:val="20"/>
                            <w:szCs w:val="20"/>
                            <w:spacing w:val="-34"/>
                          </w:rPr>
                          <w:t xml:space="preserve"> </w:t>
                        </w:r>
                        <w:r>
                          <w:rPr>
                            <w:sz w:val="20"/>
                            <w:szCs w:val="20"/>
                            <w:spacing w:val="8"/>
                          </w:rPr>
                          <w:t>水</w:t>
                        </w:r>
                        <w:r>
                          <w:rPr>
                            <w:sz w:val="20"/>
                            <w:szCs w:val="20"/>
                            <w:spacing w:val="-38"/>
                          </w:rPr>
                          <w:t xml:space="preserve"> </w:t>
                        </w:r>
                        <w:r>
                          <w:rPr>
                            <w:sz w:val="20"/>
                            <w:szCs w:val="20"/>
                            <w:spacing w:val="8"/>
                          </w:rPr>
                          <w:t>池</w:t>
                        </w:r>
                      </w:p>
                    </w:tc>
                  </w:tr>
                </w:tbl>
                <w:p>
                  <w:pPr>
                    <w:pStyle w:val="BodyText"/>
                    <w:rPr/>
                  </w:pPr>
                  <w:r/>
                </w:p>
              </w:txbxContent>
            </v:textbox>
          </v:shape>
        </w:pict>
      </w:r>
      <w:r>
        <w:pict>
          <v:shape id="_x0000_s56" style="position:absolute;margin-left:94.4393pt;margin-top:150.358pt;mso-position-vertical-relative:page;mso-position-horizontal-relative:page;width:23.6pt;height:15.15pt;z-index:252069888;" o:allowincell="f"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22"/>
                      <w:szCs w:val="22"/>
                    </w:rPr>
                  </w:pPr>
                  <w:r>
                    <w:rPr>
                      <w:rFonts w:ascii="SimSun" w:hAnsi="SimSun" w:eastAsia="SimSun" w:cs="SimSun"/>
                      <w:sz w:val="22"/>
                      <w:szCs w:val="22"/>
                      <w:spacing w:val="-5"/>
                    </w:rPr>
                    <w:t>污水</w:t>
                  </w:r>
                </w:p>
              </w:txbxContent>
            </v:textbox>
          </v:shape>
        </w:pict>
      </w:r>
      <w:r>
        <w:drawing>
          <wp:anchor distT="0" distB="0" distL="0" distR="0" simplePos="0" relativeHeight="252066816" behindDoc="0" locked="0" layoutInCell="0" allowOverlap="1">
            <wp:simplePos x="0" y="0"/>
            <wp:positionH relativeFrom="page">
              <wp:posOffset>2522855</wp:posOffset>
            </wp:positionH>
            <wp:positionV relativeFrom="page">
              <wp:posOffset>1736725</wp:posOffset>
            </wp:positionV>
            <wp:extent cx="228600" cy="570865"/>
            <wp:effectExtent l="0" t="0" r="0" b="0"/>
            <wp:wrapNone/>
            <wp:docPr id="104" name="IM 104"/>
            <wp:cNvGraphicFramePr/>
            <a:graphic>
              <a:graphicData uri="http://schemas.openxmlformats.org/drawingml/2006/picture">
                <pic:pic>
                  <pic:nvPicPr>
                    <pic:cNvPr id="104" name="IM 104"/>
                    <pic:cNvPicPr/>
                  </pic:nvPicPr>
                  <pic:blipFill>
                    <a:blip r:embed="rId99"/>
                    <a:stretch>
                      <a:fillRect/>
                    </a:stretch>
                  </pic:blipFill>
                  <pic:spPr>
                    <a:xfrm rot="0">
                      <a:off x="0" y="0"/>
                      <a:ext cx="228600" cy="570865"/>
                    </a:xfrm>
                    <a:prstGeom prst="rect">
                      <a:avLst/>
                    </a:prstGeom>
                  </pic:spPr>
                </pic:pic>
              </a:graphicData>
            </a:graphic>
          </wp:anchor>
        </w:drawing>
      </w:r>
      <w:r>
        <w:drawing>
          <wp:anchor distT="0" distB="0" distL="0" distR="0" simplePos="0" relativeHeight="252064768" behindDoc="0" locked="0" layoutInCell="0" allowOverlap="1">
            <wp:simplePos x="0" y="0"/>
            <wp:positionH relativeFrom="page">
              <wp:posOffset>1725295</wp:posOffset>
            </wp:positionH>
            <wp:positionV relativeFrom="page">
              <wp:posOffset>1728469</wp:posOffset>
            </wp:positionV>
            <wp:extent cx="228600" cy="598170"/>
            <wp:effectExtent l="0" t="0" r="0" b="0"/>
            <wp:wrapNone/>
            <wp:docPr id="106" name="IM 106"/>
            <wp:cNvGraphicFramePr/>
            <a:graphic>
              <a:graphicData uri="http://schemas.openxmlformats.org/drawingml/2006/picture">
                <pic:pic>
                  <pic:nvPicPr>
                    <pic:cNvPr id="106" name="IM 106"/>
                    <pic:cNvPicPr/>
                  </pic:nvPicPr>
                  <pic:blipFill>
                    <a:blip r:embed="rId100"/>
                    <a:stretch>
                      <a:fillRect/>
                    </a:stretch>
                  </pic:blipFill>
                  <pic:spPr>
                    <a:xfrm rot="0">
                      <a:off x="0" y="0"/>
                      <a:ext cx="228600" cy="598170"/>
                    </a:xfrm>
                    <a:prstGeom prst="rect">
                      <a:avLst/>
                    </a:prstGeom>
                  </pic:spPr>
                </pic:pic>
              </a:graphicData>
            </a:graphic>
          </wp:anchor>
        </w:drawing>
      </w:r>
      <w:r>
        <w:drawing>
          <wp:anchor distT="0" distB="0" distL="0" distR="0" simplePos="0" relativeHeight="252062720" behindDoc="0" locked="0" layoutInCell="0" allowOverlap="1">
            <wp:simplePos x="0" y="0"/>
            <wp:positionH relativeFrom="page">
              <wp:posOffset>1612900</wp:posOffset>
            </wp:positionH>
            <wp:positionV relativeFrom="page">
              <wp:posOffset>2924492</wp:posOffset>
            </wp:positionV>
            <wp:extent cx="558800" cy="347026"/>
            <wp:effectExtent l="0" t="0" r="0" b="0"/>
            <wp:wrapNone/>
            <wp:docPr id="108" name="IM 108"/>
            <wp:cNvGraphicFramePr/>
            <a:graphic>
              <a:graphicData uri="http://schemas.openxmlformats.org/drawingml/2006/picture">
                <pic:pic>
                  <pic:nvPicPr>
                    <pic:cNvPr id="108" name="IM 108"/>
                    <pic:cNvPicPr/>
                  </pic:nvPicPr>
                  <pic:blipFill>
                    <a:blip r:embed="rId101"/>
                    <a:stretch>
                      <a:fillRect/>
                    </a:stretch>
                  </pic:blipFill>
                  <pic:spPr>
                    <a:xfrm rot="0">
                      <a:off x="0" y="0"/>
                      <a:ext cx="558800" cy="347026"/>
                    </a:xfrm>
                    <a:prstGeom prst="rect">
                      <a:avLst/>
                    </a:prstGeom>
                  </pic:spPr>
                </pic:pic>
              </a:graphicData>
            </a:graphic>
          </wp:anchor>
        </w:drawing>
      </w:r>
      <w:r/>
    </w:p>
    <w:p>
      <w:pPr>
        <w:pStyle w:val="BodyText"/>
        <w:spacing w:line="271" w:lineRule="auto"/>
        <w:rPr/>
      </w:pPr>
      <w:r/>
    </w:p>
    <w:p>
      <w:pPr>
        <w:pStyle w:val="BodyText"/>
        <w:spacing w:line="271" w:lineRule="auto"/>
        <w:rPr/>
      </w:pPr>
      <w:r/>
    </w:p>
    <w:p>
      <w:pPr>
        <w:pStyle w:val="BodyText"/>
        <w:spacing w:line="271" w:lineRule="auto"/>
        <w:rPr/>
      </w:pPr>
      <w:r/>
    </w:p>
    <w:p>
      <w:pPr>
        <w:pStyle w:val="BodyText"/>
        <w:spacing w:line="271" w:lineRule="auto"/>
        <w:rPr/>
      </w:pPr>
      <w:r/>
    </w:p>
    <w:p>
      <w:pPr>
        <w:pStyle w:val="BodyText"/>
        <w:spacing w:line="271" w:lineRule="auto"/>
        <w:rPr/>
      </w:pPr>
      <w:r/>
    </w:p>
    <w:p>
      <w:pPr>
        <w:ind w:left="3166"/>
        <w:spacing w:before="72" w:line="219" w:lineRule="auto"/>
        <w:rPr>
          <w:rFonts w:ascii="SimSun" w:hAnsi="SimSun" w:eastAsia="SimSun" w:cs="SimSun"/>
          <w:sz w:val="22"/>
          <w:szCs w:val="22"/>
        </w:rPr>
      </w:pPr>
      <w:r>
        <w:drawing>
          <wp:anchor distT="0" distB="0" distL="0" distR="0" simplePos="0" relativeHeight="252071936" behindDoc="0" locked="0" layoutInCell="1" allowOverlap="1">
            <wp:simplePos x="0" y="0"/>
            <wp:positionH relativeFrom="column">
              <wp:posOffset>0</wp:posOffset>
            </wp:positionH>
            <wp:positionV relativeFrom="paragraph">
              <wp:posOffset>-32693</wp:posOffset>
            </wp:positionV>
            <wp:extent cx="4744084" cy="1640204"/>
            <wp:effectExtent l="0" t="0" r="0" b="0"/>
            <wp:wrapNone/>
            <wp:docPr id="110" name="IM 110"/>
            <wp:cNvGraphicFramePr/>
            <a:graphic>
              <a:graphicData uri="http://schemas.openxmlformats.org/drawingml/2006/picture">
                <pic:pic>
                  <pic:nvPicPr>
                    <pic:cNvPr id="110" name="IM 110"/>
                    <pic:cNvPicPr/>
                  </pic:nvPicPr>
                  <pic:blipFill>
                    <a:blip r:embed="rId102"/>
                    <a:stretch>
                      <a:fillRect/>
                    </a:stretch>
                  </pic:blipFill>
                  <pic:spPr>
                    <a:xfrm rot="0">
                      <a:off x="0" y="0"/>
                      <a:ext cx="4744084" cy="1640204"/>
                    </a:xfrm>
                    <a:prstGeom prst="rect">
                      <a:avLst/>
                    </a:prstGeom>
                  </pic:spPr>
                </pic:pic>
              </a:graphicData>
            </a:graphic>
          </wp:anchor>
        </w:drawing>
      </w:r>
      <w:r>
        <w:pict>
          <v:rect id="_x0000_s58" style="position:absolute;margin-left:155.748pt;margin-top:7.95071pt;mso-position-vertical-relative:text;mso-position-horizontal-relative:text;width:8pt;height:0.85pt;z-index:252086272;" fillcolor="#000000" filled="true" stroked="false"/>
        </w:pict>
      </w:r>
      <w:r>
        <w:drawing>
          <wp:anchor distT="0" distB="0" distL="0" distR="0" simplePos="0" relativeHeight="252075008" behindDoc="0" locked="0" layoutInCell="1" allowOverlap="1">
            <wp:simplePos x="0" y="0"/>
            <wp:positionH relativeFrom="column">
              <wp:posOffset>2473959</wp:posOffset>
            </wp:positionH>
            <wp:positionV relativeFrom="paragraph">
              <wp:posOffset>126373</wp:posOffset>
            </wp:positionV>
            <wp:extent cx="76200" cy="246062"/>
            <wp:effectExtent l="0" t="0" r="0" b="0"/>
            <wp:wrapNone/>
            <wp:docPr id="112" name="IM 112"/>
            <wp:cNvGraphicFramePr/>
            <a:graphic>
              <a:graphicData uri="http://schemas.openxmlformats.org/drawingml/2006/picture">
                <pic:pic>
                  <pic:nvPicPr>
                    <pic:cNvPr id="112" name="IM 112"/>
                    <pic:cNvPicPr/>
                  </pic:nvPicPr>
                  <pic:blipFill>
                    <a:blip r:embed="rId103"/>
                    <a:stretch>
                      <a:fillRect/>
                    </a:stretch>
                  </pic:blipFill>
                  <pic:spPr>
                    <a:xfrm rot="0">
                      <a:off x="0" y="0"/>
                      <a:ext cx="76200" cy="246062"/>
                    </a:xfrm>
                    <a:prstGeom prst="rect">
                      <a:avLst/>
                    </a:prstGeom>
                  </pic:spPr>
                </pic:pic>
              </a:graphicData>
            </a:graphic>
          </wp:anchor>
        </w:drawing>
      </w:r>
      <w:r>
        <w:rPr>
          <w:rFonts w:ascii="SimSun" w:hAnsi="SimSun" w:eastAsia="SimSun" w:cs="SimSun"/>
          <w:sz w:val="22"/>
          <w:szCs w:val="22"/>
          <w:spacing w:val="-5"/>
        </w:rPr>
        <w:t>曝气</w:t>
      </w:r>
      <w:r>
        <w:rPr>
          <w:rFonts w:ascii="SimSun" w:hAnsi="SimSun" w:eastAsia="SimSun" w:cs="SimSun"/>
          <w:sz w:val="22"/>
          <w:szCs w:val="22"/>
          <w:strike/>
          <w:spacing w:val="-5"/>
        </w:rPr>
        <w:t>风机</w:t>
      </w:r>
    </w:p>
    <w:p>
      <w:pPr>
        <w:spacing w:before="16"/>
        <w:rPr/>
      </w:pPr>
      <w:r/>
    </w:p>
    <w:tbl>
      <w:tblPr>
        <w:tblStyle w:val="TableNormal"/>
        <w:tblW w:w="389" w:type="dxa"/>
        <w:tblInd w:w="3740" w:type="dxa"/>
        <w:tblLayout w:type="fixed"/>
        <w:tblBorders>
          <w:left w:val="single" w:color="000000" w:sz="8" w:space="0"/>
          <w:bottom w:val="single" w:color="000000" w:sz="8" w:space="0"/>
          <w:right w:val="single" w:color="000000" w:sz="8" w:space="0"/>
          <w:top w:val="single" w:color="000000" w:sz="8" w:space="0"/>
        </w:tblBorders>
      </w:tblPr>
      <w:tblGrid>
        <w:gridCol w:w="389"/>
      </w:tblGrid>
      <w:tr>
        <w:trPr>
          <w:trHeight w:val="1362" w:hRule="atLeast"/>
        </w:trPr>
        <w:tc>
          <w:tcPr>
            <w:tcW w:w="389" w:type="dxa"/>
            <w:vAlign w:val="top"/>
          </w:tcPr>
          <w:p>
            <w:pPr>
              <w:pStyle w:val="TableText"/>
              <w:ind w:left="136" w:right="30"/>
              <w:spacing w:before="167" w:line="281" w:lineRule="auto"/>
              <w:jc w:val="both"/>
              <w:rPr>
                <w:sz w:val="20"/>
                <w:szCs w:val="20"/>
              </w:rPr>
            </w:pPr>
            <w:r>
              <w:rPr>
                <w:rFonts w:ascii="Times New Roman" w:hAnsi="Times New Roman" w:eastAsia="Times New Roman" w:cs="Times New Roman"/>
                <w:sz w:val="20"/>
                <w:szCs w:val="20"/>
                <w:spacing w:val="-1"/>
              </w:rPr>
              <w:t>O</w:t>
            </w:r>
            <w:r>
              <w:rPr>
                <w:rFonts w:ascii="Times New Roman" w:hAnsi="Times New Roman" w:eastAsia="Times New Roman" w:cs="Times New Roman"/>
                <w:sz w:val="20"/>
                <w:szCs w:val="20"/>
              </w:rPr>
              <w:t xml:space="preserve">  </w:t>
            </w:r>
            <w:r>
              <w:rPr>
                <w:sz w:val="20"/>
                <w:szCs w:val="20"/>
              </w:rPr>
              <w:t>生 </w:t>
            </w:r>
            <w:r>
              <w:rPr>
                <w:sz w:val="20"/>
                <w:szCs w:val="20"/>
              </w:rPr>
              <w:t>化 </w:t>
            </w:r>
            <w:r>
              <w:rPr>
                <w:sz w:val="20"/>
                <w:szCs w:val="20"/>
              </w:rPr>
              <w:t>池</w:t>
            </w:r>
          </w:p>
        </w:tc>
      </w:tr>
    </w:tbl>
    <w:p>
      <w:pPr>
        <w:ind w:left="6139"/>
        <w:spacing w:before="256" w:line="209" w:lineRule="auto"/>
        <w:rPr>
          <w:rFonts w:ascii="SimSun" w:hAnsi="SimSun" w:eastAsia="SimSun" w:cs="SimSun"/>
          <w:sz w:val="22"/>
          <w:szCs w:val="22"/>
        </w:rPr>
      </w:pPr>
      <w:r>
        <w:pict>
          <v:shape id="_x0000_s60" style="position:absolute;margin-left:141.349pt;margin-top:1.97415pt;mso-position-vertical-relative:text;mso-position-horizontal-relative:text;width:56.6pt;height:15.2pt;z-index:252068864;" filled="false" stroked="false" type="#_x0000_t202">
            <v:fill on="false"/>
            <v:stroke on="false"/>
            <v:path/>
            <v:imagedata o:title=""/>
            <o:lock v:ext="edit" aspectratio="false"/>
            <v:textbox inset="0mm,0mm,0mm,0mm">
              <w:txbxContent>
                <w:p>
                  <w:pPr>
                    <w:ind w:left="20"/>
                    <w:spacing w:before="19" w:line="221" w:lineRule="auto"/>
                    <w:rPr>
                      <w:rFonts w:ascii="SimSun" w:hAnsi="SimSun" w:eastAsia="SimSun" w:cs="SimSun"/>
                      <w:sz w:val="22"/>
                      <w:szCs w:val="22"/>
                    </w:rPr>
                  </w:pPr>
                  <w:r>
                    <w:rPr>
                      <w:rFonts w:ascii="SimSun" w:hAnsi="SimSun" w:eastAsia="SimSun" w:cs="SimSun"/>
                      <w:sz w:val="22"/>
                      <w:szCs w:val="22"/>
                      <w:spacing w:val="-2"/>
                    </w:rPr>
                    <w:t>上清液回流</w:t>
                  </w:r>
                </w:p>
              </w:txbxContent>
            </v:textbox>
          </v:shape>
        </w:pict>
      </w:r>
      <w:r>
        <w:pict>
          <v:shape id="_x0000_s62" style="position:absolute;margin-left:218.85pt;margin-top:9.12606pt;mso-position-vertical-relative:text;mso-position-horizontal-relative:text;width:53.25pt;height:15.45pt;z-index:252067840;" filled="false" stroked="false" type="#_x0000_t202">
            <v:fill on="false"/>
            <v:stroke on="false"/>
            <v:path/>
            <v:imagedata o:title=""/>
            <o:lock v:ext="edit" aspectratio="false"/>
            <v:textbox inset="0mm,0mm,0mm,0mm">
              <w:txbxContent>
                <w:p>
                  <w:pPr>
                    <w:spacing w:line="20" w:lineRule="exact"/>
                    <w:rPr/>
                  </w:pPr>
                  <w:r/>
                </w:p>
                <w:tbl>
                  <w:tblPr>
                    <w:tblStyle w:val="TableNormal"/>
                    <w:tblW w:w="1004" w:type="dxa"/>
                    <w:tblInd w:w="30" w:type="dxa"/>
                    <w:tblLayout w:type="fixed"/>
                    <w:tblBorders>
                      <w:left w:val="single" w:color="000000" w:sz="8" w:space="0"/>
                      <w:bottom w:val="single" w:color="000000" w:sz="8" w:space="0"/>
                      <w:right w:val="single" w:color="000000" w:sz="8" w:space="0"/>
                      <w:top w:val="single" w:color="000000" w:sz="8" w:space="0"/>
                    </w:tblBorders>
                  </w:tblPr>
                  <w:tblGrid>
                    <w:gridCol w:w="1004"/>
                  </w:tblGrid>
                  <w:tr>
                    <w:trPr>
                      <w:trHeight w:val="228" w:hRule="atLeast"/>
                    </w:trPr>
                    <w:tc>
                      <w:tcPr>
                        <w:tcW w:w="1004" w:type="dxa"/>
                        <w:vAlign w:val="top"/>
                      </w:tcPr>
                      <w:p>
                        <w:pPr>
                          <w:pStyle w:val="TableText"/>
                          <w:ind w:left="126"/>
                          <w:spacing w:before="9" w:line="175" w:lineRule="auto"/>
                          <w:rPr>
                            <w:sz w:val="22"/>
                            <w:szCs w:val="22"/>
                          </w:rPr>
                        </w:pPr>
                        <w:r>
                          <w:rPr>
                            <w:sz w:val="22"/>
                            <w:szCs w:val="22"/>
                            <w:spacing w:val="-3"/>
                          </w:rPr>
                          <w:t>污泥池</w:t>
                        </w:r>
                      </w:p>
                    </w:tc>
                  </w:tr>
                </w:tbl>
                <w:p>
                  <w:pPr>
                    <w:pStyle w:val="BodyText"/>
                    <w:rPr/>
                  </w:pPr>
                  <w:r/>
                </w:p>
              </w:txbxContent>
            </v:textbox>
          </v:shape>
        </w:pict>
      </w:r>
      <w:r>
        <w:rPr>
          <w:rFonts w:ascii="SimSun" w:hAnsi="SimSun" w:eastAsia="SimSun" w:cs="SimSun"/>
          <w:sz w:val="22"/>
          <w:szCs w:val="22"/>
          <w:spacing w:val="-2"/>
        </w:rPr>
        <w:t>污泥定期外运</w:t>
      </w:r>
    </w:p>
    <w:p>
      <w:pPr>
        <w:ind w:left="1814"/>
        <w:spacing w:line="229" w:lineRule="auto"/>
        <w:rPr>
          <w:rFonts w:ascii="SimSun" w:hAnsi="SimSun" w:eastAsia="SimSun" w:cs="SimSun"/>
          <w:sz w:val="22"/>
          <w:szCs w:val="22"/>
        </w:rPr>
      </w:pPr>
      <w:r>
        <w:rPr>
          <w:rFonts w:ascii="SimSun" w:hAnsi="SimSun" w:eastAsia="SimSun" w:cs="SimSun"/>
          <w:sz w:val="22"/>
          <w:szCs w:val="22"/>
          <w:spacing w:val="-3"/>
        </w:rPr>
        <w:t>污水路线</w:t>
      </w:r>
    </w:p>
    <w:p>
      <w:pPr>
        <w:ind w:left="1834"/>
        <w:spacing w:line="220" w:lineRule="auto"/>
        <w:rPr>
          <w:rFonts w:ascii="SimSun" w:hAnsi="SimSun" w:eastAsia="SimSun" w:cs="SimSun"/>
          <w:sz w:val="22"/>
          <w:szCs w:val="22"/>
        </w:rPr>
      </w:pPr>
      <w:r>
        <w:rPr>
          <w:rFonts w:ascii="SimSun" w:hAnsi="SimSun" w:eastAsia="SimSun" w:cs="SimSun"/>
          <w:sz w:val="22"/>
          <w:szCs w:val="22"/>
          <w:spacing w:val="-8"/>
        </w:rPr>
        <w:t>回流路线</w:t>
      </w:r>
    </w:p>
    <w:p>
      <w:pPr>
        <w:ind w:left="1800"/>
        <w:spacing w:before="6" w:line="220" w:lineRule="auto"/>
        <w:rPr>
          <w:rFonts w:ascii="SimSun" w:hAnsi="SimSun" w:eastAsia="SimSun" w:cs="SimSun"/>
          <w:sz w:val="22"/>
          <w:szCs w:val="22"/>
        </w:rPr>
      </w:pPr>
      <w:r>
        <w:rPr>
          <w:rFonts w:ascii="SimSun" w:hAnsi="SimSun" w:eastAsia="SimSun" w:cs="SimSun"/>
          <w:sz w:val="22"/>
          <w:szCs w:val="22"/>
          <w:spacing w:val="-3"/>
        </w:rPr>
        <w:t>污泥路线</w:t>
      </w:r>
    </w:p>
    <w:p>
      <w:pPr>
        <w:ind w:left="1822"/>
        <w:spacing w:before="9" w:line="214" w:lineRule="auto"/>
        <w:rPr>
          <w:rFonts w:ascii="SimSun" w:hAnsi="SimSun" w:eastAsia="SimSun" w:cs="SimSun"/>
          <w:sz w:val="22"/>
          <w:szCs w:val="22"/>
        </w:rPr>
      </w:pPr>
      <w:r>
        <w:rPr>
          <w:rFonts w:ascii="SimSun" w:hAnsi="SimSun" w:eastAsia="SimSun" w:cs="SimSun"/>
          <w:sz w:val="22"/>
          <w:szCs w:val="22"/>
          <w:spacing w:val="-5"/>
        </w:rPr>
        <w:t>曝气路线</w:t>
      </w:r>
    </w:p>
    <w:p>
      <w:pPr>
        <w:ind w:left="2070"/>
        <w:spacing w:line="219" w:lineRule="auto"/>
        <w:rPr>
          <w:rFonts w:ascii="SimSun" w:hAnsi="SimSun" w:eastAsia="SimSun" w:cs="SimSun"/>
          <w:sz w:val="24"/>
          <w:szCs w:val="24"/>
        </w:rPr>
      </w:pPr>
      <w:r>
        <w:rPr>
          <w:rFonts w:ascii="SimSun" w:hAnsi="SimSun" w:eastAsia="SimSun" w:cs="SimSun"/>
          <w:sz w:val="24"/>
          <w:szCs w:val="24"/>
          <w:spacing w:val="-3"/>
        </w:rPr>
        <w:t>图</w:t>
      </w:r>
      <w:r>
        <w:rPr>
          <w:rFonts w:ascii="Times New Roman" w:hAnsi="Times New Roman" w:eastAsia="Times New Roman" w:cs="Times New Roman"/>
          <w:sz w:val="24"/>
          <w:szCs w:val="24"/>
          <w:spacing w:val="-3"/>
        </w:rPr>
        <w:t>2.11-</w:t>
      </w:r>
      <w:r>
        <w:rPr>
          <w:rFonts w:ascii="Times New Roman" w:hAnsi="Times New Roman" w:eastAsia="Times New Roman" w:cs="Times New Roman"/>
          <w:sz w:val="24"/>
          <w:szCs w:val="24"/>
          <w:spacing w:val="-20"/>
        </w:rPr>
        <w:t xml:space="preserve"> </w:t>
      </w:r>
      <w:r>
        <w:rPr>
          <w:rFonts w:ascii="Times New Roman" w:hAnsi="Times New Roman" w:eastAsia="Times New Roman" w:cs="Times New Roman"/>
          <w:sz w:val="24"/>
          <w:szCs w:val="24"/>
          <w:spacing w:val="-3"/>
        </w:rPr>
        <w:t>1  </w:t>
      </w:r>
      <w:r>
        <w:rPr>
          <w:rFonts w:ascii="SimSun" w:hAnsi="SimSun" w:eastAsia="SimSun" w:cs="SimSun"/>
          <w:sz w:val="24"/>
          <w:szCs w:val="24"/>
          <w:spacing w:val="-3"/>
        </w:rPr>
        <w:t>地埋式一体化污水处理设施工艺流程</w:t>
      </w:r>
    </w:p>
    <w:p>
      <w:pPr>
        <w:ind w:left="63" w:right="61" w:firstLine="480"/>
        <w:spacing w:before="205" w:line="385" w:lineRule="auto"/>
        <w:jc w:val="both"/>
        <w:rPr>
          <w:rFonts w:ascii="SimSun" w:hAnsi="SimSun" w:eastAsia="SimSun" w:cs="SimSun"/>
          <w:sz w:val="24"/>
          <w:szCs w:val="24"/>
        </w:rPr>
      </w:pPr>
      <w:r>
        <w:rPr>
          <w:rFonts w:ascii="SimSun" w:hAnsi="SimSun" w:eastAsia="SimSun" w:cs="SimSun"/>
          <w:sz w:val="24"/>
          <w:szCs w:val="24"/>
          <w:spacing w:val="-3"/>
        </w:rPr>
        <w:t>①格栅：是拦截大颗粒的悬浮物质和切碎凝聚的软体物质（纸屑</w:t>
      </w:r>
      <w:r>
        <w:rPr>
          <w:rFonts w:ascii="SimSun" w:hAnsi="SimSun" w:eastAsia="SimSun" w:cs="SimSun"/>
          <w:sz w:val="24"/>
          <w:szCs w:val="24"/>
          <w:spacing w:val="-4"/>
        </w:rPr>
        <w:t>或事物残渣</w:t>
      </w:r>
      <w:r>
        <w:rPr>
          <w:rFonts w:ascii="SimSun" w:hAnsi="SimSun" w:eastAsia="SimSun" w:cs="SimSun"/>
          <w:sz w:val="24"/>
          <w:szCs w:val="24"/>
        </w:rPr>
        <w:t xml:space="preserve"> </w:t>
      </w:r>
      <w:r>
        <w:rPr>
          <w:rFonts w:ascii="SimSun" w:hAnsi="SimSun" w:eastAsia="SimSun" w:cs="SimSun"/>
          <w:sz w:val="24"/>
          <w:szCs w:val="24"/>
          <w:spacing w:val="-2"/>
        </w:rPr>
        <w:t>等</w:t>
      </w:r>
      <w:r>
        <w:rPr>
          <w:rFonts w:ascii="SimSun" w:hAnsi="SimSun" w:eastAsia="SimSun" w:cs="SimSun"/>
          <w:sz w:val="24"/>
          <w:szCs w:val="24"/>
          <w:spacing w:val="-12"/>
        </w:rPr>
        <w:t>），</w:t>
      </w:r>
      <w:r>
        <w:rPr>
          <w:rFonts w:ascii="SimSun" w:hAnsi="SimSun" w:eastAsia="SimSun" w:cs="SimSun"/>
          <w:sz w:val="24"/>
          <w:szCs w:val="24"/>
          <w:spacing w:val="-2"/>
        </w:rPr>
        <w:t>防止水泵或管道阻塞的重要设备，它是用</w:t>
      </w:r>
      <w:r>
        <w:rPr>
          <w:rFonts w:ascii="SimSun" w:hAnsi="SimSun" w:eastAsia="SimSun" w:cs="SimSun"/>
          <w:sz w:val="24"/>
          <w:szCs w:val="24"/>
          <w:spacing w:val="-3"/>
        </w:rPr>
        <w:t>平行排列的树根铁条制成，间隙</w:t>
      </w:r>
      <w:r>
        <w:rPr>
          <w:rFonts w:ascii="SimSun" w:hAnsi="SimSun" w:eastAsia="SimSun" w:cs="SimSun"/>
          <w:sz w:val="24"/>
          <w:szCs w:val="24"/>
        </w:rPr>
        <w:t xml:space="preserve"> </w:t>
      </w:r>
      <w:r>
        <w:rPr>
          <w:rFonts w:ascii="SimSun" w:hAnsi="SimSun" w:eastAsia="SimSun" w:cs="SimSun"/>
          <w:sz w:val="24"/>
          <w:szCs w:val="24"/>
          <w:spacing w:val="-4"/>
        </w:rPr>
        <w:t>为</w:t>
      </w:r>
      <w:r>
        <w:rPr>
          <w:rFonts w:ascii="Times New Roman" w:hAnsi="Times New Roman" w:eastAsia="Times New Roman" w:cs="Times New Roman"/>
          <w:sz w:val="24"/>
          <w:szCs w:val="24"/>
          <w:spacing w:val="-4"/>
        </w:rPr>
        <w:t>2mm</w:t>
      </w:r>
      <w:r>
        <w:rPr>
          <w:rFonts w:ascii="SimSun" w:hAnsi="SimSun" w:eastAsia="SimSun" w:cs="SimSun"/>
          <w:sz w:val="24"/>
          <w:szCs w:val="24"/>
          <w:spacing w:val="-4"/>
        </w:rPr>
        <w:t>，防止时与水流方向水平线呈</w:t>
      </w:r>
      <w:r>
        <w:rPr>
          <w:rFonts w:ascii="Times New Roman" w:hAnsi="Times New Roman" w:eastAsia="Times New Roman" w:cs="Times New Roman"/>
          <w:sz w:val="24"/>
          <w:szCs w:val="24"/>
          <w:spacing w:val="-4"/>
        </w:rPr>
        <w:t>60</w:t>
      </w:r>
      <w:r>
        <w:rPr>
          <w:rFonts w:ascii="Times New Roman" w:hAnsi="Times New Roman" w:eastAsia="Times New Roman" w:cs="Times New Roman"/>
          <w:sz w:val="24"/>
          <w:szCs w:val="24"/>
          <w:spacing w:val="-29"/>
        </w:rPr>
        <w:t xml:space="preserve"> </w:t>
      </w:r>
      <w:r>
        <w:rPr>
          <w:rFonts w:ascii="SimSun" w:hAnsi="SimSun" w:eastAsia="SimSun" w:cs="SimSun"/>
          <w:sz w:val="24"/>
          <w:szCs w:val="24"/>
          <w:spacing w:val="-4"/>
        </w:rPr>
        <w:t>°角倾斜，以利于清除被阻留的残渣，在</w:t>
      </w:r>
      <w:r>
        <w:rPr>
          <w:rFonts w:ascii="SimSun" w:hAnsi="SimSun" w:eastAsia="SimSun" w:cs="SimSun"/>
          <w:sz w:val="24"/>
          <w:szCs w:val="24"/>
        </w:rPr>
        <w:t xml:space="preserve"> </w:t>
      </w:r>
      <w:r>
        <w:rPr>
          <w:rFonts w:ascii="SimSun" w:hAnsi="SimSun" w:eastAsia="SimSun" w:cs="SimSun"/>
          <w:sz w:val="24"/>
          <w:szCs w:val="24"/>
          <w:spacing w:val="4"/>
        </w:rPr>
        <w:t>格栅的上边设置一个能集中消毒污物的构筑物，为防止管道沉淤和阻留物被冲</w:t>
      </w:r>
      <w:r>
        <w:rPr>
          <w:rFonts w:ascii="SimSun" w:hAnsi="SimSun" w:eastAsia="SimSun" w:cs="SimSun"/>
          <w:sz w:val="24"/>
          <w:szCs w:val="24"/>
        </w:rPr>
        <w:t xml:space="preserve"> </w:t>
      </w:r>
      <w:r>
        <w:rPr>
          <w:rFonts w:ascii="SimSun" w:hAnsi="SimSun" w:eastAsia="SimSun" w:cs="SimSun"/>
          <w:sz w:val="24"/>
          <w:szCs w:val="24"/>
          <w:spacing w:val="-3"/>
        </w:rPr>
        <w:t>散，在设计和建筑时应注意格栅前后的废水流速，格栅阻留下的物质因含有大量</w:t>
      </w:r>
    </w:p>
    <w:p>
      <w:pPr>
        <w:ind w:left="84"/>
        <w:spacing w:before="1" w:line="219" w:lineRule="auto"/>
        <w:rPr>
          <w:rFonts w:ascii="SimSun" w:hAnsi="SimSun" w:eastAsia="SimSun" w:cs="SimSun"/>
          <w:sz w:val="24"/>
          <w:szCs w:val="24"/>
        </w:rPr>
      </w:pPr>
      <w:r>
        <w:rPr>
          <w:rFonts w:ascii="SimSun" w:hAnsi="SimSun" w:eastAsia="SimSun" w:cs="SimSun"/>
          <w:sz w:val="24"/>
          <w:szCs w:val="24"/>
          <w:spacing w:val="-2"/>
        </w:rPr>
        <w:t>的病原体，清除时应进行消毒处理。</w:t>
      </w:r>
    </w:p>
    <w:p>
      <w:pPr>
        <w:ind w:left="63" w:firstLine="479"/>
        <w:spacing w:before="212" w:line="385" w:lineRule="auto"/>
        <w:jc w:val="both"/>
        <w:rPr>
          <w:rFonts w:ascii="SimSun" w:hAnsi="SimSun" w:eastAsia="SimSun" w:cs="SimSun"/>
          <w:sz w:val="24"/>
          <w:szCs w:val="24"/>
        </w:rPr>
      </w:pPr>
      <w:r>
        <w:rPr>
          <w:rFonts w:ascii="SimSun" w:hAnsi="SimSun" w:eastAsia="SimSun" w:cs="SimSun"/>
          <w:sz w:val="24"/>
          <w:szCs w:val="24"/>
          <w:spacing w:val="-1"/>
        </w:rPr>
        <w:t>②调节沉淀池：调节水量，水质同时兼有初沉池的作用。</w:t>
      </w:r>
      <w:r>
        <w:rPr>
          <w:rFonts w:ascii="SimSun" w:hAnsi="SimSun" w:eastAsia="SimSun" w:cs="SimSun"/>
          <w:sz w:val="24"/>
          <w:szCs w:val="24"/>
          <w:spacing w:val="-2"/>
        </w:rPr>
        <w:t>医院废水的水量、</w:t>
      </w:r>
      <w:r>
        <w:rPr>
          <w:rFonts w:ascii="SimSun" w:hAnsi="SimSun" w:eastAsia="SimSun" w:cs="SimSun"/>
          <w:sz w:val="24"/>
          <w:szCs w:val="24"/>
        </w:rPr>
        <w:t xml:space="preserve"> </w:t>
      </w:r>
      <w:r>
        <w:rPr>
          <w:rFonts w:ascii="SimSun" w:hAnsi="SimSun" w:eastAsia="SimSun" w:cs="SimSun"/>
          <w:sz w:val="24"/>
          <w:szCs w:val="24"/>
          <w:spacing w:val="-3"/>
        </w:rPr>
        <w:t>水质都是随时间的推移不断变化，有高峰流量和低峰流量，也有高峰浓度和低峰</w:t>
      </w:r>
      <w:r>
        <w:rPr>
          <w:rFonts w:ascii="SimSun" w:hAnsi="SimSun" w:eastAsia="SimSun" w:cs="SimSun"/>
          <w:sz w:val="24"/>
          <w:szCs w:val="24"/>
          <w:spacing w:val="1"/>
        </w:rPr>
        <w:t xml:space="preserve"> </w:t>
      </w:r>
      <w:r>
        <w:rPr>
          <w:rFonts w:ascii="SimSun" w:hAnsi="SimSun" w:eastAsia="SimSun" w:cs="SimSun"/>
          <w:sz w:val="24"/>
          <w:szCs w:val="24"/>
          <w:spacing w:val="-3"/>
        </w:rPr>
        <w:t>浓度。流量和浓度的不均匀往往给处理设备带来不少困难，或者使其无法保持在</w:t>
      </w:r>
      <w:r>
        <w:rPr>
          <w:rFonts w:ascii="SimSun" w:hAnsi="SimSun" w:eastAsia="SimSun" w:cs="SimSun"/>
          <w:sz w:val="24"/>
          <w:szCs w:val="24"/>
          <w:spacing w:val="1"/>
        </w:rPr>
        <w:t xml:space="preserve"> </w:t>
      </w:r>
      <w:r>
        <w:rPr>
          <w:rFonts w:ascii="SimSun" w:hAnsi="SimSun" w:eastAsia="SimSun" w:cs="SimSun"/>
          <w:sz w:val="24"/>
          <w:szCs w:val="24"/>
          <w:spacing w:val="-3"/>
        </w:rPr>
        <w:t>最优的工艺条件下运行；或者使其短时无法工作，甚至遭受破坏（如在过大的冲</w:t>
      </w:r>
      <w:r>
        <w:rPr>
          <w:rFonts w:ascii="SimSun" w:hAnsi="SimSun" w:eastAsia="SimSun" w:cs="SimSun"/>
          <w:sz w:val="24"/>
          <w:szCs w:val="24"/>
          <w:spacing w:val="1"/>
        </w:rPr>
        <w:t xml:space="preserve"> </w:t>
      </w:r>
      <w:r>
        <w:rPr>
          <w:rFonts w:ascii="SimSun" w:hAnsi="SimSun" w:eastAsia="SimSun" w:cs="SimSun"/>
          <w:sz w:val="24"/>
          <w:szCs w:val="24"/>
          <w:spacing w:val="-8"/>
        </w:rPr>
        <w:t>击负荷条件下）。为了改善废水处理设备的工作条件，一般需要对水量进行调节，</w:t>
      </w:r>
    </w:p>
    <w:p>
      <w:pPr>
        <w:ind w:left="63"/>
        <w:spacing w:line="219" w:lineRule="auto"/>
        <w:rPr>
          <w:rFonts w:ascii="SimSun" w:hAnsi="SimSun" w:eastAsia="SimSun" w:cs="SimSun"/>
          <w:sz w:val="24"/>
          <w:szCs w:val="24"/>
        </w:rPr>
      </w:pPr>
      <w:r>
        <w:rPr>
          <w:rFonts w:ascii="SimSun" w:hAnsi="SimSun" w:eastAsia="SimSun" w:cs="SimSun"/>
          <w:sz w:val="24"/>
          <w:szCs w:val="24"/>
          <w:spacing w:val="-2"/>
        </w:rPr>
        <w:t>对水质进行均和。</w:t>
      </w:r>
    </w:p>
    <w:p>
      <w:pPr>
        <w:ind w:left="67" w:right="61" w:firstLine="475"/>
        <w:spacing w:before="214" w:line="385" w:lineRule="auto"/>
        <w:jc w:val="both"/>
        <w:rPr>
          <w:rFonts w:ascii="SimSun" w:hAnsi="SimSun" w:eastAsia="SimSun" w:cs="SimSun"/>
          <w:sz w:val="24"/>
          <w:szCs w:val="24"/>
        </w:rPr>
      </w:pPr>
      <w:r>
        <w:rPr>
          <w:rFonts w:ascii="SimSun" w:hAnsi="SimSun" w:eastAsia="SimSun" w:cs="SimSun"/>
          <w:sz w:val="24"/>
          <w:szCs w:val="24"/>
          <w:spacing w:val="-3"/>
        </w:rPr>
        <w:t>③厌氧好氧池：处理时间短，因此在处理水量相同的条件下，所需</w:t>
      </w:r>
      <w:r>
        <w:rPr>
          <w:rFonts w:ascii="SimSun" w:hAnsi="SimSun" w:eastAsia="SimSun" w:cs="SimSun"/>
          <w:sz w:val="24"/>
          <w:szCs w:val="24"/>
          <w:spacing w:val="-4"/>
        </w:rPr>
        <w:t>装置的设</w:t>
      </w:r>
      <w:r>
        <w:rPr>
          <w:rFonts w:ascii="SimSun" w:hAnsi="SimSun" w:eastAsia="SimSun" w:cs="SimSun"/>
          <w:sz w:val="24"/>
          <w:szCs w:val="24"/>
        </w:rPr>
        <w:t xml:space="preserve"> </w:t>
      </w:r>
      <w:r>
        <w:rPr>
          <w:rFonts w:ascii="SimSun" w:hAnsi="SimSun" w:eastAsia="SimSun" w:cs="SimSun"/>
          <w:sz w:val="24"/>
          <w:szCs w:val="24"/>
          <w:spacing w:val="-3"/>
        </w:rPr>
        <w:t>备较小，占地面积小。厌氧好氧池采用前段厌氧后段好氧工艺，好氧段采用</w:t>
      </w:r>
      <w:r>
        <w:rPr>
          <w:rFonts w:ascii="SimSun" w:hAnsi="SimSun" w:eastAsia="SimSun" w:cs="SimSun"/>
          <w:sz w:val="24"/>
          <w:szCs w:val="24"/>
          <w:spacing w:val="-4"/>
        </w:rPr>
        <w:t>生物</w:t>
      </w:r>
    </w:p>
    <w:p>
      <w:pPr>
        <w:ind w:left="63"/>
        <w:spacing w:before="1" w:line="218" w:lineRule="auto"/>
        <w:rPr>
          <w:rFonts w:ascii="SimSun" w:hAnsi="SimSun" w:eastAsia="SimSun" w:cs="SimSun"/>
          <w:sz w:val="24"/>
          <w:szCs w:val="24"/>
        </w:rPr>
      </w:pPr>
      <w:r>
        <w:rPr>
          <w:rFonts w:ascii="SimSun" w:hAnsi="SimSun" w:eastAsia="SimSun" w:cs="SimSun"/>
          <w:sz w:val="24"/>
          <w:szCs w:val="24"/>
          <w:spacing w:val="-1"/>
        </w:rPr>
        <w:t>接触氧化法，池内挂填料，不容易发生污泥膨胀。</w:t>
      </w:r>
    </w:p>
    <w:p>
      <w:pPr>
        <w:ind w:left="64" w:right="61" w:firstLine="478"/>
        <w:spacing w:before="215" w:line="385" w:lineRule="auto"/>
        <w:jc w:val="both"/>
        <w:rPr>
          <w:rFonts w:ascii="SimSun" w:hAnsi="SimSun" w:eastAsia="SimSun" w:cs="SimSun"/>
          <w:sz w:val="24"/>
          <w:szCs w:val="24"/>
        </w:rPr>
      </w:pPr>
      <w:r>
        <w:rPr>
          <w:rFonts w:ascii="SimSun" w:hAnsi="SimSun" w:eastAsia="SimSun" w:cs="SimSun"/>
          <w:sz w:val="24"/>
          <w:szCs w:val="24"/>
          <w:spacing w:val="-3"/>
        </w:rPr>
        <w:t>④沉淀池：由于生物接触氧化法产生污泥量少，采用竖流式，水流</w:t>
      </w:r>
      <w:r>
        <w:rPr>
          <w:rFonts w:ascii="SimSun" w:hAnsi="SimSun" w:eastAsia="SimSun" w:cs="SimSun"/>
          <w:sz w:val="24"/>
          <w:szCs w:val="24"/>
          <w:spacing w:val="-4"/>
        </w:rPr>
        <w:t>向上，带</w:t>
      </w:r>
      <w:r>
        <w:rPr>
          <w:rFonts w:ascii="SimSun" w:hAnsi="SimSun" w:eastAsia="SimSun" w:cs="SimSun"/>
          <w:sz w:val="24"/>
          <w:szCs w:val="24"/>
        </w:rPr>
        <w:t xml:space="preserve"> </w:t>
      </w:r>
      <w:r>
        <w:rPr>
          <w:rFonts w:ascii="SimSun" w:hAnsi="SimSun" w:eastAsia="SimSun" w:cs="SimSun"/>
          <w:sz w:val="24"/>
          <w:szCs w:val="24"/>
          <w:spacing w:val="-3"/>
        </w:rPr>
        <w:t>着微颗粒在上升的过程中，相互碰撞，促进絮凝，颗粒变大，沉速随之增大，促</w:t>
      </w:r>
    </w:p>
    <w:p>
      <w:pPr>
        <w:ind w:left="65"/>
        <w:spacing w:line="216" w:lineRule="auto"/>
        <w:rPr>
          <w:rFonts w:ascii="SimSun" w:hAnsi="SimSun" w:eastAsia="SimSun" w:cs="SimSun"/>
          <w:sz w:val="24"/>
          <w:szCs w:val="24"/>
        </w:rPr>
      </w:pPr>
      <w:r>
        <w:rPr>
          <w:rFonts w:ascii="SimSun" w:hAnsi="SimSun" w:eastAsia="SimSun" w:cs="SimSun"/>
          <w:sz w:val="24"/>
          <w:szCs w:val="24"/>
          <w:spacing w:val="-6"/>
        </w:rPr>
        <w:t>使颗粒沉降，池底设污泥斗，污泥斗的倾角为</w:t>
      </w:r>
      <w:r>
        <w:rPr>
          <w:rFonts w:ascii="Times New Roman" w:hAnsi="Times New Roman" w:eastAsia="Times New Roman" w:cs="Times New Roman"/>
          <w:sz w:val="24"/>
          <w:szCs w:val="24"/>
          <w:spacing w:val="-6"/>
        </w:rPr>
        <w:t>60</w:t>
      </w:r>
      <w:r>
        <w:rPr>
          <w:rFonts w:ascii="Times New Roman" w:hAnsi="Times New Roman" w:eastAsia="Times New Roman" w:cs="Times New Roman"/>
          <w:sz w:val="24"/>
          <w:szCs w:val="24"/>
          <w:spacing w:val="-12"/>
        </w:rPr>
        <w:t xml:space="preserve"> </w:t>
      </w:r>
      <w:r>
        <w:rPr>
          <w:rFonts w:ascii="SimSun" w:hAnsi="SimSun" w:eastAsia="SimSun" w:cs="SimSun"/>
          <w:sz w:val="24"/>
          <w:szCs w:val="24"/>
          <w:spacing w:val="-6"/>
        </w:rPr>
        <w:t>°</w:t>
      </w:r>
      <w:r>
        <w:rPr>
          <w:rFonts w:ascii="SimSun" w:hAnsi="SimSun" w:eastAsia="SimSun" w:cs="SimSun"/>
          <w:sz w:val="24"/>
          <w:szCs w:val="24"/>
          <w:spacing w:val="-91"/>
        </w:rPr>
        <w:t xml:space="preserve"> </w:t>
      </w:r>
      <w:r>
        <w:rPr>
          <w:rFonts w:ascii="SimSun" w:hAnsi="SimSun" w:eastAsia="SimSun" w:cs="SimSun"/>
          <w:sz w:val="24"/>
          <w:szCs w:val="24"/>
          <w:spacing w:val="-6"/>
        </w:rPr>
        <w:t>,</w:t>
      </w:r>
      <w:r>
        <w:rPr>
          <w:rFonts w:ascii="SimSun" w:hAnsi="SimSun" w:eastAsia="SimSun" w:cs="SimSun"/>
          <w:sz w:val="24"/>
          <w:szCs w:val="24"/>
          <w:spacing w:val="34"/>
        </w:rPr>
        <w:t xml:space="preserve"> </w:t>
      </w:r>
      <w:r>
        <w:rPr>
          <w:rFonts w:ascii="SimSun" w:hAnsi="SimSun" w:eastAsia="SimSun" w:cs="SimSun"/>
          <w:sz w:val="24"/>
          <w:szCs w:val="24"/>
          <w:spacing w:val="-6"/>
        </w:rPr>
        <w:t>污泥可依靠静水压力将污泥</w:t>
      </w:r>
    </w:p>
    <w:p>
      <w:pPr>
        <w:spacing w:line="216" w:lineRule="auto"/>
        <w:sectPr>
          <w:footerReference w:type="default" r:id="rId86"/>
          <w:pgSz w:w="11906" w:h="16839"/>
          <w:pgMar w:top="400" w:right="1738" w:bottom="1211" w:left="1745" w:header="0" w:footer="1049" w:gutter="0"/>
        </w:sectPr>
        <w:rPr>
          <w:rFonts w:ascii="SimSun" w:hAnsi="SimSun" w:eastAsia="SimSun" w:cs="SimSun"/>
          <w:sz w:val="24"/>
          <w:szCs w:val="24"/>
        </w:rPr>
      </w:pPr>
    </w:p>
    <w:p>
      <w:pPr>
        <w:pStyle w:val="BodyText"/>
        <w:spacing w:line="287" w:lineRule="auto"/>
        <w:rPr/>
      </w:pPr>
      <w:r/>
    </w:p>
    <w:p>
      <w:pPr>
        <w:pStyle w:val="BodyText"/>
        <w:spacing w:line="287" w:lineRule="auto"/>
        <w:rPr/>
      </w:pPr>
      <w:r/>
    </w:p>
    <w:p>
      <w:pPr>
        <w:pStyle w:val="BodyText"/>
        <w:spacing w:line="288" w:lineRule="auto"/>
        <w:rPr/>
      </w:pPr>
      <w:r/>
    </w:p>
    <w:p>
      <w:pPr>
        <w:pStyle w:val="BodyText"/>
        <w:spacing w:line="288" w:lineRule="auto"/>
        <w:rPr/>
      </w:pPr>
      <w:r/>
    </w:p>
    <w:p>
      <w:pPr>
        <w:ind w:left="26"/>
        <w:spacing w:before="78" w:line="219" w:lineRule="auto"/>
        <w:rPr>
          <w:rFonts w:ascii="SimSun" w:hAnsi="SimSun" w:eastAsia="SimSun" w:cs="SimSun"/>
          <w:sz w:val="24"/>
          <w:szCs w:val="24"/>
        </w:rPr>
      </w:pPr>
      <w:r>
        <w:rPr>
          <w:rFonts w:ascii="SimSun" w:hAnsi="SimSun" w:eastAsia="SimSun" w:cs="SimSun"/>
          <w:sz w:val="24"/>
          <w:szCs w:val="24"/>
          <w:spacing w:val="-2"/>
        </w:rPr>
        <w:t>从排泥管排出。</w:t>
      </w:r>
    </w:p>
    <w:p>
      <w:pPr>
        <w:ind w:left="21" w:right="14" w:firstLine="483"/>
        <w:spacing w:before="212" w:line="385" w:lineRule="auto"/>
        <w:jc w:val="both"/>
        <w:rPr>
          <w:rFonts w:ascii="SimSun" w:hAnsi="SimSun" w:eastAsia="SimSun" w:cs="SimSun"/>
          <w:sz w:val="24"/>
          <w:szCs w:val="24"/>
        </w:rPr>
      </w:pPr>
      <w:r>
        <w:rPr>
          <w:rFonts w:ascii="SimSun" w:hAnsi="SimSun" w:eastAsia="SimSun" w:cs="SimSun"/>
          <w:sz w:val="24"/>
          <w:szCs w:val="24"/>
          <w:spacing w:val="-3"/>
        </w:rPr>
        <w:t>生活污水经地埋式一体化污水处理装置处理，满足《农村生</w:t>
      </w:r>
      <w:r>
        <w:rPr>
          <w:rFonts w:ascii="SimSun" w:hAnsi="SimSun" w:eastAsia="SimSun" w:cs="SimSun"/>
          <w:sz w:val="24"/>
          <w:szCs w:val="24"/>
          <w:spacing w:val="-4"/>
        </w:rPr>
        <w:t>活污水处理排放</w:t>
      </w:r>
      <w:r>
        <w:rPr>
          <w:rFonts w:ascii="SimSun" w:hAnsi="SimSun" w:eastAsia="SimSun" w:cs="SimSun"/>
          <w:sz w:val="24"/>
          <w:szCs w:val="24"/>
        </w:rPr>
        <w:t xml:space="preserve"> </w:t>
      </w:r>
      <w:r>
        <w:rPr>
          <w:rFonts w:ascii="SimSun" w:hAnsi="SimSun" w:eastAsia="SimSun" w:cs="SimSun"/>
          <w:sz w:val="24"/>
          <w:szCs w:val="24"/>
        </w:rPr>
        <w:t>标准》（</w:t>
      </w:r>
      <w:r>
        <w:rPr>
          <w:rFonts w:ascii="Times New Roman" w:hAnsi="Times New Roman" w:eastAsia="Times New Roman" w:cs="Times New Roman"/>
          <w:sz w:val="24"/>
          <w:szCs w:val="24"/>
        </w:rPr>
        <w:t>DB65 4275-2019</w:t>
      </w:r>
      <w:r>
        <w:rPr>
          <w:rFonts w:ascii="SimSun" w:hAnsi="SimSun" w:eastAsia="SimSun" w:cs="SimSun"/>
          <w:sz w:val="24"/>
          <w:szCs w:val="24"/>
        </w:rPr>
        <w:t>）</w:t>
      </w:r>
      <w:r>
        <w:rPr>
          <w:rFonts w:ascii="Times New Roman" w:hAnsi="Times New Roman" w:eastAsia="Times New Roman" w:cs="Times New Roman"/>
          <w:sz w:val="24"/>
          <w:szCs w:val="24"/>
        </w:rPr>
        <w:t>B</w:t>
      </w:r>
      <w:r>
        <w:rPr>
          <w:rFonts w:ascii="SimSun" w:hAnsi="SimSun" w:eastAsia="SimSun" w:cs="SimSun"/>
          <w:sz w:val="24"/>
          <w:szCs w:val="24"/>
        </w:rPr>
        <w:t>级标准限值后</w:t>
      </w:r>
      <w:r>
        <w:rPr>
          <w:rFonts w:ascii="SimSun" w:hAnsi="SimSun" w:eastAsia="SimSun" w:cs="SimSun"/>
          <w:sz w:val="24"/>
          <w:szCs w:val="24"/>
          <w:spacing w:val="-1"/>
        </w:rPr>
        <w:t>用于厂区绿化。根据《排污许可证申</w:t>
      </w:r>
      <w:r>
        <w:rPr>
          <w:rFonts w:ascii="SimSun" w:hAnsi="SimSun" w:eastAsia="SimSun" w:cs="SimSun"/>
          <w:sz w:val="24"/>
          <w:szCs w:val="24"/>
        </w:rPr>
        <w:t xml:space="preserve"> </w:t>
      </w:r>
      <w:r>
        <w:rPr>
          <w:rFonts w:ascii="SimSun" w:hAnsi="SimSun" w:eastAsia="SimSun" w:cs="SimSun"/>
          <w:sz w:val="24"/>
          <w:szCs w:val="24"/>
        </w:rPr>
        <w:t>请与核发技术规范 橡胶和塑料制品工业》（</w:t>
      </w:r>
      <w:r>
        <w:rPr>
          <w:rFonts w:ascii="Times New Roman" w:hAnsi="Times New Roman" w:eastAsia="Times New Roman" w:cs="Times New Roman"/>
          <w:sz w:val="24"/>
          <w:szCs w:val="24"/>
        </w:rPr>
        <w:t>HJ1122-2020</w:t>
      </w:r>
      <w:r>
        <w:rPr>
          <w:rFonts w:ascii="SimSun" w:hAnsi="SimSun" w:eastAsia="SimSun" w:cs="SimSun"/>
          <w:sz w:val="24"/>
          <w:szCs w:val="24"/>
        </w:rPr>
        <w:t>）表</w:t>
      </w:r>
      <w:r>
        <w:rPr>
          <w:rFonts w:ascii="Times New Roman" w:hAnsi="Times New Roman" w:eastAsia="Times New Roman" w:cs="Times New Roman"/>
          <w:sz w:val="24"/>
          <w:szCs w:val="24"/>
        </w:rPr>
        <w:t>A.4</w:t>
      </w:r>
      <w:r>
        <w:rPr>
          <w:rFonts w:ascii="Times New Roman" w:hAnsi="Times New Roman" w:eastAsia="Times New Roman" w:cs="Times New Roman"/>
          <w:sz w:val="24"/>
          <w:szCs w:val="24"/>
          <w:spacing w:val="-23"/>
        </w:rPr>
        <w:t xml:space="preserve"> </w:t>
      </w:r>
      <w:r>
        <w:rPr>
          <w:rFonts w:ascii="SimSun" w:hAnsi="SimSun" w:eastAsia="SimSun" w:cs="SimSun"/>
          <w:sz w:val="24"/>
          <w:szCs w:val="24"/>
        </w:rPr>
        <w:t>，本项目生活 </w:t>
      </w:r>
      <w:r>
        <w:rPr>
          <w:rFonts w:ascii="SimSun" w:hAnsi="SimSun" w:eastAsia="SimSun" w:cs="SimSun"/>
          <w:sz w:val="24"/>
          <w:szCs w:val="24"/>
          <w:spacing w:val="-1"/>
        </w:rPr>
        <w:t>污水采取的废水处理工艺属于可行性技术。经企业竣工环境保护验</w:t>
      </w:r>
      <w:r>
        <w:rPr>
          <w:rFonts w:ascii="SimSun" w:hAnsi="SimSun" w:eastAsia="SimSun" w:cs="SimSun"/>
          <w:sz w:val="24"/>
          <w:szCs w:val="24"/>
          <w:spacing w:val="-2"/>
        </w:rPr>
        <w:t>收结果显示，</w:t>
      </w:r>
      <w:r>
        <w:rPr>
          <w:rFonts w:ascii="SimSun" w:hAnsi="SimSun" w:eastAsia="SimSun" w:cs="SimSun"/>
          <w:sz w:val="24"/>
          <w:szCs w:val="24"/>
        </w:rPr>
        <w:t xml:space="preserve"> </w:t>
      </w:r>
      <w:r>
        <w:rPr>
          <w:rFonts w:ascii="SimSun" w:hAnsi="SimSun" w:eastAsia="SimSun" w:cs="SimSun"/>
          <w:sz w:val="24"/>
          <w:szCs w:val="24"/>
          <w:spacing w:val="-8"/>
        </w:rPr>
        <w:t>生活污水可实现达标排放。因此，本企业现有生活污水处理方案属于可行性方案，</w:t>
      </w:r>
    </w:p>
    <w:p>
      <w:pPr>
        <w:ind w:left="23"/>
        <w:spacing w:line="218" w:lineRule="auto"/>
        <w:rPr>
          <w:rFonts w:ascii="SimSun" w:hAnsi="SimSun" w:eastAsia="SimSun" w:cs="SimSun"/>
          <w:sz w:val="24"/>
          <w:szCs w:val="24"/>
        </w:rPr>
      </w:pPr>
      <w:r>
        <w:rPr>
          <w:rFonts w:ascii="SimSun" w:hAnsi="SimSun" w:eastAsia="SimSun" w:cs="SimSun"/>
          <w:sz w:val="24"/>
          <w:szCs w:val="24"/>
          <w:spacing w:val="-1"/>
        </w:rPr>
        <w:t>排放去向明确，依托可行。</w:t>
      </w:r>
    </w:p>
    <w:p>
      <w:pPr>
        <w:pStyle w:val="BodyText"/>
        <w:spacing w:line="346" w:lineRule="auto"/>
        <w:rPr/>
      </w:pPr>
      <w:r/>
    </w:p>
    <w:p>
      <w:pPr>
        <w:pStyle w:val="BodyText"/>
        <w:spacing w:line="346" w:lineRule="auto"/>
        <w:rPr/>
      </w:pPr>
      <w:r/>
    </w:p>
    <w:p>
      <w:pPr>
        <w:spacing w:before="91" w:line="219" w:lineRule="auto"/>
        <w:outlineLvl w:val="0"/>
        <w:jc w:val="right"/>
        <w:rPr>
          <w:rFonts w:ascii="SimSun" w:hAnsi="SimSun" w:eastAsia="SimSun" w:cs="SimSun"/>
          <w:sz w:val="28"/>
          <w:szCs w:val="28"/>
        </w:rPr>
      </w:pPr>
      <w:r>
        <w:rPr>
          <w:rFonts w:ascii="Times New Roman" w:hAnsi="Times New Roman" w:eastAsia="Times New Roman" w:cs="Times New Roman"/>
          <w:sz w:val="28"/>
          <w:szCs w:val="28"/>
          <w:b/>
          <w:bCs/>
          <w:spacing w:val="-10"/>
        </w:rPr>
        <w:t>10</w:t>
      </w:r>
      <w:r>
        <w:rPr>
          <w:rFonts w:ascii="SimSun" w:hAnsi="SimSun" w:eastAsia="SimSun" w:cs="SimSun"/>
          <w:sz w:val="28"/>
          <w:szCs w:val="28"/>
          <w14:textOutline w14:w="5103" w14:cap="sq" w14:cmpd="sng">
            <w14:solidFill>
              <w14:srgbClr w14:val="000000"/>
            </w14:solidFill>
            <w14:prstDash w14:val="solid"/>
            <w14:bevel/>
          </w14:textOutline>
          <w:spacing w:val="-10"/>
        </w:rPr>
        <w:t>完善固体废物影响分析，空压机将产生废空压机油，属于危险废物，</w:t>
      </w:r>
    </w:p>
    <w:p>
      <w:pPr>
        <w:ind w:left="28"/>
        <w:spacing w:before="229" w:line="559" w:lineRule="exact"/>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4"/>
          <w:position w:val="21"/>
        </w:rPr>
        <w:t>核算废空压机油产生量，对废空压机油收集、临时贮存、转移处置等</w:t>
      </w:r>
    </w:p>
    <w:p>
      <w:pPr>
        <w:ind w:left="25"/>
        <w:spacing w:before="2" w:line="219"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环节提出相应的污染防治措施和环境管理要求。</w:t>
      </w:r>
    </w:p>
    <w:p>
      <w:pPr>
        <w:ind w:left="503"/>
        <w:spacing w:before="213" w:line="219" w:lineRule="auto"/>
        <w:rPr>
          <w:rFonts w:ascii="Times New Roman" w:hAnsi="Times New Roman" w:eastAsia="Times New Roman" w:cs="Times New Roman"/>
          <w:sz w:val="24"/>
          <w:szCs w:val="24"/>
        </w:rPr>
      </w:pPr>
      <w:r>
        <w:rPr>
          <w:rFonts w:ascii="SimSun" w:hAnsi="SimSun" w:eastAsia="SimSun" w:cs="SimSun"/>
          <w:sz w:val="24"/>
          <w:szCs w:val="24"/>
          <w:spacing w:val="-1"/>
        </w:rPr>
        <w:t>修改见</w:t>
      </w:r>
      <w:r>
        <w:rPr>
          <w:rFonts w:ascii="Times New Roman" w:hAnsi="Times New Roman" w:eastAsia="Times New Roman" w:cs="Times New Roman"/>
          <w:sz w:val="24"/>
          <w:szCs w:val="24"/>
          <w:spacing w:val="-1"/>
        </w:rPr>
        <w:t>P51</w:t>
      </w:r>
      <w:r>
        <w:rPr>
          <w:rFonts w:ascii="SimSun" w:hAnsi="SimSun" w:eastAsia="SimSun" w:cs="SimSun"/>
          <w:sz w:val="24"/>
          <w:szCs w:val="24"/>
          <w:spacing w:val="-1"/>
        </w:rPr>
        <w:t>和</w:t>
      </w:r>
      <w:r>
        <w:rPr>
          <w:rFonts w:ascii="Times New Roman" w:hAnsi="Times New Roman" w:eastAsia="Times New Roman" w:cs="Times New Roman"/>
          <w:sz w:val="24"/>
          <w:szCs w:val="24"/>
          <w:spacing w:val="-1"/>
        </w:rPr>
        <w:t>P52</w:t>
      </w:r>
    </w:p>
    <w:p>
      <w:pPr>
        <w:ind w:left="501"/>
        <w:spacing w:before="216" w:line="217" w:lineRule="auto"/>
        <w:rPr>
          <w:rFonts w:ascii="SimSun" w:hAnsi="SimSun" w:eastAsia="SimSun" w:cs="SimSun"/>
          <w:sz w:val="24"/>
          <w:szCs w:val="24"/>
        </w:rPr>
      </w:pPr>
      <w:r>
        <w:rPr>
          <w:rFonts w:ascii="SimSun" w:hAnsi="SimSun" w:eastAsia="SimSun" w:cs="SimSun"/>
          <w:sz w:val="24"/>
          <w:szCs w:val="24"/>
          <w:spacing w:val="-1"/>
        </w:rPr>
        <w:t>②机械维修产生废机油</w:t>
      </w:r>
    </w:p>
    <w:p>
      <w:pPr>
        <w:ind w:left="23" w:right="41" w:firstLine="480"/>
        <w:spacing w:before="220" w:line="384" w:lineRule="auto"/>
        <w:rPr>
          <w:rFonts w:ascii="SimSun" w:hAnsi="SimSun" w:eastAsia="SimSun" w:cs="SimSun"/>
          <w:sz w:val="24"/>
          <w:szCs w:val="24"/>
        </w:rPr>
      </w:pPr>
      <w:r>
        <w:rPr>
          <w:rFonts w:ascii="SimSun" w:hAnsi="SimSun" w:eastAsia="SimSun" w:cs="SimSun"/>
          <w:sz w:val="24"/>
          <w:szCs w:val="24"/>
        </w:rPr>
        <w:t>本项目运营过程中使用</w:t>
      </w:r>
      <w:r>
        <w:rPr>
          <w:rFonts w:ascii="Times New Roman" w:hAnsi="Times New Roman" w:eastAsia="Times New Roman" w:cs="Times New Roman"/>
          <w:sz w:val="24"/>
          <w:szCs w:val="24"/>
        </w:rPr>
        <w:t>2</w:t>
      </w:r>
      <w:r>
        <w:rPr>
          <w:rFonts w:ascii="SimSun" w:hAnsi="SimSun" w:eastAsia="SimSun" w:cs="SimSun"/>
          <w:sz w:val="24"/>
          <w:szCs w:val="24"/>
        </w:rPr>
        <w:t>台空压机，空压机需定</w:t>
      </w:r>
      <w:r>
        <w:rPr>
          <w:rFonts w:ascii="SimSun" w:hAnsi="SimSun" w:eastAsia="SimSun" w:cs="SimSun"/>
          <w:sz w:val="24"/>
          <w:szCs w:val="24"/>
          <w:spacing w:val="-1"/>
        </w:rPr>
        <w:t>期更换机油，废机油产生量</w:t>
      </w:r>
      <w:r>
        <w:rPr>
          <w:rFonts w:ascii="SimSun" w:hAnsi="SimSun" w:eastAsia="SimSun" w:cs="SimSun"/>
          <w:sz w:val="24"/>
          <w:szCs w:val="24"/>
        </w:rPr>
        <w:t xml:space="preserve"> </w:t>
      </w:r>
      <w:r>
        <w:rPr>
          <w:rFonts w:ascii="SimSun" w:hAnsi="SimSun" w:eastAsia="SimSun" w:cs="SimSun"/>
          <w:sz w:val="24"/>
          <w:szCs w:val="24"/>
          <w:spacing w:val="-2"/>
        </w:rPr>
        <w:t>约为</w:t>
      </w:r>
      <w:r>
        <w:rPr>
          <w:rFonts w:ascii="Times New Roman" w:hAnsi="Times New Roman" w:eastAsia="Times New Roman" w:cs="Times New Roman"/>
          <w:sz w:val="24"/>
          <w:szCs w:val="24"/>
          <w:spacing w:val="-2"/>
        </w:rPr>
        <w:t>0.5t/a</w:t>
      </w:r>
      <w:r>
        <w:rPr>
          <w:rFonts w:ascii="SimSun" w:hAnsi="SimSun" w:eastAsia="SimSun" w:cs="SimSun"/>
          <w:sz w:val="24"/>
          <w:szCs w:val="24"/>
          <w:spacing w:val="-2"/>
        </w:rPr>
        <w:t>，根据《国家危险废物名录》，属名录中</w:t>
      </w:r>
      <w:r>
        <w:rPr>
          <w:rFonts w:ascii="Times New Roman" w:hAnsi="Times New Roman" w:eastAsia="Times New Roman" w:cs="Times New Roman"/>
          <w:sz w:val="24"/>
          <w:szCs w:val="24"/>
          <w:spacing w:val="-2"/>
        </w:rPr>
        <w:t>HW08</w:t>
      </w:r>
      <w:r>
        <w:rPr>
          <w:rFonts w:ascii="SimSun" w:hAnsi="SimSun" w:eastAsia="SimSun" w:cs="SimSun"/>
          <w:sz w:val="24"/>
          <w:szCs w:val="24"/>
          <w:spacing w:val="-2"/>
        </w:rPr>
        <w:t>废矿物油与含</w:t>
      </w:r>
      <w:r>
        <w:rPr>
          <w:rFonts w:ascii="SimSun" w:hAnsi="SimSun" w:eastAsia="SimSun" w:cs="SimSun"/>
          <w:sz w:val="24"/>
          <w:szCs w:val="24"/>
          <w:spacing w:val="-3"/>
        </w:rPr>
        <w:t>矿物油废</w:t>
      </w:r>
      <w:r>
        <w:rPr>
          <w:rFonts w:ascii="SimSun" w:hAnsi="SimSun" w:eastAsia="SimSun" w:cs="SimSun"/>
          <w:sz w:val="24"/>
          <w:szCs w:val="24"/>
        </w:rPr>
        <w:t xml:space="preserve"> </w:t>
      </w:r>
      <w:r>
        <w:rPr>
          <w:rFonts w:ascii="SimSun" w:hAnsi="SimSun" w:eastAsia="SimSun" w:cs="SimSun"/>
          <w:sz w:val="24"/>
          <w:szCs w:val="24"/>
          <w:spacing w:val="-1"/>
        </w:rPr>
        <w:t>物，行业来源为非特定行业，废物代码分别为</w:t>
      </w:r>
      <w:r>
        <w:rPr>
          <w:rFonts w:ascii="Times New Roman" w:hAnsi="Times New Roman" w:eastAsia="Times New Roman" w:cs="Times New Roman"/>
          <w:sz w:val="24"/>
          <w:szCs w:val="24"/>
          <w:spacing w:val="-1"/>
        </w:rPr>
        <w:t>900-214</w:t>
      </w:r>
      <w:r>
        <w:rPr>
          <w:rFonts w:ascii="Times New Roman" w:hAnsi="Times New Roman" w:eastAsia="Times New Roman" w:cs="Times New Roman"/>
          <w:sz w:val="24"/>
          <w:szCs w:val="24"/>
          <w:spacing w:val="-2"/>
        </w:rPr>
        <w:t>-08</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2"/>
        </w:rPr>
        <w:t>，属车辆、机械维修和</w:t>
      </w:r>
      <w:r>
        <w:rPr>
          <w:rFonts w:ascii="SimSun" w:hAnsi="SimSun" w:eastAsia="SimSun" w:cs="SimSun"/>
          <w:sz w:val="24"/>
          <w:szCs w:val="24"/>
        </w:rPr>
        <w:t xml:space="preserve"> </w:t>
      </w:r>
      <w:r>
        <w:rPr>
          <w:rFonts w:ascii="SimSun" w:hAnsi="SimSun" w:eastAsia="SimSun" w:cs="SimSun"/>
          <w:sz w:val="24"/>
          <w:szCs w:val="24"/>
          <w:spacing w:val="-3"/>
        </w:rPr>
        <w:t>拆解过程中产生的废发动机油、制动器油、</w:t>
      </w:r>
      <w:r>
        <w:rPr>
          <w:rFonts w:ascii="SimSun" w:hAnsi="SimSun" w:eastAsia="SimSun" w:cs="SimSun"/>
          <w:sz w:val="24"/>
          <w:szCs w:val="24"/>
          <w:spacing w:val="-71"/>
        </w:rPr>
        <w:t xml:space="preserve"> </w:t>
      </w:r>
      <w:r>
        <w:rPr>
          <w:rFonts w:ascii="SimSun" w:hAnsi="SimSun" w:eastAsia="SimSun" w:cs="SimSun"/>
          <w:sz w:val="24"/>
          <w:szCs w:val="24"/>
          <w:spacing w:val="-3"/>
        </w:rPr>
        <w:t>自动变</w:t>
      </w:r>
      <w:r>
        <w:rPr>
          <w:rFonts w:ascii="SimSun" w:hAnsi="SimSun" w:eastAsia="SimSun" w:cs="SimSun"/>
          <w:sz w:val="24"/>
          <w:szCs w:val="24"/>
          <w:spacing w:val="-4"/>
        </w:rPr>
        <w:t>速器油、齿轮油等废润滑油，</w:t>
      </w:r>
    </w:p>
    <w:p>
      <w:pPr>
        <w:ind w:left="26"/>
        <w:spacing w:line="219" w:lineRule="auto"/>
        <w:rPr>
          <w:rFonts w:ascii="SimSun" w:hAnsi="SimSun" w:eastAsia="SimSun" w:cs="SimSun"/>
          <w:sz w:val="24"/>
          <w:szCs w:val="24"/>
        </w:rPr>
      </w:pPr>
      <w:r>
        <w:rPr>
          <w:rFonts w:ascii="SimSun" w:hAnsi="SimSun" w:eastAsia="SimSun" w:cs="SimSun"/>
          <w:sz w:val="24"/>
          <w:szCs w:val="24"/>
          <w:spacing w:val="-5"/>
        </w:rPr>
        <w:t>危险特性为</w:t>
      </w:r>
      <w:r>
        <w:rPr>
          <w:rFonts w:ascii="Times New Roman" w:hAnsi="Times New Roman" w:eastAsia="Times New Roman" w:cs="Times New Roman"/>
          <w:sz w:val="24"/>
          <w:szCs w:val="24"/>
          <w:spacing w:val="-5"/>
        </w:rPr>
        <w:t>T</w:t>
      </w:r>
      <w:r>
        <w:rPr>
          <w:rFonts w:ascii="Times New Roman" w:hAnsi="Times New Roman" w:eastAsia="Times New Roman" w:cs="Times New Roman"/>
          <w:sz w:val="24"/>
          <w:szCs w:val="24"/>
          <w:spacing w:val="-29"/>
        </w:rPr>
        <w:t xml:space="preserve"> </w:t>
      </w:r>
      <w:r>
        <w:rPr>
          <w:rFonts w:ascii="SimSun" w:hAnsi="SimSun" w:eastAsia="SimSun" w:cs="SimSun"/>
          <w:sz w:val="24"/>
          <w:szCs w:val="24"/>
          <w:spacing w:val="-5"/>
        </w:rPr>
        <w:t>，</w:t>
      </w:r>
      <w:r>
        <w:rPr>
          <w:rFonts w:ascii="Times New Roman" w:hAnsi="Times New Roman" w:eastAsia="Times New Roman" w:cs="Times New Roman"/>
          <w:sz w:val="24"/>
          <w:szCs w:val="24"/>
          <w:spacing w:val="-5"/>
        </w:rPr>
        <w:t>I</w:t>
      </w:r>
      <w:r>
        <w:rPr>
          <w:rFonts w:ascii="SimSun" w:hAnsi="SimSun" w:eastAsia="SimSun" w:cs="SimSun"/>
          <w:sz w:val="24"/>
          <w:szCs w:val="24"/>
          <w:spacing w:val="-5"/>
        </w:rPr>
        <w:t>。</w:t>
      </w:r>
    </w:p>
    <w:p>
      <w:pPr>
        <w:ind w:left="514"/>
        <w:spacing w:before="227"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）危险废物管理要求</w:t>
      </w:r>
    </w:p>
    <w:p>
      <w:pPr>
        <w:ind w:left="506"/>
        <w:spacing w:before="194" w:line="480" w:lineRule="exact"/>
        <w:rPr>
          <w:rFonts w:ascii="SimSun" w:hAnsi="SimSun" w:eastAsia="SimSun" w:cs="SimSun"/>
          <w:sz w:val="24"/>
          <w:szCs w:val="24"/>
        </w:rPr>
      </w:pPr>
      <w:r>
        <w:rPr>
          <w:rFonts w:ascii="SimSun" w:hAnsi="SimSun" w:eastAsia="SimSun" w:cs="SimSun"/>
          <w:sz w:val="24"/>
          <w:szCs w:val="24"/>
          <w:spacing w:val="-3"/>
          <w:position w:val="18"/>
        </w:rPr>
        <w:t>危险废物管理包括危险废物贮存措施、危险废物转运措施</w:t>
      </w:r>
      <w:r>
        <w:rPr>
          <w:rFonts w:ascii="SimSun" w:hAnsi="SimSun" w:eastAsia="SimSun" w:cs="SimSun"/>
          <w:sz w:val="24"/>
          <w:szCs w:val="24"/>
          <w:spacing w:val="-4"/>
          <w:position w:val="18"/>
        </w:rPr>
        <w:t>、危险废物安全处</w:t>
      </w:r>
    </w:p>
    <w:p>
      <w:pPr>
        <w:ind w:left="21"/>
        <w:spacing w:before="1" w:line="218" w:lineRule="auto"/>
        <w:rPr>
          <w:rFonts w:ascii="Times New Roman" w:hAnsi="Times New Roman" w:eastAsia="Times New Roman" w:cs="Times New Roman"/>
          <w:sz w:val="24"/>
          <w:szCs w:val="24"/>
        </w:rPr>
      </w:pPr>
      <w:r>
        <w:rPr>
          <w:rFonts w:ascii="SimSun" w:hAnsi="SimSun" w:eastAsia="SimSun" w:cs="SimSun"/>
          <w:sz w:val="24"/>
          <w:szCs w:val="24"/>
        </w:rPr>
        <w:t>置措施等环节。本次环评要求严格按照《危险废物贮存污</w:t>
      </w:r>
      <w:r>
        <w:rPr>
          <w:rFonts w:ascii="SimSun" w:hAnsi="SimSun" w:eastAsia="SimSun" w:cs="SimSun"/>
          <w:sz w:val="24"/>
          <w:szCs w:val="24"/>
          <w:spacing w:val="-1"/>
        </w:rPr>
        <w:t>染控制标准》（</w:t>
      </w:r>
      <w:r>
        <w:rPr>
          <w:rFonts w:ascii="Times New Roman" w:hAnsi="Times New Roman" w:eastAsia="Times New Roman" w:cs="Times New Roman"/>
          <w:sz w:val="24"/>
          <w:szCs w:val="24"/>
          <w:spacing w:val="-1"/>
        </w:rPr>
        <w:t>GB</w:t>
      </w:r>
    </w:p>
    <w:p>
      <w:pPr>
        <w:ind w:left="25" w:right="76" w:firstLine="16"/>
        <w:spacing w:before="197" w:line="369" w:lineRule="auto"/>
        <w:rPr>
          <w:rFonts w:ascii="SimSun" w:hAnsi="SimSun" w:eastAsia="SimSun" w:cs="SimSun"/>
          <w:sz w:val="24"/>
          <w:szCs w:val="24"/>
        </w:rPr>
      </w:pPr>
      <w:r>
        <w:rPr>
          <w:rFonts w:ascii="Times New Roman" w:hAnsi="Times New Roman" w:eastAsia="Times New Roman" w:cs="Times New Roman"/>
          <w:sz w:val="24"/>
          <w:szCs w:val="24"/>
          <w:spacing w:val="-1"/>
        </w:rPr>
        <w:t>18597-2023</w:t>
      </w:r>
      <w:r>
        <w:rPr>
          <w:rFonts w:ascii="SimSun" w:hAnsi="SimSun" w:eastAsia="SimSun" w:cs="SimSun"/>
          <w:sz w:val="24"/>
          <w:szCs w:val="24"/>
          <w:spacing w:val="-1"/>
        </w:rPr>
        <w:t>）、《危险废物收集 贮存 运输技术规范》（</w:t>
      </w:r>
      <w:r>
        <w:rPr>
          <w:rFonts w:ascii="Times New Roman" w:hAnsi="Times New Roman" w:eastAsia="Times New Roman" w:cs="Times New Roman"/>
          <w:sz w:val="24"/>
          <w:szCs w:val="24"/>
          <w:spacing w:val="-1"/>
        </w:rPr>
        <w:t>HJ2025-2012</w:t>
      </w:r>
      <w:r>
        <w:rPr>
          <w:rFonts w:ascii="SimSun" w:hAnsi="SimSun" w:eastAsia="SimSun" w:cs="SimSun"/>
          <w:sz w:val="24"/>
          <w:szCs w:val="24"/>
          <w:spacing w:val="-1"/>
        </w:rPr>
        <w:t>）和</w:t>
      </w:r>
      <w:r>
        <w:rPr>
          <w:rFonts w:ascii="SimSun" w:hAnsi="SimSun" w:eastAsia="SimSun" w:cs="SimSun"/>
          <w:sz w:val="24"/>
          <w:szCs w:val="24"/>
          <w:spacing w:val="-2"/>
        </w:rPr>
        <w:t>《危 </w:t>
      </w:r>
      <w:r>
        <w:rPr>
          <w:rFonts w:ascii="SimSun" w:hAnsi="SimSun" w:eastAsia="SimSun" w:cs="SimSun"/>
          <w:sz w:val="24"/>
          <w:szCs w:val="24"/>
          <w:spacing w:val="-3"/>
        </w:rPr>
        <w:t>险废物转移管理办法》（生态环境部 公安部 </w:t>
      </w:r>
      <w:r>
        <w:rPr>
          <w:rFonts w:ascii="SimSun" w:hAnsi="SimSun" w:eastAsia="SimSun" w:cs="SimSun"/>
          <w:sz w:val="24"/>
          <w:szCs w:val="24"/>
          <w:spacing w:val="-4"/>
        </w:rPr>
        <w:t>交通运输部 部令第</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4"/>
        </w:rPr>
        <w:t>23</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4"/>
        </w:rPr>
        <w:t>号）相关要</w:t>
      </w:r>
      <w:r>
        <w:rPr>
          <w:rFonts w:ascii="SimSun" w:hAnsi="SimSun" w:eastAsia="SimSun" w:cs="SimSun"/>
          <w:sz w:val="24"/>
          <w:szCs w:val="24"/>
        </w:rPr>
        <w:t xml:space="preserve"> </w:t>
      </w:r>
      <w:r>
        <w:rPr>
          <w:rFonts w:ascii="SimSun" w:hAnsi="SimSun" w:eastAsia="SimSun" w:cs="SimSun"/>
          <w:sz w:val="24"/>
          <w:szCs w:val="24"/>
          <w:spacing w:val="-3"/>
        </w:rPr>
        <w:t>求对其进行贮存、转移及制度性管理。根据国家产生危险废物的单位应当以控制</w:t>
      </w:r>
      <w:r>
        <w:rPr>
          <w:rFonts w:ascii="SimSun" w:hAnsi="SimSun" w:eastAsia="SimSun" w:cs="SimSun"/>
          <w:sz w:val="24"/>
          <w:szCs w:val="24"/>
        </w:rPr>
        <w:t xml:space="preserve"> </w:t>
      </w:r>
      <w:r>
        <w:rPr>
          <w:rFonts w:ascii="SimSun" w:hAnsi="SimSun" w:eastAsia="SimSun" w:cs="SimSun"/>
          <w:sz w:val="24"/>
          <w:szCs w:val="24"/>
          <w:spacing w:val="-3"/>
        </w:rPr>
        <w:t>危险废物的环境风险为目标，企业应制定危险废物管理计划和应急预案并报所在</w:t>
      </w:r>
    </w:p>
    <w:p>
      <w:pPr>
        <w:ind w:left="23"/>
        <w:spacing w:before="1" w:line="219" w:lineRule="auto"/>
        <w:rPr>
          <w:rFonts w:ascii="SimSun" w:hAnsi="SimSun" w:eastAsia="SimSun" w:cs="SimSun"/>
          <w:sz w:val="24"/>
          <w:szCs w:val="24"/>
        </w:rPr>
      </w:pPr>
      <w:r>
        <w:rPr>
          <w:rFonts w:ascii="SimSun" w:hAnsi="SimSun" w:eastAsia="SimSun" w:cs="SimSun"/>
          <w:sz w:val="24"/>
          <w:szCs w:val="24"/>
          <w:spacing w:val="-1"/>
        </w:rPr>
        <w:t>地县级以上地方环保部门备案。</w:t>
      </w:r>
    </w:p>
    <w:p>
      <w:pPr>
        <w:ind w:left="504"/>
        <w:spacing w:before="184" w:line="219" w:lineRule="auto"/>
        <w:rPr>
          <w:rFonts w:ascii="SimSun" w:hAnsi="SimSun" w:eastAsia="SimSun" w:cs="SimSun"/>
          <w:sz w:val="24"/>
          <w:szCs w:val="24"/>
        </w:rPr>
      </w:pPr>
      <w:r>
        <w:rPr>
          <w:rFonts w:ascii="SimSun" w:hAnsi="SimSun" w:eastAsia="SimSun" w:cs="SimSun"/>
          <w:sz w:val="24"/>
          <w:szCs w:val="24"/>
          <w:spacing w:val="4"/>
        </w:rPr>
        <w:t>本项目产生的危险废物依托企业已建暂存间，已建危废间储存种类包含废</w:t>
      </w:r>
    </w:p>
    <w:p>
      <w:pPr>
        <w:spacing w:line="219" w:lineRule="auto"/>
        <w:sectPr>
          <w:footerReference w:type="default" r:id="rId104"/>
          <w:pgSz w:w="11906" w:h="16839"/>
          <w:pgMar w:top="400" w:right="1723" w:bottom="1211" w:left="1785" w:header="0" w:footer="1049" w:gutter="0"/>
        </w:sectPr>
        <w:rPr>
          <w:rFonts w:ascii="SimSun" w:hAnsi="SimSun" w:eastAsia="SimSun" w:cs="SimSun"/>
          <w:sz w:val="24"/>
          <w:szCs w:val="24"/>
        </w:rPr>
      </w:pPr>
    </w:p>
    <w:p>
      <w:pPr>
        <w:pStyle w:val="BodyText"/>
        <w:spacing w:line="287" w:lineRule="auto"/>
        <w:rPr/>
      </w:pPr>
      <w:r/>
    </w:p>
    <w:p>
      <w:pPr>
        <w:pStyle w:val="BodyText"/>
        <w:spacing w:line="287" w:lineRule="auto"/>
        <w:rPr/>
      </w:pPr>
      <w:r/>
    </w:p>
    <w:p>
      <w:pPr>
        <w:pStyle w:val="BodyText"/>
        <w:spacing w:line="287" w:lineRule="auto"/>
        <w:rPr/>
      </w:pPr>
      <w:r/>
    </w:p>
    <w:p>
      <w:pPr>
        <w:pStyle w:val="BodyText"/>
        <w:spacing w:line="288" w:lineRule="auto"/>
        <w:rPr/>
      </w:pPr>
      <w:r/>
    </w:p>
    <w:p>
      <w:pPr>
        <w:ind w:left="26" w:hanging="11"/>
        <w:spacing w:before="78" w:line="385" w:lineRule="auto"/>
        <w:jc w:val="both"/>
        <w:rPr>
          <w:rFonts w:ascii="SimSun" w:hAnsi="SimSun" w:eastAsia="SimSun" w:cs="SimSun"/>
          <w:sz w:val="24"/>
          <w:szCs w:val="24"/>
        </w:rPr>
      </w:pPr>
      <w:r>
        <w:rPr>
          <w:rFonts w:ascii="Times New Roman" w:hAnsi="Times New Roman" w:eastAsia="Times New Roman" w:cs="Times New Roman"/>
          <w:sz w:val="24"/>
          <w:szCs w:val="24"/>
          <w:spacing w:val="-3"/>
        </w:rPr>
        <w:t>UV</w:t>
      </w:r>
      <w:r>
        <w:rPr>
          <w:rFonts w:ascii="SimSun" w:hAnsi="SimSun" w:eastAsia="SimSun" w:cs="SimSun"/>
          <w:sz w:val="24"/>
          <w:szCs w:val="24"/>
          <w:spacing w:val="-3"/>
        </w:rPr>
        <w:t>光氧灯管，因此，本项目依托现有危险废物</w:t>
      </w:r>
      <w:r>
        <w:rPr>
          <w:rFonts w:ascii="SimSun" w:hAnsi="SimSun" w:eastAsia="SimSun" w:cs="SimSun"/>
          <w:sz w:val="24"/>
          <w:szCs w:val="24"/>
          <w:spacing w:val="-4"/>
        </w:rPr>
        <w:t>暂存间合理可行，无需进行改造。</w:t>
      </w:r>
      <w:r>
        <w:rPr>
          <w:rFonts w:ascii="SimSun" w:hAnsi="SimSun" w:eastAsia="SimSun" w:cs="SimSun"/>
          <w:sz w:val="24"/>
          <w:szCs w:val="24"/>
        </w:rPr>
        <w:t xml:space="preserve"> </w:t>
      </w:r>
      <w:r>
        <w:rPr>
          <w:rFonts w:ascii="SimSun" w:hAnsi="SimSun" w:eastAsia="SimSun" w:cs="SimSun"/>
          <w:sz w:val="24"/>
          <w:szCs w:val="24"/>
          <w:spacing w:val="-6"/>
        </w:rPr>
        <w:t>危险废物贮存需满足《危险废物贮存污染控制标准》（</w:t>
      </w:r>
      <w:r>
        <w:rPr>
          <w:rFonts w:ascii="Times New Roman" w:hAnsi="Times New Roman" w:eastAsia="Times New Roman" w:cs="Times New Roman"/>
          <w:sz w:val="24"/>
          <w:szCs w:val="24"/>
          <w:spacing w:val="-7"/>
        </w:rPr>
        <w:t>GB</w:t>
      </w:r>
      <w:r>
        <w:rPr>
          <w:rFonts w:ascii="Times New Roman" w:hAnsi="Times New Roman" w:eastAsia="Times New Roman" w:cs="Times New Roman"/>
          <w:sz w:val="24"/>
          <w:szCs w:val="24"/>
          <w:spacing w:val="30"/>
        </w:rPr>
        <w:t xml:space="preserve"> </w:t>
      </w:r>
      <w:r>
        <w:rPr>
          <w:rFonts w:ascii="Times New Roman" w:hAnsi="Times New Roman" w:eastAsia="Times New Roman" w:cs="Times New Roman"/>
          <w:sz w:val="24"/>
          <w:szCs w:val="24"/>
          <w:spacing w:val="-7"/>
        </w:rPr>
        <w:t>18597-2023</w:t>
      </w:r>
      <w:r>
        <w:rPr>
          <w:rFonts w:ascii="SimSun" w:hAnsi="SimSun" w:eastAsia="SimSun" w:cs="SimSun"/>
          <w:sz w:val="24"/>
          <w:szCs w:val="24"/>
          <w:spacing w:val="-7"/>
        </w:rPr>
        <w:t>）以及《危 </w:t>
      </w:r>
      <w:r>
        <w:rPr>
          <w:rFonts w:ascii="SimSun" w:hAnsi="SimSun" w:eastAsia="SimSun" w:cs="SimSun"/>
          <w:sz w:val="24"/>
          <w:szCs w:val="24"/>
          <w:spacing w:val="1"/>
        </w:rPr>
        <w:t>险废物收集 贮存 运输技术规范》（</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1"/>
        </w:rPr>
        <w:t>2025-20</w:t>
      </w:r>
      <w:r>
        <w:rPr>
          <w:rFonts w:ascii="Times New Roman" w:hAnsi="Times New Roman" w:eastAsia="Times New Roman" w:cs="Times New Roman"/>
          <w:sz w:val="24"/>
          <w:szCs w:val="24"/>
        </w:rPr>
        <w:t>12</w:t>
      </w:r>
      <w:r>
        <w:rPr>
          <w:rFonts w:ascii="SimSun" w:hAnsi="SimSun" w:eastAsia="SimSun" w:cs="SimSun"/>
          <w:sz w:val="24"/>
          <w:szCs w:val="24"/>
        </w:rPr>
        <w:t>）要求，委托有资质的单位进</w:t>
      </w:r>
    </w:p>
    <w:p>
      <w:pPr>
        <w:ind w:left="27"/>
        <w:spacing w:line="218" w:lineRule="auto"/>
        <w:rPr>
          <w:rFonts w:ascii="SimSun" w:hAnsi="SimSun" w:eastAsia="SimSun" w:cs="SimSun"/>
          <w:sz w:val="24"/>
          <w:szCs w:val="24"/>
        </w:rPr>
      </w:pPr>
      <w:r>
        <w:rPr>
          <w:rFonts w:ascii="SimSun" w:hAnsi="SimSun" w:eastAsia="SimSun" w:cs="SimSun"/>
          <w:sz w:val="24"/>
          <w:szCs w:val="24"/>
          <w:spacing w:val="-1"/>
        </w:rPr>
        <w:t>行处置。本项目危险废物在收集、转运时需满足以下要求：</w:t>
      </w:r>
    </w:p>
    <w:p>
      <w:pPr>
        <w:ind w:left="502"/>
        <w:spacing w:before="215" w:line="217" w:lineRule="auto"/>
        <w:rPr>
          <w:rFonts w:ascii="SimSun" w:hAnsi="SimSun" w:eastAsia="SimSun" w:cs="SimSun"/>
          <w:sz w:val="24"/>
          <w:szCs w:val="24"/>
        </w:rPr>
      </w:pPr>
      <w:r>
        <w:rPr>
          <w:rFonts w:ascii="SimSun" w:hAnsi="SimSun" w:eastAsia="SimSun" w:cs="SimSun"/>
          <w:sz w:val="24"/>
          <w:szCs w:val="24"/>
          <w:spacing w:val="-2"/>
        </w:rPr>
        <w:t>①危险废物的收集</w:t>
      </w:r>
    </w:p>
    <w:p>
      <w:pPr>
        <w:ind w:left="25" w:right="80" w:firstLine="477"/>
        <w:spacing w:before="215" w:line="385" w:lineRule="auto"/>
        <w:rPr>
          <w:rFonts w:ascii="SimSun" w:hAnsi="SimSun" w:eastAsia="SimSun" w:cs="SimSun"/>
          <w:sz w:val="24"/>
          <w:szCs w:val="24"/>
        </w:rPr>
      </w:pPr>
      <w:r>
        <w:rPr>
          <w:rFonts w:ascii="Times New Roman" w:hAnsi="Times New Roman" w:eastAsia="Times New Roman" w:cs="Times New Roman"/>
          <w:sz w:val="24"/>
          <w:szCs w:val="24"/>
          <w:spacing w:val="-1"/>
        </w:rPr>
        <w:t>a.</w:t>
      </w:r>
      <w:r>
        <w:rPr>
          <w:rFonts w:ascii="SimSun" w:hAnsi="SimSun" w:eastAsia="SimSun" w:cs="SimSun"/>
          <w:sz w:val="24"/>
          <w:szCs w:val="24"/>
          <w:spacing w:val="-1"/>
        </w:rPr>
        <w:t>危险废物产生单位进行的危险废物收集包括两个方面，一是在危险废物产</w:t>
      </w:r>
      <w:r>
        <w:rPr>
          <w:rFonts w:ascii="SimSun" w:hAnsi="SimSun" w:eastAsia="SimSun" w:cs="SimSun"/>
          <w:sz w:val="24"/>
          <w:szCs w:val="24"/>
          <w:spacing w:val="4"/>
        </w:rPr>
        <w:t xml:space="preserve"> </w:t>
      </w:r>
      <w:r>
        <w:rPr>
          <w:rFonts w:ascii="SimSun" w:hAnsi="SimSun" w:eastAsia="SimSun" w:cs="SimSun"/>
          <w:sz w:val="24"/>
          <w:szCs w:val="24"/>
          <w:spacing w:val="-3"/>
        </w:rPr>
        <w:t>生节点将危险废物集中到适当的包装容器中或运输车辆上的活动；二是将已包装</w:t>
      </w:r>
      <w:r>
        <w:rPr>
          <w:rFonts w:ascii="SimSun" w:hAnsi="SimSun" w:eastAsia="SimSun" w:cs="SimSun"/>
          <w:sz w:val="24"/>
          <w:szCs w:val="24"/>
        </w:rPr>
        <w:t xml:space="preserve"> </w:t>
      </w:r>
      <w:r>
        <w:rPr>
          <w:rFonts w:ascii="SimSun" w:hAnsi="SimSun" w:eastAsia="SimSun" w:cs="SimSun"/>
          <w:sz w:val="24"/>
          <w:szCs w:val="24"/>
          <w:spacing w:val="4"/>
        </w:rPr>
        <w:t>或装到运输车辆上的危险废物集中到危险废物产生单位内部临时贮存设</w:t>
      </w:r>
      <w:r>
        <w:rPr>
          <w:rFonts w:ascii="SimSun" w:hAnsi="SimSun" w:eastAsia="SimSun" w:cs="SimSun"/>
          <w:sz w:val="24"/>
          <w:szCs w:val="24"/>
          <w:spacing w:val="3"/>
        </w:rPr>
        <w:t>施的内</w:t>
      </w:r>
    </w:p>
    <w:p>
      <w:pPr>
        <w:ind w:left="26"/>
        <w:spacing w:line="219" w:lineRule="auto"/>
        <w:rPr>
          <w:rFonts w:ascii="SimSun" w:hAnsi="SimSun" w:eastAsia="SimSun" w:cs="SimSun"/>
          <w:sz w:val="24"/>
          <w:szCs w:val="24"/>
        </w:rPr>
      </w:pPr>
      <w:r>
        <w:rPr>
          <w:rFonts w:ascii="SimSun" w:hAnsi="SimSun" w:eastAsia="SimSun" w:cs="SimSun"/>
          <w:sz w:val="24"/>
          <w:szCs w:val="24"/>
          <w:spacing w:val="-4"/>
        </w:rPr>
        <w:t>部转运。</w:t>
      </w:r>
    </w:p>
    <w:p>
      <w:pPr>
        <w:ind w:left="493"/>
        <w:spacing w:before="216" w:line="499" w:lineRule="exact"/>
        <w:rPr>
          <w:rFonts w:ascii="SimSun" w:hAnsi="SimSun" w:eastAsia="SimSun" w:cs="SimSun"/>
          <w:sz w:val="24"/>
          <w:szCs w:val="24"/>
        </w:rPr>
      </w:pPr>
      <w:r>
        <w:rPr>
          <w:rFonts w:ascii="Times New Roman" w:hAnsi="Times New Roman" w:eastAsia="Times New Roman" w:cs="Times New Roman"/>
          <w:sz w:val="24"/>
          <w:szCs w:val="24"/>
          <w:spacing w:val="-1"/>
          <w:position w:val="19"/>
        </w:rPr>
        <w:t>b.</w:t>
      </w:r>
      <w:r>
        <w:rPr>
          <w:rFonts w:ascii="SimSun" w:hAnsi="SimSun" w:eastAsia="SimSun" w:cs="SimSun"/>
          <w:sz w:val="24"/>
          <w:szCs w:val="24"/>
          <w:spacing w:val="-1"/>
          <w:position w:val="19"/>
        </w:rPr>
        <w:t>危险废物的收集应根据危险废物产生的工艺特征、排放周期、危险废物特</w:t>
      </w:r>
    </w:p>
    <w:p>
      <w:pPr>
        <w:ind w:left="26"/>
        <w:spacing w:line="219" w:lineRule="auto"/>
        <w:rPr>
          <w:rFonts w:ascii="SimSun" w:hAnsi="SimSun" w:eastAsia="SimSun" w:cs="SimSun"/>
          <w:sz w:val="24"/>
          <w:szCs w:val="24"/>
        </w:rPr>
      </w:pPr>
      <w:r>
        <w:rPr>
          <w:rFonts w:ascii="SimSun" w:hAnsi="SimSun" w:eastAsia="SimSun" w:cs="SimSun"/>
          <w:sz w:val="24"/>
          <w:szCs w:val="24"/>
          <w:spacing w:val="-1"/>
        </w:rPr>
        <w:t>性、废物管理计划等因素制定收集计划。</w:t>
      </w:r>
    </w:p>
    <w:p>
      <w:pPr>
        <w:ind w:left="502"/>
        <w:spacing w:before="215" w:line="501" w:lineRule="exact"/>
        <w:rPr>
          <w:rFonts w:ascii="SimSun" w:hAnsi="SimSun" w:eastAsia="SimSun" w:cs="SimSun"/>
          <w:sz w:val="24"/>
          <w:szCs w:val="24"/>
        </w:rPr>
      </w:pPr>
      <w:r>
        <w:rPr>
          <w:rFonts w:ascii="Times New Roman" w:hAnsi="Times New Roman" w:eastAsia="Times New Roman" w:cs="Times New Roman"/>
          <w:sz w:val="24"/>
          <w:szCs w:val="24"/>
          <w:spacing w:val="-1"/>
          <w:position w:val="19"/>
        </w:rPr>
        <w:t>c.</w:t>
      </w:r>
      <w:r>
        <w:rPr>
          <w:rFonts w:ascii="SimSun" w:hAnsi="SimSun" w:eastAsia="SimSun" w:cs="SimSun"/>
          <w:sz w:val="24"/>
          <w:szCs w:val="24"/>
          <w:spacing w:val="-1"/>
          <w:position w:val="19"/>
        </w:rPr>
        <w:t>危险废物的收集应制定详细的操作规程，内容至少应包括适用范围、操作</w:t>
      </w:r>
    </w:p>
    <w:p>
      <w:pPr>
        <w:ind w:left="22"/>
        <w:spacing w:before="1" w:line="219" w:lineRule="auto"/>
        <w:rPr>
          <w:rFonts w:ascii="SimSun" w:hAnsi="SimSun" w:eastAsia="SimSun" w:cs="SimSun"/>
          <w:sz w:val="24"/>
          <w:szCs w:val="24"/>
        </w:rPr>
      </w:pPr>
      <w:r>
        <w:rPr>
          <w:rFonts w:ascii="SimSun" w:hAnsi="SimSun" w:eastAsia="SimSun" w:cs="SimSun"/>
          <w:sz w:val="24"/>
          <w:szCs w:val="24"/>
        </w:rPr>
        <w:t>程序和方法、专用设备和工具、转移和交接、安</w:t>
      </w:r>
      <w:r>
        <w:rPr>
          <w:rFonts w:ascii="SimSun" w:hAnsi="SimSun" w:eastAsia="SimSun" w:cs="SimSun"/>
          <w:sz w:val="24"/>
          <w:szCs w:val="24"/>
          <w:spacing w:val="-1"/>
        </w:rPr>
        <w:t>全保障和应急防护等。</w:t>
      </w:r>
    </w:p>
    <w:p>
      <w:pPr>
        <w:ind w:right="46"/>
        <w:spacing w:before="214" w:line="499" w:lineRule="exact"/>
        <w:jc w:val="right"/>
        <w:rPr>
          <w:rFonts w:ascii="SimSun" w:hAnsi="SimSun" w:eastAsia="SimSun" w:cs="SimSun"/>
          <w:sz w:val="24"/>
          <w:szCs w:val="24"/>
        </w:rPr>
      </w:pPr>
      <w:r>
        <w:rPr>
          <w:rFonts w:ascii="Times New Roman" w:hAnsi="Times New Roman" w:eastAsia="Times New Roman" w:cs="Times New Roman"/>
          <w:sz w:val="24"/>
          <w:szCs w:val="24"/>
          <w:position w:val="19"/>
        </w:rPr>
        <w:t>d.</w:t>
      </w:r>
      <w:r>
        <w:rPr>
          <w:rFonts w:ascii="SimSun" w:hAnsi="SimSun" w:eastAsia="SimSun" w:cs="SimSun"/>
          <w:sz w:val="24"/>
          <w:szCs w:val="24"/>
          <w:position w:val="19"/>
        </w:rPr>
        <w:t>危险废物收集和转运作业人员应根据工作需要配备必</w:t>
      </w:r>
      <w:r>
        <w:rPr>
          <w:rFonts w:ascii="SimSun" w:hAnsi="SimSun" w:eastAsia="SimSun" w:cs="SimSun"/>
          <w:sz w:val="24"/>
          <w:szCs w:val="24"/>
          <w:spacing w:val="-1"/>
          <w:position w:val="19"/>
        </w:rPr>
        <w:t>要的个人防护装备，</w:t>
      </w:r>
    </w:p>
    <w:p>
      <w:pPr>
        <w:ind w:left="27"/>
        <w:spacing w:line="219" w:lineRule="auto"/>
        <w:rPr>
          <w:rFonts w:ascii="SimSun" w:hAnsi="SimSun" w:eastAsia="SimSun" w:cs="SimSun"/>
          <w:sz w:val="24"/>
          <w:szCs w:val="24"/>
        </w:rPr>
      </w:pPr>
      <w:r>
        <w:rPr>
          <w:rFonts w:ascii="SimSun" w:hAnsi="SimSun" w:eastAsia="SimSun" w:cs="SimSun"/>
          <w:sz w:val="24"/>
          <w:szCs w:val="24"/>
          <w:spacing w:val="-1"/>
        </w:rPr>
        <w:t>如手套、防护镜、防护服、防毒面具或口罩等。</w:t>
      </w:r>
    </w:p>
    <w:p>
      <w:pPr>
        <w:ind w:left="22" w:right="82" w:firstLine="480"/>
        <w:spacing w:before="217" w:line="384" w:lineRule="auto"/>
        <w:rPr>
          <w:rFonts w:ascii="SimSun" w:hAnsi="SimSun" w:eastAsia="SimSun" w:cs="SimSun"/>
          <w:sz w:val="24"/>
          <w:szCs w:val="24"/>
        </w:rPr>
      </w:pPr>
      <w:r>
        <w:rPr>
          <w:rFonts w:ascii="Times New Roman" w:hAnsi="Times New Roman" w:eastAsia="Times New Roman" w:cs="Times New Roman"/>
          <w:sz w:val="24"/>
          <w:szCs w:val="24"/>
          <w:spacing w:val="6"/>
        </w:rPr>
        <w:t>e.</w:t>
      </w:r>
      <w:r>
        <w:rPr>
          <w:rFonts w:ascii="SimSun" w:hAnsi="SimSun" w:eastAsia="SimSun" w:cs="SimSun"/>
          <w:sz w:val="24"/>
          <w:szCs w:val="24"/>
          <w:spacing w:val="6"/>
        </w:rPr>
        <w:t>在危险废物的收集和转运过程中，应采取相应的安全防护和污染防治措</w:t>
      </w:r>
      <w:r>
        <w:rPr>
          <w:rFonts w:ascii="SimSun" w:hAnsi="SimSun" w:eastAsia="SimSun" w:cs="SimSun"/>
          <w:sz w:val="24"/>
          <w:szCs w:val="24"/>
          <w:spacing w:val="9"/>
        </w:rPr>
        <w:t xml:space="preserve"> </w:t>
      </w:r>
      <w:r>
        <w:rPr>
          <w:rFonts w:ascii="SimSun" w:hAnsi="SimSun" w:eastAsia="SimSun" w:cs="SimSun"/>
          <w:sz w:val="24"/>
          <w:szCs w:val="24"/>
          <w:spacing w:val="-3"/>
        </w:rPr>
        <w:t>施，包括防爆、防火、防中毒、防感染、防泄露、防飞扬、防雨或其它防止污染</w:t>
      </w:r>
    </w:p>
    <w:p>
      <w:pPr>
        <w:ind w:left="23"/>
        <w:spacing w:line="220" w:lineRule="auto"/>
        <w:rPr>
          <w:rFonts w:ascii="SimSun" w:hAnsi="SimSun" w:eastAsia="SimSun" w:cs="SimSun"/>
          <w:sz w:val="24"/>
          <w:szCs w:val="24"/>
        </w:rPr>
      </w:pPr>
      <w:r>
        <w:rPr>
          <w:rFonts w:ascii="SimSun" w:hAnsi="SimSun" w:eastAsia="SimSun" w:cs="SimSun"/>
          <w:sz w:val="24"/>
          <w:szCs w:val="24"/>
          <w:spacing w:val="-2"/>
        </w:rPr>
        <w:t>环境的措施。</w:t>
      </w:r>
    </w:p>
    <w:p>
      <w:pPr>
        <w:ind w:right="73"/>
        <w:spacing w:before="215" w:line="500" w:lineRule="exact"/>
        <w:jc w:val="right"/>
        <w:rPr>
          <w:rFonts w:ascii="SimSun" w:hAnsi="SimSun" w:eastAsia="SimSun" w:cs="SimSun"/>
          <w:sz w:val="24"/>
          <w:szCs w:val="24"/>
        </w:rPr>
      </w:pPr>
      <w:r>
        <w:rPr>
          <w:rFonts w:ascii="Times New Roman" w:hAnsi="Times New Roman" w:eastAsia="Times New Roman" w:cs="Times New Roman"/>
          <w:sz w:val="24"/>
          <w:szCs w:val="24"/>
          <w:position w:val="19"/>
        </w:rPr>
        <w:t>f.</w:t>
      </w:r>
      <w:r>
        <w:rPr>
          <w:rFonts w:ascii="SimSun" w:hAnsi="SimSun" w:eastAsia="SimSun" w:cs="SimSun"/>
          <w:sz w:val="24"/>
          <w:szCs w:val="24"/>
          <w:position w:val="19"/>
        </w:rPr>
        <w:t>危险废物收集时应根据危险废物的种类、数量、危险特性、物理形态、运</w:t>
      </w:r>
    </w:p>
    <w:p>
      <w:pPr>
        <w:ind w:left="22"/>
        <w:spacing w:line="219" w:lineRule="auto"/>
        <w:rPr>
          <w:rFonts w:ascii="SimSun" w:hAnsi="SimSun" w:eastAsia="SimSun" w:cs="SimSun"/>
          <w:sz w:val="24"/>
          <w:szCs w:val="24"/>
        </w:rPr>
      </w:pPr>
      <w:r>
        <w:rPr>
          <w:rFonts w:ascii="SimSun" w:hAnsi="SimSun" w:eastAsia="SimSun" w:cs="SimSun"/>
          <w:sz w:val="24"/>
          <w:szCs w:val="24"/>
          <w:spacing w:val="-1"/>
        </w:rPr>
        <w:t>输要求等因素确定包装形式。</w:t>
      </w:r>
    </w:p>
    <w:p>
      <w:pPr>
        <w:ind w:left="501"/>
        <w:spacing w:before="214" w:line="217" w:lineRule="auto"/>
        <w:rPr>
          <w:rFonts w:ascii="SimSun" w:hAnsi="SimSun" w:eastAsia="SimSun" w:cs="SimSun"/>
          <w:sz w:val="24"/>
          <w:szCs w:val="24"/>
        </w:rPr>
      </w:pPr>
      <w:r>
        <w:rPr>
          <w:rFonts w:ascii="SimSun" w:hAnsi="SimSun" w:eastAsia="SimSun" w:cs="SimSun"/>
          <w:sz w:val="24"/>
          <w:szCs w:val="24"/>
          <w:spacing w:val="-2"/>
        </w:rPr>
        <w:t>②危险废物贮存</w:t>
      </w:r>
    </w:p>
    <w:p>
      <w:pPr>
        <w:ind w:left="502"/>
        <w:spacing w:before="220" w:line="219" w:lineRule="auto"/>
        <w:rPr>
          <w:rFonts w:ascii="SimSun" w:hAnsi="SimSun" w:eastAsia="SimSun" w:cs="SimSun"/>
          <w:sz w:val="24"/>
          <w:szCs w:val="24"/>
        </w:rPr>
      </w:pPr>
      <w:r>
        <w:rPr>
          <w:rFonts w:ascii="Times New Roman" w:hAnsi="Times New Roman" w:eastAsia="Times New Roman" w:cs="Times New Roman"/>
          <w:sz w:val="24"/>
          <w:szCs w:val="24"/>
        </w:rPr>
        <w:t>a.</w:t>
      </w:r>
      <w:r>
        <w:rPr>
          <w:rFonts w:ascii="SimSun" w:hAnsi="SimSun" w:eastAsia="SimSun" w:cs="SimSun"/>
          <w:sz w:val="24"/>
          <w:szCs w:val="24"/>
        </w:rPr>
        <w:t>所有危险废物产生者和危险废物经营者应建造专</w:t>
      </w:r>
      <w:r>
        <w:rPr>
          <w:rFonts w:ascii="SimSun" w:hAnsi="SimSun" w:eastAsia="SimSun" w:cs="SimSun"/>
          <w:sz w:val="24"/>
          <w:szCs w:val="24"/>
          <w:spacing w:val="-1"/>
        </w:rPr>
        <w:t>用的危险废物贮存设施。</w:t>
      </w:r>
    </w:p>
    <w:p>
      <w:pPr>
        <w:ind w:right="69"/>
        <w:spacing w:before="214" w:line="499" w:lineRule="exact"/>
        <w:jc w:val="right"/>
        <w:rPr>
          <w:rFonts w:ascii="SimSun" w:hAnsi="SimSun" w:eastAsia="SimSun" w:cs="SimSun"/>
          <w:sz w:val="24"/>
          <w:szCs w:val="24"/>
        </w:rPr>
      </w:pPr>
      <w:r>
        <w:rPr>
          <w:rFonts w:ascii="Times New Roman" w:hAnsi="Times New Roman" w:eastAsia="Times New Roman" w:cs="Times New Roman"/>
          <w:sz w:val="24"/>
          <w:szCs w:val="24"/>
          <w:spacing w:val="-1"/>
          <w:position w:val="19"/>
        </w:rPr>
        <w:t>b.</w:t>
      </w:r>
      <w:r>
        <w:rPr>
          <w:rFonts w:ascii="SimSun" w:hAnsi="SimSun" w:eastAsia="SimSun" w:cs="SimSun"/>
          <w:sz w:val="24"/>
          <w:szCs w:val="24"/>
          <w:spacing w:val="-1"/>
          <w:position w:val="19"/>
        </w:rPr>
        <w:t>在常温常压下易爆、易燃及排出有毒气体的危险废物必须进行预处理，使</w:t>
      </w:r>
    </w:p>
    <w:p>
      <w:pPr>
        <w:ind w:left="25"/>
        <w:spacing w:before="1" w:line="217" w:lineRule="auto"/>
        <w:rPr>
          <w:rFonts w:ascii="SimSun" w:hAnsi="SimSun" w:eastAsia="SimSun" w:cs="SimSun"/>
          <w:sz w:val="24"/>
          <w:szCs w:val="24"/>
        </w:rPr>
      </w:pPr>
      <w:r>
        <w:rPr>
          <w:rFonts w:ascii="SimSun" w:hAnsi="SimSun" w:eastAsia="SimSun" w:cs="SimSun"/>
          <w:sz w:val="24"/>
          <w:szCs w:val="24"/>
          <w:spacing w:val="-1"/>
        </w:rPr>
        <w:t>之稳定后贮存，否则，按易爆、易燃危险品贮存。</w:t>
      </w:r>
    </w:p>
    <w:p>
      <w:pPr>
        <w:ind w:left="502"/>
        <w:spacing w:before="219" w:line="219" w:lineRule="auto"/>
        <w:rPr>
          <w:rFonts w:ascii="SimSun" w:hAnsi="SimSun" w:eastAsia="SimSun" w:cs="SimSun"/>
          <w:sz w:val="24"/>
          <w:szCs w:val="24"/>
        </w:rPr>
      </w:pPr>
      <w:r>
        <w:rPr>
          <w:rFonts w:ascii="Times New Roman" w:hAnsi="Times New Roman" w:eastAsia="Times New Roman" w:cs="Times New Roman"/>
          <w:sz w:val="24"/>
          <w:szCs w:val="24"/>
        </w:rPr>
        <w:t>c.</w:t>
      </w:r>
      <w:r>
        <w:rPr>
          <w:rFonts w:ascii="SimSun" w:hAnsi="SimSun" w:eastAsia="SimSun" w:cs="SimSun"/>
          <w:sz w:val="24"/>
          <w:szCs w:val="24"/>
        </w:rPr>
        <w:t>在常温常压下不水解、不挥发的固体危险废物可</w:t>
      </w:r>
      <w:r>
        <w:rPr>
          <w:rFonts w:ascii="SimSun" w:hAnsi="SimSun" w:eastAsia="SimSun" w:cs="SimSun"/>
          <w:sz w:val="24"/>
          <w:szCs w:val="24"/>
          <w:spacing w:val="-1"/>
        </w:rPr>
        <w:t>在贮存设施内分别堆放。</w:t>
      </w:r>
    </w:p>
    <w:p>
      <w:pPr>
        <w:ind w:left="502"/>
        <w:spacing w:before="215" w:line="219" w:lineRule="auto"/>
        <w:rPr>
          <w:rFonts w:ascii="SimSun" w:hAnsi="SimSun" w:eastAsia="SimSun" w:cs="SimSun"/>
          <w:sz w:val="24"/>
          <w:szCs w:val="24"/>
        </w:rPr>
      </w:pPr>
      <w:r>
        <w:rPr>
          <w:rFonts w:ascii="Times New Roman" w:hAnsi="Times New Roman" w:eastAsia="Times New Roman" w:cs="Times New Roman"/>
          <w:sz w:val="24"/>
          <w:szCs w:val="24"/>
          <w:spacing w:val="-1"/>
        </w:rPr>
        <w:t>d.</w:t>
      </w:r>
      <w:r>
        <w:rPr>
          <w:rFonts w:ascii="SimSun" w:hAnsi="SimSun" w:eastAsia="SimSun" w:cs="SimSun"/>
          <w:sz w:val="24"/>
          <w:szCs w:val="24"/>
          <w:spacing w:val="-1"/>
        </w:rPr>
        <w:t>必须将危险废物装入容器内。</w:t>
      </w:r>
    </w:p>
    <w:p>
      <w:pPr>
        <w:ind w:left="502"/>
        <w:spacing w:before="214" w:line="219" w:lineRule="auto"/>
        <w:rPr>
          <w:rFonts w:ascii="SimSun" w:hAnsi="SimSun" w:eastAsia="SimSun" w:cs="SimSun"/>
          <w:sz w:val="24"/>
          <w:szCs w:val="24"/>
        </w:rPr>
      </w:pPr>
      <w:r>
        <w:rPr>
          <w:rFonts w:ascii="Times New Roman" w:hAnsi="Times New Roman" w:eastAsia="Times New Roman" w:cs="Times New Roman"/>
          <w:sz w:val="24"/>
          <w:szCs w:val="24"/>
          <w:spacing w:val="-1"/>
        </w:rPr>
        <w:t>e.</w:t>
      </w:r>
      <w:r>
        <w:rPr>
          <w:rFonts w:ascii="SimSun" w:hAnsi="SimSun" w:eastAsia="SimSun" w:cs="SimSun"/>
          <w:sz w:val="24"/>
          <w:szCs w:val="24"/>
          <w:spacing w:val="-1"/>
        </w:rPr>
        <w:t>禁止将不相容（相互反应）的危险废物在同一容器内混装。</w:t>
      </w:r>
    </w:p>
    <w:p>
      <w:pPr>
        <w:spacing w:line="219" w:lineRule="auto"/>
        <w:sectPr>
          <w:footerReference w:type="default" r:id="rId105"/>
          <w:pgSz w:w="11906" w:h="16839"/>
          <w:pgMar w:top="400" w:right="1719" w:bottom="1211" w:left="1785" w:header="0" w:footer="1049" w:gutter="0"/>
        </w:sectPr>
        <w:rPr>
          <w:rFonts w:ascii="SimSun" w:hAnsi="SimSun" w:eastAsia="SimSun" w:cs="SimSun"/>
          <w:sz w:val="24"/>
          <w:szCs w:val="24"/>
        </w:rPr>
      </w:pPr>
    </w:p>
    <w:p>
      <w:pPr>
        <w:pStyle w:val="BodyText"/>
        <w:spacing w:line="287" w:lineRule="auto"/>
        <w:rPr/>
      </w:pPr>
      <w:r/>
    </w:p>
    <w:p>
      <w:pPr>
        <w:pStyle w:val="BodyText"/>
        <w:spacing w:line="287" w:lineRule="auto"/>
        <w:rPr/>
      </w:pPr>
      <w:r/>
    </w:p>
    <w:p>
      <w:pPr>
        <w:pStyle w:val="BodyText"/>
        <w:spacing w:line="288" w:lineRule="auto"/>
        <w:rPr/>
      </w:pPr>
      <w:r/>
    </w:p>
    <w:p>
      <w:pPr>
        <w:pStyle w:val="BodyText"/>
        <w:spacing w:line="288" w:lineRule="auto"/>
        <w:rPr/>
      </w:pPr>
      <w:r/>
    </w:p>
    <w:p>
      <w:pPr>
        <w:ind w:left="503"/>
        <w:spacing w:before="78" w:line="219" w:lineRule="auto"/>
        <w:rPr>
          <w:rFonts w:ascii="SimSun" w:hAnsi="SimSun" w:eastAsia="SimSun" w:cs="SimSun"/>
          <w:sz w:val="24"/>
          <w:szCs w:val="24"/>
        </w:rPr>
      </w:pPr>
      <w:r>
        <w:rPr>
          <w:rFonts w:ascii="Times New Roman" w:hAnsi="Times New Roman" w:eastAsia="Times New Roman" w:cs="Times New Roman"/>
          <w:sz w:val="24"/>
          <w:szCs w:val="24"/>
          <w:spacing w:val="-1"/>
        </w:rPr>
        <w:t>f.</w:t>
      </w:r>
      <w:r>
        <w:rPr>
          <w:rFonts w:ascii="SimSun" w:hAnsi="SimSun" w:eastAsia="SimSun" w:cs="SimSun"/>
          <w:sz w:val="24"/>
          <w:szCs w:val="24"/>
          <w:spacing w:val="-1"/>
        </w:rPr>
        <w:t>无法装入常用容器的危险废物可用防漏胶袋等盛装。</w:t>
      </w:r>
    </w:p>
    <w:p>
      <w:pPr>
        <w:ind w:left="501"/>
        <w:spacing w:before="214" w:line="499" w:lineRule="exact"/>
        <w:rPr>
          <w:rFonts w:ascii="SimSun" w:hAnsi="SimSun" w:eastAsia="SimSun" w:cs="SimSun"/>
          <w:sz w:val="24"/>
          <w:szCs w:val="24"/>
        </w:rPr>
      </w:pPr>
      <w:r>
        <w:rPr>
          <w:rFonts w:ascii="Times New Roman" w:hAnsi="Times New Roman" w:eastAsia="Times New Roman" w:cs="Times New Roman"/>
          <w:sz w:val="24"/>
          <w:szCs w:val="24"/>
          <w:spacing w:val="-1"/>
          <w:position w:val="20"/>
        </w:rPr>
        <w:t>g.</w:t>
      </w:r>
      <w:r>
        <w:rPr>
          <w:rFonts w:ascii="SimSun" w:hAnsi="SimSun" w:eastAsia="SimSun" w:cs="SimSun"/>
          <w:sz w:val="24"/>
          <w:szCs w:val="24"/>
          <w:spacing w:val="-1"/>
          <w:position w:val="20"/>
        </w:rPr>
        <w:t>装载液体、半固体危险废物的容器内须留足够空间，容</w:t>
      </w:r>
      <w:r>
        <w:rPr>
          <w:rFonts w:ascii="SimSun" w:hAnsi="SimSun" w:eastAsia="SimSun" w:cs="SimSun"/>
          <w:sz w:val="24"/>
          <w:szCs w:val="24"/>
          <w:spacing w:val="-2"/>
          <w:position w:val="20"/>
        </w:rPr>
        <w:t>器顶部与液体表面</w:t>
      </w:r>
    </w:p>
    <w:p>
      <w:pPr>
        <w:ind w:left="25"/>
        <w:spacing w:line="219" w:lineRule="auto"/>
        <w:rPr>
          <w:rFonts w:ascii="SimSun" w:hAnsi="SimSun" w:eastAsia="SimSun" w:cs="SimSun"/>
          <w:sz w:val="24"/>
          <w:szCs w:val="24"/>
        </w:rPr>
      </w:pPr>
      <w:r>
        <w:rPr>
          <w:rFonts w:ascii="SimSun" w:hAnsi="SimSun" w:eastAsia="SimSun" w:cs="SimSun"/>
          <w:sz w:val="24"/>
          <w:szCs w:val="24"/>
          <w:spacing w:val="-1"/>
        </w:rPr>
        <w:t>之间保留</w:t>
      </w:r>
      <w:r>
        <w:rPr>
          <w:rFonts w:ascii="Times New Roman" w:hAnsi="Times New Roman" w:eastAsia="Times New Roman" w:cs="Times New Roman"/>
          <w:sz w:val="24"/>
          <w:szCs w:val="24"/>
          <w:spacing w:val="-1"/>
        </w:rPr>
        <w:t>100</w:t>
      </w:r>
      <w:r>
        <w:rPr>
          <w:rFonts w:ascii="SimSun" w:hAnsi="SimSun" w:eastAsia="SimSun" w:cs="SimSun"/>
          <w:sz w:val="24"/>
          <w:szCs w:val="24"/>
          <w:spacing w:val="-1"/>
        </w:rPr>
        <w:t>毫米以上的空间。</w:t>
      </w:r>
    </w:p>
    <w:p>
      <w:pPr>
        <w:ind w:left="495"/>
        <w:spacing w:before="216" w:line="499" w:lineRule="exact"/>
        <w:rPr>
          <w:rFonts w:ascii="SimSun" w:hAnsi="SimSun" w:eastAsia="SimSun" w:cs="SimSun"/>
          <w:sz w:val="24"/>
          <w:szCs w:val="24"/>
        </w:rPr>
      </w:pPr>
      <w:r>
        <w:rPr>
          <w:rFonts w:ascii="Times New Roman" w:hAnsi="Times New Roman" w:eastAsia="Times New Roman" w:cs="Times New Roman"/>
          <w:sz w:val="24"/>
          <w:szCs w:val="24"/>
          <w:position w:val="19"/>
        </w:rPr>
        <w:t>h.</w:t>
      </w:r>
      <w:r>
        <w:rPr>
          <w:rFonts w:ascii="SimSun" w:hAnsi="SimSun" w:eastAsia="SimSun" w:cs="SimSun"/>
          <w:sz w:val="24"/>
          <w:szCs w:val="24"/>
          <w:position w:val="19"/>
        </w:rPr>
        <w:t>盛装危险废物的容器上必须粘贴符合标准的</w:t>
      </w:r>
      <w:r>
        <w:rPr>
          <w:rFonts w:ascii="SimSun" w:hAnsi="SimSun" w:eastAsia="SimSun" w:cs="SimSun"/>
          <w:sz w:val="24"/>
          <w:szCs w:val="24"/>
          <w:spacing w:val="-1"/>
          <w:position w:val="19"/>
        </w:rPr>
        <w:t>标签。</w:t>
      </w:r>
    </w:p>
    <w:p>
      <w:pPr>
        <w:ind w:left="475"/>
        <w:spacing w:line="212" w:lineRule="auto"/>
        <w:rPr>
          <w:rFonts w:ascii="SimSun" w:hAnsi="SimSun" w:eastAsia="SimSun" w:cs="SimSun"/>
          <w:sz w:val="24"/>
          <w:szCs w:val="24"/>
        </w:rPr>
      </w:pPr>
      <w:r>
        <w:rPr>
          <w:rFonts w:ascii="Times New Roman" w:hAnsi="Times New Roman" w:eastAsia="Times New Roman" w:cs="Times New Roman"/>
          <w:sz w:val="24"/>
          <w:szCs w:val="24"/>
        </w:rPr>
        <w:t>j.</w:t>
      </w:r>
      <w:r>
        <w:rPr>
          <w:rFonts w:ascii="SimSun" w:hAnsi="SimSun" w:eastAsia="SimSun" w:cs="SimSun"/>
          <w:sz w:val="24"/>
          <w:szCs w:val="24"/>
        </w:rPr>
        <w:t>危险废物贮存设施在施工前应做环境影响评价。</w:t>
      </w:r>
    </w:p>
    <w:p>
      <w:pPr>
        <w:ind w:left="501"/>
        <w:spacing w:before="224" w:line="217" w:lineRule="auto"/>
        <w:rPr>
          <w:rFonts w:ascii="SimSun" w:hAnsi="SimSun" w:eastAsia="SimSun" w:cs="SimSun"/>
          <w:sz w:val="24"/>
          <w:szCs w:val="24"/>
        </w:rPr>
      </w:pPr>
      <w:r>
        <w:rPr>
          <w:rFonts w:ascii="SimSun" w:hAnsi="SimSun" w:eastAsia="SimSun" w:cs="SimSun"/>
          <w:sz w:val="24"/>
          <w:szCs w:val="24"/>
          <w:spacing w:val="-1"/>
        </w:rPr>
        <w:t>③危险废物贮存容器</w:t>
      </w:r>
    </w:p>
    <w:p>
      <w:pPr>
        <w:ind w:left="502"/>
        <w:spacing w:before="219" w:line="219" w:lineRule="auto"/>
        <w:rPr>
          <w:rFonts w:ascii="SimSun" w:hAnsi="SimSun" w:eastAsia="SimSun" w:cs="SimSun"/>
          <w:sz w:val="24"/>
          <w:szCs w:val="24"/>
        </w:rPr>
      </w:pPr>
      <w:r>
        <w:rPr>
          <w:rFonts w:ascii="Times New Roman" w:hAnsi="Times New Roman" w:eastAsia="Times New Roman" w:cs="Times New Roman"/>
          <w:sz w:val="24"/>
          <w:szCs w:val="24"/>
          <w:spacing w:val="-1"/>
        </w:rPr>
        <w:t>a.</w:t>
      </w:r>
      <w:r>
        <w:rPr>
          <w:rFonts w:ascii="SimSun" w:hAnsi="SimSun" w:eastAsia="SimSun" w:cs="SimSun"/>
          <w:sz w:val="24"/>
          <w:szCs w:val="24"/>
          <w:spacing w:val="-1"/>
        </w:rPr>
        <w:t>应当使用符合标准的容器盛装危险废物。</w:t>
      </w:r>
    </w:p>
    <w:p>
      <w:pPr>
        <w:ind w:left="493"/>
        <w:spacing w:before="214" w:line="500" w:lineRule="exact"/>
        <w:rPr>
          <w:rFonts w:ascii="SimSun" w:hAnsi="SimSun" w:eastAsia="SimSun" w:cs="SimSun"/>
          <w:sz w:val="24"/>
          <w:szCs w:val="24"/>
        </w:rPr>
      </w:pPr>
      <w:r>
        <w:rPr>
          <w:rFonts w:ascii="Times New Roman" w:hAnsi="Times New Roman" w:eastAsia="Times New Roman" w:cs="Times New Roman"/>
          <w:sz w:val="24"/>
          <w:szCs w:val="24"/>
          <w:position w:val="19"/>
        </w:rPr>
        <w:t>b.</w:t>
      </w:r>
      <w:r>
        <w:rPr>
          <w:rFonts w:ascii="SimSun" w:hAnsi="SimSun" w:eastAsia="SimSun" w:cs="SimSun"/>
          <w:sz w:val="24"/>
          <w:szCs w:val="24"/>
          <w:position w:val="19"/>
        </w:rPr>
        <w:t>装载危险废物的容器及材质要满足相应的强度要求。</w:t>
      </w:r>
    </w:p>
    <w:p>
      <w:pPr>
        <w:ind w:left="502"/>
        <w:spacing w:line="219" w:lineRule="auto"/>
        <w:rPr>
          <w:rFonts w:ascii="SimSun" w:hAnsi="SimSun" w:eastAsia="SimSun" w:cs="SimSun"/>
          <w:sz w:val="24"/>
          <w:szCs w:val="24"/>
        </w:rPr>
      </w:pPr>
      <w:r>
        <w:rPr>
          <w:rFonts w:ascii="Times New Roman" w:hAnsi="Times New Roman" w:eastAsia="Times New Roman" w:cs="Times New Roman"/>
          <w:sz w:val="24"/>
          <w:szCs w:val="24"/>
          <w:spacing w:val="-1"/>
        </w:rPr>
        <w:t>c.</w:t>
      </w:r>
      <w:r>
        <w:rPr>
          <w:rFonts w:ascii="SimSun" w:hAnsi="SimSun" w:eastAsia="SimSun" w:cs="SimSun"/>
          <w:sz w:val="24"/>
          <w:szCs w:val="24"/>
          <w:spacing w:val="-1"/>
        </w:rPr>
        <w:t>装载危险废物的容器必须完好无损。</w:t>
      </w:r>
    </w:p>
    <w:p>
      <w:pPr>
        <w:ind w:left="502"/>
        <w:spacing w:before="217" w:line="499" w:lineRule="exact"/>
        <w:rPr>
          <w:rFonts w:ascii="SimSun" w:hAnsi="SimSun" w:eastAsia="SimSun" w:cs="SimSun"/>
          <w:sz w:val="24"/>
          <w:szCs w:val="24"/>
        </w:rPr>
      </w:pPr>
      <w:r>
        <w:rPr>
          <w:rFonts w:ascii="Times New Roman" w:hAnsi="Times New Roman" w:eastAsia="Times New Roman" w:cs="Times New Roman"/>
          <w:sz w:val="24"/>
          <w:szCs w:val="24"/>
          <w:position w:val="19"/>
        </w:rPr>
        <w:t>d.</w:t>
      </w:r>
      <w:r>
        <w:rPr>
          <w:rFonts w:ascii="SimSun" w:hAnsi="SimSun" w:eastAsia="SimSun" w:cs="SimSun"/>
          <w:sz w:val="24"/>
          <w:szCs w:val="24"/>
          <w:position w:val="19"/>
        </w:rPr>
        <w:t>盛装危险废物的容器材质和衬里要与危险废物相</w:t>
      </w:r>
      <w:r>
        <w:rPr>
          <w:rFonts w:ascii="SimSun" w:hAnsi="SimSun" w:eastAsia="SimSun" w:cs="SimSun"/>
          <w:sz w:val="24"/>
          <w:szCs w:val="24"/>
          <w:spacing w:val="-1"/>
          <w:position w:val="19"/>
        </w:rPr>
        <w:t>容（不相互反应）。</w:t>
      </w:r>
    </w:p>
    <w:p>
      <w:pPr>
        <w:ind w:left="502"/>
        <w:spacing w:line="219" w:lineRule="auto"/>
        <w:rPr>
          <w:rFonts w:ascii="SimSun" w:hAnsi="SimSun" w:eastAsia="SimSun" w:cs="SimSun"/>
          <w:sz w:val="24"/>
          <w:szCs w:val="24"/>
        </w:rPr>
      </w:pPr>
      <w:r>
        <w:rPr>
          <w:rFonts w:ascii="Times New Roman" w:hAnsi="Times New Roman" w:eastAsia="Times New Roman" w:cs="Times New Roman"/>
          <w:sz w:val="24"/>
          <w:szCs w:val="24"/>
        </w:rPr>
        <w:t>e.</w:t>
      </w:r>
      <w:r>
        <w:rPr>
          <w:rFonts w:ascii="SimSun" w:hAnsi="SimSun" w:eastAsia="SimSun" w:cs="SimSun"/>
          <w:sz w:val="24"/>
          <w:szCs w:val="24"/>
        </w:rPr>
        <w:t>液体危险废物可注入开孔直径不超过</w:t>
      </w:r>
      <w:r>
        <w:rPr>
          <w:rFonts w:ascii="Times New Roman" w:hAnsi="Times New Roman" w:eastAsia="Times New Roman" w:cs="Times New Roman"/>
          <w:sz w:val="24"/>
          <w:szCs w:val="24"/>
        </w:rPr>
        <w:t>70</w:t>
      </w:r>
      <w:r>
        <w:rPr>
          <w:rFonts w:ascii="SimSun" w:hAnsi="SimSun" w:eastAsia="SimSun" w:cs="SimSun"/>
          <w:sz w:val="24"/>
          <w:szCs w:val="24"/>
          <w:spacing w:val="-1"/>
        </w:rPr>
        <w:t>毫米并有放气孔的桶中。</w:t>
      </w:r>
    </w:p>
    <w:p>
      <w:pPr>
        <w:pStyle w:val="BodyText"/>
        <w:spacing w:line="373" w:lineRule="auto"/>
        <w:rPr/>
      </w:pPr>
      <w:r/>
    </w:p>
    <w:p>
      <w:pPr>
        <w:spacing w:before="92" w:line="220" w:lineRule="auto"/>
        <w:outlineLvl w:val="0"/>
        <w:jc w:val="right"/>
        <w:rPr>
          <w:rFonts w:ascii="SimSun" w:hAnsi="SimSun" w:eastAsia="SimSun" w:cs="SimSun"/>
          <w:sz w:val="28"/>
          <w:szCs w:val="28"/>
        </w:rPr>
      </w:pPr>
      <w:r>
        <w:rPr>
          <w:rFonts w:ascii="Times New Roman" w:hAnsi="Times New Roman" w:eastAsia="Times New Roman" w:cs="Times New Roman"/>
          <w:sz w:val="28"/>
          <w:szCs w:val="28"/>
          <w:b/>
          <w:bCs/>
          <w:spacing w:val="-10"/>
        </w:rPr>
        <w:t>11</w:t>
      </w:r>
      <w:r>
        <w:rPr>
          <w:rFonts w:ascii="SimSun" w:hAnsi="SimSun" w:eastAsia="SimSun" w:cs="SimSun"/>
          <w:sz w:val="28"/>
          <w:szCs w:val="28"/>
          <w14:textOutline w14:w="5103" w14:cap="sq" w14:cmpd="sng">
            <w14:solidFill>
              <w14:srgbClr w14:val="000000"/>
            </w14:solidFill>
            <w14:prstDash w14:val="solid"/>
            <w14:bevel/>
          </w14:textOutline>
          <w:spacing w:val="-10"/>
        </w:rPr>
        <w:t>、按照《</w:t>
      </w:r>
      <w:hyperlink w:history="true" r:id="rId11">
        <w:r>
          <w:rPr>
            <w:rFonts w:ascii="SimSun" w:hAnsi="SimSun" w:eastAsia="SimSun" w:cs="SimSun"/>
            <w:sz w:val="28"/>
            <w:szCs w:val="28"/>
            <w14:textOutline w14:w="5103" w14:cap="sq" w14:cmpd="sng">
              <w14:solidFill>
                <w14:srgbClr w14:val="000000"/>
              </w14:solidFill>
              <w14:prstDash w14:val="solid"/>
              <w14:bevel/>
            </w14:textOutline>
            <w:spacing w:val="-10"/>
          </w:rPr>
          <w:t>危险废物管理计划和管理台账制定技术导则</w:t>
        </w:r>
      </w:hyperlink>
      <w:r>
        <w:rPr>
          <w:rFonts w:ascii="SimSun" w:hAnsi="SimSun" w:eastAsia="SimSun" w:cs="SimSun"/>
          <w:sz w:val="28"/>
          <w:szCs w:val="28"/>
          <w14:textOutline w14:w="5103" w14:cap="sq" w14:cmpd="sng">
            <w14:solidFill>
              <w14:srgbClr w14:val="000000"/>
            </w14:solidFill>
            <w14:prstDash w14:val="solid"/>
            <w14:bevel/>
          </w14:textOutline>
          <w:spacing w:val="-10"/>
        </w:rPr>
        <w:t>》中相关规定，</w:t>
      </w:r>
    </w:p>
    <w:p>
      <w:pPr>
        <w:ind w:left="25"/>
        <w:spacing w:before="228" w:line="219"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补充本项目危险废物环境管理计划。</w:t>
      </w:r>
    </w:p>
    <w:p>
      <w:pPr>
        <w:ind w:left="529"/>
        <w:spacing w:before="214" w:line="219" w:lineRule="auto"/>
        <w:rPr>
          <w:rFonts w:ascii="Times New Roman" w:hAnsi="Times New Roman" w:eastAsia="Times New Roman" w:cs="Times New Roman"/>
          <w:sz w:val="24"/>
          <w:szCs w:val="24"/>
        </w:rPr>
      </w:pPr>
      <w:r>
        <w:rPr>
          <w:rFonts w:ascii="SimSun" w:hAnsi="SimSun" w:eastAsia="SimSun" w:cs="SimSun"/>
          <w:sz w:val="24"/>
          <w:szCs w:val="24"/>
          <w:spacing w:val="-5"/>
        </w:rPr>
        <w:t>已修改，见</w:t>
      </w:r>
      <w:r>
        <w:rPr>
          <w:rFonts w:ascii="Times New Roman" w:hAnsi="Times New Roman" w:eastAsia="Times New Roman" w:cs="Times New Roman"/>
          <w:sz w:val="24"/>
          <w:szCs w:val="24"/>
          <w:spacing w:val="-5"/>
        </w:rPr>
        <w:t>P54</w:t>
      </w:r>
    </w:p>
    <w:p>
      <w:pPr>
        <w:ind w:left="501"/>
        <w:spacing w:before="215" w:line="217" w:lineRule="auto"/>
        <w:rPr>
          <w:rFonts w:ascii="SimSun" w:hAnsi="SimSun" w:eastAsia="SimSun" w:cs="SimSun"/>
          <w:sz w:val="24"/>
          <w:szCs w:val="24"/>
        </w:rPr>
      </w:pPr>
      <w:r>
        <w:rPr>
          <w:rFonts w:ascii="SimSun" w:hAnsi="SimSun" w:eastAsia="SimSun" w:cs="SimSun"/>
          <w:sz w:val="24"/>
          <w:szCs w:val="24"/>
          <w:spacing w:val="-1"/>
        </w:rPr>
        <w:t>④危险废物管理计划</w:t>
      </w:r>
    </w:p>
    <w:p>
      <w:pPr>
        <w:ind w:left="24" w:right="76" w:firstLine="479"/>
        <w:spacing w:before="217" w:line="385" w:lineRule="auto"/>
        <w:rPr>
          <w:rFonts w:ascii="SimSun" w:hAnsi="SimSun" w:eastAsia="SimSun" w:cs="SimSun"/>
          <w:sz w:val="24"/>
          <w:szCs w:val="24"/>
        </w:rPr>
      </w:pPr>
      <w:r>
        <w:rPr>
          <w:rFonts w:ascii="SimSun" w:hAnsi="SimSun" w:eastAsia="SimSun" w:cs="SimSun"/>
          <w:sz w:val="24"/>
          <w:szCs w:val="24"/>
          <w:spacing w:val="-2"/>
        </w:rPr>
        <w:t>根据《危险废物管理计划和管理台账制定技术导则》（</w:t>
      </w:r>
      <w:r>
        <w:rPr>
          <w:rFonts w:ascii="Times New Roman" w:hAnsi="Times New Roman" w:eastAsia="Times New Roman" w:cs="Times New Roman"/>
          <w:sz w:val="24"/>
          <w:szCs w:val="24"/>
          <w:spacing w:val="-2"/>
        </w:rPr>
        <w:t>HJ</w:t>
      </w:r>
      <w:r>
        <w:rPr>
          <w:rFonts w:ascii="Times New Roman" w:hAnsi="Times New Roman" w:eastAsia="Times New Roman" w:cs="Times New Roman"/>
          <w:sz w:val="24"/>
          <w:szCs w:val="24"/>
          <w:spacing w:val="29"/>
        </w:rPr>
        <w:t xml:space="preserve"> </w:t>
      </w:r>
      <w:r>
        <w:rPr>
          <w:rFonts w:ascii="Times New Roman" w:hAnsi="Times New Roman" w:eastAsia="Times New Roman" w:cs="Times New Roman"/>
          <w:sz w:val="24"/>
          <w:szCs w:val="24"/>
          <w:spacing w:val="-2"/>
        </w:rPr>
        <w:t>1259-2022</w:t>
      </w:r>
      <w:r>
        <w:rPr>
          <w:rFonts w:ascii="SimSun" w:hAnsi="SimSun" w:eastAsia="SimSun" w:cs="SimSun"/>
          <w:sz w:val="24"/>
          <w:szCs w:val="24"/>
          <w:spacing w:val="6"/>
        </w:rPr>
        <w:t>），</w:t>
      </w:r>
      <w:r>
        <w:rPr>
          <w:rFonts w:ascii="SimSun" w:hAnsi="SimSun" w:eastAsia="SimSun" w:cs="SimSun"/>
          <w:sz w:val="24"/>
          <w:szCs w:val="24"/>
          <w:spacing w:val="-2"/>
        </w:rPr>
        <w:t>本</w:t>
      </w:r>
      <w:r>
        <w:rPr>
          <w:rFonts w:ascii="SimSun" w:hAnsi="SimSun" w:eastAsia="SimSun" w:cs="SimSun"/>
          <w:sz w:val="24"/>
          <w:szCs w:val="24"/>
        </w:rPr>
        <w:t xml:space="preserve"> </w:t>
      </w:r>
      <w:r>
        <w:rPr>
          <w:rFonts w:ascii="SimSun" w:hAnsi="SimSun" w:eastAsia="SimSun" w:cs="SimSun"/>
          <w:sz w:val="24"/>
          <w:szCs w:val="24"/>
          <w:spacing w:val="1"/>
        </w:rPr>
        <w:t>项目属于“</w:t>
      </w:r>
      <w:r>
        <w:rPr>
          <w:rFonts w:ascii="SimSun" w:hAnsi="SimSun" w:eastAsia="SimSun" w:cs="SimSun"/>
          <w:sz w:val="24"/>
          <w:szCs w:val="24"/>
          <w:spacing w:val="-85"/>
        </w:rPr>
        <w:t xml:space="preserve"> </w:t>
      </w:r>
      <w:r>
        <w:rPr>
          <w:rFonts w:ascii="SimSun" w:hAnsi="SimSun" w:eastAsia="SimSun" w:cs="SimSun"/>
          <w:sz w:val="24"/>
          <w:szCs w:val="24"/>
          <w:spacing w:val="1"/>
        </w:rPr>
        <w:t>同一生产经营场所危险废物年产生量</w:t>
      </w:r>
      <w:r>
        <w:rPr>
          <w:rFonts w:ascii="Times New Roman" w:hAnsi="Times New Roman" w:eastAsia="Times New Roman" w:cs="Times New Roman"/>
          <w:sz w:val="24"/>
          <w:szCs w:val="24"/>
          <w:spacing w:val="1"/>
        </w:rPr>
        <w:t>10t</w:t>
      </w:r>
      <w:r>
        <w:rPr>
          <w:rFonts w:ascii="SimSun" w:hAnsi="SimSun" w:eastAsia="SimSun" w:cs="SimSun"/>
          <w:sz w:val="24"/>
          <w:szCs w:val="24"/>
          <w:spacing w:val="1"/>
        </w:rPr>
        <w:t>以下且未纳入危险废</w:t>
      </w:r>
      <w:r>
        <w:rPr>
          <w:rFonts w:ascii="SimSun" w:hAnsi="SimSun" w:eastAsia="SimSun" w:cs="SimSun"/>
          <w:sz w:val="24"/>
          <w:szCs w:val="24"/>
        </w:rPr>
        <w:t>物环境 </w:t>
      </w:r>
      <w:r>
        <w:rPr>
          <w:rFonts w:ascii="SimSun" w:hAnsi="SimSun" w:eastAsia="SimSun" w:cs="SimSun"/>
          <w:sz w:val="24"/>
          <w:szCs w:val="24"/>
        </w:rPr>
        <w:t>重点监管单位的单位” ，属于危险废物登记管理单位，危险废物管理计划制定</w:t>
      </w:r>
    </w:p>
    <w:p>
      <w:pPr>
        <w:ind w:left="27"/>
        <w:spacing w:before="1" w:line="220" w:lineRule="auto"/>
        <w:rPr>
          <w:rFonts w:ascii="SimSun" w:hAnsi="SimSun" w:eastAsia="SimSun" w:cs="SimSun"/>
          <w:sz w:val="24"/>
          <w:szCs w:val="24"/>
        </w:rPr>
      </w:pPr>
      <w:r>
        <w:rPr>
          <w:rFonts w:ascii="SimSun" w:hAnsi="SimSun" w:eastAsia="SimSun" w:cs="SimSun"/>
          <w:sz w:val="24"/>
          <w:szCs w:val="24"/>
          <w:spacing w:val="-5"/>
        </w:rPr>
        <w:t>如下：</w:t>
      </w:r>
    </w:p>
    <w:p>
      <w:pPr>
        <w:ind w:left="23" w:right="76" w:firstLine="479"/>
        <w:spacing w:before="212" w:line="385" w:lineRule="auto"/>
        <w:rPr>
          <w:rFonts w:ascii="SimSun" w:hAnsi="SimSun" w:eastAsia="SimSun" w:cs="SimSun"/>
          <w:sz w:val="24"/>
          <w:szCs w:val="24"/>
        </w:rPr>
      </w:pPr>
      <w:r>
        <w:rPr>
          <w:rFonts w:ascii="Times New Roman" w:hAnsi="Times New Roman" w:eastAsia="Times New Roman" w:cs="Times New Roman"/>
          <w:sz w:val="24"/>
          <w:szCs w:val="24"/>
          <w:spacing w:val="-1"/>
        </w:rPr>
        <w:t>a.</w:t>
      </w:r>
      <w:r>
        <w:rPr>
          <w:rFonts w:ascii="SimSun" w:hAnsi="SimSun" w:eastAsia="SimSun" w:cs="SimSun"/>
          <w:sz w:val="24"/>
          <w:szCs w:val="24"/>
          <w:spacing w:val="-1"/>
        </w:rPr>
        <w:t>制订单位：同一法人单位或者其他组织所属但位于不同生产经营场所的单</w:t>
      </w:r>
      <w:r>
        <w:rPr>
          <w:rFonts w:ascii="SimSun" w:hAnsi="SimSun" w:eastAsia="SimSun" w:cs="SimSun"/>
          <w:sz w:val="24"/>
          <w:szCs w:val="24"/>
          <w:spacing w:val="4"/>
        </w:rPr>
        <w:t xml:space="preserve"> </w:t>
      </w:r>
      <w:r>
        <w:rPr>
          <w:rFonts w:ascii="SimSun" w:hAnsi="SimSun" w:eastAsia="SimSun" w:cs="SimSun"/>
          <w:sz w:val="24"/>
          <w:szCs w:val="24"/>
          <w:spacing w:val="-3"/>
        </w:rPr>
        <w:t>位，应当以每个生产经营场所为单位，分别制定危险废物管理计划，并通过国家</w:t>
      </w:r>
    </w:p>
    <w:p>
      <w:pPr>
        <w:ind w:left="26"/>
        <w:spacing w:before="1" w:line="219" w:lineRule="auto"/>
        <w:rPr>
          <w:rFonts w:ascii="SimSun" w:hAnsi="SimSun" w:eastAsia="SimSun" w:cs="SimSun"/>
          <w:sz w:val="24"/>
          <w:szCs w:val="24"/>
        </w:rPr>
      </w:pPr>
      <w:r>
        <w:rPr>
          <w:rFonts w:ascii="SimSun" w:hAnsi="SimSun" w:eastAsia="SimSun" w:cs="SimSun"/>
          <w:sz w:val="24"/>
          <w:szCs w:val="24"/>
          <w:spacing w:val="-1"/>
        </w:rPr>
        <w:t>危险废物信息管理系统向生产经营场所所在地生态环境主管部门备案。</w:t>
      </w:r>
    </w:p>
    <w:p>
      <w:pPr>
        <w:ind w:left="23" w:right="76" w:firstLine="470"/>
        <w:spacing w:before="216" w:line="384" w:lineRule="auto"/>
        <w:rPr>
          <w:rFonts w:ascii="SimSun" w:hAnsi="SimSun" w:eastAsia="SimSun" w:cs="SimSun"/>
          <w:sz w:val="24"/>
          <w:szCs w:val="24"/>
        </w:rPr>
      </w:pPr>
      <w:r>
        <w:rPr>
          <w:rFonts w:ascii="Times New Roman" w:hAnsi="Times New Roman" w:eastAsia="Times New Roman" w:cs="Times New Roman"/>
          <w:sz w:val="24"/>
          <w:szCs w:val="24"/>
          <w:spacing w:val="-1"/>
        </w:rPr>
        <w:t>b.</w:t>
      </w:r>
      <w:r>
        <w:rPr>
          <w:rFonts w:ascii="SimSun" w:hAnsi="SimSun" w:eastAsia="SimSun" w:cs="SimSun"/>
          <w:sz w:val="24"/>
          <w:szCs w:val="24"/>
          <w:spacing w:val="-1"/>
        </w:rPr>
        <w:t>制定形式及时限要求：产生危险废物的单位应当按年度制定危险废物管理</w:t>
      </w:r>
      <w:r>
        <w:rPr>
          <w:rFonts w:ascii="SimSun" w:hAnsi="SimSun" w:eastAsia="SimSun" w:cs="SimSun"/>
          <w:sz w:val="24"/>
          <w:szCs w:val="24"/>
        </w:rPr>
        <w:t xml:space="preserve"> </w:t>
      </w:r>
      <w:r>
        <w:rPr>
          <w:rFonts w:ascii="SimSun" w:hAnsi="SimSun" w:eastAsia="SimSun" w:cs="SimSun"/>
          <w:sz w:val="24"/>
          <w:szCs w:val="24"/>
        </w:rPr>
        <w:t>计划。产生危险废物的单位应当于每年</w:t>
      </w:r>
      <w:r>
        <w:rPr>
          <w:rFonts w:ascii="Times New Roman" w:hAnsi="Times New Roman" w:eastAsia="Times New Roman" w:cs="Times New Roman"/>
          <w:sz w:val="24"/>
          <w:szCs w:val="24"/>
        </w:rPr>
        <w:t>3</w:t>
      </w:r>
      <w:r>
        <w:rPr>
          <w:rFonts w:ascii="SimSun" w:hAnsi="SimSun" w:eastAsia="SimSun" w:cs="SimSun"/>
          <w:sz w:val="24"/>
          <w:szCs w:val="24"/>
        </w:rPr>
        <w:t>月</w:t>
      </w:r>
      <w:r>
        <w:rPr>
          <w:rFonts w:ascii="Times New Roman" w:hAnsi="Times New Roman" w:eastAsia="Times New Roman" w:cs="Times New Roman"/>
          <w:sz w:val="24"/>
          <w:szCs w:val="24"/>
        </w:rPr>
        <w:t>31</w:t>
      </w:r>
      <w:r>
        <w:rPr>
          <w:rFonts w:ascii="SimSun" w:hAnsi="SimSun" w:eastAsia="SimSun" w:cs="SimSun"/>
          <w:sz w:val="24"/>
          <w:szCs w:val="24"/>
        </w:rPr>
        <w:t>日前通过国家危险废物信息管理系</w:t>
      </w:r>
      <w:r>
        <w:rPr>
          <w:rFonts w:ascii="SimSun" w:hAnsi="SimSun" w:eastAsia="SimSun" w:cs="SimSun"/>
          <w:sz w:val="24"/>
          <w:szCs w:val="24"/>
          <w:spacing w:val="13"/>
        </w:rPr>
        <w:t xml:space="preserve"> </w:t>
      </w:r>
      <w:r>
        <w:rPr>
          <w:rFonts w:ascii="SimSun" w:hAnsi="SimSun" w:eastAsia="SimSun" w:cs="SimSun"/>
          <w:sz w:val="24"/>
          <w:szCs w:val="24"/>
          <w:spacing w:val="-3"/>
        </w:rPr>
        <w:t>统在线填写并提交当年度的危险废物管理计划，由国家危险废物信息管理系统自</w:t>
      </w:r>
      <w:r>
        <w:rPr>
          <w:rFonts w:ascii="SimSun" w:hAnsi="SimSun" w:eastAsia="SimSun" w:cs="SimSun"/>
          <w:sz w:val="24"/>
          <w:szCs w:val="24"/>
          <w:spacing w:val="1"/>
        </w:rPr>
        <w:t xml:space="preserve"> </w:t>
      </w:r>
      <w:r>
        <w:rPr>
          <w:rFonts w:ascii="SimSun" w:hAnsi="SimSun" w:eastAsia="SimSun" w:cs="SimSun"/>
          <w:sz w:val="24"/>
          <w:szCs w:val="24"/>
        </w:rPr>
        <w:t>动生成备案编号和回执，完成备案。 危险废物管理计划备案内容需要调整的，</w:t>
      </w:r>
    </w:p>
    <w:p>
      <w:pPr>
        <w:ind w:left="23"/>
        <w:spacing w:before="1" w:line="219" w:lineRule="auto"/>
        <w:rPr>
          <w:rFonts w:ascii="SimSun" w:hAnsi="SimSun" w:eastAsia="SimSun" w:cs="SimSun"/>
          <w:sz w:val="24"/>
          <w:szCs w:val="24"/>
        </w:rPr>
      </w:pPr>
      <w:r>
        <w:rPr>
          <w:rFonts w:ascii="SimSun" w:hAnsi="SimSun" w:eastAsia="SimSun" w:cs="SimSun"/>
          <w:sz w:val="24"/>
          <w:szCs w:val="24"/>
          <w:spacing w:val="-1"/>
        </w:rPr>
        <w:t>产生危险废物的单位应当及时变更。</w:t>
      </w:r>
    </w:p>
    <w:p>
      <w:pPr>
        <w:spacing w:line="219" w:lineRule="auto"/>
        <w:sectPr>
          <w:footerReference w:type="default" r:id="rId106"/>
          <w:pgSz w:w="11906" w:h="16839"/>
          <w:pgMar w:top="400" w:right="1723" w:bottom="1211" w:left="1785" w:header="0" w:footer="1049" w:gutter="0"/>
        </w:sectPr>
        <w:rPr>
          <w:rFonts w:ascii="SimSun" w:hAnsi="SimSun" w:eastAsia="SimSun" w:cs="SimSun"/>
          <w:sz w:val="24"/>
          <w:szCs w:val="24"/>
        </w:rPr>
      </w:pPr>
    </w:p>
    <w:p>
      <w:pPr>
        <w:pStyle w:val="BodyText"/>
        <w:spacing w:line="287" w:lineRule="auto"/>
        <w:rPr/>
      </w:pPr>
      <w:r/>
    </w:p>
    <w:p>
      <w:pPr>
        <w:pStyle w:val="BodyText"/>
        <w:spacing w:line="287" w:lineRule="auto"/>
        <w:rPr/>
      </w:pPr>
      <w:r/>
    </w:p>
    <w:p>
      <w:pPr>
        <w:pStyle w:val="BodyText"/>
        <w:spacing w:line="288" w:lineRule="auto"/>
        <w:rPr/>
      </w:pPr>
      <w:r/>
    </w:p>
    <w:p>
      <w:pPr>
        <w:pStyle w:val="BodyText"/>
        <w:spacing w:line="288" w:lineRule="auto"/>
        <w:rPr/>
      </w:pPr>
      <w:r/>
    </w:p>
    <w:p>
      <w:pPr>
        <w:ind w:left="622"/>
        <w:spacing w:before="78" w:line="499" w:lineRule="exact"/>
        <w:rPr>
          <w:rFonts w:ascii="SimSun" w:hAnsi="SimSun" w:eastAsia="SimSun" w:cs="SimSun"/>
          <w:sz w:val="24"/>
          <w:szCs w:val="24"/>
        </w:rPr>
      </w:pPr>
      <w:r>
        <w:rPr>
          <w:rFonts w:ascii="Times New Roman" w:hAnsi="Times New Roman" w:eastAsia="Times New Roman" w:cs="Times New Roman"/>
          <w:sz w:val="24"/>
          <w:szCs w:val="24"/>
          <w:position w:val="19"/>
        </w:rPr>
        <w:t>c.  </w:t>
      </w:r>
      <w:r>
        <w:rPr>
          <w:rFonts w:ascii="SimSun" w:hAnsi="SimSun" w:eastAsia="SimSun" w:cs="SimSun"/>
          <w:sz w:val="24"/>
          <w:szCs w:val="24"/>
          <w:position w:val="19"/>
        </w:rPr>
        <w:t>一般原则：危险废物登记管理单位的管理计划</w:t>
      </w:r>
      <w:r>
        <w:rPr>
          <w:rFonts w:ascii="SimSun" w:hAnsi="SimSun" w:eastAsia="SimSun" w:cs="SimSun"/>
          <w:sz w:val="24"/>
          <w:szCs w:val="24"/>
          <w:spacing w:val="-1"/>
          <w:position w:val="19"/>
        </w:rPr>
        <w:t>制定内容应包括单位基本</w:t>
      </w:r>
    </w:p>
    <w:p>
      <w:pPr>
        <w:ind w:left="143"/>
        <w:spacing w:line="219" w:lineRule="auto"/>
        <w:rPr>
          <w:rFonts w:ascii="SimSun" w:hAnsi="SimSun" w:eastAsia="SimSun" w:cs="SimSun"/>
          <w:sz w:val="24"/>
          <w:szCs w:val="24"/>
        </w:rPr>
      </w:pPr>
      <w:r>
        <w:rPr>
          <w:rFonts w:ascii="SimSun" w:hAnsi="SimSun" w:eastAsia="SimSun" w:cs="SimSun"/>
          <w:sz w:val="24"/>
          <w:szCs w:val="24"/>
          <w:spacing w:val="-1"/>
        </w:rPr>
        <w:t>信息、危险废物产生情况信息、危险废物转移情况信息。</w:t>
      </w:r>
    </w:p>
    <w:p>
      <w:pPr>
        <w:pStyle w:val="BodyText"/>
        <w:spacing w:line="346" w:lineRule="auto"/>
        <w:rPr/>
      </w:pPr>
      <w:r/>
    </w:p>
    <w:p>
      <w:pPr>
        <w:pStyle w:val="BodyText"/>
        <w:spacing w:line="347" w:lineRule="auto"/>
        <w:rPr/>
      </w:pPr>
      <w:r/>
    </w:p>
    <w:p>
      <w:pPr>
        <w:ind w:left="152"/>
        <w:spacing w:before="91" w:line="220" w:lineRule="auto"/>
        <w:outlineLvl w:val="0"/>
        <w:rPr>
          <w:rFonts w:ascii="SimSun" w:hAnsi="SimSun" w:eastAsia="SimSun" w:cs="SimSun"/>
          <w:sz w:val="28"/>
          <w:szCs w:val="28"/>
        </w:rPr>
      </w:pPr>
      <w:r>
        <w:rPr>
          <w:rFonts w:ascii="Times New Roman" w:hAnsi="Times New Roman" w:eastAsia="Times New Roman" w:cs="Times New Roman"/>
          <w:sz w:val="28"/>
          <w:szCs w:val="28"/>
          <w:b/>
          <w:bCs/>
          <w:spacing w:val="-4"/>
        </w:rPr>
        <w:t>12</w:t>
      </w:r>
      <w:r>
        <w:rPr>
          <w:rFonts w:ascii="SimSun" w:hAnsi="SimSun" w:eastAsia="SimSun" w:cs="SimSun"/>
          <w:sz w:val="28"/>
          <w:szCs w:val="28"/>
          <w14:textOutline w14:w="5103" w14:cap="sq" w14:cmpd="sng">
            <w14:solidFill>
              <w14:srgbClr w14:val="000000"/>
            </w14:solidFill>
            <w14:prstDash w14:val="solid"/>
            <w14:bevel/>
          </w14:textOutline>
          <w:spacing w:val="-4"/>
        </w:rPr>
        <w:t>、根据修改完善后的内容细化项目环境保护投资、环境保护措施监</w:t>
      </w:r>
    </w:p>
    <w:p>
      <w:pPr>
        <w:ind w:left="150"/>
        <w:spacing w:before="224" w:line="219"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督检查清单和三同时竣工环保验收内容；校核报告中相关错误。</w:t>
      </w:r>
    </w:p>
    <w:p>
      <w:pPr>
        <w:ind w:left="649"/>
        <w:spacing w:before="215" w:line="219" w:lineRule="auto"/>
        <w:rPr>
          <w:rFonts w:ascii="SimSun" w:hAnsi="SimSun" w:eastAsia="SimSun" w:cs="SimSun"/>
          <w:sz w:val="24"/>
          <w:szCs w:val="24"/>
        </w:rPr>
      </w:pPr>
      <w:r>
        <w:rPr>
          <w:rFonts w:ascii="SimSun" w:hAnsi="SimSun" w:eastAsia="SimSun" w:cs="SimSun"/>
          <w:sz w:val="24"/>
          <w:szCs w:val="24"/>
          <w:spacing w:val="-4"/>
        </w:rPr>
        <w:t>已修改，见</w:t>
      </w:r>
      <w:r>
        <w:rPr>
          <w:rFonts w:ascii="Times New Roman" w:hAnsi="Times New Roman" w:eastAsia="Times New Roman" w:cs="Times New Roman"/>
          <w:sz w:val="24"/>
          <w:szCs w:val="24"/>
          <w:spacing w:val="-4"/>
        </w:rPr>
        <w:t>P65</w:t>
      </w:r>
      <w:r>
        <w:rPr>
          <w:rFonts w:ascii="SimSun" w:hAnsi="SimSun" w:eastAsia="SimSun" w:cs="SimSun"/>
          <w:sz w:val="24"/>
          <w:szCs w:val="24"/>
          <w:spacing w:val="-4"/>
        </w:rPr>
        <w:t>。</w:t>
      </w:r>
    </w:p>
    <w:p>
      <w:pPr>
        <w:ind w:left="2619"/>
        <w:spacing w:before="217" w:line="219" w:lineRule="auto"/>
        <w:rPr>
          <w:rFonts w:ascii="SimSun" w:hAnsi="SimSun" w:eastAsia="SimSun" w:cs="SimSun"/>
          <w:sz w:val="24"/>
          <w:szCs w:val="24"/>
        </w:rPr>
      </w:pPr>
      <w:r>
        <w:rPr>
          <w:rFonts w:ascii="SimSun" w:hAnsi="SimSun" w:eastAsia="SimSun" w:cs="SimSun"/>
          <w:sz w:val="24"/>
          <w:szCs w:val="24"/>
          <w:spacing w:val="-1"/>
        </w:rPr>
        <w:t>五、环境保护措施监督检查清单</w:t>
      </w:r>
    </w:p>
    <w:p>
      <w:pPr>
        <w:spacing w:line="65" w:lineRule="auto"/>
        <w:rPr>
          <w:rFonts w:ascii="Arial"/>
          <w:sz w:val="2"/>
        </w:rPr>
      </w:pPr>
      <w:r>
        <w:rPr>
          <w:rFonts w:ascii="Arial"/>
          <w:sz w:val="2"/>
        </w:rPr>
      </w:r>
    </w:p>
    <w:tbl>
      <w:tblPr>
        <w:tblStyle w:val="TableNormal"/>
        <w:tblW w:w="854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40"/>
        <w:gridCol w:w="694"/>
        <w:gridCol w:w="1172"/>
        <w:gridCol w:w="1070"/>
        <w:gridCol w:w="2024"/>
        <w:gridCol w:w="3047"/>
      </w:tblGrid>
      <w:tr>
        <w:trPr>
          <w:trHeight w:val="1103" w:hRule="atLeast"/>
        </w:trPr>
        <w:tc>
          <w:tcPr>
            <w:tcW w:w="1234" w:type="dxa"/>
            <w:vAlign w:val="top"/>
            <w:gridSpan w:val="2"/>
          </w:tcPr>
          <w:p>
            <w:pPr>
              <w:pStyle w:val="TableText"/>
              <w:ind w:left="448"/>
              <w:spacing w:before="126" w:line="360" w:lineRule="exact"/>
              <w:rPr>
                <w:sz w:val="20"/>
                <w:szCs w:val="20"/>
              </w:rPr>
            </w:pPr>
            <w:r>
              <w:drawing>
                <wp:anchor distT="0" distB="0" distL="0" distR="0" simplePos="0" relativeHeight="252161024" behindDoc="1" locked="0" layoutInCell="1" allowOverlap="1">
                  <wp:simplePos x="0" y="0"/>
                  <wp:positionH relativeFrom="column">
                    <wp:posOffset>-3175</wp:posOffset>
                  </wp:positionH>
                  <wp:positionV relativeFrom="paragraph">
                    <wp:posOffset>-3175</wp:posOffset>
                  </wp:positionV>
                  <wp:extent cx="787450" cy="719379"/>
                  <wp:effectExtent l="0" t="0" r="0" b="0"/>
                  <wp:wrapNone/>
                  <wp:docPr id="114" name="IM 114"/>
                  <wp:cNvGraphicFramePr/>
                  <a:graphic>
                    <a:graphicData uri="http://schemas.openxmlformats.org/drawingml/2006/picture">
                      <pic:pic>
                        <pic:nvPicPr>
                          <pic:cNvPr id="114" name="IM 114"/>
                          <pic:cNvPicPr/>
                        </pic:nvPicPr>
                        <pic:blipFill>
                          <a:blip r:embed="rId108"/>
                          <a:stretch>
                            <a:fillRect/>
                          </a:stretch>
                        </pic:blipFill>
                        <pic:spPr>
                          <a:xfrm rot="0">
                            <a:off x="0" y="0"/>
                            <a:ext cx="787450" cy="719379"/>
                          </a:xfrm>
                          <a:prstGeom prst="rect">
                            <a:avLst/>
                          </a:prstGeom>
                        </pic:spPr>
                      </pic:pic>
                    </a:graphicData>
                  </a:graphic>
                </wp:anchor>
              </w:drawing>
            </w:r>
            <w:r>
              <w:rPr>
                <w:sz w:val="20"/>
                <w:szCs w:val="20"/>
                <w:spacing w:val="-8"/>
                <w:position w:val="11"/>
              </w:rPr>
              <w:t>内容</w:t>
            </w:r>
          </w:p>
          <w:p>
            <w:pPr>
              <w:pStyle w:val="TableText"/>
              <w:ind w:left="423"/>
              <w:spacing w:line="227" w:lineRule="auto"/>
              <w:rPr>
                <w:sz w:val="20"/>
                <w:szCs w:val="20"/>
              </w:rPr>
            </w:pPr>
            <w:r>
              <w:rPr>
                <w:sz w:val="20"/>
                <w:szCs w:val="20"/>
                <w:spacing w:val="4"/>
              </w:rPr>
              <w:t>要素</w:t>
            </w:r>
          </w:p>
        </w:tc>
        <w:tc>
          <w:tcPr>
            <w:tcW w:w="1172" w:type="dxa"/>
            <w:vAlign w:val="top"/>
          </w:tcPr>
          <w:p>
            <w:pPr>
              <w:pStyle w:val="TableText"/>
              <w:ind w:left="112"/>
              <w:spacing w:before="126" w:line="228" w:lineRule="auto"/>
              <w:rPr>
                <w:sz w:val="20"/>
                <w:szCs w:val="20"/>
              </w:rPr>
            </w:pPr>
            <w:r>
              <w:rPr>
                <w:sz w:val="20"/>
                <w:szCs w:val="20"/>
                <w:spacing w:val="-11"/>
              </w:rPr>
              <w:t>排放口（编</w:t>
            </w:r>
          </w:p>
          <w:p>
            <w:pPr>
              <w:pStyle w:val="TableText"/>
              <w:ind w:left="117"/>
              <w:spacing w:before="113" w:line="229" w:lineRule="auto"/>
              <w:rPr>
                <w:sz w:val="20"/>
                <w:szCs w:val="20"/>
              </w:rPr>
            </w:pPr>
            <w:r>
              <w:rPr>
                <w:sz w:val="20"/>
                <w:szCs w:val="20"/>
                <w:spacing w:val="4"/>
              </w:rPr>
              <w:t>号、名称）</w:t>
            </w:r>
          </w:p>
          <w:p>
            <w:pPr>
              <w:pStyle w:val="TableText"/>
              <w:ind w:left="239"/>
              <w:spacing w:before="112" w:line="227" w:lineRule="auto"/>
              <w:rPr>
                <w:sz w:val="20"/>
                <w:szCs w:val="20"/>
              </w:rPr>
            </w:pPr>
            <w:r>
              <w:rPr>
                <w:rFonts w:ascii="Times New Roman" w:hAnsi="Times New Roman" w:eastAsia="Times New Roman" w:cs="Times New Roman"/>
                <w:sz w:val="20"/>
                <w:szCs w:val="20"/>
                <w:spacing w:val="7"/>
              </w:rPr>
              <w:t>/</w:t>
            </w:r>
            <w:r>
              <w:rPr>
                <w:sz w:val="20"/>
                <w:szCs w:val="20"/>
                <w:spacing w:val="7"/>
              </w:rPr>
              <w:t>污染源</w:t>
            </w:r>
          </w:p>
        </w:tc>
        <w:tc>
          <w:tcPr>
            <w:tcW w:w="1070" w:type="dxa"/>
            <w:vAlign w:val="top"/>
          </w:tcPr>
          <w:p>
            <w:pPr>
              <w:rPr>
                <w:rFonts w:ascii="Arial"/>
                <w:sz w:val="21"/>
              </w:rPr>
            </w:pPr>
            <w:r/>
          </w:p>
          <w:p>
            <w:pPr>
              <w:pStyle w:val="TableText"/>
              <w:ind w:left="226"/>
              <w:spacing w:before="65" w:line="228" w:lineRule="auto"/>
              <w:rPr>
                <w:sz w:val="20"/>
                <w:szCs w:val="20"/>
              </w:rPr>
            </w:pPr>
            <w:r>
              <w:rPr>
                <w:sz w:val="20"/>
                <w:szCs w:val="20"/>
                <w:spacing w:val="6"/>
              </w:rPr>
              <w:t>污染物</w:t>
            </w:r>
          </w:p>
          <w:p>
            <w:pPr>
              <w:pStyle w:val="TableText"/>
              <w:ind w:left="333"/>
              <w:spacing w:before="113" w:line="228" w:lineRule="auto"/>
              <w:rPr>
                <w:sz w:val="20"/>
                <w:szCs w:val="20"/>
              </w:rPr>
            </w:pPr>
            <w:r>
              <w:rPr>
                <w:sz w:val="20"/>
                <w:szCs w:val="20"/>
                <w:spacing w:val="3"/>
              </w:rPr>
              <w:t>项目</w:t>
            </w:r>
          </w:p>
        </w:tc>
        <w:tc>
          <w:tcPr>
            <w:tcW w:w="2024" w:type="dxa"/>
            <w:vAlign w:val="top"/>
          </w:tcPr>
          <w:p>
            <w:pPr>
              <w:spacing w:line="419" w:lineRule="auto"/>
              <w:rPr>
                <w:rFonts w:ascii="Arial"/>
                <w:sz w:val="21"/>
              </w:rPr>
            </w:pPr>
            <w:r/>
          </w:p>
          <w:p>
            <w:pPr>
              <w:pStyle w:val="TableText"/>
              <w:ind w:left="388"/>
              <w:spacing w:before="65" w:line="228" w:lineRule="auto"/>
              <w:rPr>
                <w:sz w:val="20"/>
                <w:szCs w:val="20"/>
              </w:rPr>
            </w:pPr>
            <w:r>
              <w:rPr>
                <w:sz w:val="20"/>
                <w:szCs w:val="20"/>
                <w:spacing w:val="8"/>
              </w:rPr>
              <w:t>环境保护措施</w:t>
            </w:r>
          </w:p>
        </w:tc>
        <w:tc>
          <w:tcPr>
            <w:tcW w:w="3047" w:type="dxa"/>
            <w:vAlign w:val="top"/>
          </w:tcPr>
          <w:p>
            <w:pPr>
              <w:spacing w:line="418" w:lineRule="auto"/>
              <w:rPr>
                <w:rFonts w:ascii="Arial"/>
                <w:sz w:val="21"/>
              </w:rPr>
            </w:pPr>
            <w:r/>
          </w:p>
          <w:p>
            <w:pPr>
              <w:pStyle w:val="TableText"/>
              <w:ind w:left="1109"/>
              <w:spacing w:before="65" w:line="228" w:lineRule="auto"/>
              <w:rPr>
                <w:sz w:val="20"/>
                <w:szCs w:val="20"/>
              </w:rPr>
            </w:pPr>
            <w:r>
              <w:rPr>
                <w:sz w:val="20"/>
                <w:szCs w:val="20"/>
                <w:spacing w:val="7"/>
              </w:rPr>
              <w:t>执行标准</w:t>
            </w:r>
          </w:p>
        </w:tc>
      </w:tr>
      <w:tr>
        <w:trPr>
          <w:trHeight w:val="1204" w:hRule="atLeast"/>
        </w:trPr>
        <w:tc>
          <w:tcPr>
            <w:tcW w:w="540" w:type="dxa"/>
            <w:vAlign w:val="top"/>
            <w:vMerge w:val="restart"/>
            <w:textDirection w:val="tbRlV"/>
            <w:tcBorders>
              <w:bottom w:val="nil"/>
            </w:tcBorders>
          </w:tcPr>
          <w:p>
            <w:pPr>
              <w:pStyle w:val="TableText"/>
              <w:ind w:left="1385"/>
              <w:spacing w:before="154" w:line="216" w:lineRule="auto"/>
              <w:rPr>
                <w:sz w:val="20"/>
                <w:szCs w:val="20"/>
              </w:rPr>
            </w:pPr>
            <w:r>
              <w:rPr>
                <w:sz w:val="20"/>
                <w:szCs w:val="20"/>
                <w:spacing w:val="8"/>
              </w:rPr>
              <w:t>大</w:t>
            </w:r>
            <w:r>
              <w:rPr>
                <w:sz w:val="20"/>
                <w:szCs w:val="20"/>
                <w:spacing w:val="94"/>
              </w:rPr>
              <w:t xml:space="preserve"> </w:t>
            </w:r>
            <w:r>
              <w:rPr>
                <w:sz w:val="20"/>
                <w:szCs w:val="20"/>
                <w:spacing w:val="8"/>
              </w:rPr>
              <w:t>气</w:t>
            </w:r>
            <w:r>
              <w:rPr>
                <w:sz w:val="20"/>
                <w:szCs w:val="20"/>
                <w:spacing w:val="92"/>
              </w:rPr>
              <w:t xml:space="preserve"> </w:t>
            </w:r>
            <w:r>
              <w:rPr>
                <w:sz w:val="20"/>
                <w:szCs w:val="20"/>
                <w:spacing w:val="8"/>
              </w:rPr>
              <w:t>环</w:t>
            </w:r>
            <w:r>
              <w:rPr>
                <w:sz w:val="20"/>
                <w:szCs w:val="20"/>
                <w:spacing w:val="89"/>
              </w:rPr>
              <w:t xml:space="preserve"> </w:t>
            </w:r>
            <w:r>
              <w:rPr>
                <w:sz w:val="20"/>
                <w:szCs w:val="20"/>
                <w:spacing w:val="8"/>
              </w:rPr>
              <w:t>境</w:t>
            </w:r>
          </w:p>
        </w:tc>
        <w:tc>
          <w:tcPr>
            <w:tcW w:w="694" w:type="dxa"/>
            <w:vAlign w:val="top"/>
          </w:tcPr>
          <w:p>
            <w:pPr>
              <w:spacing w:line="281" w:lineRule="auto"/>
              <w:rPr>
                <w:rFonts w:ascii="Arial"/>
                <w:sz w:val="21"/>
              </w:rPr>
            </w:pPr>
            <w:r/>
          </w:p>
          <w:p>
            <w:pPr>
              <w:pStyle w:val="TableText"/>
              <w:ind w:left="140"/>
              <w:spacing w:before="65" w:line="228" w:lineRule="auto"/>
              <w:rPr>
                <w:sz w:val="20"/>
                <w:szCs w:val="20"/>
              </w:rPr>
            </w:pPr>
            <w:r>
              <w:rPr>
                <w:sz w:val="20"/>
                <w:szCs w:val="20"/>
                <w:spacing w:val="4"/>
              </w:rPr>
              <w:t>有组</w:t>
            </w:r>
          </w:p>
          <w:p>
            <w:pPr>
              <w:pStyle w:val="TableText"/>
              <w:ind w:left="248"/>
              <w:spacing w:before="112" w:line="232" w:lineRule="auto"/>
              <w:rPr>
                <w:sz w:val="20"/>
                <w:szCs w:val="20"/>
              </w:rPr>
            </w:pPr>
            <w:r>
              <w:rPr>
                <w:sz w:val="20"/>
                <w:szCs w:val="20"/>
              </w:rPr>
              <w:t>织</w:t>
            </w:r>
          </w:p>
        </w:tc>
        <w:tc>
          <w:tcPr>
            <w:tcW w:w="1172" w:type="dxa"/>
            <w:vAlign w:val="top"/>
          </w:tcPr>
          <w:p>
            <w:pPr>
              <w:spacing w:line="281" w:lineRule="auto"/>
              <w:rPr>
                <w:rFonts w:ascii="Arial"/>
                <w:sz w:val="21"/>
              </w:rPr>
            </w:pPr>
            <w:r/>
          </w:p>
          <w:p>
            <w:pPr>
              <w:pStyle w:val="TableText"/>
              <w:ind w:left="170"/>
              <w:spacing w:before="65" w:line="228" w:lineRule="auto"/>
              <w:rPr>
                <w:sz w:val="20"/>
                <w:szCs w:val="20"/>
              </w:rPr>
            </w:pPr>
            <w:r>
              <w:rPr>
                <w:sz w:val="20"/>
                <w:szCs w:val="20"/>
                <w:spacing w:val="7"/>
              </w:rPr>
              <w:t>地膜生产</w:t>
            </w:r>
          </w:p>
          <w:p>
            <w:pPr>
              <w:pStyle w:val="TableText"/>
              <w:ind w:left="275"/>
              <w:spacing w:before="113" w:line="229" w:lineRule="auto"/>
              <w:rPr>
                <w:sz w:val="20"/>
                <w:szCs w:val="20"/>
              </w:rPr>
            </w:pPr>
            <w:r>
              <w:rPr>
                <w:sz w:val="20"/>
                <w:szCs w:val="20"/>
                <w:spacing w:val="6"/>
              </w:rPr>
              <w:t>排放口</w:t>
            </w:r>
          </w:p>
        </w:tc>
        <w:tc>
          <w:tcPr>
            <w:tcW w:w="1070" w:type="dxa"/>
            <w:vAlign w:val="top"/>
          </w:tcPr>
          <w:p>
            <w:pPr>
              <w:spacing w:line="282" w:lineRule="auto"/>
              <w:rPr>
                <w:rFonts w:ascii="Arial"/>
                <w:sz w:val="21"/>
              </w:rPr>
            </w:pPr>
            <w:r/>
          </w:p>
          <w:p>
            <w:pPr>
              <w:pStyle w:val="TableText"/>
              <w:ind w:left="436" w:right="116" w:hanging="314"/>
              <w:spacing w:before="65" w:line="280" w:lineRule="auto"/>
              <w:rPr>
                <w:sz w:val="20"/>
                <w:szCs w:val="20"/>
              </w:rPr>
            </w:pPr>
            <w:r>
              <w:rPr>
                <w:sz w:val="20"/>
                <w:szCs w:val="20"/>
                <w:spacing w:val="6"/>
              </w:rPr>
              <w:t>非甲烷总</w:t>
            </w:r>
            <w:r>
              <w:rPr>
                <w:sz w:val="20"/>
                <w:szCs w:val="20"/>
                <w:spacing w:val="1"/>
              </w:rPr>
              <w:t xml:space="preserve"> </w:t>
            </w:r>
            <w:r>
              <w:rPr>
                <w:sz w:val="20"/>
                <w:szCs w:val="20"/>
              </w:rPr>
              <w:t>烃</w:t>
            </w:r>
          </w:p>
        </w:tc>
        <w:tc>
          <w:tcPr>
            <w:tcW w:w="2024" w:type="dxa"/>
            <w:vAlign w:val="top"/>
          </w:tcPr>
          <w:p>
            <w:pPr>
              <w:pStyle w:val="TableText"/>
              <w:ind w:left="122"/>
              <w:spacing w:before="208" w:line="227" w:lineRule="auto"/>
              <w:rPr>
                <w:sz w:val="20"/>
                <w:szCs w:val="20"/>
              </w:rPr>
            </w:pPr>
            <w:r>
              <w:rPr>
                <w:sz w:val="20"/>
                <w:szCs w:val="20"/>
                <w:spacing w:val="7"/>
              </w:rPr>
              <w:t>活性炭吸附</w:t>
            </w:r>
            <w:r>
              <w:rPr>
                <w:rFonts w:ascii="Times New Roman" w:hAnsi="Times New Roman" w:eastAsia="Times New Roman" w:cs="Times New Roman"/>
                <w:sz w:val="20"/>
                <w:szCs w:val="20"/>
                <w:spacing w:val="7"/>
              </w:rPr>
              <w:t>+</w:t>
            </w:r>
            <w:r>
              <w:rPr>
                <w:sz w:val="20"/>
                <w:szCs w:val="20"/>
                <w:spacing w:val="7"/>
              </w:rPr>
              <w:t>直接催</w:t>
            </w:r>
          </w:p>
          <w:p>
            <w:pPr>
              <w:pStyle w:val="TableText"/>
              <w:ind w:left="142"/>
              <w:spacing w:before="54" w:line="227" w:lineRule="auto"/>
              <w:rPr>
                <w:sz w:val="20"/>
                <w:szCs w:val="20"/>
              </w:rPr>
            </w:pPr>
            <w:r>
              <w:rPr>
                <w:sz w:val="20"/>
                <w:szCs w:val="20"/>
                <w:spacing w:val="7"/>
              </w:rPr>
              <w:t>化燃烧法</w:t>
            </w:r>
            <w:r>
              <w:rPr>
                <w:rFonts w:ascii="Times New Roman" w:hAnsi="Times New Roman" w:eastAsia="Times New Roman" w:cs="Times New Roman"/>
                <w:sz w:val="20"/>
                <w:szCs w:val="20"/>
                <w:spacing w:val="7"/>
              </w:rPr>
              <w:t>+15m</w:t>
            </w:r>
            <w:r>
              <w:rPr>
                <w:sz w:val="20"/>
                <w:szCs w:val="20"/>
                <w:spacing w:val="7"/>
              </w:rPr>
              <w:t>排气</w:t>
            </w:r>
          </w:p>
          <w:p>
            <w:pPr>
              <w:pStyle w:val="TableText"/>
              <w:ind w:left="917"/>
              <w:spacing w:before="53" w:line="228" w:lineRule="auto"/>
              <w:rPr>
                <w:sz w:val="20"/>
                <w:szCs w:val="20"/>
              </w:rPr>
            </w:pPr>
            <w:r>
              <w:rPr>
                <w:sz w:val="20"/>
                <w:szCs w:val="20"/>
              </w:rPr>
              <w:t>筒</w:t>
            </w:r>
          </w:p>
        </w:tc>
        <w:tc>
          <w:tcPr>
            <w:tcW w:w="3047" w:type="dxa"/>
            <w:vAlign w:val="top"/>
          </w:tcPr>
          <w:p>
            <w:pPr>
              <w:pStyle w:val="TableText"/>
              <w:ind w:left="166" w:right="156" w:firstLine="2"/>
              <w:spacing w:before="58" w:line="262" w:lineRule="auto"/>
              <w:jc w:val="both"/>
              <w:rPr>
                <w:sz w:val="20"/>
                <w:szCs w:val="20"/>
              </w:rPr>
            </w:pPr>
            <w:r>
              <w:rPr>
                <w:sz w:val="20"/>
                <w:szCs w:val="20"/>
                <w:spacing w:val="8"/>
              </w:rPr>
              <w:t>《合成树脂工业污染物排放标</w:t>
            </w:r>
            <w:r>
              <w:rPr>
                <w:sz w:val="20"/>
                <w:szCs w:val="20"/>
                <w:spacing w:val="10"/>
              </w:rPr>
              <w:t xml:space="preserve"> </w:t>
            </w:r>
            <w:r>
              <w:rPr>
                <w:sz w:val="20"/>
                <w:szCs w:val="20"/>
                <w:spacing w:val="7"/>
              </w:rPr>
              <w:t>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7"/>
              </w:rPr>
              <w:t>31572-2015</w:t>
            </w:r>
            <w:r>
              <w:rPr>
                <w:sz w:val="20"/>
                <w:szCs w:val="20"/>
                <w:spacing w:val="7"/>
              </w:rPr>
              <w:t>）中表</w:t>
            </w:r>
            <w:r>
              <w:rPr>
                <w:rFonts w:ascii="Times New Roman" w:hAnsi="Times New Roman" w:eastAsia="Times New Roman" w:cs="Times New Roman"/>
                <w:sz w:val="20"/>
                <w:szCs w:val="20"/>
                <w:spacing w:val="7"/>
              </w:rPr>
              <w:t>5 </w:t>
            </w:r>
            <w:r>
              <w:rPr>
                <w:sz w:val="20"/>
                <w:szCs w:val="20"/>
                <w:spacing w:val="9"/>
              </w:rPr>
              <w:t>大气污染物特别排放限值要求</w:t>
            </w:r>
            <w:r>
              <w:rPr>
                <w:sz w:val="20"/>
                <w:szCs w:val="20"/>
              </w:rPr>
              <w:t xml:space="preserve"> </w:t>
            </w:r>
            <w:r>
              <w:rPr>
                <w:sz w:val="20"/>
                <w:szCs w:val="20"/>
                <w:spacing w:val="16"/>
              </w:rPr>
              <w:t>（非甲烷总烃≤</w:t>
            </w:r>
            <w:r>
              <w:rPr>
                <w:rFonts w:ascii="Times New Roman" w:hAnsi="Times New Roman" w:eastAsia="Times New Roman" w:cs="Times New Roman"/>
                <w:sz w:val="20"/>
                <w:szCs w:val="20"/>
                <w:spacing w:val="16"/>
              </w:rPr>
              <w:t>60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16"/>
              </w:rPr>
              <w:t>/m</w:t>
            </w:r>
            <w:r>
              <w:rPr>
                <w:sz w:val="20"/>
                <w:szCs w:val="20"/>
                <w:spacing w:val="16"/>
              </w:rPr>
              <w:t>³)</w:t>
            </w:r>
          </w:p>
        </w:tc>
      </w:tr>
      <w:tr>
        <w:trPr>
          <w:trHeight w:val="2884" w:hRule="atLeast"/>
        </w:trPr>
        <w:tc>
          <w:tcPr>
            <w:tcW w:w="540" w:type="dxa"/>
            <w:vAlign w:val="top"/>
            <w:vMerge w:val="continue"/>
            <w:textDirection w:val="tbRlV"/>
            <w:tcBorders>
              <w:top w:val="nil"/>
            </w:tcBorders>
          </w:tcPr>
          <w:p>
            <w:pPr>
              <w:rPr>
                <w:rFonts w:ascii="Arial"/>
                <w:sz w:val="21"/>
              </w:rPr>
            </w:pPr>
            <w:r/>
          </w:p>
        </w:tc>
        <w:tc>
          <w:tcPr>
            <w:tcW w:w="694" w:type="dxa"/>
            <w:vAlign w:val="top"/>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pStyle w:val="TableText"/>
              <w:ind w:left="141"/>
              <w:spacing w:before="65" w:line="228" w:lineRule="auto"/>
              <w:rPr>
                <w:sz w:val="20"/>
                <w:szCs w:val="20"/>
              </w:rPr>
            </w:pPr>
            <w:r>
              <w:rPr>
                <w:sz w:val="20"/>
                <w:szCs w:val="20"/>
                <w:spacing w:val="3"/>
              </w:rPr>
              <w:t>无组</w:t>
            </w:r>
          </w:p>
          <w:p>
            <w:pPr>
              <w:pStyle w:val="TableText"/>
              <w:ind w:left="248"/>
              <w:spacing w:before="112" w:line="232" w:lineRule="auto"/>
              <w:rPr>
                <w:sz w:val="20"/>
                <w:szCs w:val="20"/>
              </w:rPr>
            </w:pPr>
            <w:r>
              <w:rPr>
                <w:sz w:val="20"/>
                <w:szCs w:val="20"/>
              </w:rPr>
              <w:t>织</w:t>
            </w:r>
          </w:p>
        </w:tc>
        <w:tc>
          <w:tcPr>
            <w:tcW w:w="1172" w:type="dxa"/>
            <w:vAlign w:val="top"/>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172"/>
              <w:spacing w:before="65" w:line="228" w:lineRule="auto"/>
              <w:rPr>
                <w:sz w:val="20"/>
                <w:szCs w:val="20"/>
              </w:rPr>
            </w:pPr>
            <w:r>
              <w:rPr>
                <w:sz w:val="20"/>
                <w:szCs w:val="20"/>
                <w:spacing w:val="6"/>
              </w:rPr>
              <w:t>生产车间</w:t>
            </w:r>
          </w:p>
        </w:tc>
        <w:tc>
          <w:tcPr>
            <w:tcW w:w="1070" w:type="dxa"/>
            <w:vAlign w:val="top"/>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pStyle w:val="TableText"/>
              <w:ind w:left="436" w:right="116" w:hanging="314"/>
              <w:spacing w:before="65" w:line="280" w:lineRule="auto"/>
              <w:rPr>
                <w:sz w:val="20"/>
                <w:szCs w:val="20"/>
              </w:rPr>
            </w:pPr>
            <w:r>
              <w:rPr>
                <w:sz w:val="20"/>
                <w:szCs w:val="20"/>
                <w:spacing w:val="6"/>
              </w:rPr>
              <w:t>非甲烷总</w:t>
            </w:r>
            <w:r>
              <w:rPr>
                <w:sz w:val="20"/>
                <w:szCs w:val="20"/>
                <w:spacing w:val="1"/>
              </w:rPr>
              <w:t xml:space="preserve"> </w:t>
            </w:r>
            <w:r>
              <w:rPr>
                <w:sz w:val="20"/>
                <w:szCs w:val="20"/>
              </w:rPr>
              <w:t>烃</w:t>
            </w:r>
          </w:p>
        </w:tc>
        <w:tc>
          <w:tcPr>
            <w:tcW w:w="2024" w:type="dxa"/>
            <w:vAlign w:val="top"/>
          </w:tcPr>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pStyle w:val="TableText"/>
              <w:ind w:left="601" w:right="74" w:hanging="487"/>
              <w:spacing w:before="65" w:line="253" w:lineRule="auto"/>
              <w:rPr>
                <w:sz w:val="20"/>
                <w:szCs w:val="20"/>
              </w:rPr>
            </w:pPr>
            <w:r>
              <w:rPr>
                <w:sz w:val="20"/>
                <w:szCs w:val="20"/>
                <w:spacing w:val="3"/>
              </w:rPr>
              <w:t>加强集气罩密闭性，</w:t>
            </w:r>
            <w:r>
              <w:rPr>
                <w:sz w:val="20"/>
                <w:szCs w:val="20"/>
                <w:spacing w:val="1"/>
              </w:rPr>
              <w:t xml:space="preserve"> </w:t>
            </w:r>
            <w:r>
              <w:rPr>
                <w:sz w:val="20"/>
                <w:szCs w:val="20"/>
                <w:spacing w:val="6"/>
              </w:rPr>
              <w:t>定期通风</w:t>
            </w:r>
          </w:p>
        </w:tc>
        <w:tc>
          <w:tcPr>
            <w:tcW w:w="3047" w:type="dxa"/>
            <w:vAlign w:val="top"/>
          </w:tcPr>
          <w:p>
            <w:pPr>
              <w:pStyle w:val="TableText"/>
              <w:ind w:left="164" w:right="156" w:firstLine="4"/>
              <w:spacing w:before="111" w:line="304" w:lineRule="auto"/>
              <w:jc w:val="both"/>
              <w:rPr>
                <w:sz w:val="20"/>
                <w:szCs w:val="20"/>
              </w:rPr>
            </w:pPr>
            <w:r>
              <w:rPr>
                <w:sz w:val="20"/>
                <w:szCs w:val="20"/>
                <w:spacing w:val="8"/>
              </w:rPr>
              <w:t>《合成树脂工业污染物排放标</w:t>
            </w:r>
            <w:r>
              <w:rPr>
                <w:sz w:val="20"/>
                <w:szCs w:val="20"/>
                <w:spacing w:val="10"/>
              </w:rPr>
              <w:t xml:space="preserve"> </w:t>
            </w:r>
            <w:r>
              <w:rPr>
                <w:sz w:val="20"/>
                <w:szCs w:val="20"/>
                <w:spacing w:val="8"/>
              </w:rPr>
              <w:t>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8"/>
              </w:rPr>
              <w:t>31572-2015</w:t>
            </w:r>
            <w:r>
              <w:rPr>
                <w:sz w:val="20"/>
                <w:szCs w:val="20"/>
                <w:spacing w:val="8"/>
              </w:rPr>
              <w:t>）中表</w:t>
            </w:r>
            <w:r>
              <w:rPr>
                <w:rFonts w:ascii="Times New Roman" w:hAnsi="Times New Roman" w:eastAsia="Times New Roman" w:cs="Times New Roman"/>
                <w:sz w:val="20"/>
                <w:szCs w:val="20"/>
                <w:spacing w:val="8"/>
              </w:rPr>
              <w:t>9 </w:t>
            </w:r>
            <w:r>
              <w:rPr>
                <w:sz w:val="20"/>
                <w:szCs w:val="20"/>
                <w:spacing w:val="9"/>
              </w:rPr>
              <w:t>企业边界大气污染物浓度限值</w:t>
            </w:r>
            <w:r>
              <w:rPr>
                <w:sz w:val="20"/>
                <w:szCs w:val="20"/>
                <w:spacing w:val="2"/>
              </w:rPr>
              <w:t xml:space="preserve"> </w:t>
            </w:r>
            <w:r>
              <w:rPr>
                <w:sz w:val="20"/>
                <w:szCs w:val="20"/>
                <w:spacing w:val="5"/>
              </w:rPr>
              <w:t>（非甲烷总烃≤</w:t>
            </w:r>
            <w:r>
              <w:rPr>
                <w:rFonts w:ascii="Times New Roman" w:hAnsi="Times New Roman" w:eastAsia="Times New Roman" w:cs="Times New Roman"/>
                <w:sz w:val="20"/>
                <w:szCs w:val="20"/>
                <w:spacing w:val="5"/>
              </w:rPr>
              <w:t>4.0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/m</w:t>
            </w:r>
            <w:r>
              <w:rPr>
                <w:sz w:val="20"/>
                <w:szCs w:val="20"/>
                <w:spacing w:val="5"/>
              </w:rPr>
              <w:t>³)</w:t>
            </w:r>
            <w:r>
              <w:rPr>
                <w:sz w:val="20"/>
                <w:szCs w:val="20"/>
                <w:spacing w:val="51"/>
              </w:rPr>
              <w:t xml:space="preserve"> </w:t>
            </w:r>
            <w:r>
              <w:rPr>
                <w:sz w:val="20"/>
                <w:szCs w:val="20"/>
                <w:spacing w:val="5"/>
              </w:rPr>
              <w:t>;</w:t>
            </w:r>
          </w:p>
          <w:p>
            <w:pPr>
              <w:pStyle w:val="TableText"/>
              <w:ind w:left="586" w:right="156" w:hanging="420"/>
              <w:spacing w:before="121" w:line="280" w:lineRule="auto"/>
              <w:rPr>
                <w:sz w:val="20"/>
                <w:szCs w:val="20"/>
              </w:rPr>
            </w:pPr>
            <w:r>
              <w:rPr>
                <w:sz w:val="20"/>
                <w:szCs w:val="20"/>
                <w:spacing w:val="9"/>
              </w:rPr>
              <w:t>厂区内执行《挥发性有机物无</w:t>
            </w:r>
            <w:r>
              <w:rPr>
                <w:sz w:val="20"/>
                <w:szCs w:val="20"/>
              </w:rPr>
              <w:t xml:space="preserve"> </w:t>
            </w:r>
            <w:r>
              <w:rPr>
                <w:sz w:val="20"/>
                <w:szCs w:val="20"/>
                <w:spacing w:val="7"/>
              </w:rPr>
              <w:t>组织排放控制标准》</w:t>
            </w:r>
          </w:p>
          <w:p>
            <w:pPr>
              <w:pStyle w:val="TableText"/>
              <w:ind w:left="1109" w:right="108" w:hanging="985"/>
              <w:spacing w:before="113" w:line="279" w:lineRule="auto"/>
              <w:rPr>
                <w:sz w:val="20"/>
                <w:szCs w:val="20"/>
              </w:rPr>
            </w:pPr>
            <w:r>
              <w:rPr>
                <w:sz w:val="20"/>
                <w:szCs w:val="20"/>
                <w:spacing w:val="2"/>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2"/>
              </w:rPr>
              <w:t>37822-2019</w:t>
            </w:r>
            <w:r>
              <w:rPr>
                <w:sz w:val="20"/>
                <w:szCs w:val="20"/>
                <w:spacing w:val="2"/>
              </w:rPr>
              <w:t>）表</w:t>
            </w:r>
            <w:r>
              <w:rPr>
                <w:rFonts w:ascii="Times New Roman" w:hAnsi="Times New Roman" w:eastAsia="Times New Roman" w:cs="Times New Roman"/>
                <w:sz w:val="20"/>
                <w:szCs w:val="20"/>
                <w:spacing w:val="2"/>
              </w:rPr>
              <w:t>A.</w:t>
            </w:r>
            <w:r>
              <w:rPr>
                <w:rFonts w:ascii="Times New Roman" w:hAnsi="Times New Roman" w:eastAsia="Times New Roman" w:cs="Times New Roman"/>
                <w:sz w:val="20"/>
                <w:szCs w:val="20"/>
                <w:spacing w:val="-19"/>
              </w:rPr>
              <w:t xml:space="preserve"> </w:t>
            </w:r>
            <w:r>
              <w:rPr>
                <w:rFonts w:ascii="Times New Roman" w:hAnsi="Times New Roman" w:eastAsia="Times New Roman" w:cs="Times New Roman"/>
                <w:sz w:val="20"/>
                <w:szCs w:val="20"/>
                <w:spacing w:val="2"/>
              </w:rPr>
              <w:t>1</w:t>
            </w:r>
            <w:r>
              <w:rPr>
                <w:sz w:val="20"/>
                <w:szCs w:val="20"/>
                <w:spacing w:val="2"/>
              </w:rPr>
              <w:t>特别排</w:t>
            </w:r>
            <w:r>
              <w:rPr>
                <w:sz w:val="20"/>
                <w:szCs w:val="20"/>
              </w:rPr>
              <w:t xml:space="preserve"> </w:t>
            </w:r>
            <w:r>
              <w:rPr>
                <w:sz w:val="20"/>
                <w:szCs w:val="20"/>
                <w:spacing w:val="5"/>
              </w:rPr>
              <w:t>放限值。</w:t>
            </w:r>
          </w:p>
        </w:tc>
      </w:tr>
      <w:tr>
        <w:trPr>
          <w:trHeight w:val="590" w:hRule="atLeast"/>
        </w:trPr>
        <w:tc>
          <w:tcPr>
            <w:tcW w:w="1234" w:type="dxa"/>
            <w:vAlign w:val="top"/>
            <w:gridSpan w:val="2"/>
            <w:vMerge w:val="restart"/>
            <w:tcBorders>
              <w:bottom w:val="nil"/>
            </w:tcBorders>
          </w:tcPr>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spacing w:line="283" w:lineRule="auto"/>
              <w:rPr>
                <w:rFonts w:ascii="Arial"/>
                <w:sz w:val="21"/>
              </w:rPr>
            </w:pPr>
            <w:r/>
          </w:p>
          <w:p>
            <w:pPr>
              <w:pStyle w:val="TableText"/>
              <w:ind w:left="440"/>
              <w:spacing w:before="65" w:line="228" w:lineRule="auto"/>
              <w:rPr>
                <w:sz w:val="20"/>
                <w:szCs w:val="20"/>
              </w:rPr>
            </w:pPr>
            <w:r>
              <w:rPr>
                <w:sz w:val="20"/>
                <w:szCs w:val="20"/>
                <w:spacing w:val="-5"/>
              </w:rPr>
              <w:t>固废</w:t>
            </w:r>
          </w:p>
        </w:tc>
        <w:tc>
          <w:tcPr>
            <w:tcW w:w="1172" w:type="dxa"/>
            <w:vAlign w:val="top"/>
          </w:tcPr>
          <w:p>
            <w:pPr>
              <w:pStyle w:val="TableText"/>
              <w:ind w:left="169"/>
              <w:spacing w:before="221" w:line="228" w:lineRule="auto"/>
              <w:rPr>
                <w:sz w:val="20"/>
                <w:szCs w:val="20"/>
              </w:rPr>
            </w:pPr>
            <w:r>
              <w:rPr>
                <w:sz w:val="20"/>
                <w:szCs w:val="20"/>
                <w:spacing w:val="7"/>
              </w:rPr>
              <w:t>废弃包装</w:t>
            </w:r>
          </w:p>
        </w:tc>
        <w:tc>
          <w:tcPr>
            <w:tcW w:w="1070" w:type="dxa"/>
            <w:vAlign w:val="top"/>
          </w:tcPr>
          <w:p>
            <w:pPr>
              <w:pStyle w:val="TableText"/>
              <w:ind w:left="118"/>
              <w:spacing w:before="221" w:line="228" w:lineRule="auto"/>
              <w:rPr>
                <w:sz w:val="20"/>
                <w:szCs w:val="20"/>
              </w:rPr>
            </w:pPr>
            <w:r>
              <w:rPr>
                <w:sz w:val="20"/>
                <w:szCs w:val="20"/>
                <w:spacing w:val="7"/>
              </w:rPr>
              <w:t>废弃包装</w:t>
            </w:r>
          </w:p>
        </w:tc>
        <w:tc>
          <w:tcPr>
            <w:tcW w:w="2024" w:type="dxa"/>
            <w:vAlign w:val="top"/>
          </w:tcPr>
          <w:p>
            <w:pPr>
              <w:pStyle w:val="TableText"/>
              <w:ind w:left="392"/>
              <w:spacing w:before="221" w:line="228" w:lineRule="auto"/>
              <w:rPr>
                <w:sz w:val="20"/>
                <w:szCs w:val="20"/>
              </w:rPr>
            </w:pPr>
            <w:r>
              <w:rPr>
                <w:sz w:val="20"/>
                <w:szCs w:val="20"/>
                <w:spacing w:val="7"/>
              </w:rPr>
              <w:t>外售回收单位</w:t>
            </w:r>
          </w:p>
        </w:tc>
        <w:tc>
          <w:tcPr>
            <w:tcW w:w="3047" w:type="dxa"/>
            <w:vAlign w:val="top"/>
            <w:vMerge w:val="restart"/>
            <w:tcBorders>
              <w:bottom w:val="nil"/>
            </w:tcBorders>
          </w:tcPr>
          <w:p>
            <w:pPr>
              <w:pStyle w:val="TableText"/>
              <w:ind w:left="690" w:right="156" w:hanging="521"/>
              <w:spacing w:before="112" w:line="280" w:lineRule="auto"/>
              <w:rPr>
                <w:sz w:val="20"/>
                <w:szCs w:val="20"/>
              </w:rPr>
            </w:pPr>
            <w:r>
              <w:rPr>
                <w:sz w:val="20"/>
                <w:szCs w:val="20"/>
                <w:spacing w:val="8"/>
              </w:rPr>
              <w:t>《一般工业固体废物贮存和填</w:t>
            </w:r>
            <w:r>
              <w:rPr>
                <w:sz w:val="20"/>
                <w:szCs w:val="20"/>
                <w:spacing w:val="10"/>
              </w:rPr>
              <w:t xml:space="preserve"> </w:t>
            </w:r>
            <w:r>
              <w:rPr>
                <w:sz w:val="20"/>
                <w:szCs w:val="20"/>
                <w:spacing w:val="7"/>
              </w:rPr>
              <w:t>埋污染控制标准》</w:t>
            </w:r>
          </w:p>
          <w:p>
            <w:pPr>
              <w:pStyle w:val="TableText"/>
              <w:ind w:left="676"/>
              <w:spacing w:before="113" w:line="224" w:lineRule="auto"/>
              <w:rPr>
                <w:sz w:val="20"/>
                <w:szCs w:val="20"/>
              </w:rPr>
            </w:pPr>
            <w:r>
              <w:rPr>
                <w:sz w:val="20"/>
                <w:szCs w:val="20"/>
                <w:spacing w:val="4"/>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4"/>
              </w:rPr>
              <w:t>18599-2020</w:t>
            </w:r>
            <w:r>
              <w:rPr>
                <w:sz w:val="20"/>
                <w:szCs w:val="20"/>
                <w:spacing w:val="4"/>
              </w:rPr>
              <w:t>）</w:t>
            </w:r>
          </w:p>
        </w:tc>
      </w:tr>
      <w:tr>
        <w:trPr>
          <w:trHeight w:val="490" w:hRule="atLeast"/>
        </w:trPr>
        <w:tc>
          <w:tcPr>
            <w:tcW w:w="1234" w:type="dxa"/>
            <w:vAlign w:val="top"/>
            <w:gridSpan w:val="2"/>
            <w:vMerge w:val="continue"/>
            <w:tcBorders>
              <w:top w:val="nil"/>
              <w:bottom w:val="nil"/>
            </w:tcBorders>
          </w:tcPr>
          <w:p>
            <w:pPr>
              <w:rPr>
                <w:rFonts w:ascii="Arial"/>
                <w:sz w:val="21"/>
              </w:rPr>
            </w:pPr>
            <w:r/>
          </w:p>
        </w:tc>
        <w:tc>
          <w:tcPr>
            <w:tcW w:w="1172" w:type="dxa"/>
            <w:vAlign w:val="top"/>
          </w:tcPr>
          <w:p>
            <w:pPr>
              <w:pStyle w:val="TableText"/>
              <w:ind w:left="173"/>
              <w:spacing w:before="171" w:line="228" w:lineRule="auto"/>
              <w:rPr>
                <w:sz w:val="20"/>
                <w:szCs w:val="20"/>
              </w:rPr>
            </w:pPr>
            <w:r>
              <w:rPr>
                <w:sz w:val="20"/>
                <w:szCs w:val="20"/>
                <w:spacing w:val="6"/>
              </w:rPr>
              <w:t>不合格品</w:t>
            </w:r>
          </w:p>
        </w:tc>
        <w:tc>
          <w:tcPr>
            <w:tcW w:w="1070" w:type="dxa"/>
            <w:vAlign w:val="top"/>
          </w:tcPr>
          <w:p>
            <w:pPr>
              <w:pStyle w:val="TableText"/>
              <w:ind w:left="122"/>
              <w:spacing w:before="171" w:line="228" w:lineRule="auto"/>
              <w:rPr>
                <w:sz w:val="20"/>
                <w:szCs w:val="20"/>
              </w:rPr>
            </w:pPr>
            <w:r>
              <w:rPr>
                <w:sz w:val="20"/>
                <w:szCs w:val="20"/>
                <w:spacing w:val="6"/>
              </w:rPr>
              <w:t>不合格品</w:t>
            </w:r>
          </w:p>
        </w:tc>
        <w:tc>
          <w:tcPr>
            <w:tcW w:w="2024" w:type="dxa"/>
            <w:vAlign w:val="top"/>
          </w:tcPr>
          <w:p>
            <w:pPr>
              <w:pStyle w:val="TableText"/>
              <w:ind w:left="617"/>
              <w:spacing w:before="171" w:line="228" w:lineRule="auto"/>
              <w:rPr>
                <w:sz w:val="20"/>
                <w:szCs w:val="20"/>
              </w:rPr>
            </w:pPr>
            <w:r>
              <w:rPr>
                <w:sz w:val="20"/>
                <w:szCs w:val="20"/>
                <w:spacing w:val="2"/>
              </w:rPr>
              <w:t>回用生产</w:t>
            </w:r>
          </w:p>
        </w:tc>
        <w:tc>
          <w:tcPr>
            <w:tcW w:w="3047" w:type="dxa"/>
            <w:vAlign w:val="top"/>
            <w:vMerge w:val="continue"/>
            <w:tcBorders>
              <w:top w:val="nil"/>
            </w:tcBorders>
          </w:tcPr>
          <w:p>
            <w:pPr>
              <w:rPr>
                <w:rFonts w:ascii="Arial"/>
                <w:sz w:val="21"/>
              </w:rPr>
            </w:pPr>
            <w:r/>
          </w:p>
        </w:tc>
      </w:tr>
      <w:tr>
        <w:trPr>
          <w:trHeight w:val="1084" w:hRule="atLeast"/>
        </w:trPr>
        <w:tc>
          <w:tcPr>
            <w:tcW w:w="1234" w:type="dxa"/>
            <w:vAlign w:val="top"/>
            <w:gridSpan w:val="2"/>
            <w:vMerge w:val="continue"/>
            <w:tcBorders>
              <w:top w:val="nil"/>
              <w:bottom w:val="nil"/>
            </w:tcBorders>
          </w:tcPr>
          <w:p>
            <w:pPr>
              <w:rPr>
                <w:rFonts w:ascii="Arial"/>
                <w:sz w:val="21"/>
              </w:rPr>
            </w:pPr>
            <w:r/>
          </w:p>
        </w:tc>
        <w:tc>
          <w:tcPr>
            <w:tcW w:w="1172" w:type="dxa"/>
            <w:vAlign w:val="top"/>
          </w:tcPr>
          <w:p>
            <w:pPr>
              <w:spacing w:line="404" w:lineRule="auto"/>
              <w:rPr>
                <w:rFonts w:ascii="Arial"/>
                <w:sz w:val="21"/>
              </w:rPr>
            </w:pPr>
            <w:r/>
          </w:p>
          <w:p>
            <w:pPr>
              <w:pStyle w:val="TableText"/>
              <w:ind w:left="169"/>
              <w:spacing w:before="65" w:line="228" w:lineRule="auto"/>
              <w:rPr>
                <w:sz w:val="20"/>
                <w:szCs w:val="20"/>
              </w:rPr>
            </w:pPr>
            <w:r>
              <w:rPr>
                <w:sz w:val="20"/>
                <w:szCs w:val="20"/>
                <w:spacing w:val="7"/>
              </w:rPr>
              <w:t>废气治理</w:t>
            </w:r>
          </w:p>
        </w:tc>
        <w:tc>
          <w:tcPr>
            <w:tcW w:w="1070" w:type="dxa"/>
            <w:vAlign w:val="top"/>
          </w:tcPr>
          <w:p>
            <w:pPr>
              <w:pStyle w:val="TableText"/>
              <w:ind w:left="223"/>
              <w:spacing w:before="111" w:line="228" w:lineRule="auto"/>
              <w:rPr>
                <w:sz w:val="20"/>
                <w:szCs w:val="20"/>
              </w:rPr>
            </w:pPr>
            <w:r>
              <w:rPr>
                <w:sz w:val="20"/>
                <w:szCs w:val="20"/>
                <w:spacing w:val="7"/>
              </w:rPr>
              <w:t>废催化</w:t>
            </w:r>
          </w:p>
          <w:p>
            <w:pPr>
              <w:pStyle w:val="TableText"/>
              <w:ind w:left="120"/>
              <w:spacing w:before="113" w:line="227" w:lineRule="auto"/>
              <w:rPr>
                <w:sz w:val="20"/>
                <w:szCs w:val="20"/>
              </w:rPr>
            </w:pPr>
            <w:r>
              <w:rPr>
                <w:sz w:val="20"/>
                <w:szCs w:val="20"/>
                <w:spacing w:val="7"/>
              </w:rPr>
              <w:t>剂、废活</w:t>
            </w:r>
          </w:p>
          <w:p>
            <w:pPr>
              <w:pStyle w:val="TableText"/>
              <w:ind w:left="332"/>
              <w:spacing w:before="114" w:line="224" w:lineRule="auto"/>
              <w:rPr>
                <w:sz w:val="20"/>
                <w:szCs w:val="20"/>
              </w:rPr>
            </w:pPr>
            <w:r>
              <w:rPr>
                <w:sz w:val="20"/>
                <w:szCs w:val="20"/>
                <w:spacing w:val="3"/>
              </w:rPr>
              <w:t>性炭</w:t>
            </w:r>
          </w:p>
        </w:tc>
        <w:tc>
          <w:tcPr>
            <w:tcW w:w="2024" w:type="dxa"/>
            <w:vAlign w:val="top"/>
            <w:vMerge w:val="restart"/>
            <w:tcBorders>
              <w:bottom w:val="nil"/>
            </w:tcBorders>
          </w:tcPr>
          <w:p>
            <w:pPr>
              <w:pStyle w:val="TableText"/>
              <w:ind w:left="183"/>
              <w:spacing w:before="295" w:line="228" w:lineRule="auto"/>
              <w:rPr>
                <w:sz w:val="20"/>
                <w:szCs w:val="20"/>
              </w:rPr>
            </w:pPr>
            <w:r>
              <w:rPr>
                <w:sz w:val="20"/>
                <w:szCs w:val="20"/>
                <w:spacing w:val="7"/>
              </w:rPr>
              <w:t>暂存危险废物暂存</w:t>
            </w:r>
          </w:p>
          <w:p>
            <w:pPr>
              <w:pStyle w:val="TableText"/>
              <w:ind w:left="131"/>
              <w:spacing w:before="113" w:line="228" w:lineRule="auto"/>
              <w:rPr>
                <w:sz w:val="20"/>
                <w:szCs w:val="20"/>
              </w:rPr>
            </w:pPr>
            <w:r>
              <w:rPr>
                <w:sz w:val="20"/>
                <w:szCs w:val="20"/>
                <w:spacing w:val="-2"/>
              </w:rPr>
              <w:t>间，委托有资质单位</w:t>
            </w:r>
          </w:p>
          <w:p>
            <w:pPr>
              <w:pStyle w:val="TableText"/>
              <w:ind w:left="393"/>
              <w:spacing w:before="112" w:line="228" w:lineRule="auto"/>
              <w:rPr>
                <w:sz w:val="20"/>
                <w:szCs w:val="20"/>
              </w:rPr>
            </w:pPr>
            <w:r>
              <w:rPr>
                <w:sz w:val="20"/>
                <w:szCs w:val="20"/>
                <w:spacing w:val="7"/>
              </w:rPr>
              <w:t>定期收运处置</w:t>
            </w:r>
          </w:p>
        </w:tc>
        <w:tc>
          <w:tcPr>
            <w:tcW w:w="3047" w:type="dxa"/>
            <w:vAlign w:val="top"/>
            <w:vMerge w:val="restart"/>
            <w:tcBorders>
              <w:bottom w:val="nil"/>
            </w:tcBorders>
          </w:tcPr>
          <w:p>
            <w:pPr>
              <w:spacing w:line="408" w:lineRule="auto"/>
              <w:rPr>
                <w:rFonts w:ascii="Arial"/>
                <w:sz w:val="21"/>
              </w:rPr>
            </w:pPr>
            <w:r/>
          </w:p>
          <w:p>
            <w:pPr>
              <w:pStyle w:val="TableText"/>
              <w:ind w:left="456" w:right="262" w:hanging="181"/>
              <w:spacing w:before="65" w:line="281" w:lineRule="auto"/>
              <w:rPr>
                <w:sz w:val="20"/>
                <w:szCs w:val="20"/>
              </w:rPr>
            </w:pPr>
            <w:r>
              <w:rPr>
                <w:sz w:val="20"/>
                <w:szCs w:val="20"/>
                <w:spacing w:val="8"/>
              </w:rPr>
              <w:t>《危险废物贮存污染控制标</w:t>
            </w:r>
            <w:r>
              <w:rPr>
                <w:sz w:val="20"/>
                <w:szCs w:val="20"/>
                <w:spacing w:val="7"/>
              </w:rPr>
              <w:t xml:space="preserve"> </w:t>
            </w:r>
            <w:r>
              <w:rPr>
                <w:sz w:val="20"/>
                <w:szCs w:val="20"/>
                <w:spacing w:val="5"/>
              </w:rPr>
              <w:t>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5"/>
              </w:rPr>
              <w:t>18597-2023</w:t>
            </w:r>
            <w:r>
              <w:rPr>
                <w:sz w:val="20"/>
                <w:szCs w:val="20"/>
                <w:spacing w:val="5"/>
              </w:rPr>
              <w:t>）</w:t>
            </w:r>
          </w:p>
        </w:tc>
      </w:tr>
      <w:tr>
        <w:trPr>
          <w:trHeight w:val="365" w:hRule="atLeast"/>
        </w:trPr>
        <w:tc>
          <w:tcPr>
            <w:tcW w:w="1234" w:type="dxa"/>
            <w:vAlign w:val="top"/>
            <w:gridSpan w:val="2"/>
            <w:vMerge w:val="continue"/>
            <w:tcBorders>
              <w:top w:val="nil"/>
            </w:tcBorders>
          </w:tcPr>
          <w:p>
            <w:pPr>
              <w:rPr>
                <w:rFonts w:ascii="Arial"/>
                <w:sz w:val="21"/>
              </w:rPr>
            </w:pPr>
            <w:r/>
          </w:p>
        </w:tc>
        <w:tc>
          <w:tcPr>
            <w:tcW w:w="1172" w:type="dxa"/>
            <w:vAlign w:val="top"/>
          </w:tcPr>
          <w:p>
            <w:pPr>
              <w:pStyle w:val="TableText"/>
              <w:ind w:left="169"/>
              <w:spacing w:before="112" w:line="224" w:lineRule="auto"/>
              <w:rPr>
                <w:sz w:val="20"/>
                <w:szCs w:val="20"/>
              </w:rPr>
            </w:pPr>
            <w:r>
              <w:rPr>
                <w:sz w:val="20"/>
                <w:szCs w:val="20"/>
                <w:spacing w:val="7"/>
              </w:rPr>
              <w:t>机械维修</w:t>
            </w:r>
          </w:p>
        </w:tc>
        <w:tc>
          <w:tcPr>
            <w:tcW w:w="1070" w:type="dxa"/>
            <w:vAlign w:val="top"/>
          </w:tcPr>
          <w:p>
            <w:pPr>
              <w:pStyle w:val="TableText"/>
              <w:ind w:left="223"/>
              <w:spacing w:before="112" w:line="224" w:lineRule="auto"/>
              <w:rPr>
                <w:sz w:val="20"/>
                <w:szCs w:val="20"/>
              </w:rPr>
            </w:pPr>
            <w:r>
              <w:rPr>
                <w:sz w:val="20"/>
                <w:szCs w:val="20"/>
                <w:spacing w:val="7"/>
              </w:rPr>
              <w:t>废机油</w:t>
            </w:r>
          </w:p>
        </w:tc>
        <w:tc>
          <w:tcPr>
            <w:tcW w:w="2024" w:type="dxa"/>
            <w:vAlign w:val="top"/>
            <w:vMerge w:val="continue"/>
            <w:tcBorders>
              <w:top w:val="nil"/>
            </w:tcBorders>
          </w:tcPr>
          <w:p>
            <w:pPr>
              <w:rPr>
                <w:rFonts w:ascii="Arial"/>
                <w:sz w:val="21"/>
              </w:rPr>
            </w:pPr>
            <w:r/>
          </w:p>
        </w:tc>
        <w:tc>
          <w:tcPr>
            <w:tcW w:w="3047" w:type="dxa"/>
            <w:vAlign w:val="top"/>
            <w:vMerge w:val="continue"/>
            <w:tcBorders>
              <w:top w:val="nil"/>
            </w:tcBorders>
          </w:tcPr>
          <w:p>
            <w:pPr>
              <w:rPr>
                <w:rFonts w:ascii="Arial"/>
                <w:sz w:val="21"/>
              </w:rPr>
            </w:pPr>
            <w:r/>
          </w:p>
        </w:tc>
      </w:tr>
      <w:tr>
        <w:trPr>
          <w:trHeight w:val="1132" w:hRule="atLeast"/>
        </w:trPr>
        <w:tc>
          <w:tcPr>
            <w:tcW w:w="1234" w:type="dxa"/>
            <w:vAlign w:val="top"/>
            <w:gridSpan w:val="2"/>
          </w:tcPr>
          <w:p>
            <w:pPr>
              <w:spacing w:line="428" w:lineRule="auto"/>
              <w:rPr>
                <w:rFonts w:ascii="Arial"/>
                <w:sz w:val="21"/>
              </w:rPr>
            </w:pPr>
            <w:r/>
          </w:p>
          <w:p>
            <w:pPr>
              <w:pStyle w:val="TableText"/>
              <w:ind w:left="432"/>
              <w:spacing w:before="65" w:line="228" w:lineRule="auto"/>
              <w:rPr>
                <w:sz w:val="20"/>
                <w:szCs w:val="20"/>
              </w:rPr>
            </w:pPr>
            <w:r>
              <w:rPr>
                <w:sz w:val="20"/>
                <w:szCs w:val="20"/>
                <w:spacing w:val="-1"/>
              </w:rPr>
              <w:t>噪声</w:t>
            </w:r>
          </w:p>
        </w:tc>
        <w:tc>
          <w:tcPr>
            <w:tcW w:w="1172" w:type="dxa"/>
            <w:vAlign w:val="top"/>
          </w:tcPr>
          <w:p>
            <w:pPr>
              <w:spacing w:line="427" w:lineRule="auto"/>
              <w:rPr>
                <w:rFonts w:ascii="Arial"/>
                <w:sz w:val="21"/>
              </w:rPr>
            </w:pPr>
            <w:r/>
          </w:p>
          <w:p>
            <w:pPr>
              <w:pStyle w:val="TableText"/>
              <w:ind w:left="172"/>
              <w:spacing w:before="65" w:line="228" w:lineRule="auto"/>
              <w:rPr>
                <w:sz w:val="20"/>
                <w:szCs w:val="20"/>
              </w:rPr>
            </w:pPr>
            <w:r>
              <w:rPr>
                <w:sz w:val="20"/>
                <w:szCs w:val="20"/>
                <w:spacing w:val="6"/>
              </w:rPr>
              <w:t>生产车间</w:t>
            </w:r>
          </w:p>
        </w:tc>
        <w:tc>
          <w:tcPr>
            <w:tcW w:w="1070" w:type="dxa"/>
            <w:vAlign w:val="top"/>
          </w:tcPr>
          <w:p>
            <w:pPr>
              <w:spacing w:line="249" w:lineRule="auto"/>
              <w:rPr>
                <w:rFonts w:ascii="Arial"/>
                <w:sz w:val="21"/>
              </w:rPr>
            </w:pPr>
            <w:r/>
          </w:p>
          <w:p>
            <w:pPr>
              <w:pStyle w:val="TableText"/>
              <w:ind w:left="128" w:right="116" w:hanging="8"/>
              <w:spacing w:before="65" w:line="280" w:lineRule="auto"/>
              <w:rPr>
                <w:sz w:val="20"/>
                <w:szCs w:val="20"/>
              </w:rPr>
            </w:pPr>
            <w:r>
              <w:rPr>
                <w:sz w:val="20"/>
                <w:szCs w:val="20"/>
                <w:spacing w:val="6"/>
              </w:rPr>
              <w:t>主要产生</w:t>
            </w:r>
            <w:r>
              <w:rPr>
                <w:sz w:val="20"/>
                <w:szCs w:val="20"/>
                <w:spacing w:val="2"/>
              </w:rPr>
              <w:t xml:space="preserve"> </w:t>
            </w:r>
            <w:r>
              <w:rPr>
                <w:sz w:val="20"/>
                <w:szCs w:val="20"/>
                <w:spacing w:val="4"/>
              </w:rPr>
              <w:t>噪声设备</w:t>
            </w:r>
          </w:p>
        </w:tc>
        <w:tc>
          <w:tcPr>
            <w:tcW w:w="2024" w:type="dxa"/>
            <w:vAlign w:val="top"/>
          </w:tcPr>
          <w:p>
            <w:pPr>
              <w:pStyle w:val="TableText"/>
              <w:ind w:left="176"/>
              <w:spacing w:before="135" w:line="228" w:lineRule="auto"/>
              <w:rPr>
                <w:sz w:val="20"/>
                <w:szCs w:val="20"/>
              </w:rPr>
            </w:pPr>
            <w:r>
              <w:rPr>
                <w:sz w:val="20"/>
                <w:szCs w:val="20"/>
                <w:spacing w:val="10"/>
              </w:rPr>
              <w:t>选用具有减震、降</w:t>
            </w:r>
          </w:p>
          <w:p>
            <w:pPr>
              <w:pStyle w:val="TableText"/>
              <w:ind w:left="124"/>
              <w:spacing w:before="113" w:line="228" w:lineRule="auto"/>
              <w:rPr>
                <w:sz w:val="20"/>
                <w:szCs w:val="20"/>
              </w:rPr>
            </w:pPr>
            <w:r>
              <w:rPr>
                <w:sz w:val="20"/>
                <w:szCs w:val="20"/>
                <w:spacing w:val="-2"/>
              </w:rPr>
              <w:t>噪、隔声、消声设计</w:t>
            </w:r>
          </w:p>
          <w:p>
            <w:pPr>
              <w:pStyle w:val="TableText"/>
              <w:ind w:left="719"/>
              <w:spacing w:before="112" w:line="229" w:lineRule="auto"/>
              <w:rPr>
                <w:sz w:val="20"/>
                <w:szCs w:val="20"/>
              </w:rPr>
            </w:pPr>
            <w:r>
              <w:rPr>
                <w:sz w:val="20"/>
                <w:szCs w:val="20"/>
                <w:spacing w:val="1"/>
              </w:rPr>
              <w:t>的设备</w:t>
            </w:r>
          </w:p>
        </w:tc>
        <w:tc>
          <w:tcPr>
            <w:tcW w:w="3047" w:type="dxa"/>
            <w:vAlign w:val="top"/>
          </w:tcPr>
          <w:p>
            <w:pPr>
              <w:pStyle w:val="TableText"/>
              <w:ind w:left="114" w:right="107" w:firstLine="54"/>
              <w:spacing w:before="136" w:line="280" w:lineRule="auto"/>
              <w:rPr>
                <w:rFonts w:ascii="Times New Roman" w:hAnsi="Times New Roman" w:eastAsia="Times New Roman" w:cs="Times New Roman"/>
                <w:sz w:val="20"/>
                <w:szCs w:val="20"/>
              </w:rPr>
            </w:pPr>
            <w:r>
              <w:rPr>
                <w:sz w:val="20"/>
                <w:szCs w:val="20"/>
                <w:spacing w:val="8"/>
              </w:rPr>
              <w:t>《工业企业厂界环境噪声排放</w:t>
            </w:r>
            <w:r>
              <w:rPr>
                <w:sz w:val="20"/>
                <w:szCs w:val="20"/>
                <w:spacing w:val="10"/>
              </w:rPr>
              <w:t xml:space="preserve"> </w:t>
            </w:r>
            <w:r>
              <w:rPr>
                <w:sz w:val="20"/>
                <w:szCs w:val="20"/>
                <w:spacing w:val="4"/>
              </w:rPr>
              <w:t>标准》（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4"/>
              </w:rPr>
              <w:t>12348-2008</w:t>
            </w:r>
            <w:r>
              <w:rPr>
                <w:sz w:val="20"/>
                <w:szCs w:val="20"/>
                <w:spacing w:val="4"/>
              </w:rPr>
              <w:t>）中的</w:t>
            </w:r>
            <w:r>
              <w:rPr>
                <w:rFonts w:ascii="Times New Roman" w:hAnsi="Times New Roman" w:eastAsia="Times New Roman" w:cs="Times New Roman"/>
                <w:sz w:val="20"/>
                <w:szCs w:val="20"/>
                <w:spacing w:val="4"/>
              </w:rPr>
              <w:t>2</w:t>
            </w:r>
          </w:p>
          <w:p>
            <w:pPr>
              <w:pStyle w:val="TableText"/>
              <w:ind w:left="1213"/>
              <w:spacing w:before="112" w:line="228" w:lineRule="auto"/>
              <w:rPr>
                <w:sz w:val="20"/>
                <w:szCs w:val="20"/>
              </w:rPr>
            </w:pPr>
            <w:r>
              <w:rPr>
                <w:sz w:val="20"/>
                <w:szCs w:val="20"/>
                <w:spacing w:val="6"/>
              </w:rPr>
              <w:t>类标准</w:t>
            </w:r>
          </w:p>
        </w:tc>
      </w:tr>
      <w:tr>
        <w:trPr>
          <w:trHeight w:val="405" w:hRule="atLeast"/>
        </w:trPr>
        <w:tc>
          <w:tcPr>
            <w:tcW w:w="1234" w:type="dxa"/>
            <w:vAlign w:val="top"/>
            <w:gridSpan w:val="2"/>
          </w:tcPr>
          <w:p>
            <w:pPr>
              <w:pStyle w:val="TableText"/>
              <w:ind w:left="238"/>
              <w:spacing w:before="133" w:line="228" w:lineRule="auto"/>
              <w:rPr>
                <w:sz w:val="20"/>
                <w:szCs w:val="20"/>
              </w:rPr>
            </w:pPr>
            <w:r>
              <w:rPr>
                <w:sz w:val="20"/>
                <w:szCs w:val="20"/>
                <w:spacing w:val="1"/>
              </w:rPr>
              <w:t>电磁辐射</w:t>
            </w:r>
          </w:p>
        </w:tc>
        <w:tc>
          <w:tcPr>
            <w:tcW w:w="7313" w:type="dxa"/>
            <w:vAlign w:val="top"/>
            <w:gridSpan w:val="4"/>
          </w:tcPr>
          <w:p>
            <w:pPr>
              <w:pStyle w:val="TableText"/>
              <w:ind w:left="3556"/>
              <w:spacing w:before="146" w:line="228" w:lineRule="auto"/>
              <w:rPr>
                <w:sz w:val="20"/>
                <w:szCs w:val="20"/>
              </w:rPr>
            </w:pPr>
            <w:r>
              <w:rPr>
                <w:sz w:val="20"/>
                <w:szCs w:val="20"/>
              </w:rPr>
              <w:t>无</w:t>
            </w:r>
          </w:p>
        </w:tc>
      </w:tr>
      <w:tr>
        <w:trPr>
          <w:trHeight w:val="727" w:hRule="atLeast"/>
        </w:trPr>
        <w:tc>
          <w:tcPr>
            <w:tcW w:w="1234" w:type="dxa"/>
            <w:vAlign w:val="top"/>
            <w:gridSpan w:val="2"/>
          </w:tcPr>
          <w:p>
            <w:pPr>
              <w:pStyle w:val="TableText"/>
              <w:ind w:left="219" w:right="185" w:hanging="5"/>
              <w:spacing w:before="112" w:line="279" w:lineRule="auto"/>
              <w:rPr>
                <w:sz w:val="20"/>
                <w:szCs w:val="20"/>
              </w:rPr>
            </w:pPr>
            <w:r>
              <w:rPr>
                <w:sz w:val="20"/>
                <w:szCs w:val="20"/>
                <w:spacing w:val="7"/>
              </w:rPr>
              <w:t>土壤及地</w:t>
            </w:r>
            <w:r>
              <w:rPr>
                <w:sz w:val="20"/>
                <w:szCs w:val="20"/>
              </w:rPr>
              <w:t xml:space="preserve"> </w:t>
            </w:r>
            <w:r>
              <w:rPr>
                <w:sz w:val="20"/>
                <w:szCs w:val="20"/>
                <w:spacing w:val="5"/>
              </w:rPr>
              <w:t>下水污染</w:t>
            </w:r>
          </w:p>
        </w:tc>
        <w:tc>
          <w:tcPr>
            <w:tcW w:w="7313" w:type="dxa"/>
            <w:vAlign w:val="top"/>
            <w:gridSpan w:val="4"/>
          </w:tcPr>
          <w:p>
            <w:pPr>
              <w:pStyle w:val="TableText"/>
              <w:ind w:left="1454"/>
              <w:spacing w:before="304" w:line="228" w:lineRule="auto"/>
              <w:rPr>
                <w:sz w:val="20"/>
                <w:szCs w:val="20"/>
              </w:rPr>
            </w:pPr>
            <w:r>
              <w:rPr>
                <w:sz w:val="20"/>
                <w:szCs w:val="20"/>
                <w:spacing w:val="9"/>
              </w:rPr>
              <w:t>相关内容见水环境影响分析及固废环境影响分析</w:t>
            </w:r>
          </w:p>
        </w:tc>
      </w:tr>
    </w:tbl>
    <w:p>
      <w:pPr>
        <w:pStyle w:val="BodyText"/>
        <w:rPr/>
      </w:pPr>
      <w:r/>
    </w:p>
    <w:p>
      <w:pPr>
        <w:sectPr>
          <w:footerReference w:type="default" r:id="rId107"/>
          <w:pgSz w:w="11906" w:h="16839"/>
          <w:pgMar w:top="400" w:right="1687" w:bottom="1211" w:left="1665"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3"/>
        <w:gridCol w:w="760"/>
        <w:gridCol w:w="1107"/>
        <w:gridCol w:w="1459"/>
        <w:gridCol w:w="680"/>
        <w:gridCol w:w="3307"/>
      </w:tblGrid>
      <w:tr>
        <w:trPr>
          <w:trHeight w:val="370" w:hRule="atLeast"/>
        </w:trPr>
        <w:tc>
          <w:tcPr>
            <w:tcW w:w="1213" w:type="dxa"/>
            <w:vAlign w:val="top"/>
          </w:tcPr>
          <w:p>
            <w:pPr>
              <w:pStyle w:val="TableText"/>
              <w:ind w:left="205"/>
              <w:spacing w:before="114" w:line="227" w:lineRule="auto"/>
              <w:rPr>
                <w:sz w:val="20"/>
                <w:szCs w:val="20"/>
              </w:rPr>
            </w:pPr>
            <w:r>
              <w:rPr>
                <w:sz w:val="20"/>
                <w:szCs w:val="20"/>
                <w:spacing w:val="4"/>
              </w:rPr>
              <w:t>防治措施</w:t>
            </w:r>
          </w:p>
        </w:tc>
        <w:tc>
          <w:tcPr>
            <w:tcW w:w="7313" w:type="dxa"/>
            <w:vAlign w:val="top"/>
            <w:gridSpan w:val="5"/>
          </w:tcPr>
          <w:p>
            <w:pPr>
              <w:rPr>
                <w:rFonts w:ascii="Arial"/>
                <w:sz w:val="21"/>
              </w:rPr>
            </w:pPr>
            <w:r/>
          </w:p>
        </w:tc>
      </w:tr>
      <w:tr>
        <w:trPr>
          <w:trHeight w:val="725" w:hRule="atLeast"/>
        </w:trPr>
        <w:tc>
          <w:tcPr>
            <w:tcW w:w="1213" w:type="dxa"/>
            <w:vAlign w:val="top"/>
          </w:tcPr>
          <w:p>
            <w:pPr>
              <w:pStyle w:val="TableText"/>
              <w:ind w:left="401" w:right="185" w:hanging="207"/>
              <w:spacing w:before="108" w:line="280" w:lineRule="auto"/>
              <w:rPr>
                <w:sz w:val="20"/>
                <w:szCs w:val="20"/>
              </w:rPr>
            </w:pPr>
            <w:r>
              <w:rPr>
                <w:sz w:val="20"/>
                <w:szCs w:val="20"/>
                <w:spacing w:val="6"/>
              </w:rPr>
              <w:t>生态保护</w:t>
            </w:r>
            <w:r>
              <w:rPr>
                <w:sz w:val="20"/>
                <w:szCs w:val="20"/>
                <w:spacing w:val="2"/>
              </w:rPr>
              <w:t xml:space="preserve"> </w:t>
            </w:r>
            <w:r>
              <w:rPr>
                <w:sz w:val="20"/>
                <w:szCs w:val="20"/>
                <w:spacing w:val="4"/>
              </w:rPr>
              <w:t>措施</w:t>
            </w:r>
          </w:p>
        </w:tc>
        <w:tc>
          <w:tcPr>
            <w:tcW w:w="7313" w:type="dxa"/>
            <w:vAlign w:val="top"/>
            <w:gridSpan w:val="5"/>
          </w:tcPr>
          <w:p>
            <w:pPr>
              <w:spacing w:line="262" w:lineRule="auto"/>
              <w:rPr>
                <w:rFonts w:ascii="Arial"/>
                <w:sz w:val="21"/>
              </w:rPr>
            </w:pPr>
            <w:r/>
          </w:p>
          <w:p>
            <w:pPr>
              <w:pStyle w:val="TableText"/>
              <w:ind w:left="2505"/>
              <w:spacing w:before="65" w:line="228" w:lineRule="auto"/>
              <w:rPr>
                <w:sz w:val="20"/>
                <w:szCs w:val="20"/>
              </w:rPr>
            </w:pPr>
            <w:r>
              <w:rPr>
                <w:sz w:val="20"/>
                <w:szCs w:val="20"/>
                <w:spacing w:val="7"/>
              </w:rPr>
              <w:t>相关内容见</w:t>
            </w:r>
            <w:r>
              <w:rPr>
                <w:rFonts w:ascii="Times New Roman" w:hAnsi="Times New Roman" w:eastAsia="Times New Roman" w:cs="Times New Roman"/>
                <w:sz w:val="20"/>
                <w:szCs w:val="20"/>
                <w:spacing w:val="7"/>
              </w:rPr>
              <w:t>4.2.5</w:t>
            </w:r>
            <w:r>
              <w:rPr>
                <w:sz w:val="20"/>
                <w:szCs w:val="20"/>
                <w:spacing w:val="7"/>
              </w:rPr>
              <w:t>生态环境影响</w:t>
            </w:r>
          </w:p>
        </w:tc>
      </w:tr>
      <w:tr>
        <w:trPr>
          <w:trHeight w:val="725" w:hRule="atLeast"/>
        </w:trPr>
        <w:tc>
          <w:tcPr>
            <w:tcW w:w="1213" w:type="dxa"/>
            <w:vAlign w:val="top"/>
          </w:tcPr>
          <w:p>
            <w:pPr>
              <w:pStyle w:val="TableText"/>
              <w:ind w:left="205" w:right="185" w:hanging="13"/>
              <w:spacing w:before="108" w:line="280" w:lineRule="auto"/>
              <w:rPr>
                <w:sz w:val="20"/>
                <w:szCs w:val="20"/>
              </w:rPr>
            </w:pPr>
            <w:r>
              <w:rPr>
                <w:sz w:val="20"/>
                <w:szCs w:val="20"/>
                <w:spacing w:val="7"/>
              </w:rPr>
              <w:t>环境风险</w:t>
            </w:r>
            <w:r>
              <w:rPr>
                <w:sz w:val="20"/>
                <w:szCs w:val="20"/>
              </w:rPr>
              <w:t xml:space="preserve"> </w:t>
            </w:r>
            <w:r>
              <w:rPr>
                <w:sz w:val="20"/>
                <w:szCs w:val="20"/>
                <w:spacing w:val="4"/>
              </w:rPr>
              <w:t>防范措施</w:t>
            </w:r>
          </w:p>
        </w:tc>
        <w:tc>
          <w:tcPr>
            <w:tcW w:w="7313" w:type="dxa"/>
            <w:vAlign w:val="top"/>
            <w:gridSpan w:val="5"/>
          </w:tcPr>
          <w:p>
            <w:pPr>
              <w:spacing w:line="264" w:lineRule="auto"/>
              <w:rPr>
                <w:rFonts w:ascii="Arial"/>
                <w:sz w:val="21"/>
              </w:rPr>
            </w:pPr>
            <w:r/>
          </w:p>
          <w:p>
            <w:pPr>
              <w:pStyle w:val="TableText"/>
              <w:ind w:left="2085"/>
              <w:spacing w:before="65" w:line="228" w:lineRule="auto"/>
              <w:rPr>
                <w:sz w:val="20"/>
                <w:szCs w:val="20"/>
              </w:rPr>
            </w:pPr>
            <w:r>
              <w:rPr>
                <w:sz w:val="20"/>
                <w:szCs w:val="20"/>
                <w:spacing w:val="7"/>
              </w:rPr>
              <w:t>相关内容见</w:t>
            </w:r>
            <w:r>
              <w:rPr>
                <w:rFonts w:ascii="Times New Roman" w:hAnsi="Times New Roman" w:eastAsia="Times New Roman" w:cs="Times New Roman"/>
                <w:sz w:val="20"/>
                <w:szCs w:val="20"/>
                <w:spacing w:val="7"/>
              </w:rPr>
              <w:t>4.2.6</w:t>
            </w:r>
            <w:r>
              <w:rPr>
                <w:sz w:val="20"/>
                <w:szCs w:val="20"/>
                <w:spacing w:val="7"/>
              </w:rPr>
              <w:t>环境风险防范措施实施</w:t>
            </w:r>
          </w:p>
        </w:tc>
      </w:tr>
      <w:tr>
        <w:trPr>
          <w:trHeight w:val="2833" w:hRule="atLeast"/>
        </w:trPr>
        <w:tc>
          <w:tcPr>
            <w:tcW w:w="1213"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134"/>
              <w:spacing w:before="78" w:line="499" w:lineRule="exact"/>
              <w:rPr/>
            </w:pPr>
            <w:r>
              <w:rPr>
                <w:spacing w:val="-3"/>
                <w:position w:val="19"/>
              </w:rPr>
              <w:t>其他环境</w:t>
            </w:r>
          </w:p>
          <w:p>
            <w:pPr>
              <w:pStyle w:val="TableText"/>
              <w:ind w:left="139"/>
              <w:spacing w:line="219" w:lineRule="auto"/>
              <w:rPr/>
            </w:pPr>
            <w:r>
              <w:rPr>
                <w:spacing w:val="-4"/>
              </w:rPr>
              <w:t>管理要求</w:t>
            </w:r>
          </w:p>
        </w:tc>
        <w:tc>
          <w:tcPr>
            <w:tcW w:w="7313" w:type="dxa"/>
            <w:vAlign w:val="top"/>
            <w:gridSpan w:val="5"/>
            <w:tcBorders>
              <w:bottom w:val="single" w:color="000000" w:sz="10" w:space="0"/>
            </w:tcBorders>
          </w:tcPr>
          <w:p>
            <w:pPr>
              <w:pStyle w:val="TableText"/>
              <w:ind w:left="113"/>
              <w:spacing w:before="158" w:line="220" w:lineRule="auto"/>
              <w:outlineLvl w:val="1"/>
              <w:rPr>
                <w:sz w:val="28"/>
                <w:szCs w:val="28"/>
              </w:rPr>
            </w:pPr>
            <w:r>
              <w:rPr>
                <w:rFonts w:ascii="Times New Roman" w:hAnsi="Times New Roman" w:eastAsia="Times New Roman" w:cs="Times New Roman"/>
                <w:sz w:val="28"/>
                <w:szCs w:val="28"/>
                <w:b/>
                <w:bCs/>
                <w:spacing w:val="-1"/>
              </w:rPr>
              <w:t>5.1“</w:t>
            </w:r>
            <w:r>
              <w:rPr>
                <w:sz w:val="28"/>
                <w:szCs w:val="28"/>
                <w14:textOutline w14:w="5103" w14:cap="sq" w14:cmpd="sng">
                  <w14:solidFill>
                    <w14:srgbClr w14:val="000000"/>
                  </w14:solidFill>
                  <w14:prstDash w14:val="solid"/>
                  <w14:bevel/>
                </w14:textOutline>
                <w:spacing w:val="-1"/>
              </w:rPr>
              <w:t>三同时</w:t>
            </w:r>
            <w:r>
              <w:rPr>
                <w:rFonts w:ascii="Times New Roman" w:hAnsi="Times New Roman" w:eastAsia="Times New Roman" w:cs="Times New Roman"/>
                <w:sz w:val="28"/>
                <w:szCs w:val="28"/>
                <w:b/>
                <w:bCs/>
                <w:spacing w:val="-1"/>
              </w:rPr>
              <w:t>”</w:t>
            </w:r>
            <w:r>
              <w:rPr>
                <w:sz w:val="28"/>
                <w:szCs w:val="28"/>
                <w14:textOutline w14:w="5103" w14:cap="sq" w14:cmpd="sng">
                  <w14:solidFill>
                    <w14:srgbClr w14:val="000000"/>
                  </w14:solidFill>
                  <w14:prstDash w14:val="solid"/>
                  <w14:bevel/>
                </w14:textOutline>
                <w:spacing w:val="-1"/>
              </w:rPr>
              <w:t>验收</w:t>
            </w:r>
          </w:p>
          <w:p>
            <w:pPr>
              <w:pStyle w:val="TableText"/>
              <w:ind w:left="119" w:right="62" w:firstLine="476"/>
              <w:spacing w:before="203" w:line="384" w:lineRule="auto"/>
              <w:jc w:val="both"/>
              <w:rPr/>
            </w:pPr>
            <w:r>
              <w:rPr>
                <w:spacing w:val="-4"/>
              </w:rPr>
              <w:t>建设单位在本项目建成投产后生产工况达到设计规模</w:t>
            </w:r>
            <w:r>
              <w:rPr>
                <w:spacing w:val="-5"/>
              </w:rPr>
              <w:t>时，应按照</w:t>
            </w:r>
            <w:r>
              <w:rPr/>
              <w:t xml:space="preserve"> </w:t>
            </w:r>
            <w:r>
              <w:rPr>
                <w:spacing w:val="-3"/>
              </w:rPr>
              <w:t>《建设项目竣工环境保护验收暂行办法》，及时组织竣工验收申请，</w:t>
            </w:r>
          </w:p>
          <w:p>
            <w:pPr>
              <w:pStyle w:val="TableText"/>
              <w:ind w:left="111"/>
              <w:spacing w:line="219" w:lineRule="auto"/>
              <w:rPr/>
            </w:pPr>
            <w:r>
              <w:rPr>
                <w:spacing w:val="-2"/>
              </w:rPr>
              <w:t>进行验收。</w:t>
            </w:r>
          </w:p>
          <w:p>
            <w:pPr>
              <w:pStyle w:val="TableText"/>
              <w:ind w:left="593"/>
              <w:spacing w:before="216" w:line="219" w:lineRule="auto"/>
              <w:rPr/>
            </w:pPr>
            <w:r>
              <w:rPr>
                <w:spacing w:val="-3"/>
              </w:rPr>
              <w:t>环评建议的验收一览表见表</w:t>
            </w:r>
            <w:r>
              <w:rPr>
                <w:rFonts w:ascii="Times New Roman" w:hAnsi="Times New Roman" w:eastAsia="Times New Roman" w:cs="Times New Roman"/>
                <w:spacing w:val="-3"/>
              </w:rPr>
              <w:t>5.1-</w:t>
            </w:r>
            <w:r>
              <w:rPr>
                <w:rFonts w:ascii="Times New Roman" w:hAnsi="Times New Roman" w:eastAsia="Times New Roman" w:cs="Times New Roman"/>
                <w:spacing w:val="-18"/>
              </w:rPr>
              <w:t xml:space="preserve"> </w:t>
            </w:r>
            <w:r>
              <w:rPr>
                <w:rFonts w:ascii="Times New Roman" w:hAnsi="Times New Roman" w:eastAsia="Times New Roman" w:cs="Times New Roman"/>
                <w:spacing w:val="-3"/>
              </w:rPr>
              <w:t>1</w:t>
            </w:r>
            <w:r>
              <w:rPr>
                <w:spacing w:val="-3"/>
              </w:rPr>
              <w:t>。</w:t>
            </w:r>
          </w:p>
          <w:p>
            <w:pPr>
              <w:pStyle w:val="TableText"/>
              <w:ind w:left="1427"/>
              <w:spacing w:before="63" w:line="215" w:lineRule="auto"/>
              <w:rPr/>
            </w:pPr>
            <w:r>
              <w:rPr>
                <w14:textOutline w14:w="4358" w14:cap="sq" w14:cmpd="sng">
                  <w14:solidFill>
                    <w14:srgbClr w14:val="000000"/>
                  </w14:solidFill>
                  <w14:prstDash w14:val="solid"/>
                  <w14:bevel/>
                </w14:textOutline>
                <w:spacing w:val="-1"/>
              </w:rPr>
              <w:t>表5.1-1</w:t>
            </w:r>
            <w:r>
              <w:rPr>
                <w:spacing w:val="-1"/>
              </w:rPr>
              <w:t xml:space="preserve">  </w:t>
            </w:r>
            <w:r>
              <w:rPr>
                <w14:textOutline w14:w="4358" w14:cap="sq" w14:cmpd="sng">
                  <w14:solidFill>
                    <w14:srgbClr w14:val="000000"/>
                  </w14:solidFill>
                  <w14:prstDash w14:val="solid"/>
                  <w14:bevel/>
                </w14:textOutline>
                <w:spacing w:val="-1"/>
              </w:rPr>
              <w:t>环保设施“三同时</w:t>
            </w:r>
            <w:r>
              <w:rPr>
                <w:spacing w:val="-84"/>
              </w:rPr>
              <w:t xml:space="preserve"> </w:t>
            </w:r>
            <w:r>
              <w:rPr>
                <w14:textOutline w14:w="4358" w14:cap="sq" w14:cmpd="sng">
                  <w14:solidFill>
                    <w14:srgbClr w14:val="000000"/>
                  </w14:solidFill>
                  <w14:prstDash w14:val="solid"/>
                  <w14:bevel/>
                </w14:textOutline>
                <w:spacing w:val="-1"/>
              </w:rPr>
              <w:t>”竣工验收一览表</w:t>
            </w:r>
          </w:p>
        </w:tc>
      </w:tr>
      <w:tr>
        <w:trPr>
          <w:trHeight w:val="715" w:hRule="atLeast"/>
        </w:trPr>
        <w:tc>
          <w:tcPr>
            <w:tcW w:w="1213" w:type="dxa"/>
            <w:vAlign w:val="top"/>
            <w:vMerge w:val="continue"/>
            <w:tcBorders>
              <w:top w:val="nil"/>
              <w:bottom w:val="nil"/>
            </w:tcBorders>
          </w:tcPr>
          <w:p>
            <w:pPr>
              <w:rPr>
                <w:rFonts w:ascii="Arial"/>
                <w:sz w:val="21"/>
              </w:rPr>
            </w:pPr>
            <w:r/>
          </w:p>
        </w:tc>
        <w:tc>
          <w:tcPr>
            <w:tcW w:w="760" w:type="dxa"/>
            <w:vAlign w:val="top"/>
            <w:tcBorders>
              <w:top w:val="single" w:color="000000" w:sz="10" w:space="0"/>
            </w:tcBorders>
          </w:tcPr>
          <w:p>
            <w:pPr>
              <w:pStyle w:val="TableText"/>
              <w:ind w:left="337" w:right="14" w:hanging="214"/>
              <w:spacing w:before="100" w:line="279" w:lineRule="auto"/>
              <w:rPr>
                <w:sz w:val="20"/>
                <w:szCs w:val="20"/>
              </w:rPr>
            </w:pPr>
            <w:r>
              <w:rPr>
                <w:sz w:val="20"/>
                <w:szCs w:val="20"/>
                <w:spacing w:val="5"/>
              </w:rPr>
              <w:t>处理对</w:t>
            </w:r>
            <w:r>
              <w:rPr>
                <w:sz w:val="20"/>
                <w:szCs w:val="20"/>
              </w:rPr>
              <w:t xml:space="preserve"> </w:t>
            </w:r>
            <w:r>
              <w:rPr>
                <w:sz w:val="20"/>
                <w:szCs w:val="20"/>
              </w:rPr>
              <w:t>象</w:t>
            </w:r>
          </w:p>
        </w:tc>
        <w:tc>
          <w:tcPr>
            <w:tcW w:w="1107" w:type="dxa"/>
            <w:vAlign w:val="top"/>
            <w:tcBorders>
              <w:top w:val="single" w:color="000000" w:sz="10" w:space="0"/>
            </w:tcBorders>
          </w:tcPr>
          <w:p>
            <w:pPr>
              <w:pStyle w:val="TableText"/>
              <w:ind w:left="244"/>
              <w:spacing w:before="281" w:line="228" w:lineRule="auto"/>
              <w:rPr>
                <w:sz w:val="20"/>
                <w:szCs w:val="20"/>
              </w:rPr>
            </w:pPr>
            <w:r>
              <w:rPr>
                <w:sz w:val="20"/>
                <w:szCs w:val="20"/>
                <w:spacing w:val="6"/>
              </w:rPr>
              <w:t>污染源</w:t>
            </w:r>
          </w:p>
        </w:tc>
        <w:tc>
          <w:tcPr>
            <w:tcW w:w="1459" w:type="dxa"/>
            <w:vAlign w:val="top"/>
            <w:tcBorders>
              <w:top w:val="single" w:color="000000" w:sz="10" w:space="0"/>
            </w:tcBorders>
          </w:tcPr>
          <w:p>
            <w:pPr>
              <w:pStyle w:val="TableText"/>
              <w:ind w:left="107"/>
              <w:spacing w:before="281" w:line="228" w:lineRule="auto"/>
              <w:rPr>
                <w:sz w:val="20"/>
                <w:szCs w:val="20"/>
              </w:rPr>
            </w:pPr>
            <w:r>
              <w:rPr>
                <w:sz w:val="20"/>
                <w:szCs w:val="20"/>
                <w:spacing w:val="7"/>
              </w:rPr>
              <w:t>污染防治措施</w:t>
            </w:r>
          </w:p>
        </w:tc>
        <w:tc>
          <w:tcPr>
            <w:tcW w:w="680" w:type="dxa"/>
            <w:vAlign w:val="top"/>
            <w:tcBorders>
              <w:top w:val="single" w:color="000000" w:sz="10" w:space="0"/>
            </w:tcBorders>
          </w:tcPr>
          <w:p>
            <w:pPr>
              <w:pStyle w:val="TableText"/>
              <w:ind w:left="33"/>
              <w:spacing w:before="100" w:line="231" w:lineRule="auto"/>
              <w:rPr>
                <w:sz w:val="20"/>
                <w:szCs w:val="20"/>
              </w:rPr>
            </w:pPr>
            <w:r>
              <w:rPr>
                <w:sz w:val="20"/>
                <w:szCs w:val="20"/>
                <w:spacing w:val="6"/>
              </w:rPr>
              <w:t>主要污</w:t>
            </w:r>
          </w:p>
          <w:p>
            <w:pPr>
              <w:pStyle w:val="TableText"/>
              <w:ind w:left="140"/>
              <w:spacing w:before="110" w:line="225" w:lineRule="auto"/>
              <w:rPr>
                <w:sz w:val="20"/>
                <w:szCs w:val="20"/>
              </w:rPr>
            </w:pPr>
            <w:r>
              <w:rPr>
                <w:sz w:val="20"/>
                <w:szCs w:val="20"/>
                <w:spacing w:val="3"/>
              </w:rPr>
              <w:t>染物</w:t>
            </w:r>
          </w:p>
        </w:tc>
        <w:tc>
          <w:tcPr>
            <w:tcW w:w="3307" w:type="dxa"/>
            <w:vAlign w:val="top"/>
            <w:tcBorders>
              <w:top w:val="single" w:color="000000" w:sz="10" w:space="0"/>
            </w:tcBorders>
          </w:tcPr>
          <w:p>
            <w:pPr>
              <w:pStyle w:val="TableText"/>
              <w:ind w:left="1186"/>
              <w:spacing w:before="280" w:line="228" w:lineRule="auto"/>
              <w:rPr>
                <w:sz w:val="20"/>
                <w:szCs w:val="20"/>
              </w:rPr>
            </w:pPr>
            <w:r>
              <w:rPr>
                <w:sz w:val="20"/>
                <w:szCs w:val="20"/>
                <w:spacing w:val="7"/>
              </w:rPr>
              <w:t>验收要求</w:t>
            </w:r>
          </w:p>
        </w:tc>
      </w:tr>
      <w:tr>
        <w:trPr>
          <w:trHeight w:val="1204" w:hRule="atLeast"/>
        </w:trPr>
        <w:tc>
          <w:tcPr>
            <w:tcW w:w="1213" w:type="dxa"/>
            <w:vAlign w:val="top"/>
            <w:vMerge w:val="continue"/>
            <w:tcBorders>
              <w:top w:val="nil"/>
              <w:bottom w:val="nil"/>
            </w:tcBorders>
          </w:tcPr>
          <w:p>
            <w:pPr>
              <w:rPr>
                <w:rFonts w:ascii="Arial"/>
                <w:sz w:val="21"/>
              </w:rPr>
            </w:pPr>
            <w:r/>
          </w:p>
        </w:tc>
        <w:tc>
          <w:tcPr>
            <w:tcW w:w="760"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224"/>
              <w:spacing w:before="65" w:line="228" w:lineRule="auto"/>
              <w:rPr>
                <w:sz w:val="20"/>
                <w:szCs w:val="20"/>
              </w:rPr>
            </w:pPr>
            <w:r>
              <w:rPr>
                <w:sz w:val="20"/>
                <w:szCs w:val="20"/>
                <w:spacing w:val="5"/>
              </w:rPr>
              <w:t>废气</w:t>
            </w:r>
          </w:p>
        </w:tc>
        <w:tc>
          <w:tcPr>
            <w:tcW w:w="1107" w:type="dxa"/>
            <w:vAlign w:val="top"/>
          </w:tcPr>
          <w:p>
            <w:pPr>
              <w:spacing w:line="283" w:lineRule="auto"/>
              <w:rPr>
                <w:rFonts w:ascii="Arial"/>
                <w:sz w:val="21"/>
              </w:rPr>
            </w:pPr>
            <w:r/>
          </w:p>
          <w:p>
            <w:pPr>
              <w:pStyle w:val="TableText"/>
              <w:ind w:left="348" w:right="27" w:hanging="314"/>
              <w:spacing w:before="65" w:line="281" w:lineRule="auto"/>
              <w:rPr>
                <w:sz w:val="20"/>
                <w:szCs w:val="20"/>
              </w:rPr>
            </w:pPr>
            <w:r>
              <w:rPr>
                <w:sz w:val="20"/>
                <w:szCs w:val="20"/>
                <w:spacing w:val="8"/>
              </w:rPr>
              <w:t>地膜生产排</w:t>
            </w:r>
            <w:r>
              <w:rPr>
                <w:sz w:val="20"/>
                <w:szCs w:val="20"/>
              </w:rPr>
              <w:t xml:space="preserve"> </w:t>
            </w:r>
            <w:r>
              <w:rPr>
                <w:sz w:val="20"/>
                <w:szCs w:val="20"/>
                <w:spacing w:val="4"/>
              </w:rPr>
              <w:t>放口</w:t>
            </w:r>
          </w:p>
        </w:tc>
        <w:tc>
          <w:tcPr>
            <w:tcW w:w="1459" w:type="dxa"/>
            <w:vAlign w:val="top"/>
          </w:tcPr>
          <w:p>
            <w:pPr>
              <w:pStyle w:val="TableText"/>
              <w:ind w:left="51"/>
              <w:spacing w:before="211" w:line="227" w:lineRule="auto"/>
              <w:rPr>
                <w:sz w:val="20"/>
                <w:szCs w:val="20"/>
              </w:rPr>
            </w:pPr>
            <w:r>
              <w:rPr>
                <w:sz w:val="20"/>
                <w:szCs w:val="20"/>
                <w:spacing w:val="7"/>
              </w:rPr>
              <w:t>活性炭吸附</w:t>
            </w:r>
            <w:r>
              <w:rPr>
                <w:rFonts w:ascii="Times New Roman" w:hAnsi="Times New Roman" w:eastAsia="Times New Roman" w:cs="Times New Roman"/>
                <w:sz w:val="20"/>
                <w:szCs w:val="20"/>
                <w:spacing w:val="7"/>
              </w:rPr>
              <w:t>+</w:t>
            </w:r>
            <w:r>
              <w:rPr>
                <w:sz w:val="20"/>
                <w:szCs w:val="20"/>
                <w:spacing w:val="7"/>
              </w:rPr>
              <w:t>直</w:t>
            </w:r>
          </w:p>
          <w:p>
            <w:pPr>
              <w:pStyle w:val="TableText"/>
              <w:ind w:left="104"/>
              <w:spacing w:before="54" w:line="227" w:lineRule="auto"/>
              <w:rPr>
                <w:sz w:val="20"/>
                <w:szCs w:val="20"/>
              </w:rPr>
            </w:pPr>
            <w:r>
              <w:rPr>
                <w:sz w:val="20"/>
                <w:szCs w:val="20"/>
                <w:spacing w:val="8"/>
              </w:rPr>
              <w:t>接催化燃烧法</w:t>
            </w:r>
          </w:p>
          <w:p>
            <w:pPr>
              <w:pStyle w:val="TableText"/>
              <w:ind w:left="170"/>
              <w:spacing w:before="53" w:line="228" w:lineRule="auto"/>
              <w:rPr>
                <w:sz w:val="20"/>
                <w:szCs w:val="20"/>
              </w:rPr>
            </w:pPr>
            <w:r>
              <w:rPr>
                <w:rFonts w:ascii="Times New Roman" w:hAnsi="Times New Roman" w:eastAsia="Times New Roman" w:cs="Times New Roman"/>
                <w:sz w:val="20"/>
                <w:szCs w:val="20"/>
                <w:spacing w:val="6"/>
              </w:rPr>
              <w:t>+15m</w:t>
            </w:r>
            <w:r>
              <w:rPr>
                <w:sz w:val="20"/>
                <w:szCs w:val="20"/>
                <w:spacing w:val="6"/>
              </w:rPr>
              <w:t>排气筒</w:t>
            </w:r>
          </w:p>
        </w:tc>
        <w:tc>
          <w:tcPr>
            <w:tcW w:w="680" w:type="dxa"/>
            <w:vAlign w:val="top"/>
          </w:tcPr>
          <w:p>
            <w:pPr>
              <w:spacing w:line="284" w:lineRule="auto"/>
              <w:rPr>
                <w:rFonts w:ascii="Arial"/>
                <w:sz w:val="21"/>
              </w:rPr>
            </w:pPr>
            <w:r/>
          </w:p>
          <w:p>
            <w:pPr>
              <w:pStyle w:val="TableText"/>
              <w:ind w:left="34"/>
              <w:spacing w:before="65" w:line="228" w:lineRule="auto"/>
              <w:rPr>
                <w:sz w:val="20"/>
                <w:szCs w:val="20"/>
              </w:rPr>
            </w:pPr>
            <w:r>
              <w:rPr>
                <w:sz w:val="20"/>
                <w:szCs w:val="20"/>
                <w:spacing w:val="5"/>
              </w:rPr>
              <w:t>非甲烷</w:t>
            </w:r>
          </w:p>
          <w:p>
            <w:pPr>
              <w:pStyle w:val="TableText"/>
              <w:ind w:left="142"/>
              <w:spacing w:before="113" w:line="228" w:lineRule="auto"/>
              <w:rPr>
                <w:sz w:val="20"/>
                <w:szCs w:val="20"/>
              </w:rPr>
            </w:pPr>
            <w:r>
              <w:rPr>
                <w:sz w:val="20"/>
                <w:szCs w:val="20"/>
                <w:spacing w:val="2"/>
              </w:rPr>
              <w:t>总烃</w:t>
            </w:r>
          </w:p>
        </w:tc>
        <w:tc>
          <w:tcPr>
            <w:tcW w:w="3307" w:type="dxa"/>
            <w:vAlign w:val="top"/>
          </w:tcPr>
          <w:p>
            <w:pPr>
              <w:pStyle w:val="TableText"/>
              <w:ind w:left="38"/>
              <w:spacing w:before="59" w:line="228" w:lineRule="auto"/>
              <w:rPr>
                <w:sz w:val="20"/>
                <w:szCs w:val="20"/>
              </w:rPr>
            </w:pPr>
            <w:r>
              <w:rPr>
                <w:sz w:val="20"/>
                <w:szCs w:val="20"/>
                <w:spacing w:val="8"/>
              </w:rPr>
              <w:t>《合成树脂工业污染物排放标准》</w:t>
            </w:r>
          </w:p>
          <w:p>
            <w:pPr>
              <w:pStyle w:val="TableText"/>
              <w:ind w:left="71"/>
              <w:spacing w:before="53" w:line="228" w:lineRule="auto"/>
              <w:rPr>
                <w:sz w:val="20"/>
                <w:szCs w:val="20"/>
              </w:rPr>
            </w:pPr>
            <w:r>
              <w:rPr>
                <w:sz w:val="20"/>
                <w:szCs w:val="20"/>
                <w:spacing w:val="6"/>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31572-2015</w:t>
            </w:r>
            <w:r>
              <w:rPr>
                <w:sz w:val="20"/>
                <w:szCs w:val="20"/>
                <w:spacing w:val="6"/>
              </w:rPr>
              <w:t>）中表</w:t>
            </w:r>
            <w:r>
              <w:rPr>
                <w:rFonts w:ascii="Times New Roman" w:hAnsi="Times New Roman" w:eastAsia="Times New Roman" w:cs="Times New Roman"/>
                <w:sz w:val="20"/>
                <w:szCs w:val="20"/>
                <w:spacing w:val="6"/>
              </w:rPr>
              <w:t>5</w:t>
            </w:r>
            <w:r>
              <w:rPr>
                <w:sz w:val="20"/>
                <w:szCs w:val="20"/>
                <w:spacing w:val="6"/>
              </w:rPr>
              <w:t>大气污染</w:t>
            </w:r>
          </w:p>
          <w:p>
            <w:pPr>
              <w:pStyle w:val="TableText"/>
              <w:ind w:left="661"/>
              <w:spacing w:before="52" w:line="228" w:lineRule="auto"/>
              <w:rPr>
                <w:sz w:val="20"/>
                <w:szCs w:val="20"/>
              </w:rPr>
            </w:pPr>
            <w:r>
              <w:rPr>
                <w:sz w:val="20"/>
                <w:szCs w:val="20"/>
                <w:spacing w:val="8"/>
              </w:rPr>
              <w:t>物特别排放限值要求</w:t>
            </w:r>
          </w:p>
          <w:p>
            <w:pPr>
              <w:pStyle w:val="TableText"/>
              <w:ind w:left="374"/>
              <w:spacing w:before="53" w:line="216" w:lineRule="auto"/>
              <w:rPr>
                <w:sz w:val="20"/>
                <w:szCs w:val="20"/>
              </w:rPr>
            </w:pPr>
            <w:r>
              <w:rPr>
                <w:sz w:val="20"/>
                <w:szCs w:val="20"/>
                <w:spacing w:val="6"/>
              </w:rPr>
              <w:t>（非甲烷总烃≤</w:t>
            </w:r>
            <w:r>
              <w:rPr>
                <w:rFonts w:ascii="Times New Roman" w:hAnsi="Times New Roman" w:eastAsia="Times New Roman" w:cs="Times New Roman"/>
                <w:sz w:val="20"/>
                <w:szCs w:val="20"/>
                <w:spacing w:val="6"/>
              </w:rPr>
              <w:t>60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6"/>
              </w:rPr>
              <w:t>/m</w:t>
            </w:r>
            <w:r>
              <w:rPr>
                <w:sz w:val="20"/>
                <w:szCs w:val="20"/>
                <w:spacing w:val="6"/>
              </w:rPr>
              <w:t>³)</w:t>
            </w:r>
          </w:p>
        </w:tc>
      </w:tr>
      <w:tr>
        <w:trPr>
          <w:trHeight w:val="2524" w:hRule="atLeast"/>
        </w:trPr>
        <w:tc>
          <w:tcPr>
            <w:tcW w:w="1213" w:type="dxa"/>
            <w:vAlign w:val="top"/>
            <w:vMerge w:val="continue"/>
            <w:tcBorders>
              <w:top w:val="nil"/>
              <w:bottom w:val="nil"/>
            </w:tcBorders>
          </w:tcPr>
          <w:p>
            <w:pPr>
              <w:rPr>
                <w:rFonts w:ascii="Arial"/>
                <w:sz w:val="21"/>
              </w:rPr>
            </w:pPr>
            <w:r/>
          </w:p>
        </w:tc>
        <w:tc>
          <w:tcPr>
            <w:tcW w:w="760" w:type="dxa"/>
            <w:vAlign w:val="top"/>
            <w:vMerge w:val="continue"/>
            <w:tcBorders>
              <w:top w:val="nil"/>
            </w:tcBorders>
          </w:tcPr>
          <w:p>
            <w:pPr>
              <w:rPr>
                <w:rFonts w:ascii="Arial"/>
                <w:sz w:val="21"/>
              </w:rPr>
            </w:pPr>
            <w:r/>
          </w:p>
        </w:tc>
        <w:tc>
          <w:tcPr>
            <w:tcW w:w="1107" w:type="dxa"/>
            <w:vAlign w:val="top"/>
          </w:tcPr>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spacing w:line="280" w:lineRule="auto"/>
              <w:rPr>
                <w:rFonts w:ascii="Arial"/>
                <w:sz w:val="21"/>
              </w:rPr>
            </w:pPr>
            <w:r/>
          </w:p>
          <w:p>
            <w:pPr>
              <w:pStyle w:val="TableText"/>
              <w:ind w:left="141"/>
              <w:spacing w:before="65" w:line="228" w:lineRule="auto"/>
              <w:rPr>
                <w:sz w:val="20"/>
                <w:szCs w:val="20"/>
              </w:rPr>
            </w:pPr>
            <w:r>
              <w:rPr>
                <w:sz w:val="20"/>
                <w:szCs w:val="20"/>
                <w:spacing w:val="6"/>
              </w:rPr>
              <w:t>生产车间</w:t>
            </w:r>
          </w:p>
        </w:tc>
        <w:tc>
          <w:tcPr>
            <w:tcW w:w="1459" w:type="dxa"/>
            <w:vAlign w:val="top"/>
          </w:tcPr>
          <w:p>
            <w:pPr>
              <w:spacing w:line="317" w:lineRule="auto"/>
              <w:rPr>
                <w:rFonts w:ascii="Arial"/>
                <w:sz w:val="21"/>
              </w:rPr>
            </w:pPr>
            <w:r/>
          </w:p>
          <w:p>
            <w:pPr>
              <w:spacing w:line="317" w:lineRule="auto"/>
              <w:rPr>
                <w:rFonts w:ascii="Arial"/>
                <w:sz w:val="21"/>
              </w:rPr>
            </w:pPr>
            <w:r/>
          </w:p>
          <w:p>
            <w:pPr>
              <w:spacing w:line="317" w:lineRule="auto"/>
              <w:rPr>
                <w:rFonts w:ascii="Arial"/>
                <w:sz w:val="21"/>
              </w:rPr>
            </w:pPr>
            <w:r/>
          </w:p>
          <w:p>
            <w:pPr>
              <w:pStyle w:val="TableText"/>
              <w:ind w:left="32" w:right="2" w:firstLine="73"/>
              <w:spacing w:before="65" w:line="253" w:lineRule="auto"/>
              <w:rPr>
                <w:sz w:val="20"/>
                <w:szCs w:val="20"/>
              </w:rPr>
            </w:pPr>
            <w:r>
              <w:rPr>
                <w:sz w:val="20"/>
                <w:szCs w:val="20"/>
                <w:spacing w:val="8"/>
              </w:rPr>
              <w:t>加强集气罩密</w:t>
            </w:r>
            <w:r>
              <w:rPr>
                <w:sz w:val="20"/>
                <w:szCs w:val="20"/>
              </w:rPr>
              <w:t xml:space="preserve">  </w:t>
            </w:r>
            <w:r>
              <w:rPr>
                <w:sz w:val="20"/>
                <w:szCs w:val="20"/>
                <w:spacing w:val="2"/>
              </w:rPr>
              <w:t>闭性，定期通风</w:t>
            </w:r>
          </w:p>
        </w:tc>
        <w:tc>
          <w:tcPr>
            <w:tcW w:w="680" w:type="dxa"/>
            <w:vAlign w:val="top"/>
          </w:tcPr>
          <w:p>
            <w:pPr>
              <w:spacing w:line="313" w:lineRule="auto"/>
              <w:rPr>
                <w:rFonts w:ascii="Arial"/>
                <w:sz w:val="21"/>
              </w:rPr>
            </w:pPr>
            <w:r/>
          </w:p>
          <w:p>
            <w:pPr>
              <w:spacing w:line="313" w:lineRule="auto"/>
              <w:rPr>
                <w:rFonts w:ascii="Arial"/>
                <w:sz w:val="21"/>
              </w:rPr>
            </w:pPr>
            <w:r/>
          </w:p>
          <w:p>
            <w:pPr>
              <w:spacing w:line="314" w:lineRule="auto"/>
              <w:rPr>
                <w:rFonts w:ascii="Arial"/>
                <w:sz w:val="21"/>
              </w:rPr>
            </w:pPr>
            <w:r/>
          </w:p>
          <w:p>
            <w:pPr>
              <w:pStyle w:val="TableText"/>
              <w:ind w:left="34"/>
              <w:spacing w:before="65" w:line="228" w:lineRule="auto"/>
              <w:rPr>
                <w:sz w:val="20"/>
                <w:szCs w:val="20"/>
              </w:rPr>
            </w:pPr>
            <w:r>
              <w:rPr>
                <w:sz w:val="20"/>
                <w:szCs w:val="20"/>
                <w:spacing w:val="5"/>
              </w:rPr>
              <w:t>非甲烷</w:t>
            </w:r>
          </w:p>
          <w:p>
            <w:pPr>
              <w:pStyle w:val="TableText"/>
              <w:ind w:left="142"/>
              <w:spacing w:before="113" w:line="228" w:lineRule="auto"/>
              <w:rPr>
                <w:sz w:val="20"/>
                <w:szCs w:val="20"/>
              </w:rPr>
            </w:pPr>
            <w:r>
              <w:rPr>
                <w:sz w:val="20"/>
                <w:szCs w:val="20"/>
                <w:spacing w:val="2"/>
              </w:rPr>
              <w:t>总烃</w:t>
            </w:r>
          </w:p>
        </w:tc>
        <w:tc>
          <w:tcPr>
            <w:tcW w:w="3307" w:type="dxa"/>
            <w:vAlign w:val="top"/>
          </w:tcPr>
          <w:p>
            <w:pPr>
              <w:pStyle w:val="TableText"/>
              <w:ind w:left="35" w:right="123" w:firstLine="2"/>
              <w:spacing w:before="112" w:line="311" w:lineRule="auto"/>
              <w:rPr>
                <w:sz w:val="20"/>
                <w:szCs w:val="20"/>
              </w:rPr>
            </w:pPr>
            <w:r>
              <w:rPr>
                <w:sz w:val="20"/>
                <w:szCs w:val="20"/>
                <w:spacing w:val="8"/>
              </w:rPr>
              <w:t>《合成树脂工业污染物排放标准》</w:t>
            </w:r>
            <w:r>
              <w:rPr>
                <w:sz w:val="20"/>
                <w:szCs w:val="20"/>
                <w:spacing w:val="1"/>
              </w:rPr>
              <w:t xml:space="preserve"> </w:t>
            </w:r>
            <w:r>
              <w:rPr>
                <w:sz w:val="20"/>
                <w:szCs w:val="20"/>
                <w:spacing w:val="8"/>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8"/>
              </w:rPr>
              <w:t>31572-2015</w:t>
            </w:r>
            <w:r>
              <w:rPr>
                <w:sz w:val="20"/>
                <w:szCs w:val="20"/>
                <w:spacing w:val="8"/>
              </w:rPr>
              <w:t>）中表</w:t>
            </w:r>
            <w:r>
              <w:rPr>
                <w:rFonts w:ascii="Times New Roman" w:hAnsi="Times New Roman" w:eastAsia="Times New Roman" w:cs="Times New Roman"/>
                <w:sz w:val="20"/>
                <w:szCs w:val="20"/>
                <w:spacing w:val="8"/>
              </w:rPr>
              <w:t>9</w:t>
            </w:r>
            <w:r>
              <w:rPr>
                <w:sz w:val="20"/>
                <w:szCs w:val="20"/>
                <w:spacing w:val="8"/>
              </w:rPr>
              <w:t>企业边界</w:t>
            </w:r>
            <w:r>
              <w:rPr>
                <w:sz w:val="20"/>
                <w:szCs w:val="20"/>
                <w:spacing w:val="9"/>
              </w:rPr>
              <w:t xml:space="preserve"> </w:t>
            </w:r>
            <w:r>
              <w:rPr>
                <w:sz w:val="20"/>
                <w:szCs w:val="20"/>
                <w:spacing w:val="9"/>
              </w:rPr>
              <w:t>大气污染物浓度限值（非甲烷总烃</w:t>
            </w:r>
            <w:r>
              <w:rPr>
                <w:sz w:val="20"/>
                <w:szCs w:val="20"/>
                <w:spacing w:val="2"/>
              </w:rPr>
              <w:t xml:space="preserve"> </w:t>
            </w:r>
            <w:r>
              <w:rPr>
                <w:sz w:val="20"/>
                <w:szCs w:val="20"/>
              </w:rPr>
              <w:t>≤</w:t>
            </w:r>
            <w:r>
              <w:rPr>
                <w:rFonts w:ascii="Times New Roman" w:hAnsi="Times New Roman" w:eastAsia="Times New Roman" w:cs="Times New Roman"/>
                <w:sz w:val="20"/>
                <w:szCs w:val="20"/>
              </w:rPr>
              <w:t>4.0mg/m</w:t>
            </w:r>
            <w:r>
              <w:rPr>
                <w:sz w:val="20"/>
                <w:szCs w:val="20"/>
              </w:rPr>
              <w:t>³)</w:t>
            </w:r>
            <w:r>
              <w:rPr>
                <w:sz w:val="20"/>
                <w:szCs w:val="20"/>
                <w:spacing w:val="59"/>
              </w:rPr>
              <w:t xml:space="preserve"> </w:t>
            </w:r>
            <w:r>
              <w:rPr>
                <w:sz w:val="20"/>
                <w:szCs w:val="20"/>
              </w:rPr>
              <w:t>;</w:t>
            </w:r>
            <w:r>
              <w:rPr>
                <w:sz w:val="20"/>
                <w:szCs w:val="20"/>
                <w:spacing w:val="66"/>
              </w:rPr>
              <w:t xml:space="preserve"> </w:t>
            </w:r>
            <w:r>
              <w:rPr>
                <w:sz w:val="20"/>
                <w:szCs w:val="20"/>
              </w:rPr>
              <w:t>厂区内执行《挥发 </w:t>
            </w:r>
            <w:r>
              <w:rPr>
                <w:sz w:val="20"/>
                <w:szCs w:val="20"/>
                <w:spacing w:val="15"/>
              </w:rPr>
              <w:t>性有机物无组织排放控制标准》</w:t>
            </w:r>
          </w:p>
          <w:p>
            <w:pPr>
              <w:pStyle w:val="TableText"/>
              <w:ind w:left="128" w:right="109" w:hanging="107"/>
              <w:spacing w:before="113" w:line="277" w:lineRule="auto"/>
              <w:rPr>
                <w:sz w:val="20"/>
                <w:szCs w:val="20"/>
              </w:rPr>
            </w:pPr>
            <w:r>
              <w:rPr>
                <w:sz w:val="20"/>
                <w:szCs w:val="20"/>
              </w:rPr>
              <w:t>（</w:t>
            </w:r>
            <w:r>
              <w:rPr>
                <w:rFonts w:ascii="Times New Roman" w:hAnsi="Times New Roman" w:eastAsia="Times New Roman" w:cs="Times New Roman"/>
                <w:sz w:val="20"/>
                <w:szCs w:val="20"/>
              </w:rPr>
              <w:t>GB37822-2019</w:t>
            </w:r>
            <w:r>
              <w:rPr>
                <w:sz w:val="20"/>
                <w:szCs w:val="20"/>
              </w:rPr>
              <w:t>）表</w:t>
            </w:r>
            <w:r>
              <w:rPr>
                <w:rFonts w:ascii="Times New Roman" w:hAnsi="Times New Roman" w:eastAsia="Times New Roman" w:cs="Times New Roman"/>
                <w:sz w:val="20"/>
                <w:szCs w:val="20"/>
              </w:rPr>
              <w:t>A.</w:t>
            </w:r>
            <w:r>
              <w:rPr>
                <w:rFonts w:ascii="Times New Roman" w:hAnsi="Times New Roman" w:eastAsia="Times New Roman" w:cs="Times New Roman"/>
                <w:sz w:val="20"/>
                <w:szCs w:val="20"/>
                <w:spacing w:val="-19"/>
              </w:rPr>
              <w:t xml:space="preserve"> </w:t>
            </w:r>
            <w:r>
              <w:rPr>
                <w:rFonts w:ascii="Times New Roman" w:hAnsi="Times New Roman" w:eastAsia="Times New Roman" w:cs="Times New Roman"/>
                <w:sz w:val="20"/>
                <w:szCs w:val="20"/>
              </w:rPr>
              <w:t>1</w:t>
            </w:r>
            <w:r>
              <w:rPr>
                <w:sz w:val="20"/>
                <w:szCs w:val="20"/>
              </w:rPr>
              <w:t>特别排放限 </w:t>
            </w:r>
            <w:r>
              <w:rPr>
                <w:sz w:val="20"/>
                <w:szCs w:val="20"/>
                <w:spacing w:val="7"/>
              </w:rPr>
              <w:t>值（非甲烷总烃≤</w:t>
            </w:r>
            <w:r>
              <w:rPr>
                <w:rFonts w:ascii="Times New Roman" w:hAnsi="Times New Roman" w:eastAsia="Times New Roman" w:cs="Times New Roman"/>
                <w:sz w:val="20"/>
                <w:szCs w:val="20"/>
                <w:spacing w:val="7"/>
              </w:rPr>
              <w:t>6.0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7"/>
              </w:rPr>
              <w:t>/m</w:t>
            </w:r>
            <w:r>
              <w:rPr>
                <w:sz w:val="20"/>
                <w:szCs w:val="20"/>
                <w:spacing w:val="7"/>
              </w:rPr>
              <w:t>³) 。</w:t>
            </w:r>
          </w:p>
        </w:tc>
      </w:tr>
      <w:tr>
        <w:trPr>
          <w:trHeight w:val="495" w:hRule="atLeast"/>
        </w:trPr>
        <w:tc>
          <w:tcPr>
            <w:tcW w:w="1213" w:type="dxa"/>
            <w:vAlign w:val="top"/>
            <w:vMerge w:val="continue"/>
            <w:tcBorders>
              <w:top w:val="nil"/>
              <w:bottom w:val="nil"/>
            </w:tcBorders>
          </w:tcPr>
          <w:p>
            <w:pPr>
              <w:rPr>
                <w:rFonts w:ascii="Arial"/>
                <w:sz w:val="21"/>
              </w:rPr>
            </w:pPr>
            <w:r/>
          </w:p>
        </w:tc>
        <w:tc>
          <w:tcPr>
            <w:tcW w:w="760" w:type="dxa"/>
            <w:vAlign w:val="top"/>
            <w:vMerge w:val="restart"/>
            <w:tcBorders>
              <w:bottom w:val="nil"/>
            </w:tcBorders>
          </w:tcPr>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243"/>
              <w:spacing w:before="65" w:line="228" w:lineRule="auto"/>
              <w:rPr>
                <w:sz w:val="20"/>
                <w:szCs w:val="20"/>
              </w:rPr>
            </w:pPr>
            <w:r>
              <w:rPr>
                <w:sz w:val="20"/>
                <w:szCs w:val="20"/>
                <w:spacing w:val="-5"/>
              </w:rPr>
              <w:t>固废</w:t>
            </w:r>
          </w:p>
        </w:tc>
        <w:tc>
          <w:tcPr>
            <w:tcW w:w="1107" w:type="dxa"/>
            <w:vAlign w:val="top"/>
          </w:tcPr>
          <w:p>
            <w:pPr>
              <w:pStyle w:val="TableText"/>
              <w:ind w:left="33"/>
              <w:spacing w:before="176" w:line="228" w:lineRule="auto"/>
              <w:rPr>
                <w:sz w:val="20"/>
                <w:szCs w:val="20"/>
              </w:rPr>
            </w:pPr>
            <w:r>
              <w:rPr>
                <w:sz w:val="20"/>
                <w:szCs w:val="20"/>
                <w:spacing w:val="8"/>
              </w:rPr>
              <w:t>废弃包装物</w:t>
            </w:r>
          </w:p>
        </w:tc>
        <w:tc>
          <w:tcPr>
            <w:tcW w:w="2139" w:type="dxa"/>
            <w:vAlign w:val="top"/>
            <w:gridSpan w:val="2"/>
          </w:tcPr>
          <w:p>
            <w:pPr>
              <w:pStyle w:val="TableText"/>
              <w:ind w:left="450"/>
              <w:spacing w:before="176" w:line="228" w:lineRule="auto"/>
              <w:rPr>
                <w:sz w:val="20"/>
                <w:szCs w:val="20"/>
              </w:rPr>
            </w:pPr>
            <w:r>
              <w:rPr>
                <w:sz w:val="20"/>
                <w:szCs w:val="20"/>
                <w:spacing w:val="7"/>
              </w:rPr>
              <w:t>外售回收单位</w:t>
            </w:r>
          </w:p>
        </w:tc>
        <w:tc>
          <w:tcPr>
            <w:tcW w:w="3307" w:type="dxa"/>
            <w:vAlign w:val="top"/>
            <w:vMerge w:val="restart"/>
            <w:tcBorders>
              <w:bottom w:val="nil"/>
            </w:tcBorders>
          </w:tcPr>
          <w:p>
            <w:pPr>
              <w:pStyle w:val="TableText"/>
              <w:ind w:left="117" w:right="128" w:hanging="79"/>
              <w:spacing w:before="194" w:line="280" w:lineRule="auto"/>
              <w:rPr>
                <w:sz w:val="20"/>
                <w:szCs w:val="20"/>
              </w:rPr>
            </w:pPr>
            <w:r>
              <w:rPr>
                <w:sz w:val="20"/>
                <w:szCs w:val="20"/>
                <w:spacing w:val="9"/>
              </w:rPr>
              <w:t>《一般工业固体废物贮存和填埋污</w:t>
            </w:r>
            <w:r>
              <w:rPr>
                <w:sz w:val="20"/>
                <w:szCs w:val="20"/>
              </w:rPr>
              <w:t xml:space="preserve"> </w:t>
            </w:r>
            <w:r>
              <w:rPr>
                <w:sz w:val="20"/>
                <w:szCs w:val="20"/>
                <w:spacing w:val="6"/>
              </w:rPr>
              <w:t>染控制标准》（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18599-2020</w:t>
            </w:r>
            <w:r>
              <w:rPr>
                <w:sz w:val="20"/>
                <w:szCs w:val="20"/>
                <w:spacing w:val="6"/>
              </w:rPr>
              <w:t>）</w:t>
            </w:r>
          </w:p>
        </w:tc>
      </w:tr>
      <w:tr>
        <w:trPr>
          <w:trHeight w:val="385" w:hRule="atLeast"/>
        </w:trPr>
        <w:tc>
          <w:tcPr>
            <w:tcW w:w="1213" w:type="dxa"/>
            <w:vAlign w:val="top"/>
            <w:vMerge w:val="continue"/>
            <w:tcBorders>
              <w:top w:val="nil"/>
              <w:bottom w:val="nil"/>
            </w:tcBorders>
          </w:tcPr>
          <w:p>
            <w:pPr>
              <w:rPr>
                <w:rFonts w:ascii="Arial"/>
                <w:sz w:val="21"/>
              </w:rPr>
            </w:pPr>
            <w:r/>
          </w:p>
        </w:tc>
        <w:tc>
          <w:tcPr>
            <w:tcW w:w="760" w:type="dxa"/>
            <w:vAlign w:val="top"/>
            <w:vMerge w:val="continue"/>
            <w:tcBorders>
              <w:top w:val="nil"/>
              <w:bottom w:val="nil"/>
            </w:tcBorders>
          </w:tcPr>
          <w:p>
            <w:pPr>
              <w:rPr>
                <w:rFonts w:ascii="Arial"/>
                <w:sz w:val="21"/>
              </w:rPr>
            </w:pPr>
            <w:r/>
          </w:p>
        </w:tc>
        <w:tc>
          <w:tcPr>
            <w:tcW w:w="1107" w:type="dxa"/>
            <w:vAlign w:val="top"/>
          </w:tcPr>
          <w:p>
            <w:pPr>
              <w:pStyle w:val="TableText"/>
              <w:ind w:left="143"/>
              <w:spacing w:before="122" w:line="228" w:lineRule="auto"/>
              <w:rPr>
                <w:sz w:val="20"/>
                <w:szCs w:val="20"/>
              </w:rPr>
            </w:pPr>
            <w:r>
              <w:rPr>
                <w:sz w:val="20"/>
                <w:szCs w:val="20"/>
                <w:spacing w:val="6"/>
              </w:rPr>
              <w:t>不合格品</w:t>
            </w:r>
          </w:p>
        </w:tc>
        <w:tc>
          <w:tcPr>
            <w:tcW w:w="2139" w:type="dxa"/>
            <w:vAlign w:val="top"/>
            <w:gridSpan w:val="2"/>
          </w:tcPr>
          <w:p>
            <w:pPr>
              <w:pStyle w:val="TableText"/>
              <w:ind w:left="675"/>
              <w:spacing w:before="122" w:line="228" w:lineRule="auto"/>
              <w:rPr>
                <w:sz w:val="20"/>
                <w:szCs w:val="20"/>
              </w:rPr>
            </w:pPr>
            <w:r>
              <w:rPr>
                <w:sz w:val="20"/>
                <w:szCs w:val="20"/>
                <w:spacing w:val="2"/>
              </w:rPr>
              <w:t>回用生产</w:t>
            </w:r>
          </w:p>
        </w:tc>
        <w:tc>
          <w:tcPr>
            <w:tcW w:w="3307" w:type="dxa"/>
            <w:vAlign w:val="top"/>
            <w:vMerge w:val="continue"/>
            <w:tcBorders>
              <w:top w:val="nil"/>
            </w:tcBorders>
          </w:tcPr>
          <w:p>
            <w:pPr>
              <w:rPr>
                <w:rFonts w:ascii="Arial"/>
                <w:sz w:val="21"/>
              </w:rPr>
            </w:pPr>
            <w:r/>
          </w:p>
        </w:tc>
      </w:tr>
      <w:tr>
        <w:trPr>
          <w:trHeight w:val="1444" w:hRule="atLeast"/>
        </w:trPr>
        <w:tc>
          <w:tcPr>
            <w:tcW w:w="1213" w:type="dxa"/>
            <w:vAlign w:val="top"/>
            <w:vMerge w:val="continue"/>
            <w:tcBorders>
              <w:top w:val="nil"/>
              <w:bottom w:val="nil"/>
            </w:tcBorders>
          </w:tcPr>
          <w:p>
            <w:pPr>
              <w:rPr>
                <w:rFonts w:ascii="Arial"/>
                <w:sz w:val="21"/>
              </w:rPr>
            </w:pPr>
            <w:r/>
          </w:p>
        </w:tc>
        <w:tc>
          <w:tcPr>
            <w:tcW w:w="760" w:type="dxa"/>
            <w:vAlign w:val="top"/>
            <w:vMerge w:val="continue"/>
            <w:tcBorders>
              <w:top w:val="nil"/>
            </w:tcBorders>
          </w:tcPr>
          <w:p>
            <w:pPr>
              <w:rPr>
                <w:rFonts w:ascii="Arial"/>
                <w:sz w:val="21"/>
              </w:rPr>
            </w:pPr>
            <w:r/>
          </w:p>
        </w:tc>
        <w:tc>
          <w:tcPr>
            <w:tcW w:w="1107" w:type="dxa"/>
            <w:vAlign w:val="top"/>
          </w:tcPr>
          <w:p>
            <w:pPr>
              <w:spacing w:line="292" w:lineRule="auto"/>
              <w:rPr>
                <w:rFonts w:ascii="Arial"/>
                <w:sz w:val="21"/>
              </w:rPr>
            </w:pPr>
            <w:r/>
          </w:p>
          <w:p>
            <w:pPr>
              <w:spacing w:line="292" w:lineRule="auto"/>
              <w:rPr>
                <w:rFonts w:ascii="Arial"/>
                <w:sz w:val="21"/>
              </w:rPr>
            </w:pPr>
            <w:r/>
          </w:p>
          <w:p>
            <w:pPr>
              <w:pStyle w:val="TableText"/>
              <w:ind w:left="138"/>
              <w:spacing w:before="65" w:line="228" w:lineRule="auto"/>
              <w:rPr>
                <w:sz w:val="20"/>
                <w:szCs w:val="20"/>
              </w:rPr>
            </w:pPr>
            <w:r>
              <w:rPr>
                <w:sz w:val="20"/>
                <w:szCs w:val="20"/>
                <w:spacing w:val="7"/>
              </w:rPr>
              <w:t>废气治理</w:t>
            </w:r>
          </w:p>
        </w:tc>
        <w:tc>
          <w:tcPr>
            <w:tcW w:w="2139" w:type="dxa"/>
            <w:vAlign w:val="top"/>
            <w:gridSpan w:val="2"/>
          </w:tcPr>
          <w:p>
            <w:pPr>
              <w:pStyle w:val="TableText"/>
              <w:ind w:left="25" w:right="18"/>
              <w:spacing w:before="113" w:line="297" w:lineRule="auto"/>
              <w:rPr>
                <w:sz w:val="20"/>
                <w:szCs w:val="20"/>
              </w:rPr>
            </w:pPr>
            <w:r>
              <w:rPr>
                <w:sz w:val="20"/>
                <w:szCs w:val="20"/>
                <w:spacing w:val="9"/>
              </w:rPr>
              <w:t>废催化剂、废活性炭、</w:t>
            </w:r>
            <w:r>
              <w:rPr>
                <w:sz w:val="20"/>
                <w:szCs w:val="20"/>
              </w:rPr>
              <w:t xml:space="preserve"> </w:t>
            </w:r>
            <w:r>
              <w:rPr>
                <w:sz w:val="20"/>
                <w:szCs w:val="20"/>
                <w:spacing w:val="9"/>
              </w:rPr>
              <w:t>废机油：暂存危险废物</w:t>
            </w:r>
            <w:r>
              <w:rPr>
                <w:sz w:val="20"/>
                <w:szCs w:val="20"/>
              </w:rPr>
              <w:t xml:space="preserve"> </w:t>
            </w:r>
            <w:r>
              <w:rPr>
                <w:sz w:val="20"/>
                <w:szCs w:val="20"/>
                <w:spacing w:val="9"/>
              </w:rPr>
              <w:t>暂存间，委托有资质单</w:t>
            </w:r>
          </w:p>
          <w:p>
            <w:pPr>
              <w:pStyle w:val="TableText"/>
              <w:ind w:left="340"/>
              <w:spacing w:before="113" w:line="223" w:lineRule="auto"/>
              <w:rPr>
                <w:sz w:val="20"/>
                <w:szCs w:val="20"/>
              </w:rPr>
            </w:pPr>
            <w:r>
              <w:rPr>
                <w:sz w:val="20"/>
                <w:szCs w:val="20"/>
                <w:spacing w:val="8"/>
              </w:rPr>
              <w:t>位定期收运处置</w:t>
            </w:r>
          </w:p>
        </w:tc>
        <w:tc>
          <w:tcPr>
            <w:tcW w:w="3307" w:type="dxa"/>
            <w:vAlign w:val="top"/>
          </w:tcPr>
          <w:p>
            <w:pPr>
              <w:spacing w:line="404" w:lineRule="auto"/>
              <w:rPr>
                <w:rFonts w:ascii="Arial"/>
                <w:sz w:val="21"/>
              </w:rPr>
            </w:pPr>
            <w:r/>
          </w:p>
          <w:p>
            <w:pPr>
              <w:pStyle w:val="TableText"/>
              <w:ind w:left="141"/>
              <w:spacing w:before="65" w:line="228" w:lineRule="auto"/>
              <w:rPr>
                <w:sz w:val="20"/>
                <w:szCs w:val="20"/>
              </w:rPr>
            </w:pPr>
            <w:r>
              <w:rPr>
                <w:sz w:val="20"/>
                <w:szCs w:val="20"/>
                <w:spacing w:val="8"/>
              </w:rPr>
              <w:t>《危险废物贮存污染控制标准》</w:t>
            </w:r>
          </w:p>
          <w:p>
            <w:pPr>
              <w:pStyle w:val="TableText"/>
              <w:ind w:left="753"/>
              <w:spacing w:before="113"/>
              <w:rPr>
                <w:sz w:val="20"/>
                <w:szCs w:val="20"/>
              </w:rPr>
            </w:pPr>
            <w:r>
              <w:rPr>
                <w:sz w:val="20"/>
                <w:szCs w:val="20"/>
                <w:spacing w:val="4"/>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4"/>
              </w:rPr>
              <w:t>18597-2023</w:t>
            </w:r>
            <w:r>
              <w:rPr>
                <w:sz w:val="20"/>
                <w:szCs w:val="20"/>
                <w:spacing w:val="4"/>
              </w:rPr>
              <w:t>）</w:t>
            </w:r>
          </w:p>
        </w:tc>
      </w:tr>
      <w:tr>
        <w:trPr>
          <w:trHeight w:val="1085" w:hRule="atLeast"/>
        </w:trPr>
        <w:tc>
          <w:tcPr>
            <w:tcW w:w="1213" w:type="dxa"/>
            <w:vAlign w:val="top"/>
            <w:vMerge w:val="continue"/>
            <w:tcBorders>
              <w:top w:val="nil"/>
              <w:bottom w:val="nil"/>
            </w:tcBorders>
          </w:tcPr>
          <w:p>
            <w:pPr>
              <w:rPr>
                <w:rFonts w:ascii="Arial"/>
                <w:sz w:val="21"/>
              </w:rPr>
            </w:pPr>
            <w:r/>
          </w:p>
        </w:tc>
        <w:tc>
          <w:tcPr>
            <w:tcW w:w="760" w:type="dxa"/>
            <w:vAlign w:val="top"/>
          </w:tcPr>
          <w:p>
            <w:pPr>
              <w:spacing w:line="405" w:lineRule="auto"/>
              <w:rPr>
                <w:rFonts w:ascii="Arial"/>
                <w:sz w:val="21"/>
              </w:rPr>
            </w:pPr>
            <w:r/>
          </w:p>
          <w:p>
            <w:pPr>
              <w:pStyle w:val="TableText"/>
              <w:ind w:left="235"/>
              <w:spacing w:before="65" w:line="228" w:lineRule="auto"/>
              <w:rPr>
                <w:sz w:val="20"/>
                <w:szCs w:val="20"/>
              </w:rPr>
            </w:pPr>
            <w:r>
              <w:rPr>
                <w:sz w:val="20"/>
                <w:szCs w:val="20"/>
                <w:spacing w:val="-1"/>
              </w:rPr>
              <w:t>噪声</w:t>
            </w:r>
          </w:p>
        </w:tc>
        <w:tc>
          <w:tcPr>
            <w:tcW w:w="3246" w:type="dxa"/>
            <w:vAlign w:val="top"/>
            <w:gridSpan w:val="3"/>
          </w:tcPr>
          <w:p>
            <w:pPr>
              <w:pStyle w:val="TableText"/>
              <w:ind w:left="1107" w:right="46" w:hanging="1055"/>
              <w:spacing w:before="292" w:line="281" w:lineRule="auto"/>
              <w:rPr>
                <w:sz w:val="20"/>
                <w:szCs w:val="20"/>
              </w:rPr>
            </w:pPr>
            <w:r>
              <w:rPr>
                <w:sz w:val="20"/>
                <w:szCs w:val="20"/>
                <w:spacing w:val="9"/>
              </w:rPr>
              <w:t>选用具有减震、降噪、隔声、消声</w:t>
            </w:r>
            <w:r>
              <w:rPr>
                <w:sz w:val="20"/>
                <w:szCs w:val="20"/>
                <w:spacing w:val="5"/>
              </w:rPr>
              <w:t xml:space="preserve"> </w:t>
            </w:r>
            <w:r>
              <w:rPr>
                <w:sz w:val="20"/>
                <w:szCs w:val="20"/>
                <w:spacing w:val="7"/>
              </w:rPr>
              <w:t>设计的设备</w:t>
            </w:r>
          </w:p>
        </w:tc>
        <w:tc>
          <w:tcPr>
            <w:tcW w:w="3307" w:type="dxa"/>
            <w:vAlign w:val="top"/>
          </w:tcPr>
          <w:p>
            <w:pPr>
              <w:pStyle w:val="TableText"/>
              <w:ind w:left="141"/>
              <w:spacing w:before="113" w:line="228" w:lineRule="auto"/>
              <w:rPr>
                <w:sz w:val="20"/>
                <w:szCs w:val="20"/>
              </w:rPr>
            </w:pPr>
            <w:r>
              <w:rPr>
                <w:sz w:val="20"/>
                <w:szCs w:val="20"/>
                <w:spacing w:val="8"/>
              </w:rPr>
              <w:t>《工业企业厂界环境噪声排放标</w:t>
            </w:r>
          </w:p>
          <w:p>
            <w:pPr>
              <w:pStyle w:val="TableText"/>
              <w:ind w:left="63"/>
              <w:spacing w:before="112" w:line="228" w:lineRule="auto"/>
              <w:rPr>
                <w:sz w:val="20"/>
                <w:szCs w:val="20"/>
              </w:rPr>
            </w:pPr>
            <w:r>
              <w:rPr>
                <w:sz w:val="20"/>
                <w:szCs w:val="20"/>
                <w:spacing w:val="7"/>
              </w:rPr>
              <w:t>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7"/>
              </w:rPr>
              <w:t>12348-2008</w:t>
            </w:r>
            <w:r>
              <w:rPr>
                <w:sz w:val="20"/>
                <w:szCs w:val="20"/>
                <w:spacing w:val="7"/>
              </w:rPr>
              <w:t>）中的</w:t>
            </w:r>
            <w:r>
              <w:rPr>
                <w:rFonts w:ascii="Times New Roman" w:hAnsi="Times New Roman" w:eastAsia="Times New Roman" w:cs="Times New Roman"/>
                <w:sz w:val="20"/>
                <w:szCs w:val="20"/>
                <w:spacing w:val="7"/>
              </w:rPr>
              <w:t>2</w:t>
            </w:r>
            <w:r>
              <w:rPr>
                <w:sz w:val="20"/>
                <w:szCs w:val="20"/>
                <w:spacing w:val="7"/>
              </w:rPr>
              <w:t>类标</w:t>
            </w:r>
          </w:p>
          <w:p>
            <w:pPr>
              <w:pStyle w:val="TableText"/>
              <w:ind w:left="1503"/>
              <w:spacing w:before="112" w:line="224" w:lineRule="auto"/>
              <w:rPr>
                <w:sz w:val="20"/>
                <w:szCs w:val="20"/>
              </w:rPr>
            </w:pPr>
            <w:r>
              <w:rPr>
                <w:sz w:val="20"/>
                <w:szCs w:val="20"/>
              </w:rPr>
              <w:t>准</w:t>
            </w:r>
          </w:p>
        </w:tc>
      </w:tr>
      <w:tr>
        <w:trPr>
          <w:trHeight w:val="374" w:hRule="atLeast"/>
        </w:trPr>
        <w:tc>
          <w:tcPr>
            <w:tcW w:w="1213" w:type="dxa"/>
            <w:vAlign w:val="top"/>
            <w:vMerge w:val="continue"/>
            <w:tcBorders>
              <w:top w:val="nil"/>
              <w:bottom w:val="nil"/>
            </w:tcBorders>
          </w:tcPr>
          <w:p>
            <w:pPr>
              <w:rPr>
                <w:rFonts w:ascii="Arial"/>
                <w:sz w:val="21"/>
              </w:rPr>
            </w:pPr>
            <w:r/>
          </w:p>
        </w:tc>
        <w:tc>
          <w:tcPr>
            <w:tcW w:w="760" w:type="dxa"/>
            <w:vAlign w:val="top"/>
            <w:tcBorders>
              <w:bottom w:val="single" w:color="000000" w:sz="10" w:space="0"/>
            </w:tcBorders>
          </w:tcPr>
          <w:p>
            <w:pPr>
              <w:pStyle w:val="TableText"/>
              <w:ind w:right="14"/>
              <w:spacing w:before="112" w:line="228" w:lineRule="auto"/>
              <w:jc w:val="right"/>
              <w:rPr>
                <w:sz w:val="20"/>
                <w:szCs w:val="20"/>
              </w:rPr>
            </w:pPr>
            <w:r>
              <w:rPr>
                <w:sz w:val="20"/>
                <w:szCs w:val="20"/>
                <w:spacing w:val="6"/>
              </w:rPr>
              <w:t>地下水</w:t>
            </w:r>
          </w:p>
        </w:tc>
        <w:tc>
          <w:tcPr>
            <w:tcW w:w="3246" w:type="dxa"/>
            <w:vAlign w:val="top"/>
            <w:gridSpan w:val="3"/>
            <w:tcBorders>
              <w:bottom w:val="single" w:color="000000" w:sz="10" w:space="0"/>
            </w:tcBorders>
          </w:tcPr>
          <w:p>
            <w:pPr>
              <w:pStyle w:val="TableText"/>
              <w:ind w:left="1210"/>
              <w:spacing w:before="112" w:line="228" w:lineRule="auto"/>
              <w:rPr>
                <w:sz w:val="20"/>
                <w:szCs w:val="20"/>
              </w:rPr>
            </w:pPr>
            <w:r>
              <w:rPr>
                <w:sz w:val="20"/>
                <w:szCs w:val="20"/>
                <w:spacing w:val="6"/>
              </w:rPr>
              <w:t>分区防渗</w:t>
            </w:r>
          </w:p>
        </w:tc>
        <w:tc>
          <w:tcPr>
            <w:tcW w:w="3307" w:type="dxa"/>
            <w:vAlign w:val="top"/>
            <w:tcBorders>
              <w:bottom w:val="single" w:color="000000" w:sz="10" w:space="0"/>
            </w:tcBorders>
          </w:tcPr>
          <w:p>
            <w:pPr>
              <w:ind w:left="1570"/>
              <w:spacing w:before="14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508" w:hRule="atLeast"/>
        </w:trPr>
        <w:tc>
          <w:tcPr>
            <w:tcW w:w="1213" w:type="dxa"/>
            <w:vAlign w:val="top"/>
            <w:vMerge w:val="continue"/>
            <w:tcBorders>
              <w:top w:val="nil"/>
            </w:tcBorders>
          </w:tcPr>
          <w:p>
            <w:pPr>
              <w:rPr>
                <w:rFonts w:ascii="Arial"/>
                <w:sz w:val="21"/>
              </w:rPr>
            </w:pPr>
            <w:r/>
          </w:p>
        </w:tc>
        <w:tc>
          <w:tcPr>
            <w:tcW w:w="7313" w:type="dxa"/>
            <w:vAlign w:val="top"/>
            <w:gridSpan w:val="5"/>
            <w:tcBorders>
              <w:top w:val="single" w:color="000000" w:sz="10" w:space="0"/>
            </w:tcBorders>
          </w:tcPr>
          <w:p>
            <w:pPr>
              <w:pStyle w:val="TableText"/>
              <w:ind w:left="113"/>
              <w:spacing w:before="155" w:line="220" w:lineRule="auto"/>
              <w:outlineLvl w:val="1"/>
              <w:rPr>
                <w:sz w:val="28"/>
                <w:szCs w:val="28"/>
              </w:rPr>
            </w:pPr>
            <w:r>
              <w:rPr>
                <w:rFonts w:ascii="Times New Roman" w:hAnsi="Times New Roman" w:eastAsia="Times New Roman" w:cs="Times New Roman"/>
                <w:sz w:val="28"/>
                <w:szCs w:val="28"/>
                <w:b/>
                <w:bCs/>
                <w:spacing w:val="-1"/>
              </w:rPr>
              <w:t>5.2</w:t>
            </w:r>
            <w:r>
              <w:rPr>
                <w:sz w:val="28"/>
                <w:szCs w:val="28"/>
                <w14:textOutline w14:w="5103" w14:cap="sq" w14:cmpd="sng">
                  <w14:solidFill>
                    <w14:srgbClr w14:val="000000"/>
                  </w14:solidFill>
                  <w14:prstDash w14:val="solid"/>
                  <w14:bevel/>
                </w14:textOutline>
                <w:spacing w:val="-1"/>
              </w:rPr>
              <w:t>环保投资概算</w:t>
            </w:r>
          </w:p>
        </w:tc>
      </w:tr>
    </w:tbl>
    <w:p>
      <w:pPr>
        <w:pStyle w:val="BodyText"/>
        <w:rPr/>
      </w:pPr>
      <w:r/>
    </w:p>
    <w:p>
      <w:pPr>
        <w:sectPr>
          <w:footerReference w:type="default" r:id="rId109"/>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3"/>
        <w:gridCol w:w="7313"/>
      </w:tblGrid>
      <w:tr>
        <w:trPr>
          <w:trHeight w:val="5131" w:hRule="atLeast"/>
        </w:trPr>
        <w:tc>
          <w:tcPr>
            <w:tcW w:w="1213" w:type="dxa"/>
            <w:vAlign w:val="top"/>
          </w:tcPr>
          <w:p>
            <w:pPr>
              <w:rPr>
                <w:rFonts w:ascii="Arial"/>
                <w:sz w:val="21"/>
              </w:rPr>
            </w:pPr>
            <w:r/>
          </w:p>
        </w:tc>
        <w:tc>
          <w:tcPr>
            <w:tcW w:w="7313" w:type="dxa"/>
            <w:vAlign w:val="top"/>
          </w:tcPr>
          <w:p>
            <w:pPr>
              <w:pStyle w:val="TableText"/>
              <w:spacing w:before="200" w:line="499" w:lineRule="exact"/>
              <w:jc w:val="right"/>
              <w:rPr/>
            </w:pPr>
            <w:r>
              <w:rPr>
                <w:spacing w:val="-7"/>
                <w:position w:val="19"/>
              </w:rPr>
              <w:t>本项目总投资</w:t>
            </w:r>
            <w:r>
              <w:rPr>
                <w:rFonts w:ascii="Times New Roman" w:hAnsi="Times New Roman" w:eastAsia="Times New Roman" w:cs="Times New Roman"/>
                <w:spacing w:val="-7"/>
                <w:position w:val="19"/>
              </w:rPr>
              <w:t>50</w:t>
            </w:r>
            <w:r>
              <w:rPr>
                <w:spacing w:val="-7"/>
                <w:position w:val="19"/>
              </w:rPr>
              <w:t>万元，其中环保投资</w:t>
            </w:r>
            <w:r>
              <w:rPr>
                <w:rFonts w:ascii="Times New Roman" w:hAnsi="Times New Roman" w:eastAsia="Times New Roman" w:cs="Times New Roman"/>
                <w:spacing w:val="-7"/>
                <w:position w:val="19"/>
              </w:rPr>
              <w:t>13</w:t>
            </w:r>
            <w:r>
              <w:rPr>
                <w:spacing w:val="-7"/>
                <w:position w:val="19"/>
              </w:rPr>
              <w:t>万元</w:t>
            </w:r>
            <w:r>
              <w:rPr>
                <w:spacing w:val="-8"/>
                <w:position w:val="19"/>
              </w:rPr>
              <w:t>，占总投资额的</w:t>
            </w:r>
            <w:r>
              <w:rPr>
                <w:rFonts w:ascii="Times New Roman" w:hAnsi="Times New Roman" w:eastAsia="Times New Roman" w:cs="Times New Roman"/>
                <w:spacing w:val="-8"/>
                <w:position w:val="19"/>
              </w:rPr>
              <w:t>26%</w:t>
            </w:r>
            <w:r>
              <w:rPr>
                <w:spacing w:val="-8"/>
                <w:position w:val="19"/>
              </w:rPr>
              <w:t>。</w:t>
            </w:r>
          </w:p>
          <w:p>
            <w:pPr>
              <w:pStyle w:val="TableText"/>
              <w:ind w:left="116"/>
              <w:spacing w:line="219" w:lineRule="auto"/>
              <w:rPr/>
            </w:pPr>
            <w:r>
              <w:rPr>
                <w:spacing w:val="-5"/>
              </w:rPr>
              <w:t>详见表</w:t>
            </w:r>
            <w:r>
              <w:rPr>
                <w:rFonts w:ascii="Times New Roman" w:hAnsi="Times New Roman" w:eastAsia="Times New Roman" w:cs="Times New Roman"/>
                <w:spacing w:val="-5"/>
              </w:rPr>
              <w:t>5.2-</w:t>
            </w:r>
            <w:r>
              <w:rPr>
                <w:rFonts w:ascii="Times New Roman" w:hAnsi="Times New Roman" w:eastAsia="Times New Roman" w:cs="Times New Roman"/>
                <w:spacing w:val="-29"/>
              </w:rPr>
              <w:t xml:space="preserve"> </w:t>
            </w:r>
            <w:r>
              <w:rPr>
                <w:rFonts w:ascii="Times New Roman" w:hAnsi="Times New Roman" w:eastAsia="Times New Roman" w:cs="Times New Roman"/>
                <w:spacing w:val="-5"/>
              </w:rPr>
              <w:t>1</w:t>
            </w:r>
            <w:r>
              <w:rPr>
                <w:spacing w:val="-5"/>
              </w:rPr>
              <w:t>。</w:t>
            </w:r>
          </w:p>
          <w:p>
            <w:pPr>
              <w:pStyle w:val="TableText"/>
              <w:ind w:left="1550"/>
              <w:spacing w:before="64" w:line="212" w:lineRule="auto"/>
              <w:rPr/>
            </w:pPr>
            <w:r>
              <w:rPr>
                <w14:textOutline w14:w="4358" w14:cap="sq" w14:cmpd="sng">
                  <w14:solidFill>
                    <w14:srgbClr w14:val="000000"/>
                  </w14:solidFill>
                  <w14:prstDash w14:val="solid"/>
                  <w14:bevel/>
                </w14:textOutline>
              </w:rPr>
              <w:t>表5.2-1环保投资概算一览表（单位：万元）</w:t>
            </w:r>
          </w:p>
          <w:tbl>
            <w:tblPr>
              <w:tblStyle w:val="TableNormal"/>
              <w:tblW w:w="7095" w:type="dxa"/>
              <w:tblInd w:w="10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84"/>
              <w:gridCol w:w="1555"/>
              <w:gridCol w:w="3981"/>
              <w:gridCol w:w="575"/>
            </w:tblGrid>
            <w:tr>
              <w:trPr>
                <w:trHeight w:val="413" w:hRule="atLeast"/>
              </w:trPr>
              <w:tc>
                <w:tcPr>
                  <w:tcW w:w="984" w:type="dxa"/>
                  <w:vAlign w:val="top"/>
                  <w:tcBorders>
                    <w:left w:val="nil"/>
                    <w:top w:val="single" w:color="000000" w:sz="10" w:space="0"/>
                  </w:tcBorders>
                </w:tcPr>
                <w:p>
                  <w:pPr>
                    <w:pStyle w:val="TableText"/>
                    <w:ind w:left="187"/>
                    <w:spacing w:before="134" w:line="228" w:lineRule="auto"/>
                    <w:rPr>
                      <w:sz w:val="20"/>
                      <w:szCs w:val="20"/>
                    </w:rPr>
                  </w:pPr>
                  <w:r>
                    <w:rPr>
                      <w:sz w:val="20"/>
                      <w:szCs w:val="20"/>
                      <w:spacing w:val="-2"/>
                    </w:rPr>
                    <w:t>项</w:t>
                  </w:r>
                  <w:r>
                    <w:rPr>
                      <w:sz w:val="20"/>
                      <w:szCs w:val="20"/>
                      <w:spacing w:val="29"/>
                    </w:rPr>
                    <w:t xml:space="preserve">  </w:t>
                  </w:r>
                  <w:r>
                    <w:rPr>
                      <w:sz w:val="20"/>
                      <w:szCs w:val="20"/>
                      <w:spacing w:val="-2"/>
                    </w:rPr>
                    <w:t>目</w:t>
                  </w:r>
                </w:p>
              </w:tc>
              <w:tc>
                <w:tcPr>
                  <w:tcW w:w="1555" w:type="dxa"/>
                  <w:vAlign w:val="top"/>
                  <w:tcBorders>
                    <w:top w:val="single" w:color="000000" w:sz="10" w:space="0"/>
                  </w:tcBorders>
                </w:tcPr>
                <w:p>
                  <w:pPr>
                    <w:pStyle w:val="TableText"/>
                    <w:ind w:left="468"/>
                    <w:spacing w:before="134" w:line="228" w:lineRule="auto"/>
                    <w:rPr>
                      <w:sz w:val="20"/>
                      <w:szCs w:val="20"/>
                    </w:rPr>
                  </w:pPr>
                  <w:r>
                    <w:rPr>
                      <w:sz w:val="20"/>
                      <w:szCs w:val="20"/>
                      <w:spacing w:val="6"/>
                    </w:rPr>
                    <w:t>污染源</w:t>
                  </w:r>
                </w:p>
              </w:tc>
              <w:tc>
                <w:tcPr>
                  <w:tcW w:w="3981" w:type="dxa"/>
                  <w:vAlign w:val="top"/>
                  <w:tcBorders>
                    <w:top w:val="single" w:color="000000" w:sz="10" w:space="0"/>
                  </w:tcBorders>
                </w:tcPr>
                <w:p>
                  <w:pPr>
                    <w:pStyle w:val="TableText"/>
                    <w:ind w:left="1812"/>
                    <w:spacing w:before="134" w:line="228" w:lineRule="auto"/>
                    <w:rPr>
                      <w:sz w:val="20"/>
                      <w:szCs w:val="20"/>
                    </w:rPr>
                  </w:pPr>
                  <w:r>
                    <w:rPr>
                      <w:sz w:val="20"/>
                      <w:szCs w:val="20"/>
                      <w:spacing w:val="-8"/>
                    </w:rPr>
                    <w:t>内容</w:t>
                  </w:r>
                </w:p>
              </w:tc>
              <w:tc>
                <w:tcPr>
                  <w:tcW w:w="575" w:type="dxa"/>
                  <w:vAlign w:val="top"/>
                  <w:tcBorders>
                    <w:right w:val="nil"/>
                    <w:top w:val="single" w:color="000000" w:sz="10" w:space="0"/>
                  </w:tcBorders>
                </w:tcPr>
                <w:p>
                  <w:pPr>
                    <w:pStyle w:val="TableText"/>
                    <w:ind w:left="86"/>
                    <w:spacing w:before="134" w:line="228" w:lineRule="auto"/>
                    <w:rPr>
                      <w:sz w:val="20"/>
                      <w:szCs w:val="20"/>
                    </w:rPr>
                  </w:pPr>
                  <w:r>
                    <w:rPr>
                      <w:sz w:val="20"/>
                      <w:szCs w:val="20"/>
                      <w:spacing w:val="3"/>
                    </w:rPr>
                    <w:t>投资</w:t>
                  </w:r>
                </w:p>
              </w:tc>
            </w:tr>
            <w:tr>
              <w:trPr>
                <w:trHeight w:val="567" w:hRule="atLeast"/>
              </w:trPr>
              <w:tc>
                <w:tcPr>
                  <w:tcW w:w="984" w:type="dxa"/>
                  <w:vAlign w:val="top"/>
                  <w:tcBorders>
                    <w:left w:val="nil"/>
                  </w:tcBorders>
                </w:tcPr>
                <w:p>
                  <w:pPr>
                    <w:pStyle w:val="TableText"/>
                    <w:ind w:left="79"/>
                    <w:spacing w:before="211" w:line="228" w:lineRule="auto"/>
                    <w:rPr>
                      <w:sz w:val="20"/>
                      <w:szCs w:val="20"/>
                    </w:rPr>
                  </w:pPr>
                  <w:r>
                    <w:rPr>
                      <w:sz w:val="20"/>
                      <w:szCs w:val="20"/>
                      <w:spacing w:val="7"/>
                    </w:rPr>
                    <w:t>废气处理</w:t>
                  </w:r>
                </w:p>
              </w:tc>
              <w:tc>
                <w:tcPr>
                  <w:tcW w:w="1555" w:type="dxa"/>
                  <w:vAlign w:val="top"/>
                </w:tcPr>
                <w:p>
                  <w:pPr>
                    <w:pStyle w:val="TableText"/>
                    <w:ind w:left="47"/>
                    <w:spacing w:before="210" w:line="228" w:lineRule="auto"/>
                    <w:rPr>
                      <w:sz w:val="20"/>
                      <w:szCs w:val="20"/>
                    </w:rPr>
                  </w:pPr>
                  <w:r>
                    <w:rPr>
                      <w:sz w:val="20"/>
                      <w:szCs w:val="20"/>
                      <w:spacing w:val="8"/>
                    </w:rPr>
                    <w:t>地膜生产线废气</w:t>
                  </w:r>
                </w:p>
              </w:tc>
              <w:tc>
                <w:tcPr>
                  <w:tcW w:w="3981" w:type="dxa"/>
                  <w:vAlign w:val="top"/>
                </w:tcPr>
                <w:p>
                  <w:pPr>
                    <w:pStyle w:val="TableText"/>
                    <w:ind w:left="120"/>
                    <w:spacing w:before="210" w:line="227" w:lineRule="auto"/>
                    <w:rPr>
                      <w:sz w:val="20"/>
                      <w:szCs w:val="20"/>
                    </w:rPr>
                  </w:pPr>
                  <w:r>
                    <w:rPr>
                      <w:sz w:val="20"/>
                      <w:szCs w:val="20"/>
                      <w:spacing w:val="8"/>
                    </w:rPr>
                    <w:t>活性炭吸附</w:t>
                  </w:r>
                  <w:r>
                    <w:rPr>
                      <w:rFonts w:ascii="Times New Roman" w:hAnsi="Times New Roman" w:eastAsia="Times New Roman" w:cs="Times New Roman"/>
                      <w:sz w:val="20"/>
                      <w:szCs w:val="20"/>
                      <w:spacing w:val="8"/>
                    </w:rPr>
                    <w:t>+</w:t>
                  </w:r>
                  <w:r>
                    <w:rPr>
                      <w:sz w:val="20"/>
                      <w:szCs w:val="20"/>
                      <w:spacing w:val="8"/>
                    </w:rPr>
                    <w:t>直接催化燃烧法</w:t>
                  </w:r>
                  <w:r>
                    <w:rPr>
                      <w:rFonts w:ascii="Times New Roman" w:hAnsi="Times New Roman" w:eastAsia="Times New Roman" w:cs="Times New Roman"/>
                      <w:sz w:val="20"/>
                      <w:szCs w:val="20"/>
                      <w:spacing w:val="8"/>
                    </w:rPr>
                    <w:t>+15m</w:t>
                  </w:r>
                  <w:r>
                    <w:rPr>
                      <w:sz w:val="20"/>
                      <w:szCs w:val="20"/>
                      <w:spacing w:val="8"/>
                    </w:rPr>
                    <w:t>排气筒</w:t>
                  </w:r>
                </w:p>
              </w:tc>
              <w:tc>
                <w:tcPr>
                  <w:tcW w:w="575" w:type="dxa"/>
                  <w:vAlign w:val="top"/>
                  <w:tcBorders>
                    <w:right w:val="nil"/>
                  </w:tcBorders>
                </w:tcPr>
                <w:p>
                  <w:pPr>
                    <w:ind w:left="246"/>
                    <w:spacing w:before="2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443" w:hRule="atLeast"/>
              </w:trPr>
              <w:tc>
                <w:tcPr>
                  <w:tcW w:w="984" w:type="dxa"/>
                  <w:vAlign w:val="top"/>
                  <w:vMerge w:val="restart"/>
                  <w:tcBorders>
                    <w:left w:val="nil"/>
                    <w:bottom w:val="nil"/>
                  </w:tcBorders>
                </w:tcPr>
                <w:p>
                  <w:pPr>
                    <w:spacing w:line="275" w:lineRule="auto"/>
                    <w:rPr>
                      <w:rFonts w:ascii="Arial"/>
                      <w:sz w:val="21"/>
                    </w:rPr>
                  </w:pPr>
                  <w:r/>
                </w:p>
                <w:p>
                  <w:pPr>
                    <w:pStyle w:val="TableText"/>
                    <w:ind w:left="79"/>
                    <w:spacing w:before="65" w:line="228" w:lineRule="auto"/>
                    <w:rPr>
                      <w:sz w:val="20"/>
                      <w:szCs w:val="20"/>
                    </w:rPr>
                  </w:pPr>
                  <w:r>
                    <w:rPr>
                      <w:sz w:val="20"/>
                      <w:szCs w:val="20"/>
                      <w:spacing w:val="7"/>
                    </w:rPr>
                    <w:t>废固治理</w:t>
                  </w:r>
                </w:p>
              </w:tc>
              <w:tc>
                <w:tcPr>
                  <w:tcW w:w="1555" w:type="dxa"/>
                  <w:vAlign w:val="top"/>
                </w:tcPr>
                <w:p>
                  <w:pPr>
                    <w:pStyle w:val="TableText"/>
                    <w:ind w:left="364"/>
                    <w:spacing w:before="148" w:line="228" w:lineRule="auto"/>
                    <w:rPr>
                      <w:sz w:val="20"/>
                      <w:szCs w:val="20"/>
                    </w:rPr>
                  </w:pPr>
                  <w:r>
                    <w:rPr>
                      <w:sz w:val="20"/>
                      <w:szCs w:val="20"/>
                      <w:spacing w:val="6"/>
                    </w:rPr>
                    <w:t>一般固废</w:t>
                  </w:r>
                </w:p>
              </w:tc>
              <w:tc>
                <w:tcPr>
                  <w:tcW w:w="3981" w:type="dxa"/>
                  <w:vAlign w:val="top"/>
                </w:tcPr>
                <w:p>
                  <w:pPr>
                    <w:pStyle w:val="TableText"/>
                    <w:ind w:left="1688"/>
                    <w:spacing w:before="147" w:line="228" w:lineRule="auto"/>
                    <w:rPr>
                      <w:sz w:val="20"/>
                      <w:szCs w:val="20"/>
                    </w:rPr>
                  </w:pPr>
                  <w:r>
                    <w:rPr>
                      <w:sz w:val="20"/>
                      <w:szCs w:val="20"/>
                      <w:spacing w:val="4"/>
                    </w:rPr>
                    <w:t>收集箱</w:t>
                  </w:r>
                </w:p>
              </w:tc>
              <w:tc>
                <w:tcPr>
                  <w:tcW w:w="575" w:type="dxa"/>
                  <w:vAlign w:val="top"/>
                  <w:tcBorders>
                    <w:right w:val="nil"/>
                  </w:tcBorders>
                </w:tcPr>
                <w:p>
                  <w:pPr>
                    <w:ind w:left="162"/>
                    <w:spacing w:before="18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r>
            <w:tr>
              <w:trPr>
                <w:trHeight w:val="382" w:hRule="atLeast"/>
              </w:trPr>
              <w:tc>
                <w:tcPr>
                  <w:tcW w:w="984" w:type="dxa"/>
                  <w:vAlign w:val="top"/>
                  <w:vMerge w:val="continue"/>
                  <w:tcBorders>
                    <w:left w:val="nil"/>
                    <w:top w:val="nil"/>
                  </w:tcBorders>
                </w:tcPr>
                <w:p>
                  <w:pPr>
                    <w:rPr>
                      <w:rFonts w:ascii="Arial"/>
                      <w:sz w:val="21"/>
                    </w:rPr>
                  </w:pPr>
                  <w:r/>
                </w:p>
              </w:tc>
              <w:tc>
                <w:tcPr>
                  <w:tcW w:w="1555" w:type="dxa"/>
                  <w:vAlign w:val="top"/>
                </w:tcPr>
                <w:p>
                  <w:pPr>
                    <w:pStyle w:val="TableText"/>
                    <w:ind w:left="363"/>
                    <w:spacing w:before="117" w:line="228" w:lineRule="auto"/>
                    <w:rPr>
                      <w:sz w:val="20"/>
                      <w:szCs w:val="20"/>
                    </w:rPr>
                  </w:pPr>
                  <w:r>
                    <w:rPr>
                      <w:sz w:val="20"/>
                      <w:szCs w:val="20"/>
                      <w:spacing w:val="6"/>
                    </w:rPr>
                    <w:t>危险废物</w:t>
                  </w:r>
                </w:p>
              </w:tc>
              <w:tc>
                <w:tcPr>
                  <w:tcW w:w="3981" w:type="dxa"/>
                  <w:vAlign w:val="top"/>
                </w:tcPr>
                <w:p>
                  <w:pPr>
                    <w:pStyle w:val="TableText"/>
                    <w:ind w:left="1369"/>
                    <w:spacing w:before="117" w:line="228" w:lineRule="auto"/>
                    <w:rPr>
                      <w:sz w:val="20"/>
                      <w:szCs w:val="20"/>
                    </w:rPr>
                  </w:pPr>
                  <w:r>
                    <w:rPr>
                      <w:sz w:val="20"/>
                      <w:szCs w:val="20"/>
                      <w:spacing w:val="7"/>
                    </w:rPr>
                    <w:t>危废委托处置</w:t>
                  </w:r>
                </w:p>
              </w:tc>
              <w:tc>
                <w:tcPr>
                  <w:tcW w:w="575" w:type="dxa"/>
                  <w:vAlign w:val="top"/>
                  <w:tcBorders>
                    <w:right w:val="nil"/>
                  </w:tcBorders>
                </w:tcPr>
                <w:p>
                  <w:pPr>
                    <w:ind w:left="258"/>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rPr>
                <w:trHeight w:val="382" w:hRule="atLeast"/>
              </w:trPr>
              <w:tc>
                <w:tcPr>
                  <w:tcW w:w="984" w:type="dxa"/>
                  <w:vAlign w:val="top"/>
                  <w:tcBorders>
                    <w:left w:val="nil"/>
                  </w:tcBorders>
                </w:tcPr>
                <w:p>
                  <w:pPr>
                    <w:pStyle w:val="TableText"/>
                    <w:ind w:left="90"/>
                    <w:spacing w:before="117" w:line="228" w:lineRule="auto"/>
                    <w:rPr>
                      <w:sz w:val="20"/>
                      <w:szCs w:val="20"/>
                    </w:rPr>
                  </w:pPr>
                  <w:r>
                    <w:rPr>
                      <w:sz w:val="20"/>
                      <w:szCs w:val="20"/>
                      <w:spacing w:val="4"/>
                    </w:rPr>
                    <w:t>噪声治理</w:t>
                  </w:r>
                </w:p>
              </w:tc>
              <w:tc>
                <w:tcPr>
                  <w:tcW w:w="1555" w:type="dxa"/>
                  <w:vAlign w:val="top"/>
                </w:tcPr>
                <w:p>
                  <w:pPr>
                    <w:pStyle w:val="TableText"/>
                    <w:ind w:left="360"/>
                    <w:spacing w:before="116" w:line="227" w:lineRule="auto"/>
                    <w:rPr>
                      <w:sz w:val="20"/>
                      <w:szCs w:val="20"/>
                    </w:rPr>
                  </w:pPr>
                  <w:r>
                    <w:rPr>
                      <w:sz w:val="20"/>
                      <w:szCs w:val="20"/>
                      <w:spacing w:val="7"/>
                    </w:rPr>
                    <w:t>机械噪声</w:t>
                  </w:r>
                </w:p>
              </w:tc>
              <w:tc>
                <w:tcPr>
                  <w:tcW w:w="3981" w:type="dxa"/>
                  <w:vAlign w:val="top"/>
                </w:tcPr>
                <w:p>
                  <w:pPr>
                    <w:pStyle w:val="TableText"/>
                    <w:ind w:left="1062"/>
                    <w:spacing w:before="116" w:line="228" w:lineRule="auto"/>
                    <w:rPr>
                      <w:sz w:val="20"/>
                      <w:szCs w:val="20"/>
                    </w:rPr>
                  </w:pPr>
                  <w:r>
                    <w:rPr>
                      <w:sz w:val="20"/>
                      <w:szCs w:val="20"/>
                      <w:spacing w:val="7"/>
                    </w:rPr>
                    <w:t>隔声降噪、绿化措施</w:t>
                  </w:r>
                </w:p>
              </w:tc>
              <w:tc>
                <w:tcPr>
                  <w:tcW w:w="575" w:type="dxa"/>
                  <w:vAlign w:val="top"/>
                  <w:tcBorders>
                    <w:right w:val="nil"/>
                  </w:tcBorders>
                </w:tcPr>
                <w:p>
                  <w:pPr>
                    <w:ind w:left="162"/>
                    <w:spacing w:before="15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r>
            <w:tr>
              <w:trPr>
                <w:trHeight w:val="382" w:hRule="atLeast"/>
              </w:trPr>
              <w:tc>
                <w:tcPr>
                  <w:tcW w:w="2539" w:type="dxa"/>
                  <w:vAlign w:val="top"/>
                  <w:gridSpan w:val="2"/>
                  <w:tcBorders>
                    <w:left w:val="nil"/>
                  </w:tcBorders>
                </w:tcPr>
                <w:p>
                  <w:pPr>
                    <w:pStyle w:val="TableText"/>
                    <w:ind w:left="855"/>
                    <w:spacing w:before="118" w:line="228" w:lineRule="auto"/>
                    <w:rPr>
                      <w:sz w:val="20"/>
                      <w:szCs w:val="20"/>
                    </w:rPr>
                  </w:pPr>
                  <w:r>
                    <w:rPr>
                      <w:sz w:val="20"/>
                      <w:szCs w:val="20"/>
                      <w:spacing w:val="7"/>
                    </w:rPr>
                    <w:t>环境风险</w:t>
                  </w:r>
                </w:p>
              </w:tc>
              <w:tc>
                <w:tcPr>
                  <w:tcW w:w="3981" w:type="dxa"/>
                  <w:vAlign w:val="top"/>
                </w:tcPr>
                <w:p>
                  <w:pPr>
                    <w:pStyle w:val="TableText"/>
                    <w:ind w:left="841"/>
                    <w:spacing w:before="118" w:line="228" w:lineRule="auto"/>
                    <w:rPr>
                      <w:sz w:val="20"/>
                      <w:szCs w:val="20"/>
                    </w:rPr>
                  </w:pPr>
                  <w:r>
                    <w:rPr>
                      <w:sz w:val="20"/>
                      <w:szCs w:val="20"/>
                      <w:spacing w:val="9"/>
                    </w:rPr>
                    <w:t>环境风险防范及应急措施</w:t>
                  </w:r>
                </w:p>
              </w:tc>
              <w:tc>
                <w:tcPr>
                  <w:tcW w:w="575" w:type="dxa"/>
                  <w:vAlign w:val="top"/>
                  <w:tcBorders>
                    <w:right w:val="nil"/>
                  </w:tcBorders>
                </w:tcPr>
                <w:p>
                  <w:pPr>
                    <w:ind w:left="238"/>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trPr>
                <w:trHeight w:val="725" w:hRule="atLeast"/>
              </w:trPr>
              <w:tc>
                <w:tcPr>
                  <w:tcW w:w="2539" w:type="dxa"/>
                  <w:vAlign w:val="top"/>
                  <w:gridSpan w:val="2"/>
                  <w:tcBorders>
                    <w:left w:val="nil"/>
                  </w:tcBorders>
                </w:tcPr>
                <w:p>
                  <w:pPr>
                    <w:pStyle w:val="TableText"/>
                    <w:ind w:left="1067"/>
                    <w:spacing w:before="288" w:line="228" w:lineRule="auto"/>
                    <w:rPr>
                      <w:sz w:val="20"/>
                      <w:szCs w:val="20"/>
                    </w:rPr>
                  </w:pPr>
                  <w:r>
                    <w:rPr>
                      <w:sz w:val="20"/>
                      <w:szCs w:val="20"/>
                      <w:spacing w:val="4"/>
                    </w:rPr>
                    <w:t>其他</w:t>
                  </w:r>
                </w:p>
              </w:tc>
              <w:tc>
                <w:tcPr>
                  <w:tcW w:w="3981" w:type="dxa"/>
                  <w:vAlign w:val="top"/>
                </w:tcPr>
                <w:p>
                  <w:pPr>
                    <w:pStyle w:val="TableText"/>
                    <w:ind w:left="32" w:firstLine="2"/>
                    <w:spacing w:before="108" w:line="280" w:lineRule="auto"/>
                    <w:rPr>
                      <w:sz w:val="20"/>
                      <w:szCs w:val="20"/>
                    </w:rPr>
                  </w:pPr>
                  <w:r>
                    <w:rPr>
                      <w:sz w:val="20"/>
                      <w:szCs w:val="20"/>
                      <w:spacing w:val="-3"/>
                    </w:rPr>
                    <w:t>水土保持、厂区绿化、施工期污染防治措施、</w:t>
                  </w:r>
                  <w:r>
                    <w:rPr>
                      <w:sz w:val="20"/>
                      <w:szCs w:val="20"/>
                    </w:rPr>
                    <w:t xml:space="preserve"> </w:t>
                  </w:r>
                  <w:r>
                    <w:rPr>
                      <w:sz w:val="20"/>
                      <w:szCs w:val="20"/>
                      <w:spacing w:val="3"/>
                    </w:rPr>
                    <w:t>环境管理与监控、消防系统、排污口规范化</w:t>
                  </w:r>
                </w:p>
              </w:tc>
              <w:tc>
                <w:tcPr>
                  <w:tcW w:w="575" w:type="dxa"/>
                  <w:vAlign w:val="top"/>
                  <w:tcBorders>
                    <w:right w:val="nil"/>
                  </w:tcBorders>
                </w:tcPr>
                <w:p>
                  <w:pPr>
                    <w:spacing w:line="265" w:lineRule="auto"/>
                    <w:rPr>
                      <w:rFonts w:ascii="Arial"/>
                      <w:sz w:val="21"/>
                    </w:rPr>
                  </w:pPr>
                  <w:r/>
                </w:p>
                <w:p>
                  <w:pPr>
                    <w:ind w:left="258"/>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rPr>
                <w:trHeight w:val="415" w:hRule="atLeast"/>
              </w:trPr>
              <w:tc>
                <w:tcPr>
                  <w:tcW w:w="6520" w:type="dxa"/>
                  <w:vAlign w:val="top"/>
                  <w:gridSpan w:val="3"/>
                  <w:tcBorders>
                    <w:left w:val="nil"/>
                    <w:bottom w:val="nil"/>
                  </w:tcBorders>
                </w:tcPr>
                <w:p>
                  <w:pPr>
                    <w:pStyle w:val="TableText"/>
                    <w:ind w:left="2954"/>
                    <w:spacing w:before="136" w:line="229" w:lineRule="auto"/>
                    <w:rPr>
                      <w:sz w:val="20"/>
                      <w:szCs w:val="20"/>
                    </w:rPr>
                  </w:pPr>
                  <w:r>
                    <w:rPr>
                      <w:sz w:val="20"/>
                      <w:szCs w:val="20"/>
                    </w:rPr>
                    <w:t>合</w:t>
                  </w:r>
                  <w:r>
                    <w:rPr>
                      <w:sz w:val="20"/>
                      <w:szCs w:val="20"/>
                      <w:spacing w:val="9"/>
                    </w:rPr>
                    <w:t xml:space="preserve">  </w:t>
                  </w:r>
                  <w:r>
                    <w:rPr>
                      <w:sz w:val="20"/>
                      <w:szCs w:val="20"/>
                    </w:rPr>
                    <w:t>计</w:t>
                  </w:r>
                </w:p>
              </w:tc>
              <w:tc>
                <w:tcPr>
                  <w:tcW w:w="575" w:type="dxa"/>
                  <w:vAlign w:val="top"/>
                  <w:tcBorders>
                    <w:bottom w:val="nil"/>
                    <w:right w:val="nil"/>
                  </w:tcBorders>
                </w:tcPr>
                <w:p>
                  <w:pPr>
                    <w:ind w:left="205"/>
                    <w:spacing w:before="1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13</w:t>
                  </w:r>
                </w:p>
              </w:tc>
            </w:tr>
          </w:tbl>
          <w:p>
            <w:pPr>
              <w:spacing w:line="25" w:lineRule="exact"/>
              <w:rPr>
                <w:rFonts w:ascii="Arial"/>
                <w:sz w:val="2"/>
              </w:rPr>
            </w:pPr>
            <w:r/>
          </w:p>
        </w:tc>
      </w:tr>
    </w:tbl>
    <w:p>
      <w:pPr>
        <w:pStyle w:val="BodyText"/>
        <w:spacing w:line="335" w:lineRule="auto"/>
        <w:rPr/>
      </w:pPr>
      <w:r/>
    </w:p>
    <w:p>
      <w:pPr>
        <w:pStyle w:val="BodyText"/>
        <w:spacing w:line="336" w:lineRule="auto"/>
        <w:rPr/>
      </w:pPr>
      <w:r/>
    </w:p>
    <w:p>
      <w:pPr>
        <w:ind w:left="134"/>
        <w:spacing w:before="91" w:line="221" w:lineRule="auto"/>
        <w:outlineLvl w:val="0"/>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专家：袁新杰</w:t>
      </w:r>
    </w:p>
    <w:p>
      <w:pPr>
        <w:spacing w:before="227" w:line="219" w:lineRule="auto"/>
        <w:outlineLvl w:val="0"/>
        <w:jc w:val="right"/>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4"/>
        </w:rPr>
        <w:t>一、补充本项目与《昌吉回族自治州生态环境保护与建设“十</w:t>
      </w:r>
      <w:r>
        <w:rPr>
          <w:rFonts w:ascii="SimSun" w:hAnsi="SimSun" w:eastAsia="SimSun" w:cs="SimSun"/>
          <w:sz w:val="28"/>
          <w:szCs w:val="28"/>
          <w14:textOutline w14:w="5103" w14:cap="sq" w14:cmpd="sng">
            <w14:solidFill>
              <w14:srgbClr w14:val="000000"/>
            </w14:solidFill>
            <w14:prstDash w14:val="solid"/>
            <w14:bevel/>
          </w14:textOutline>
          <w:spacing w:val="3"/>
        </w:rPr>
        <w:t>四五</w:t>
      </w:r>
      <w:r>
        <w:rPr>
          <w:rFonts w:ascii="SimSun" w:hAnsi="SimSun" w:eastAsia="SimSun" w:cs="SimSun"/>
          <w:sz w:val="28"/>
          <w:szCs w:val="28"/>
          <w:spacing w:val="-103"/>
        </w:rPr>
        <w:t xml:space="preserve"> </w:t>
      </w:r>
      <w:r>
        <w:rPr>
          <w:rFonts w:ascii="SimSun" w:hAnsi="SimSun" w:eastAsia="SimSun" w:cs="SimSun"/>
          <w:sz w:val="28"/>
          <w:szCs w:val="28"/>
          <w14:textOutline w14:w="5103" w14:cap="sq" w14:cmpd="sng">
            <w14:solidFill>
              <w14:srgbClr w14:val="000000"/>
            </w14:solidFill>
            <w14:prstDash w14:val="solid"/>
            <w14:bevel/>
          </w14:textOutline>
          <w:spacing w:val="3"/>
        </w:rPr>
        <w:t>”</w:t>
      </w:r>
    </w:p>
    <w:p>
      <w:pPr>
        <w:ind w:left="134"/>
        <w:spacing w:before="226" w:line="220"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规划》的符合性分析内容。</w:t>
      </w:r>
    </w:p>
    <w:p>
      <w:pPr>
        <w:ind w:left="637"/>
        <w:spacing w:before="213" w:line="219" w:lineRule="auto"/>
        <w:rPr>
          <w:rFonts w:ascii="Times New Roman" w:hAnsi="Times New Roman" w:eastAsia="Times New Roman" w:cs="Times New Roman"/>
          <w:sz w:val="24"/>
          <w:szCs w:val="24"/>
        </w:rPr>
      </w:pPr>
      <w:r>
        <w:rPr>
          <w:rFonts w:ascii="SimSun" w:hAnsi="SimSun" w:eastAsia="SimSun" w:cs="SimSun"/>
          <w:sz w:val="24"/>
          <w:szCs w:val="24"/>
          <w:spacing w:val="-5"/>
        </w:rPr>
        <w:t>已修改，见</w:t>
      </w:r>
      <w:r>
        <w:rPr>
          <w:rFonts w:ascii="Times New Roman" w:hAnsi="Times New Roman" w:eastAsia="Times New Roman" w:cs="Times New Roman"/>
          <w:sz w:val="24"/>
          <w:szCs w:val="24"/>
          <w:spacing w:val="-5"/>
        </w:rPr>
        <w:t>P11</w:t>
      </w:r>
    </w:p>
    <w:p>
      <w:pPr>
        <w:ind w:left="623"/>
        <w:spacing w:before="216" w:line="499" w:lineRule="exact"/>
        <w:rPr>
          <w:rFonts w:ascii="SimSun" w:hAnsi="SimSun" w:eastAsia="SimSun" w:cs="SimSun"/>
          <w:sz w:val="24"/>
          <w:szCs w:val="24"/>
        </w:rPr>
      </w:pPr>
      <w:r>
        <w:rPr>
          <w:rFonts w:ascii="SimSun" w:hAnsi="SimSun" w:eastAsia="SimSun" w:cs="SimSun"/>
          <w:sz w:val="24"/>
          <w:szCs w:val="24"/>
          <w:spacing w:val="-4"/>
          <w:position w:val="19"/>
        </w:rPr>
        <w:t>（</w:t>
      </w:r>
      <w:r>
        <w:rPr>
          <w:rFonts w:ascii="Times New Roman" w:hAnsi="Times New Roman" w:eastAsia="Times New Roman" w:cs="Times New Roman"/>
          <w:sz w:val="24"/>
          <w:szCs w:val="24"/>
          <w:spacing w:val="-4"/>
          <w:position w:val="19"/>
        </w:rPr>
        <w:t>12</w:t>
      </w:r>
      <w:r>
        <w:rPr>
          <w:rFonts w:ascii="SimSun" w:hAnsi="SimSun" w:eastAsia="SimSun" w:cs="SimSun"/>
          <w:sz w:val="24"/>
          <w:szCs w:val="24"/>
          <w:spacing w:val="-4"/>
          <w:position w:val="19"/>
        </w:rPr>
        <w:t>）与《昌吉回族自治州生态环境保护与建设</w:t>
      </w:r>
      <w:r>
        <w:rPr>
          <w:rFonts w:ascii="SimSun" w:hAnsi="SimSun" w:eastAsia="SimSun" w:cs="SimSun"/>
          <w:sz w:val="24"/>
          <w:szCs w:val="24"/>
          <w:spacing w:val="-5"/>
          <w:position w:val="19"/>
        </w:rPr>
        <w:t>“十四五</w:t>
      </w:r>
      <w:r>
        <w:rPr>
          <w:rFonts w:ascii="SimSun" w:hAnsi="SimSun" w:eastAsia="SimSun" w:cs="SimSun"/>
          <w:sz w:val="24"/>
          <w:szCs w:val="24"/>
          <w:spacing w:val="-88"/>
          <w:position w:val="19"/>
        </w:rPr>
        <w:t xml:space="preserve"> </w:t>
      </w:r>
      <w:r>
        <w:rPr>
          <w:rFonts w:ascii="SimSun" w:hAnsi="SimSun" w:eastAsia="SimSun" w:cs="SimSun"/>
          <w:sz w:val="24"/>
          <w:szCs w:val="24"/>
          <w:spacing w:val="-5"/>
          <w:position w:val="19"/>
        </w:rPr>
        <w:t>”规划》符合性分</w:t>
      </w:r>
    </w:p>
    <w:p>
      <w:pPr>
        <w:ind w:left="133"/>
        <w:spacing w:line="220" w:lineRule="auto"/>
        <w:rPr>
          <w:rFonts w:ascii="SimSun" w:hAnsi="SimSun" w:eastAsia="SimSun" w:cs="SimSun"/>
          <w:sz w:val="24"/>
          <w:szCs w:val="24"/>
        </w:rPr>
      </w:pPr>
      <w:r>
        <w:rPr>
          <w:rFonts w:ascii="SimSun" w:hAnsi="SimSun" w:eastAsia="SimSun" w:cs="SimSun"/>
          <w:sz w:val="24"/>
          <w:szCs w:val="24"/>
        </w:rPr>
        <w:t>析</w:t>
      </w:r>
    </w:p>
    <w:p>
      <w:pPr>
        <w:ind w:left="612"/>
        <w:spacing w:before="212" w:line="219" w:lineRule="auto"/>
        <w:rPr>
          <w:rFonts w:ascii="SimSun" w:hAnsi="SimSun" w:eastAsia="SimSun" w:cs="SimSun"/>
          <w:sz w:val="24"/>
          <w:szCs w:val="24"/>
        </w:rPr>
      </w:pPr>
      <w:r>
        <w:rPr>
          <w:rFonts w:ascii="SimSun" w:hAnsi="SimSun" w:eastAsia="SimSun" w:cs="SimSun"/>
          <w:sz w:val="24"/>
          <w:szCs w:val="24"/>
          <w:spacing w:val="-1"/>
        </w:rPr>
        <w:t>本项目涉及的相关条例及条例符合性分析见表</w:t>
      </w:r>
      <w:r>
        <w:rPr>
          <w:rFonts w:ascii="Times New Roman" w:hAnsi="Times New Roman" w:eastAsia="Times New Roman" w:cs="Times New Roman"/>
          <w:sz w:val="24"/>
          <w:szCs w:val="24"/>
          <w:spacing w:val="-1"/>
        </w:rPr>
        <w:t>1.1-7</w:t>
      </w:r>
      <w:r>
        <w:rPr>
          <w:rFonts w:ascii="SimSun" w:hAnsi="SimSun" w:eastAsia="SimSun" w:cs="SimSun"/>
          <w:sz w:val="24"/>
          <w:szCs w:val="24"/>
          <w:spacing w:val="-1"/>
        </w:rPr>
        <w:t>。</w:t>
      </w:r>
    </w:p>
    <w:p>
      <w:pPr>
        <w:ind w:left="611"/>
        <w:spacing w:before="217" w:line="219" w:lineRule="auto"/>
        <w:rPr>
          <w:rFonts w:ascii="SimSun" w:hAnsi="SimSun" w:eastAsia="SimSun" w:cs="SimSun"/>
          <w:sz w:val="24"/>
          <w:szCs w:val="24"/>
        </w:rPr>
      </w:pPr>
      <w:r>
        <w:rPr>
          <w:rFonts w:ascii="SimSun" w:hAnsi="SimSun" w:eastAsia="SimSun" w:cs="SimSun"/>
          <w:sz w:val="24"/>
          <w:szCs w:val="24"/>
          <w:spacing w:val="-8"/>
        </w:rPr>
        <w:t>根据《昌吉回族自治州生态环境保护与建设“十四五</w:t>
      </w:r>
      <w:r>
        <w:rPr>
          <w:rFonts w:ascii="SimSun" w:hAnsi="SimSun" w:eastAsia="SimSun" w:cs="SimSun"/>
          <w:sz w:val="24"/>
          <w:szCs w:val="24"/>
          <w:spacing w:val="-72"/>
        </w:rPr>
        <w:t xml:space="preserve"> </w:t>
      </w:r>
      <w:r>
        <w:rPr>
          <w:rFonts w:ascii="SimSun" w:hAnsi="SimSun" w:eastAsia="SimSun" w:cs="SimSun"/>
          <w:sz w:val="24"/>
          <w:szCs w:val="24"/>
          <w:spacing w:val="-8"/>
        </w:rPr>
        <w:t>”规划》文件对比分析，</w:t>
      </w:r>
    </w:p>
    <w:p>
      <w:pPr>
        <w:ind w:left="132"/>
        <w:spacing w:before="215" w:line="219" w:lineRule="auto"/>
        <w:rPr>
          <w:rFonts w:ascii="SimSun" w:hAnsi="SimSun" w:eastAsia="SimSun" w:cs="SimSun"/>
          <w:sz w:val="24"/>
          <w:szCs w:val="24"/>
        </w:rPr>
      </w:pPr>
      <w:r>
        <w:rPr>
          <w:rFonts w:ascii="SimSun" w:hAnsi="SimSun" w:eastAsia="SimSun" w:cs="SimSun"/>
          <w:sz w:val="24"/>
          <w:szCs w:val="24"/>
          <w:spacing w:val="-1"/>
        </w:rPr>
        <w:t>本项目符合文件相关要求。</w:t>
      </w:r>
    </w:p>
    <w:p>
      <w:pPr>
        <w:ind w:left="130"/>
        <w:spacing w:before="135" w:line="219"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
        </w:rPr>
        <w:t>表</w:t>
      </w:r>
      <w:r>
        <w:rPr>
          <w:rFonts w:ascii="Times New Roman" w:hAnsi="Times New Roman" w:eastAsia="Times New Roman" w:cs="Times New Roman"/>
          <w:sz w:val="24"/>
          <w:szCs w:val="24"/>
          <w:b/>
          <w:bCs/>
          <w:spacing w:val="-1"/>
        </w:rPr>
        <w:t>1.1-7  </w:t>
      </w:r>
      <w:r>
        <w:rPr>
          <w:rFonts w:ascii="SimSun" w:hAnsi="SimSun" w:eastAsia="SimSun" w:cs="SimSun"/>
          <w:sz w:val="24"/>
          <w:szCs w:val="24"/>
          <w14:textOutline w14:w="4358" w14:cap="sq" w14:cmpd="sng">
            <w14:solidFill>
              <w14:srgbClr w14:val="000000"/>
            </w14:solidFill>
            <w14:prstDash w14:val="solid"/>
            <w14:bevel/>
          </w14:textOutline>
          <w:spacing w:val="-1"/>
        </w:rPr>
        <w:t>与《昌吉回族自治州生态环境保护与建设“十四五</w:t>
      </w:r>
      <w:r>
        <w:rPr>
          <w:rFonts w:ascii="SimSun" w:hAnsi="SimSun" w:eastAsia="SimSun" w:cs="SimSun"/>
          <w:sz w:val="24"/>
          <w:szCs w:val="24"/>
          <w:spacing w:val="-84"/>
        </w:rPr>
        <w:t xml:space="preserve"> </w:t>
      </w:r>
      <w:r>
        <w:rPr>
          <w:rFonts w:ascii="SimSun" w:hAnsi="SimSun" w:eastAsia="SimSun" w:cs="SimSun"/>
          <w:sz w:val="24"/>
          <w:szCs w:val="24"/>
          <w14:textOutline w14:w="4358" w14:cap="sq" w14:cmpd="sng">
            <w14:solidFill>
              <w14:srgbClr w14:val="000000"/>
            </w14:solidFill>
            <w14:prstDash w14:val="solid"/>
            <w14:bevel/>
          </w14:textOutline>
          <w:spacing w:val="-1"/>
        </w:rPr>
        <w:t>”规划》文件符合性</w:t>
      </w:r>
    </w:p>
    <w:p>
      <w:pPr>
        <w:ind w:left="4046"/>
        <w:spacing w:before="117" w:line="219"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7"/>
        </w:rPr>
        <w:t>分析</w:t>
      </w:r>
    </w:p>
    <w:tbl>
      <w:tblPr>
        <w:tblStyle w:val="TableNormal"/>
        <w:tblW w:w="8525"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80"/>
        <w:gridCol w:w="4141"/>
        <w:gridCol w:w="3145"/>
        <w:gridCol w:w="659"/>
      </w:tblGrid>
      <w:tr>
        <w:trPr>
          <w:trHeight w:val="722" w:hRule="atLeast"/>
        </w:trPr>
        <w:tc>
          <w:tcPr>
            <w:tcW w:w="580" w:type="dxa"/>
            <w:vAlign w:val="top"/>
            <w:textDirection w:val="tbRlV"/>
            <w:tcBorders>
              <w:left w:val="single" w:color="000000" w:sz="10" w:space="0"/>
              <w:top w:val="single" w:color="000000" w:sz="10" w:space="0"/>
            </w:tcBorders>
          </w:tcPr>
          <w:p>
            <w:pPr>
              <w:pStyle w:val="TableText"/>
              <w:ind w:left="112"/>
              <w:spacing w:before="186" w:line="218" w:lineRule="auto"/>
              <w:rPr>
                <w:sz w:val="20"/>
                <w:szCs w:val="20"/>
              </w:rPr>
            </w:pPr>
            <w:r>
              <w:rPr>
                <w:sz w:val="20"/>
                <w:szCs w:val="20"/>
                <w:spacing w:val="8"/>
              </w:rPr>
              <w:t>序</w:t>
            </w:r>
            <w:r>
              <w:rPr>
                <w:sz w:val="20"/>
                <w:szCs w:val="20"/>
                <w:spacing w:val="51"/>
              </w:rPr>
              <w:t xml:space="preserve"> </w:t>
            </w:r>
            <w:r>
              <w:rPr>
                <w:sz w:val="20"/>
                <w:szCs w:val="20"/>
                <w:spacing w:val="8"/>
              </w:rPr>
              <w:t>号</w:t>
            </w:r>
          </w:p>
        </w:tc>
        <w:tc>
          <w:tcPr>
            <w:tcW w:w="4141" w:type="dxa"/>
            <w:vAlign w:val="top"/>
            <w:tcBorders>
              <w:top w:val="single" w:color="000000" w:sz="10" w:space="0"/>
            </w:tcBorders>
          </w:tcPr>
          <w:p>
            <w:pPr>
              <w:pStyle w:val="TableText"/>
              <w:ind w:left="1677"/>
              <w:spacing w:before="112" w:line="228" w:lineRule="auto"/>
              <w:rPr>
                <w:sz w:val="20"/>
                <w:szCs w:val="20"/>
              </w:rPr>
            </w:pPr>
            <w:r>
              <w:rPr>
                <w:sz w:val="20"/>
                <w:szCs w:val="20"/>
                <w:spacing w:val="1"/>
              </w:rPr>
              <w:t>内容要求</w:t>
            </w:r>
          </w:p>
        </w:tc>
        <w:tc>
          <w:tcPr>
            <w:tcW w:w="3145" w:type="dxa"/>
            <w:vAlign w:val="top"/>
            <w:tcBorders>
              <w:top w:val="single" w:color="000000" w:sz="10" w:space="0"/>
            </w:tcBorders>
          </w:tcPr>
          <w:p>
            <w:pPr>
              <w:pStyle w:val="TableText"/>
              <w:ind w:left="958"/>
              <w:spacing w:before="113" w:line="228" w:lineRule="auto"/>
              <w:rPr>
                <w:sz w:val="20"/>
                <w:szCs w:val="20"/>
              </w:rPr>
            </w:pPr>
            <w:r>
              <w:rPr>
                <w:sz w:val="20"/>
                <w:szCs w:val="20"/>
                <w:spacing w:val="7"/>
              </w:rPr>
              <w:t>项目建设情况</w:t>
            </w:r>
          </w:p>
        </w:tc>
        <w:tc>
          <w:tcPr>
            <w:tcW w:w="659" w:type="dxa"/>
            <w:vAlign w:val="top"/>
            <w:tcBorders>
              <w:right w:val="single" w:color="000000" w:sz="10" w:space="0"/>
              <w:top w:val="single" w:color="000000" w:sz="10" w:space="0"/>
            </w:tcBorders>
          </w:tcPr>
          <w:p>
            <w:pPr>
              <w:pStyle w:val="TableText"/>
              <w:ind w:left="130"/>
              <w:spacing w:before="112" w:line="228" w:lineRule="auto"/>
              <w:rPr>
                <w:sz w:val="20"/>
                <w:szCs w:val="20"/>
              </w:rPr>
            </w:pPr>
            <w:r>
              <w:rPr>
                <w:sz w:val="20"/>
                <w:szCs w:val="20"/>
                <w:spacing w:val="3"/>
              </w:rPr>
              <w:t>符合</w:t>
            </w:r>
          </w:p>
          <w:p>
            <w:pPr>
              <w:pStyle w:val="TableText"/>
              <w:ind w:left="236"/>
              <w:spacing w:before="113" w:line="221" w:lineRule="auto"/>
              <w:rPr>
                <w:sz w:val="20"/>
                <w:szCs w:val="20"/>
              </w:rPr>
            </w:pPr>
            <w:r>
              <w:rPr>
                <w:sz w:val="20"/>
                <w:szCs w:val="20"/>
              </w:rPr>
              <w:t>性</w:t>
            </w:r>
          </w:p>
        </w:tc>
      </w:tr>
      <w:tr>
        <w:trPr>
          <w:trHeight w:val="1809" w:hRule="atLeast"/>
        </w:trPr>
        <w:tc>
          <w:tcPr>
            <w:tcW w:w="580" w:type="dxa"/>
            <w:vAlign w:val="top"/>
            <w:tcBorders>
              <w:left w:val="single" w:color="000000" w:sz="10" w:space="0"/>
              <w:bottom w:val="single" w:color="000000" w:sz="10" w:space="0"/>
            </w:tcBorders>
          </w:tcPr>
          <w:p>
            <w:pPr>
              <w:ind w:left="244"/>
              <w:spacing w:before="15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4141" w:type="dxa"/>
            <w:vAlign w:val="top"/>
            <w:tcBorders>
              <w:bottom w:val="single" w:color="000000" w:sz="10" w:space="0"/>
            </w:tcBorders>
          </w:tcPr>
          <w:p>
            <w:pPr>
              <w:pStyle w:val="TableText"/>
              <w:ind w:left="103" w:right="85"/>
              <w:spacing w:before="114" w:line="311" w:lineRule="auto"/>
              <w:jc w:val="both"/>
              <w:rPr>
                <w:sz w:val="20"/>
                <w:szCs w:val="20"/>
              </w:rPr>
            </w:pPr>
            <w:r>
              <w:rPr>
                <w:sz w:val="20"/>
                <w:szCs w:val="20"/>
                <w:spacing w:val="6"/>
              </w:rPr>
              <w:t>深化工业污染治理。推进重点行业污染治理</w:t>
            </w:r>
            <w:r>
              <w:rPr>
                <w:sz w:val="20"/>
                <w:szCs w:val="20"/>
                <w:spacing w:val="10"/>
              </w:rPr>
              <w:t xml:space="preserve"> </w:t>
            </w:r>
            <w:r>
              <w:rPr>
                <w:sz w:val="20"/>
                <w:szCs w:val="20"/>
                <w:spacing w:val="4"/>
              </w:rPr>
              <w:t>升级改造。</w:t>
            </w:r>
            <w:r>
              <w:rPr>
                <w:sz w:val="20"/>
                <w:szCs w:val="20"/>
                <w:spacing w:val="-54"/>
              </w:rPr>
              <w:t xml:space="preserve"> </w:t>
            </w:r>
            <w:r>
              <w:rPr>
                <w:rFonts w:ascii="Times New Roman" w:hAnsi="Times New Roman" w:eastAsia="Times New Roman" w:cs="Times New Roman"/>
                <w:sz w:val="20"/>
                <w:szCs w:val="20"/>
                <w:spacing w:val="4"/>
              </w:rPr>
              <w:t>…</w:t>
            </w:r>
            <w:r>
              <w:rPr>
                <w:rFonts w:ascii="Times New Roman" w:hAnsi="Times New Roman" w:eastAsia="Times New Roman" w:cs="Times New Roman"/>
                <w:sz w:val="20"/>
                <w:szCs w:val="20"/>
                <w:spacing w:val="-27"/>
              </w:rPr>
              <w:t xml:space="preserve"> </w:t>
            </w:r>
            <w:r>
              <w:rPr>
                <w:rFonts w:ascii="Times New Roman" w:hAnsi="Times New Roman" w:eastAsia="Times New Roman" w:cs="Times New Roman"/>
                <w:sz w:val="20"/>
                <w:szCs w:val="20"/>
                <w:spacing w:val="4"/>
              </w:rPr>
              <w:t>…</w:t>
            </w:r>
            <w:r>
              <w:rPr>
                <w:sz w:val="20"/>
                <w:szCs w:val="20"/>
                <w:spacing w:val="4"/>
              </w:rPr>
              <w:t>推进铸造、砖瓦、矿物棉、</w:t>
            </w:r>
            <w:r>
              <w:rPr>
                <w:sz w:val="20"/>
                <w:szCs w:val="20"/>
              </w:rPr>
              <w:t xml:space="preserve"> </w:t>
            </w:r>
            <w:r>
              <w:rPr>
                <w:sz w:val="20"/>
                <w:szCs w:val="20"/>
                <w:spacing w:val="6"/>
              </w:rPr>
              <w:t>独立轧钢、炭素、化工、煤炭洗选、包装印</w:t>
            </w:r>
            <w:r>
              <w:rPr>
                <w:sz w:val="20"/>
                <w:szCs w:val="20"/>
                <w:spacing w:val="13"/>
              </w:rPr>
              <w:t xml:space="preserve"> </w:t>
            </w:r>
            <w:r>
              <w:rPr>
                <w:sz w:val="20"/>
                <w:szCs w:val="20"/>
                <w:spacing w:val="6"/>
              </w:rPr>
              <w:t>刷、家具、人造板、橡胶制品、塑料制品等</w:t>
            </w:r>
            <w:r>
              <w:rPr>
                <w:sz w:val="20"/>
                <w:szCs w:val="20"/>
                <w:spacing w:val="13"/>
              </w:rPr>
              <w:t xml:space="preserve"> </w:t>
            </w:r>
            <w:r>
              <w:rPr>
                <w:sz w:val="20"/>
                <w:szCs w:val="20"/>
                <w:spacing w:val="6"/>
              </w:rPr>
              <w:t>企业集群升级改造。持续推进工业源全面达</w:t>
            </w:r>
          </w:p>
        </w:tc>
        <w:tc>
          <w:tcPr>
            <w:tcW w:w="3145" w:type="dxa"/>
            <w:vAlign w:val="top"/>
            <w:tcBorders>
              <w:bottom w:val="single" w:color="000000" w:sz="10" w:space="0"/>
            </w:tcBorders>
          </w:tcPr>
          <w:p>
            <w:pPr>
              <w:pStyle w:val="TableText"/>
              <w:ind w:left="116" w:right="95"/>
              <w:spacing w:before="114" w:line="311" w:lineRule="auto"/>
              <w:rPr>
                <w:sz w:val="20"/>
                <w:szCs w:val="20"/>
              </w:rPr>
            </w:pPr>
            <w:r>
              <w:rPr>
                <w:sz w:val="20"/>
                <w:szCs w:val="20"/>
                <w:spacing w:val="9"/>
              </w:rPr>
              <w:t>本项目属于塑料制品业，项目属</w:t>
            </w:r>
            <w:r>
              <w:rPr>
                <w:sz w:val="20"/>
                <w:szCs w:val="20"/>
                <w:spacing w:val="1"/>
              </w:rPr>
              <w:t xml:space="preserve"> </w:t>
            </w:r>
            <w:r>
              <w:rPr>
                <w:sz w:val="20"/>
                <w:szCs w:val="20"/>
                <w:spacing w:val="8"/>
              </w:rPr>
              <w:t>于未批先建项目，经审批后采取</w:t>
            </w:r>
            <w:r>
              <w:rPr>
                <w:sz w:val="20"/>
                <w:szCs w:val="20"/>
                <w:spacing w:val="12"/>
              </w:rPr>
              <w:t xml:space="preserve"> </w:t>
            </w:r>
            <w:r>
              <w:rPr>
                <w:sz w:val="20"/>
                <w:szCs w:val="20"/>
                <w:spacing w:val="8"/>
              </w:rPr>
              <w:t>先进的污染治理设备。项目主要</w:t>
            </w:r>
            <w:r>
              <w:rPr>
                <w:sz w:val="20"/>
                <w:szCs w:val="20"/>
                <w:spacing w:val="12"/>
              </w:rPr>
              <w:t xml:space="preserve"> </w:t>
            </w:r>
            <w:r>
              <w:rPr>
                <w:sz w:val="20"/>
                <w:szCs w:val="20"/>
                <w:spacing w:val="9"/>
              </w:rPr>
              <w:t>污染物为非甲烷总烃废气影响，</w:t>
            </w:r>
            <w:r>
              <w:rPr>
                <w:sz w:val="20"/>
                <w:szCs w:val="20"/>
              </w:rPr>
              <w:t xml:space="preserve"> </w:t>
            </w:r>
            <w:r>
              <w:rPr>
                <w:sz w:val="20"/>
                <w:szCs w:val="20"/>
                <w:spacing w:val="12"/>
              </w:rPr>
              <w:t>采取“活性炭吸附</w:t>
            </w:r>
            <w:r>
              <w:rPr>
                <w:rFonts w:ascii="Times New Roman" w:hAnsi="Times New Roman" w:eastAsia="Times New Roman" w:cs="Times New Roman"/>
                <w:sz w:val="20"/>
                <w:szCs w:val="20"/>
                <w:spacing w:val="12"/>
              </w:rPr>
              <w:t>+</w:t>
            </w:r>
            <w:r>
              <w:rPr>
                <w:sz w:val="20"/>
                <w:szCs w:val="20"/>
                <w:spacing w:val="12"/>
              </w:rPr>
              <w:t>直接催化燃</w:t>
            </w:r>
          </w:p>
        </w:tc>
        <w:tc>
          <w:tcPr>
            <w:tcW w:w="659" w:type="dxa"/>
            <w:vAlign w:val="top"/>
            <w:tcBorders>
              <w:bottom w:val="single" w:color="000000" w:sz="10" w:space="0"/>
              <w:right w:val="single" w:color="000000" w:sz="10" w:space="0"/>
            </w:tcBorders>
          </w:tcPr>
          <w:p>
            <w:pPr>
              <w:pStyle w:val="TableText"/>
              <w:ind w:left="130"/>
              <w:spacing w:before="115" w:line="228" w:lineRule="auto"/>
              <w:rPr>
                <w:sz w:val="20"/>
                <w:szCs w:val="20"/>
              </w:rPr>
            </w:pPr>
            <w:r>
              <w:rPr>
                <w:sz w:val="20"/>
                <w:szCs w:val="20"/>
                <w:spacing w:val="3"/>
              </w:rPr>
              <w:t>符合</w:t>
            </w:r>
          </w:p>
        </w:tc>
      </w:tr>
    </w:tbl>
    <w:p>
      <w:pPr>
        <w:pStyle w:val="BodyText"/>
        <w:rPr/>
      </w:pPr>
      <w:r/>
    </w:p>
    <w:p>
      <w:pPr>
        <w:sectPr>
          <w:footerReference w:type="default" r:id="rId110"/>
          <w:pgSz w:w="11906" w:h="16839"/>
          <w:pgMar w:top="400" w:right="1534" w:bottom="1211" w:left="1677" w:header="0" w:footer="1049" w:gutter="0"/>
        </w:sectPr>
        <w:rPr/>
      </w:pPr>
    </w:p>
    <w:p>
      <w:pPr>
        <w:spacing w:before="19"/>
        <w:rPr/>
      </w:pPr>
      <w:r/>
    </w:p>
    <w:p>
      <w:pPr>
        <w:spacing w:before="19"/>
        <w:rPr/>
      </w:pPr>
      <w:r/>
    </w:p>
    <w:p>
      <w:pPr>
        <w:spacing w:before="18"/>
        <w:rPr/>
      </w:pPr>
      <w:r/>
    </w:p>
    <w:p>
      <w:pPr>
        <w:spacing w:before="18"/>
        <w:rPr/>
      </w:pPr>
      <w:r/>
    </w:p>
    <w:tbl>
      <w:tblPr>
        <w:tblStyle w:val="TableNormal"/>
        <w:tblW w:w="8525"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80"/>
        <w:gridCol w:w="4141"/>
        <w:gridCol w:w="3145"/>
        <w:gridCol w:w="659"/>
      </w:tblGrid>
      <w:tr>
        <w:trPr>
          <w:trHeight w:val="1067" w:hRule="atLeast"/>
        </w:trPr>
        <w:tc>
          <w:tcPr>
            <w:tcW w:w="580" w:type="dxa"/>
            <w:vAlign w:val="top"/>
            <w:tcBorders>
              <w:left w:val="single" w:color="000000" w:sz="10" w:space="0"/>
              <w:top w:val="single" w:color="000000" w:sz="10" w:space="0"/>
            </w:tcBorders>
          </w:tcPr>
          <w:p>
            <w:pPr>
              <w:rPr>
                <w:rFonts w:ascii="Arial"/>
                <w:sz w:val="21"/>
              </w:rPr>
            </w:pPr>
            <w:r/>
          </w:p>
        </w:tc>
        <w:tc>
          <w:tcPr>
            <w:tcW w:w="4141" w:type="dxa"/>
            <w:vAlign w:val="top"/>
            <w:tcBorders>
              <w:top w:val="single" w:color="000000" w:sz="10" w:space="0"/>
            </w:tcBorders>
          </w:tcPr>
          <w:p>
            <w:pPr>
              <w:pStyle w:val="TableText"/>
              <w:ind w:left="1653"/>
              <w:spacing w:before="94" w:line="228" w:lineRule="auto"/>
              <w:rPr>
                <w:sz w:val="20"/>
                <w:szCs w:val="20"/>
              </w:rPr>
            </w:pPr>
            <w:r>
              <w:rPr>
                <w:sz w:val="20"/>
                <w:szCs w:val="20"/>
                <w:spacing w:val="4"/>
              </w:rPr>
              <w:t>标排放。</w:t>
            </w:r>
          </w:p>
        </w:tc>
        <w:tc>
          <w:tcPr>
            <w:tcW w:w="3145" w:type="dxa"/>
            <w:vAlign w:val="top"/>
            <w:tcBorders>
              <w:top w:val="single" w:color="000000" w:sz="10" w:space="0"/>
            </w:tcBorders>
          </w:tcPr>
          <w:p>
            <w:pPr>
              <w:pStyle w:val="TableText"/>
              <w:ind w:left="114"/>
              <w:spacing w:before="93" w:line="227" w:lineRule="auto"/>
              <w:rPr>
                <w:sz w:val="20"/>
                <w:szCs w:val="20"/>
              </w:rPr>
            </w:pPr>
            <w:r>
              <w:rPr>
                <w:sz w:val="20"/>
                <w:szCs w:val="20"/>
                <w:spacing w:val="4"/>
              </w:rPr>
              <w:t>烧法（</w:t>
            </w:r>
            <w:r>
              <w:rPr>
                <w:rFonts w:ascii="Times New Roman" w:hAnsi="Times New Roman" w:eastAsia="Times New Roman" w:cs="Times New Roman"/>
                <w:sz w:val="20"/>
                <w:szCs w:val="20"/>
              </w:rPr>
              <w:t>CO</w:t>
            </w:r>
            <w:r>
              <w:rPr>
                <w:sz w:val="20"/>
                <w:szCs w:val="20"/>
                <w:spacing w:val="4"/>
              </w:rPr>
              <w:t>）”治理措施，经计算</w:t>
            </w:r>
          </w:p>
          <w:p>
            <w:pPr>
              <w:pStyle w:val="TableText"/>
              <w:ind w:left="1374" w:right="95" w:hanging="1254"/>
              <w:spacing w:before="114" w:line="278" w:lineRule="auto"/>
              <w:rPr>
                <w:sz w:val="20"/>
                <w:szCs w:val="20"/>
              </w:rPr>
            </w:pPr>
            <w:r>
              <w:rPr>
                <w:sz w:val="20"/>
                <w:szCs w:val="20"/>
                <w:spacing w:val="8"/>
              </w:rPr>
              <w:t>结果显示，污染物可实现达标排</w:t>
            </w:r>
            <w:r>
              <w:rPr>
                <w:sz w:val="20"/>
                <w:szCs w:val="20"/>
                <w:spacing w:val="11"/>
              </w:rPr>
              <w:t xml:space="preserve"> </w:t>
            </w:r>
            <w:r>
              <w:rPr>
                <w:sz w:val="20"/>
                <w:szCs w:val="20"/>
              </w:rPr>
              <w:t>放。</w:t>
            </w:r>
          </w:p>
        </w:tc>
        <w:tc>
          <w:tcPr>
            <w:tcW w:w="659" w:type="dxa"/>
            <w:vAlign w:val="top"/>
            <w:tcBorders>
              <w:right w:val="single" w:color="000000" w:sz="10" w:space="0"/>
              <w:top w:val="single" w:color="000000" w:sz="10" w:space="0"/>
            </w:tcBorders>
          </w:tcPr>
          <w:p>
            <w:pPr>
              <w:rPr>
                <w:rFonts w:ascii="Arial"/>
                <w:sz w:val="21"/>
              </w:rPr>
            </w:pPr>
            <w:r/>
          </w:p>
        </w:tc>
      </w:tr>
      <w:tr>
        <w:trPr>
          <w:trHeight w:val="3955" w:hRule="atLeast"/>
        </w:trPr>
        <w:tc>
          <w:tcPr>
            <w:tcW w:w="580" w:type="dxa"/>
            <w:vAlign w:val="top"/>
            <w:tcBorders>
              <w:left w:val="single" w:color="000000" w:sz="10" w:space="0"/>
            </w:tcBorders>
          </w:tcPr>
          <w:p>
            <w:pPr>
              <w:ind w:left="224"/>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4141" w:type="dxa"/>
            <w:vAlign w:val="top"/>
          </w:tcPr>
          <w:p>
            <w:pPr>
              <w:pStyle w:val="TableText"/>
              <w:ind w:left="103" w:right="85" w:firstLine="1"/>
              <w:spacing w:before="107" w:line="321" w:lineRule="auto"/>
              <w:jc w:val="both"/>
              <w:rPr>
                <w:sz w:val="20"/>
                <w:szCs w:val="20"/>
              </w:rPr>
            </w:pPr>
            <w:r>
              <w:rPr>
                <w:sz w:val="20"/>
                <w:szCs w:val="20"/>
                <w:spacing w:val="6"/>
              </w:rPr>
              <w:t>开展多污染源治理。推进石化、化工、工业</w:t>
            </w:r>
            <w:r>
              <w:rPr>
                <w:sz w:val="20"/>
                <w:szCs w:val="20"/>
                <w:spacing w:val="9"/>
              </w:rPr>
              <w:t xml:space="preserve"> </w:t>
            </w:r>
            <w:r>
              <w:rPr>
                <w:sz w:val="20"/>
                <w:szCs w:val="20"/>
                <w:spacing w:val="7"/>
              </w:rPr>
              <w:t>涂装、家具制造、塑料、橡胶、包装印刷、</w:t>
            </w:r>
            <w:r>
              <w:rPr>
                <w:sz w:val="20"/>
                <w:szCs w:val="20"/>
                <w:spacing w:val="12"/>
              </w:rPr>
              <w:t xml:space="preserve"> </w:t>
            </w:r>
            <w:r>
              <w:rPr>
                <w:sz w:val="20"/>
                <w:szCs w:val="20"/>
                <w:spacing w:val="8"/>
              </w:rPr>
              <w:t>汽修等重点行业领域</w:t>
            </w:r>
            <w:r>
              <w:rPr>
                <w:rFonts w:ascii="Times New Roman" w:hAnsi="Times New Roman" w:eastAsia="Times New Roman" w:cs="Times New Roman"/>
                <w:sz w:val="20"/>
                <w:szCs w:val="20"/>
              </w:rPr>
              <w:t>VOCs</w:t>
            </w:r>
            <w:r>
              <w:rPr>
                <w:sz w:val="20"/>
                <w:szCs w:val="20"/>
                <w:spacing w:val="8"/>
              </w:rPr>
              <w:t>整治，加强</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12"/>
                <w:w w:val="101"/>
              </w:rPr>
              <w:t xml:space="preserve"> </w:t>
            </w:r>
            <w:r>
              <w:rPr>
                <w:sz w:val="20"/>
                <w:szCs w:val="20"/>
                <w:spacing w:val="6"/>
              </w:rPr>
              <w:t>源头、过程、末端全流程控制。持续开展防</w:t>
            </w:r>
            <w:r>
              <w:rPr>
                <w:sz w:val="20"/>
                <w:szCs w:val="20"/>
                <w:spacing w:val="13"/>
              </w:rPr>
              <w:t xml:space="preserve"> </w:t>
            </w:r>
            <w:r>
              <w:rPr>
                <w:sz w:val="20"/>
                <w:szCs w:val="20"/>
                <w:spacing w:val="13"/>
              </w:rPr>
              <w:t>风固沙绿化工程，抑制季节性裸地农田扬</w:t>
            </w:r>
            <w:r>
              <w:rPr>
                <w:sz w:val="20"/>
                <w:szCs w:val="20"/>
                <w:spacing w:val="6"/>
              </w:rPr>
              <w:t xml:space="preserve">  </w:t>
            </w:r>
            <w:r>
              <w:rPr>
                <w:sz w:val="20"/>
                <w:szCs w:val="20"/>
                <w:spacing w:val="6"/>
              </w:rPr>
              <w:t>尘。推进露天矿山综合整治。深化建筑施工</w:t>
            </w:r>
            <w:r>
              <w:rPr>
                <w:sz w:val="20"/>
                <w:szCs w:val="20"/>
                <w:spacing w:val="11"/>
              </w:rPr>
              <w:t xml:space="preserve"> </w:t>
            </w:r>
            <w:r>
              <w:rPr>
                <w:sz w:val="20"/>
                <w:szCs w:val="20"/>
                <w:spacing w:val="10"/>
              </w:rPr>
              <w:t>扬尘整治，全州所有建筑工地全面落实</w:t>
            </w:r>
            <w:r>
              <w:rPr>
                <w:rFonts w:ascii="Times New Roman" w:hAnsi="Times New Roman" w:eastAsia="Times New Roman" w:cs="Times New Roman"/>
                <w:sz w:val="20"/>
                <w:szCs w:val="20"/>
                <w:spacing w:val="10"/>
              </w:rPr>
              <w:t>“</w:t>
            </w:r>
            <w:r>
              <w:rPr>
                <w:sz w:val="20"/>
                <w:szCs w:val="20"/>
                <w:spacing w:val="10"/>
              </w:rPr>
              <w:t>六</w:t>
            </w:r>
            <w:r>
              <w:rPr>
                <w:sz w:val="20"/>
                <w:szCs w:val="20"/>
                <w:spacing w:val="15"/>
              </w:rPr>
              <w:t xml:space="preserve"> </w:t>
            </w:r>
            <w:r>
              <w:rPr>
                <w:sz w:val="20"/>
                <w:szCs w:val="20"/>
                <w:spacing w:val="9"/>
              </w:rPr>
              <w:t>个百分百</w:t>
            </w:r>
            <w:r>
              <w:rPr>
                <w:rFonts w:ascii="Times New Roman" w:hAnsi="Times New Roman" w:eastAsia="Times New Roman" w:cs="Times New Roman"/>
                <w:sz w:val="20"/>
                <w:szCs w:val="20"/>
                <w:spacing w:val="9"/>
              </w:rPr>
              <w:t>”</w:t>
            </w:r>
            <w:r>
              <w:rPr>
                <w:rFonts w:ascii="Times New Roman" w:hAnsi="Times New Roman" w:eastAsia="Times New Roman" w:cs="Times New Roman"/>
                <w:sz w:val="20"/>
                <w:szCs w:val="20"/>
                <w:spacing w:val="-16"/>
              </w:rPr>
              <w:t xml:space="preserve"> </w:t>
            </w:r>
            <w:r>
              <w:rPr>
                <w:sz w:val="20"/>
                <w:szCs w:val="20"/>
                <w:spacing w:val="9"/>
              </w:rPr>
              <w:t>。强化道路扬尘治理，进一步加</w:t>
            </w:r>
            <w:r>
              <w:rPr>
                <w:sz w:val="20"/>
                <w:szCs w:val="20"/>
              </w:rPr>
              <w:t xml:space="preserve"> </w:t>
            </w:r>
            <w:r>
              <w:rPr>
                <w:sz w:val="20"/>
                <w:szCs w:val="20"/>
                <w:spacing w:val="7"/>
              </w:rPr>
              <w:t>强散料货运车辆运输环节的扬尘污染整治。</w:t>
            </w:r>
          </w:p>
          <w:p>
            <w:pPr>
              <w:pStyle w:val="TableText"/>
              <w:ind w:left="1022" w:right="106" w:hanging="918"/>
              <w:spacing w:before="113" w:line="274" w:lineRule="auto"/>
              <w:rPr>
                <w:sz w:val="20"/>
                <w:szCs w:val="20"/>
              </w:rPr>
            </w:pPr>
            <w:r>
              <w:rPr>
                <w:sz w:val="20"/>
                <w:szCs w:val="20"/>
                <w:spacing w:val="6"/>
              </w:rPr>
              <w:t>加强桔秆综合利用，严防因秸秆露天焚烧造</w:t>
            </w:r>
            <w:r>
              <w:rPr>
                <w:sz w:val="20"/>
                <w:szCs w:val="20"/>
                <w:spacing w:val="10"/>
              </w:rPr>
              <w:t xml:space="preserve"> </w:t>
            </w:r>
            <w:r>
              <w:rPr>
                <w:sz w:val="20"/>
                <w:szCs w:val="20"/>
                <w:spacing w:val="7"/>
              </w:rPr>
              <w:t>成区域性重污染天气。</w:t>
            </w:r>
          </w:p>
        </w:tc>
        <w:tc>
          <w:tcPr>
            <w:tcW w:w="3145" w:type="dxa"/>
            <w:vAlign w:val="top"/>
          </w:tcPr>
          <w:p>
            <w:pPr>
              <w:pStyle w:val="TableText"/>
              <w:ind w:left="116"/>
              <w:spacing w:before="111" w:line="227" w:lineRule="auto"/>
              <w:rPr>
                <w:sz w:val="20"/>
                <w:szCs w:val="20"/>
              </w:rPr>
            </w:pPr>
            <w:r>
              <w:rPr>
                <w:sz w:val="20"/>
                <w:szCs w:val="20"/>
                <w:spacing w:val="9"/>
              </w:rPr>
              <w:t>本项目属于塑料制品业，采取废</w:t>
            </w:r>
          </w:p>
          <w:p>
            <w:pPr>
              <w:pStyle w:val="TableText"/>
              <w:ind w:left="161"/>
              <w:spacing w:before="114" w:line="227" w:lineRule="auto"/>
              <w:rPr>
                <w:rFonts w:ascii="Times New Roman" w:hAnsi="Times New Roman" w:eastAsia="Times New Roman" w:cs="Times New Roman"/>
                <w:sz w:val="20"/>
                <w:szCs w:val="20"/>
              </w:rPr>
            </w:pPr>
            <w:r>
              <w:rPr>
                <w:sz w:val="20"/>
                <w:szCs w:val="20"/>
                <w:spacing w:val="8"/>
              </w:rPr>
              <w:t>气集中收集后由“活性炭吸附</w:t>
            </w:r>
            <w:r>
              <w:rPr>
                <w:rFonts w:ascii="Times New Roman" w:hAnsi="Times New Roman" w:eastAsia="Times New Roman" w:cs="Times New Roman"/>
                <w:sz w:val="20"/>
                <w:szCs w:val="20"/>
                <w:spacing w:val="8"/>
              </w:rPr>
              <w:t>+</w:t>
            </w:r>
          </w:p>
          <w:p>
            <w:pPr>
              <w:pStyle w:val="TableText"/>
              <w:ind w:left="117"/>
              <w:spacing w:before="114" w:line="227" w:lineRule="auto"/>
              <w:rPr>
                <w:sz w:val="20"/>
                <w:szCs w:val="20"/>
              </w:rPr>
            </w:pPr>
            <w:r>
              <w:rPr>
                <w:sz w:val="20"/>
                <w:szCs w:val="20"/>
                <w:spacing w:val="6"/>
              </w:rPr>
              <w:t>直接催化燃烧法</w:t>
            </w:r>
            <w:r>
              <w:rPr>
                <w:sz w:val="20"/>
                <w:szCs w:val="20"/>
                <w:spacing w:val="-60"/>
              </w:rPr>
              <w:t xml:space="preserve"> </w:t>
            </w:r>
            <w:r>
              <w:rPr>
                <w:sz w:val="20"/>
                <w:szCs w:val="20"/>
                <w:spacing w:val="6"/>
              </w:rPr>
              <w:t>”治理的末端治</w:t>
            </w:r>
          </w:p>
          <w:p>
            <w:pPr>
              <w:pStyle w:val="TableText"/>
              <w:ind w:left="117"/>
              <w:spacing w:before="113" w:line="228" w:lineRule="auto"/>
              <w:rPr>
                <w:sz w:val="20"/>
                <w:szCs w:val="20"/>
              </w:rPr>
            </w:pPr>
            <w:r>
              <w:rPr>
                <w:sz w:val="20"/>
                <w:szCs w:val="20"/>
                <w:spacing w:val="8"/>
              </w:rPr>
              <w:t>理措施；项目主体工程已建设完</w:t>
            </w:r>
          </w:p>
          <w:p>
            <w:pPr>
              <w:pStyle w:val="TableText"/>
              <w:ind w:left="117"/>
              <w:spacing w:before="113" w:line="228" w:lineRule="auto"/>
              <w:rPr>
                <w:sz w:val="20"/>
                <w:szCs w:val="20"/>
              </w:rPr>
            </w:pPr>
            <w:r>
              <w:rPr>
                <w:sz w:val="20"/>
                <w:szCs w:val="20"/>
                <w:spacing w:val="8"/>
              </w:rPr>
              <w:t>成，施工期进行生产线和环保设</w:t>
            </w:r>
          </w:p>
          <w:p>
            <w:pPr>
              <w:pStyle w:val="TableText"/>
              <w:ind w:left="117"/>
              <w:spacing w:before="113" w:line="228" w:lineRule="auto"/>
              <w:rPr>
                <w:sz w:val="20"/>
                <w:szCs w:val="20"/>
              </w:rPr>
            </w:pPr>
            <w:r>
              <w:rPr>
                <w:sz w:val="20"/>
                <w:szCs w:val="20"/>
                <w:spacing w:val="9"/>
              </w:rPr>
              <w:t>备的安装，不涉及建筑工地；设</w:t>
            </w:r>
          </w:p>
          <w:p>
            <w:pPr>
              <w:pStyle w:val="TableText"/>
              <w:ind w:left="221"/>
              <w:spacing w:before="112" w:line="227" w:lineRule="auto"/>
              <w:rPr>
                <w:sz w:val="20"/>
                <w:szCs w:val="20"/>
              </w:rPr>
            </w:pPr>
            <w:r>
              <w:rPr>
                <w:sz w:val="20"/>
                <w:szCs w:val="20"/>
                <w:spacing w:val="9"/>
              </w:rPr>
              <w:t>备运输过程采取厂区洒水降尘</w:t>
            </w:r>
          </w:p>
          <w:p>
            <w:pPr>
              <w:pStyle w:val="TableText"/>
              <w:ind w:left="1271" w:right="95" w:hanging="1156"/>
              <w:spacing w:before="115" w:line="280" w:lineRule="auto"/>
              <w:rPr>
                <w:sz w:val="20"/>
                <w:szCs w:val="20"/>
              </w:rPr>
            </w:pPr>
            <w:r>
              <w:rPr>
                <w:sz w:val="20"/>
                <w:szCs w:val="20"/>
                <w:spacing w:val="9"/>
              </w:rPr>
              <w:t>措施，减少施工期运输车辆扬尘</w:t>
            </w:r>
            <w:r>
              <w:rPr>
                <w:sz w:val="20"/>
                <w:szCs w:val="20"/>
                <w:spacing w:val="2"/>
              </w:rPr>
              <w:t xml:space="preserve"> </w:t>
            </w:r>
            <w:r>
              <w:rPr>
                <w:sz w:val="20"/>
                <w:szCs w:val="20"/>
                <w:spacing w:val="2"/>
              </w:rPr>
              <w:t>污染。</w:t>
            </w:r>
          </w:p>
        </w:tc>
        <w:tc>
          <w:tcPr>
            <w:tcW w:w="659" w:type="dxa"/>
            <w:vAlign w:val="top"/>
            <w:tcBorders>
              <w:right w:val="single" w:color="000000" w:sz="10" w:space="0"/>
            </w:tcBorders>
          </w:tcPr>
          <w:p>
            <w:pPr>
              <w:pStyle w:val="TableText"/>
              <w:ind w:left="130"/>
              <w:spacing w:before="111" w:line="228" w:lineRule="auto"/>
              <w:rPr>
                <w:sz w:val="20"/>
                <w:szCs w:val="20"/>
              </w:rPr>
            </w:pPr>
            <w:r>
              <w:rPr>
                <w:sz w:val="20"/>
                <w:szCs w:val="20"/>
                <w:spacing w:val="3"/>
              </w:rPr>
              <w:t>符合</w:t>
            </w:r>
          </w:p>
        </w:tc>
      </w:tr>
      <w:tr>
        <w:trPr>
          <w:trHeight w:val="5056" w:hRule="atLeast"/>
        </w:trPr>
        <w:tc>
          <w:tcPr>
            <w:tcW w:w="580" w:type="dxa"/>
            <w:vAlign w:val="top"/>
            <w:tcBorders>
              <w:left w:val="single" w:color="000000" w:sz="10" w:space="0"/>
              <w:bottom w:val="single" w:color="000000" w:sz="10" w:space="0"/>
            </w:tcBorders>
          </w:tcPr>
          <w:p>
            <w:pPr>
              <w:ind w:left="228"/>
              <w:spacing w:before="1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4141" w:type="dxa"/>
            <w:vAlign w:val="top"/>
            <w:tcBorders>
              <w:bottom w:val="single" w:color="000000" w:sz="10" w:space="0"/>
            </w:tcBorders>
          </w:tcPr>
          <w:p>
            <w:pPr>
              <w:pStyle w:val="TableText"/>
              <w:ind w:left="103" w:right="101"/>
              <w:spacing w:before="118" w:line="323" w:lineRule="auto"/>
              <w:jc w:val="both"/>
              <w:rPr>
                <w:sz w:val="20"/>
                <w:szCs w:val="20"/>
              </w:rPr>
            </w:pPr>
            <w:r>
              <w:rPr>
                <w:sz w:val="20"/>
                <w:szCs w:val="20"/>
                <w:spacing w:val="6"/>
              </w:rPr>
              <w:t>加强一般固体废弃物处置。以准东为重点，</w:t>
            </w:r>
            <w:r>
              <w:rPr>
                <w:sz w:val="20"/>
                <w:szCs w:val="20"/>
                <w:spacing w:val="14"/>
              </w:rPr>
              <w:t xml:space="preserve"> </w:t>
            </w:r>
            <w:r>
              <w:rPr>
                <w:sz w:val="20"/>
                <w:szCs w:val="20"/>
                <w:spacing w:val="6"/>
              </w:rPr>
              <w:t>统筹推动各县（市）及高新区、农业园区持</w:t>
            </w:r>
            <w:r>
              <w:rPr>
                <w:sz w:val="20"/>
                <w:szCs w:val="20"/>
                <w:spacing w:val="13"/>
              </w:rPr>
              <w:t xml:space="preserve"> </w:t>
            </w:r>
            <w:r>
              <w:rPr>
                <w:sz w:val="20"/>
                <w:szCs w:val="20"/>
                <w:spacing w:val="6"/>
              </w:rPr>
              <w:t>续开展固体废物规范化管理督查考核、固体</w:t>
            </w:r>
            <w:r>
              <w:rPr>
                <w:sz w:val="20"/>
                <w:szCs w:val="20"/>
                <w:spacing w:val="11"/>
              </w:rPr>
              <w:t xml:space="preserve"> </w:t>
            </w:r>
            <w:r>
              <w:rPr>
                <w:sz w:val="20"/>
                <w:szCs w:val="20"/>
                <w:spacing w:val="6"/>
              </w:rPr>
              <w:t>废物非法转移和倾倒排查整治，坚决禁止洋</w:t>
            </w:r>
            <w:r>
              <w:rPr>
                <w:sz w:val="20"/>
                <w:szCs w:val="20"/>
                <w:spacing w:val="13"/>
              </w:rPr>
              <w:t xml:space="preserve"> </w:t>
            </w:r>
            <w:r>
              <w:rPr>
                <w:sz w:val="20"/>
                <w:szCs w:val="20"/>
                <w:spacing w:val="6"/>
              </w:rPr>
              <w:t>垃圾入境，推动开展塑料垃圾专项清理，持</w:t>
            </w:r>
            <w:r>
              <w:rPr>
                <w:sz w:val="20"/>
                <w:szCs w:val="20"/>
                <w:spacing w:val="13"/>
              </w:rPr>
              <w:t xml:space="preserve"> </w:t>
            </w:r>
            <w:r>
              <w:rPr>
                <w:sz w:val="20"/>
                <w:szCs w:val="20"/>
                <w:spacing w:val="6"/>
              </w:rPr>
              <w:t>续推进废塑料加工利用行业的整治，加强废</w:t>
            </w:r>
            <w:r>
              <w:rPr>
                <w:sz w:val="20"/>
                <w:szCs w:val="20"/>
                <w:spacing w:val="13"/>
              </w:rPr>
              <w:t xml:space="preserve"> </w:t>
            </w:r>
            <w:r>
              <w:rPr>
                <w:sz w:val="20"/>
                <w:szCs w:val="20"/>
                <w:spacing w:val="6"/>
              </w:rPr>
              <w:t>塑料回收、利用、处置等环节的环境监管，</w:t>
            </w:r>
            <w:r>
              <w:rPr>
                <w:sz w:val="20"/>
                <w:szCs w:val="20"/>
                <w:spacing w:val="15"/>
              </w:rPr>
              <w:t xml:space="preserve"> </w:t>
            </w:r>
            <w:r>
              <w:rPr>
                <w:sz w:val="20"/>
                <w:szCs w:val="20"/>
                <w:spacing w:val="6"/>
              </w:rPr>
              <w:t>降低污染风险。加强工业固体废物堆存场所</w:t>
            </w:r>
            <w:r>
              <w:rPr>
                <w:sz w:val="20"/>
                <w:szCs w:val="20"/>
                <w:spacing w:val="11"/>
              </w:rPr>
              <w:t xml:space="preserve"> </w:t>
            </w:r>
            <w:r>
              <w:rPr>
                <w:sz w:val="20"/>
                <w:szCs w:val="20"/>
                <w:spacing w:val="6"/>
              </w:rPr>
              <w:t>环境整治。针对沿河、沿湖、沿水库和饮用</w:t>
            </w:r>
            <w:r>
              <w:rPr>
                <w:sz w:val="20"/>
                <w:szCs w:val="20"/>
                <w:spacing w:val="11"/>
              </w:rPr>
              <w:t xml:space="preserve"> </w:t>
            </w:r>
            <w:r>
              <w:rPr>
                <w:sz w:val="20"/>
                <w:szCs w:val="20"/>
                <w:spacing w:val="6"/>
              </w:rPr>
              <w:t>水水源地周边等重点区域，持续开展固体废</w:t>
            </w:r>
            <w:r>
              <w:rPr>
                <w:sz w:val="20"/>
                <w:szCs w:val="20"/>
                <w:spacing w:val="13"/>
              </w:rPr>
              <w:t xml:space="preserve"> </w:t>
            </w:r>
            <w:r>
              <w:rPr>
                <w:sz w:val="20"/>
                <w:szCs w:val="20"/>
                <w:spacing w:val="6"/>
              </w:rPr>
              <w:t>物非法贮存、倾倒和填埋情况专项排查。持</w:t>
            </w:r>
          </w:p>
          <w:p>
            <w:pPr>
              <w:pStyle w:val="TableText"/>
              <w:ind w:left="106"/>
              <w:spacing w:before="113" w:line="228" w:lineRule="auto"/>
              <w:rPr>
                <w:sz w:val="20"/>
                <w:szCs w:val="20"/>
              </w:rPr>
            </w:pPr>
            <w:r>
              <w:rPr>
                <w:sz w:val="20"/>
                <w:szCs w:val="20"/>
                <w:spacing w:val="8"/>
              </w:rPr>
              <w:t>续推进工业固体废物综合利用和环境整治，</w:t>
            </w:r>
          </w:p>
          <w:p>
            <w:pPr>
              <w:pStyle w:val="TableText"/>
              <w:ind w:left="184"/>
              <w:spacing w:before="112" w:line="228" w:lineRule="auto"/>
              <w:rPr>
                <w:sz w:val="20"/>
                <w:szCs w:val="20"/>
              </w:rPr>
            </w:pPr>
            <w:r>
              <w:rPr>
                <w:sz w:val="20"/>
                <w:szCs w:val="20"/>
                <w:spacing w:val="9"/>
              </w:rPr>
              <w:t>不断提高大宗工业固体废物资源化利用水</w:t>
            </w:r>
          </w:p>
          <w:p>
            <w:pPr>
              <w:pStyle w:val="TableText"/>
              <w:ind w:left="1860"/>
              <w:spacing w:before="113" w:line="226" w:lineRule="auto"/>
              <w:rPr>
                <w:sz w:val="20"/>
                <w:szCs w:val="20"/>
              </w:rPr>
            </w:pPr>
            <w:r>
              <w:rPr>
                <w:sz w:val="20"/>
                <w:szCs w:val="20"/>
              </w:rPr>
              <w:t>平。</w:t>
            </w:r>
          </w:p>
        </w:tc>
        <w:tc>
          <w:tcPr>
            <w:tcW w:w="3145" w:type="dxa"/>
            <w:vAlign w:val="top"/>
            <w:tcBorders>
              <w:bottom w:val="single" w:color="000000" w:sz="10" w:space="0"/>
            </w:tcBorders>
          </w:tcPr>
          <w:p>
            <w:pPr>
              <w:pStyle w:val="TableText"/>
              <w:ind w:left="114" w:right="26" w:firstLine="104"/>
              <w:spacing w:before="121" w:line="297" w:lineRule="auto"/>
              <w:rPr>
                <w:sz w:val="20"/>
                <w:szCs w:val="20"/>
              </w:rPr>
            </w:pPr>
            <w:r>
              <w:rPr>
                <w:sz w:val="20"/>
                <w:szCs w:val="20"/>
                <w:spacing w:val="7"/>
              </w:rPr>
              <w:t>本项目固体废物主要有一般固  </w:t>
            </w:r>
            <w:r>
              <w:rPr>
                <w:sz w:val="20"/>
                <w:szCs w:val="20"/>
                <w:spacing w:val="7"/>
              </w:rPr>
              <w:t>废不合格品、废包装袋；危险废 </w:t>
            </w:r>
            <w:r>
              <w:rPr>
                <w:sz w:val="20"/>
                <w:szCs w:val="20"/>
                <w:spacing w:val="-1"/>
              </w:rPr>
              <w:t>物废催化剂、废活性炭、废机油。</w:t>
            </w:r>
          </w:p>
          <w:p>
            <w:pPr>
              <w:pStyle w:val="TableText"/>
              <w:ind w:left="114" w:right="95" w:firstLine="107"/>
              <w:spacing w:before="116" w:line="317" w:lineRule="auto"/>
              <w:rPr>
                <w:sz w:val="20"/>
                <w:szCs w:val="20"/>
              </w:rPr>
            </w:pPr>
            <w:r>
              <w:rPr>
                <w:sz w:val="20"/>
                <w:szCs w:val="20"/>
                <w:spacing w:val="9"/>
              </w:rPr>
              <w:t>不合格品集中收集作为原料回</w:t>
            </w:r>
            <w:r>
              <w:rPr>
                <w:sz w:val="20"/>
                <w:szCs w:val="20"/>
              </w:rPr>
              <w:t xml:space="preserve">  </w:t>
            </w:r>
            <w:r>
              <w:rPr>
                <w:sz w:val="20"/>
                <w:szCs w:val="20"/>
                <w:spacing w:val="9"/>
              </w:rPr>
              <w:t>用生产；废包装袋集中收集外售</w:t>
            </w:r>
            <w:r>
              <w:rPr>
                <w:sz w:val="20"/>
                <w:szCs w:val="20"/>
                <w:spacing w:val="1"/>
              </w:rPr>
              <w:t xml:space="preserve"> </w:t>
            </w:r>
            <w:r>
              <w:rPr>
                <w:sz w:val="20"/>
                <w:szCs w:val="20"/>
                <w:spacing w:val="9"/>
              </w:rPr>
              <w:t>回收单位；危险废物集中收集暂</w:t>
            </w:r>
            <w:r>
              <w:rPr>
                <w:sz w:val="20"/>
                <w:szCs w:val="20"/>
                <w:spacing w:val="3"/>
              </w:rPr>
              <w:t xml:space="preserve"> </w:t>
            </w:r>
            <w:r>
              <w:rPr>
                <w:sz w:val="20"/>
                <w:szCs w:val="20"/>
                <w:spacing w:val="9"/>
              </w:rPr>
              <w:t>存危废库，定期交由有资质单位</w:t>
            </w:r>
            <w:r>
              <w:rPr>
                <w:sz w:val="20"/>
                <w:szCs w:val="20"/>
                <w:spacing w:val="3"/>
              </w:rPr>
              <w:t xml:space="preserve"> </w:t>
            </w:r>
            <w:r>
              <w:rPr>
                <w:sz w:val="20"/>
                <w:szCs w:val="20"/>
                <w:spacing w:val="9"/>
              </w:rPr>
              <w:t>处置。本项目不属于废塑料加工</w:t>
            </w:r>
            <w:r>
              <w:rPr>
                <w:sz w:val="20"/>
                <w:szCs w:val="20"/>
                <w:spacing w:val="3"/>
              </w:rPr>
              <w:t xml:space="preserve"> </w:t>
            </w:r>
            <w:r>
              <w:rPr>
                <w:sz w:val="20"/>
                <w:szCs w:val="20"/>
                <w:spacing w:val="9"/>
              </w:rPr>
              <w:t>利用行业。厂区采取工业固体废</w:t>
            </w:r>
            <w:r>
              <w:rPr>
                <w:sz w:val="20"/>
                <w:szCs w:val="20"/>
                <w:spacing w:val="3"/>
              </w:rPr>
              <w:t xml:space="preserve"> </w:t>
            </w:r>
            <w:r>
              <w:rPr>
                <w:sz w:val="20"/>
                <w:szCs w:val="20"/>
                <w:spacing w:val="9"/>
              </w:rPr>
              <w:t>物堆存场整治，不涉及固体废物</w:t>
            </w:r>
          </w:p>
          <w:p>
            <w:pPr>
              <w:pStyle w:val="TableText"/>
              <w:ind w:left="221"/>
              <w:spacing w:before="113" w:line="228" w:lineRule="auto"/>
              <w:rPr>
                <w:sz w:val="20"/>
                <w:szCs w:val="20"/>
              </w:rPr>
            </w:pPr>
            <w:r>
              <w:rPr>
                <w:sz w:val="20"/>
                <w:szCs w:val="20"/>
                <w:spacing w:val="8"/>
              </w:rPr>
              <w:t>非法贮存、倾倒和填埋情况。</w:t>
            </w:r>
          </w:p>
        </w:tc>
        <w:tc>
          <w:tcPr>
            <w:tcW w:w="659" w:type="dxa"/>
            <w:vAlign w:val="top"/>
            <w:tcBorders>
              <w:bottom w:val="single" w:color="000000" w:sz="10" w:space="0"/>
              <w:right w:val="single" w:color="000000" w:sz="10" w:space="0"/>
            </w:tcBorders>
          </w:tcPr>
          <w:p>
            <w:pPr>
              <w:pStyle w:val="TableText"/>
              <w:ind w:left="130"/>
              <w:spacing w:before="120" w:line="228" w:lineRule="auto"/>
              <w:rPr>
                <w:sz w:val="20"/>
                <w:szCs w:val="20"/>
              </w:rPr>
            </w:pPr>
            <w:r>
              <w:rPr>
                <w:sz w:val="20"/>
                <w:szCs w:val="20"/>
                <w:spacing w:val="3"/>
              </w:rPr>
              <w:t>符合</w:t>
            </w:r>
          </w:p>
        </w:tc>
      </w:tr>
    </w:tbl>
    <w:p>
      <w:pPr>
        <w:pStyle w:val="BodyText"/>
        <w:spacing w:line="356" w:lineRule="auto"/>
        <w:rPr/>
      </w:pPr>
      <w:r/>
    </w:p>
    <w:p>
      <w:pPr>
        <w:ind w:left="137"/>
        <w:spacing w:before="91" w:line="219" w:lineRule="auto"/>
        <w:outlineLvl w:val="0"/>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二、项目</w:t>
      </w:r>
      <w:r>
        <w:rPr>
          <w:rFonts w:ascii="Times New Roman" w:hAnsi="Times New Roman" w:eastAsia="Times New Roman" w:cs="Times New Roman"/>
          <w:sz w:val="28"/>
          <w:szCs w:val="28"/>
          <w:b/>
          <w:bCs/>
        </w:rPr>
        <w:t>1</w:t>
      </w:r>
      <w:r>
        <w:rPr>
          <w:rFonts w:ascii="SimSun" w:hAnsi="SimSun" w:eastAsia="SimSun" w:cs="SimSun"/>
          <w:sz w:val="28"/>
          <w:szCs w:val="28"/>
          <w14:textOutline w14:w="5103" w14:cap="sq" w14:cmpd="sng">
            <w14:solidFill>
              <w14:srgbClr w14:val="000000"/>
            </w14:solidFill>
            <w14:prstDash w14:val="solid"/>
            <w14:bevel/>
          </w14:textOutline>
        </w:rPr>
        <w:t>月</w:t>
      </w:r>
      <w:r>
        <w:rPr>
          <w:rFonts w:ascii="Times New Roman" w:hAnsi="Times New Roman" w:eastAsia="Times New Roman" w:cs="Times New Roman"/>
          <w:sz w:val="28"/>
          <w:szCs w:val="28"/>
          <w:b/>
          <w:bCs/>
        </w:rPr>
        <w:t>-3</w:t>
      </w:r>
      <w:r>
        <w:rPr>
          <w:rFonts w:ascii="SimSun" w:hAnsi="SimSun" w:eastAsia="SimSun" w:cs="SimSun"/>
          <w:sz w:val="28"/>
          <w:szCs w:val="28"/>
          <w14:textOutline w14:w="5103" w14:cap="sq" w14:cmpd="sng">
            <w14:solidFill>
              <w14:srgbClr w14:val="000000"/>
            </w14:solidFill>
            <w14:prstDash w14:val="solid"/>
            <w14:bevel/>
          </w14:textOutline>
        </w:rPr>
        <w:t>月生产，供暖如何解决应说明。</w:t>
      </w:r>
    </w:p>
    <w:p>
      <w:pPr>
        <w:ind w:left="637"/>
        <w:spacing w:before="214" w:line="219" w:lineRule="auto"/>
        <w:rPr>
          <w:rFonts w:ascii="Times New Roman" w:hAnsi="Times New Roman" w:eastAsia="Times New Roman" w:cs="Times New Roman"/>
          <w:sz w:val="24"/>
          <w:szCs w:val="24"/>
        </w:rPr>
      </w:pPr>
      <w:r>
        <w:rPr>
          <w:rFonts w:ascii="SimSun" w:hAnsi="SimSun" w:eastAsia="SimSun" w:cs="SimSun"/>
          <w:sz w:val="24"/>
          <w:szCs w:val="24"/>
          <w:spacing w:val="-5"/>
        </w:rPr>
        <w:t>已修改，见</w:t>
      </w:r>
      <w:r>
        <w:rPr>
          <w:rFonts w:ascii="Times New Roman" w:hAnsi="Times New Roman" w:eastAsia="Times New Roman" w:cs="Times New Roman"/>
          <w:sz w:val="24"/>
          <w:szCs w:val="24"/>
          <w:spacing w:val="-5"/>
        </w:rPr>
        <w:t>P22</w:t>
      </w:r>
    </w:p>
    <w:p>
      <w:pPr>
        <w:ind w:left="623"/>
        <w:spacing w:before="213" w:line="219"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3</w:t>
      </w:r>
      <w:r>
        <w:rPr>
          <w:rFonts w:ascii="SimSun" w:hAnsi="SimSun" w:eastAsia="SimSun" w:cs="SimSun"/>
          <w:sz w:val="24"/>
          <w:szCs w:val="24"/>
          <w:spacing w:val="-5"/>
        </w:rPr>
        <w:t>）供热</w:t>
      </w:r>
    </w:p>
    <w:p>
      <w:pPr>
        <w:ind w:left="130" w:right="122" w:firstLine="481"/>
        <w:spacing w:before="217" w:line="384" w:lineRule="auto"/>
        <w:rPr>
          <w:rFonts w:ascii="SimSun" w:hAnsi="SimSun" w:eastAsia="SimSun" w:cs="SimSun"/>
          <w:sz w:val="24"/>
          <w:szCs w:val="24"/>
        </w:rPr>
      </w:pPr>
      <w:r>
        <w:rPr>
          <w:rFonts w:ascii="SimSun" w:hAnsi="SimSun" w:eastAsia="SimSun" w:cs="SimSun"/>
          <w:sz w:val="24"/>
          <w:szCs w:val="24"/>
          <w:spacing w:val="-3"/>
        </w:rPr>
        <w:t>本项目生产用热采用电能。主要用热设备为螺杆塑料挤出机，</w:t>
      </w:r>
      <w:r>
        <w:rPr>
          <w:rFonts w:ascii="SimSun" w:hAnsi="SimSun" w:eastAsia="SimSun" w:cs="SimSun"/>
          <w:sz w:val="24"/>
          <w:szCs w:val="24"/>
          <w:spacing w:val="-4"/>
        </w:rPr>
        <w:t>加热温度控制</w:t>
      </w:r>
      <w:r>
        <w:rPr>
          <w:rFonts w:ascii="SimSun" w:hAnsi="SimSun" w:eastAsia="SimSun" w:cs="SimSun"/>
          <w:sz w:val="24"/>
          <w:szCs w:val="24"/>
        </w:rPr>
        <w:t xml:space="preserve"> </w:t>
      </w:r>
      <w:r>
        <w:rPr>
          <w:rFonts w:ascii="SimSun" w:hAnsi="SimSun" w:eastAsia="SimSun" w:cs="SimSun"/>
          <w:sz w:val="24"/>
          <w:szCs w:val="24"/>
        </w:rPr>
        <w:t>在</w:t>
      </w:r>
      <w:r>
        <w:rPr>
          <w:rFonts w:ascii="Times New Roman" w:hAnsi="Times New Roman" w:eastAsia="Times New Roman" w:cs="Times New Roman"/>
          <w:sz w:val="24"/>
          <w:szCs w:val="24"/>
        </w:rPr>
        <w:t>160</w:t>
      </w:r>
      <w:r>
        <w:rPr>
          <w:rFonts w:ascii="SimSun" w:hAnsi="SimSun" w:eastAsia="SimSun" w:cs="SimSun"/>
          <w:sz w:val="24"/>
          <w:szCs w:val="24"/>
        </w:rPr>
        <w:t>℃~</w:t>
      </w:r>
      <w:r>
        <w:rPr>
          <w:rFonts w:ascii="Times New Roman" w:hAnsi="Times New Roman" w:eastAsia="Times New Roman" w:cs="Times New Roman"/>
          <w:sz w:val="24"/>
          <w:szCs w:val="24"/>
        </w:rPr>
        <w:t>170</w:t>
      </w:r>
      <w:r>
        <w:rPr>
          <w:rFonts w:ascii="SimSun" w:hAnsi="SimSun" w:eastAsia="SimSun" w:cs="SimSun"/>
          <w:sz w:val="24"/>
          <w:szCs w:val="24"/>
        </w:rPr>
        <w:t>℃之间，且为恒温状态。生产设备除用于原料熔融外，设备会损失</w:t>
      </w:r>
    </w:p>
    <w:p>
      <w:pPr>
        <w:ind w:left="135"/>
        <w:spacing w:line="218" w:lineRule="auto"/>
        <w:rPr>
          <w:rFonts w:ascii="SimSun" w:hAnsi="SimSun" w:eastAsia="SimSun" w:cs="SimSun"/>
          <w:sz w:val="24"/>
          <w:szCs w:val="24"/>
        </w:rPr>
      </w:pPr>
      <w:r>
        <w:rPr>
          <w:rFonts w:ascii="SimSun" w:hAnsi="SimSun" w:eastAsia="SimSun" w:cs="SimSun"/>
          <w:sz w:val="24"/>
          <w:szCs w:val="24"/>
          <w:spacing w:val="-3"/>
        </w:rPr>
        <w:t>一部分热量，这部分热量在密闭车间内供应员工冬季用热。因此，本项目</w:t>
      </w:r>
      <w:r>
        <w:rPr>
          <w:rFonts w:ascii="SimSun" w:hAnsi="SimSun" w:eastAsia="SimSun" w:cs="SimSun"/>
          <w:sz w:val="24"/>
          <w:szCs w:val="24"/>
          <w:spacing w:val="-4"/>
        </w:rPr>
        <w:t>可充分</w:t>
      </w:r>
    </w:p>
    <w:p>
      <w:pPr>
        <w:spacing w:line="218" w:lineRule="auto"/>
        <w:sectPr>
          <w:footerReference w:type="default" r:id="rId111"/>
          <w:pgSz w:w="11906" w:h="16839"/>
          <w:pgMar w:top="400" w:right="1677" w:bottom="1211" w:left="1677" w:header="0" w:footer="1049" w:gutter="0"/>
        </w:sectPr>
        <w:rPr>
          <w:rFonts w:ascii="SimSun" w:hAnsi="SimSun" w:eastAsia="SimSun" w:cs="SimSun"/>
          <w:sz w:val="24"/>
          <w:szCs w:val="24"/>
        </w:rPr>
      </w:pPr>
    </w:p>
    <w:p>
      <w:pPr>
        <w:pStyle w:val="BodyText"/>
        <w:spacing w:line="287" w:lineRule="auto"/>
        <w:rPr/>
      </w:pPr>
      <w:r/>
    </w:p>
    <w:p>
      <w:pPr>
        <w:pStyle w:val="BodyText"/>
        <w:spacing w:line="287" w:lineRule="auto"/>
        <w:rPr/>
      </w:pPr>
      <w:r/>
    </w:p>
    <w:p>
      <w:pPr>
        <w:pStyle w:val="BodyText"/>
        <w:spacing w:line="288" w:lineRule="auto"/>
        <w:rPr/>
      </w:pPr>
      <w:r/>
    </w:p>
    <w:p>
      <w:pPr>
        <w:pStyle w:val="BodyText"/>
        <w:spacing w:line="288" w:lineRule="auto"/>
        <w:rPr/>
      </w:pPr>
      <w:r/>
    </w:p>
    <w:p>
      <w:pPr>
        <w:ind w:left="116"/>
        <w:spacing w:before="78" w:line="219" w:lineRule="auto"/>
        <w:rPr>
          <w:rFonts w:ascii="SimSun" w:hAnsi="SimSun" w:eastAsia="SimSun" w:cs="SimSun"/>
          <w:sz w:val="24"/>
          <w:szCs w:val="24"/>
        </w:rPr>
      </w:pPr>
      <w:r>
        <w:rPr>
          <w:rFonts w:ascii="SimSun" w:hAnsi="SimSun" w:eastAsia="SimSun" w:cs="SimSun"/>
          <w:sz w:val="24"/>
          <w:szCs w:val="24"/>
          <w:spacing w:val="-1"/>
        </w:rPr>
        <w:t>利用机械设备散热保暖运行，无需进行员工供热设施建设。</w:t>
      </w:r>
    </w:p>
    <w:p>
      <w:pPr>
        <w:ind w:left="116"/>
        <w:spacing w:before="228" w:line="219" w:lineRule="auto"/>
        <w:outlineLvl w:val="0"/>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4"/>
        </w:rPr>
        <w:t>三、大气环境质量现状监测数据应采用呼图壁县相关监测数据。请核</w:t>
      </w:r>
    </w:p>
    <w:p>
      <w:pPr>
        <w:ind w:left="123"/>
        <w:spacing w:before="226" w:line="221"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9"/>
        </w:rPr>
        <w:t>实。</w:t>
      </w:r>
    </w:p>
    <w:p>
      <w:pPr>
        <w:ind w:left="621"/>
        <w:spacing w:before="214" w:line="219" w:lineRule="auto"/>
        <w:rPr>
          <w:rFonts w:ascii="Times New Roman" w:hAnsi="Times New Roman" w:eastAsia="Times New Roman" w:cs="Times New Roman"/>
          <w:sz w:val="24"/>
          <w:szCs w:val="24"/>
        </w:rPr>
      </w:pPr>
      <w:r>
        <w:rPr>
          <w:rFonts w:ascii="SimSun" w:hAnsi="SimSun" w:eastAsia="SimSun" w:cs="SimSun"/>
          <w:sz w:val="24"/>
          <w:szCs w:val="24"/>
          <w:spacing w:val="-5"/>
        </w:rPr>
        <w:t>已修改，见</w:t>
      </w:r>
      <w:r>
        <w:rPr>
          <w:rFonts w:ascii="Times New Roman" w:hAnsi="Times New Roman" w:eastAsia="Times New Roman" w:cs="Times New Roman"/>
          <w:sz w:val="24"/>
          <w:szCs w:val="24"/>
          <w:spacing w:val="-5"/>
        </w:rPr>
        <w:t>P33</w:t>
      </w:r>
    </w:p>
    <w:p>
      <w:pPr>
        <w:ind w:left="595"/>
        <w:spacing w:before="214" w:line="219" w:lineRule="auto"/>
        <w:rPr>
          <w:rFonts w:ascii="SimSun" w:hAnsi="SimSun" w:eastAsia="SimSun" w:cs="SimSun"/>
          <w:sz w:val="24"/>
          <w:szCs w:val="24"/>
        </w:rPr>
      </w:pPr>
      <w:r>
        <w:rPr>
          <w:rFonts w:ascii="Times New Roman" w:hAnsi="Times New Roman" w:eastAsia="Times New Roman" w:cs="Times New Roman"/>
          <w:sz w:val="24"/>
          <w:szCs w:val="24"/>
          <w:spacing w:val="-3"/>
        </w:rPr>
        <w:t>3.</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3"/>
        </w:rPr>
        <w:t>1  </w:t>
      </w:r>
      <w:r>
        <w:rPr>
          <w:rFonts w:ascii="SimSun" w:hAnsi="SimSun" w:eastAsia="SimSun" w:cs="SimSun"/>
          <w:sz w:val="24"/>
          <w:szCs w:val="24"/>
          <w:spacing w:val="-3"/>
        </w:rPr>
        <w:t>大气环境质量现状</w:t>
      </w:r>
    </w:p>
    <w:p>
      <w:pPr>
        <w:ind w:left="116" w:right="24" w:firstLine="485"/>
        <w:spacing w:before="211" w:line="385" w:lineRule="auto"/>
        <w:rPr>
          <w:rFonts w:ascii="SimSun" w:hAnsi="SimSun" w:eastAsia="SimSun" w:cs="SimSun"/>
          <w:sz w:val="24"/>
          <w:szCs w:val="24"/>
        </w:rPr>
      </w:pPr>
      <w:r>
        <w:rPr>
          <w:rFonts w:ascii="SimSun" w:hAnsi="SimSun" w:eastAsia="SimSun" w:cs="SimSun"/>
          <w:sz w:val="24"/>
          <w:szCs w:val="24"/>
          <w:spacing w:val="-1"/>
        </w:rPr>
        <w:t>《环境影响评价技术导则 大气环境》（</w:t>
      </w:r>
      <w:r>
        <w:rPr>
          <w:rFonts w:ascii="Times New Roman" w:hAnsi="Times New Roman" w:eastAsia="Times New Roman" w:cs="Times New Roman"/>
          <w:sz w:val="24"/>
          <w:szCs w:val="24"/>
          <w:spacing w:val="-1"/>
        </w:rPr>
        <w:t>HJ2.2</w:t>
      </w:r>
      <w:r>
        <w:rPr>
          <w:rFonts w:ascii="Times New Roman" w:hAnsi="Times New Roman" w:eastAsia="Times New Roman" w:cs="Times New Roman"/>
          <w:sz w:val="24"/>
          <w:szCs w:val="24"/>
          <w:spacing w:val="-2"/>
        </w:rPr>
        <w:t>-2018</w:t>
      </w:r>
      <w:r>
        <w:rPr>
          <w:rFonts w:ascii="SimSun" w:hAnsi="SimSun" w:eastAsia="SimSun" w:cs="SimSun"/>
          <w:sz w:val="24"/>
          <w:szCs w:val="24"/>
          <w:spacing w:val="-2"/>
        </w:rPr>
        <w:t>）要求，评价范围内没  </w:t>
      </w:r>
      <w:r>
        <w:rPr>
          <w:rFonts w:ascii="SimSun" w:hAnsi="SimSun" w:eastAsia="SimSun" w:cs="SimSun"/>
          <w:sz w:val="24"/>
          <w:szCs w:val="24"/>
          <w:spacing w:val="-3"/>
        </w:rPr>
        <w:t>有环境空气质量监测网数据或公开发布的环</w:t>
      </w:r>
      <w:r>
        <w:rPr>
          <w:rFonts w:ascii="SimSun" w:hAnsi="SimSun" w:eastAsia="SimSun" w:cs="SimSun"/>
          <w:sz w:val="24"/>
          <w:szCs w:val="24"/>
          <w:spacing w:val="-4"/>
        </w:rPr>
        <w:t>境空气质量现状数据的选取满足《环 </w:t>
      </w:r>
      <w:r>
        <w:rPr>
          <w:rFonts w:ascii="SimSun" w:hAnsi="SimSun" w:eastAsia="SimSun" w:cs="SimSun"/>
          <w:sz w:val="24"/>
          <w:szCs w:val="24"/>
          <w:spacing w:val="-2"/>
        </w:rPr>
        <w:t>境空气质量监测点位布设技术规范（试行）》（</w:t>
      </w:r>
      <w:r>
        <w:rPr>
          <w:rFonts w:ascii="Times New Roman" w:hAnsi="Times New Roman" w:eastAsia="Times New Roman" w:cs="Times New Roman"/>
          <w:sz w:val="24"/>
          <w:szCs w:val="24"/>
          <w:spacing w:val="-2"/>
        </w:rPr>
        <w:t>HJ 664</w:t>
      </w:r>
      <w:r>
        <w:rPr>
          <w:rFonts w:ascii="SimSun" w:hAnsi="SimSun" w:eastAsia="SimSun" w:cs="SimSun"/>
          <w:sz w:val="24"/>
          <w:szCs w:val="24"/>
          <w:spacing w:val="-2"/>
        </w:rPr>
        <w:t>—</w:t>
      </w:r>
      <w:r>
        <w:rPr>
          <w:rFonts w:ascii="Times New Roman" w:hAnsi="Times New Roman" w:eastAsia="Times New Roman" w:cs="Times New Roman"/>
          <w:sz w:val="24"/>
          <w:szCs w:val="24"/>
          <w:spacing w:val="-2"/>
        </w:rPr>
        <w:t>201</w:t>
      </w:r>
      <w:r>
        <w:rPr>
          <w:rFonts w:ascii="Times New Roman" w:hAnsi="Times New Roman" w:eastAsia="Times New Roman" w:cs="Times New Roman"/>
          <w:sz w:val="24"/>
          <w:szCs w:val="24"/>
          <w:spacing w:val="-3"/>
        </w:rPr>
        <w:t>3</w:t>
      </w:r>
      <w:r>
        <w:rPr>
          <w:rFonts w:ascii="SimSun" w:hAnsi="SimSun" w:eastAsia="SimSun" w:cs="SimSun"/>
          <w:sz w:val="24"/>
          <w:szCs w:val="24"/>
          <w:spacing w:val="-3"/>
        </w:rPr>
        <w:t>）规定，并且与评 </w:t>
      </w:r>
      <w:r>
        <w:rPr>
          <w:rFonts w:ascii="SimSun" w:hAnsi="SimSun" w:eastAsia="SimSun" w:cs="SimSun"/>
          <w:sz w:val="24"/>
          <w:szCs w:val="24"/>
          <w:spacing w:val="-3"/>
        </w:rPr>
        <w:t>价范围地理位置邻近，地形、气候条件相近</w:t>
      </w:r>
      <w:r>
        <w:rPr>
          <w:rFonts w:ascii="SimSun" w:hAnsi="SimSun" w:eastAsia="SimSun" w:cs="SimSun"/>
          <w:sz w:val="24"/>
          <w:szCs w:val="24"/>
          <w:spacing w:val="-4"/>
        </w:rPr>
        <w:t>的环境空气质量城市点或区域点监测 </w:t>
      </w:r>
      <w:r>
        <w:rPr>
          <w:rFonts w:ascii="SimSun" w:hAnsi="SimSun" w:eastAsia="SimSun" w:cs="SimSun"/>
          <w:sz w:val="24"/>
          <w:szCs w:val="24"/>
          <w:spacing w:val="-3"/>
        </w:rPr>
        <w:t>数据。本项目位于呼图壁县，选取距离本项目最近的呼图壁县</w:t>
      </w:r>
      <w:r>
        <w:rPr>
          <w:rFonts w:ascii="SimSun" w:hAnsi="SimSun" w:eastAsia="SimSun" w:cs="SimSun"/>
          <w:sz w:val="24"/>
          <w:szCs w:val="24"/>
          <w:spacing w:val="-4"/>
        </w:rPr>
        <w:t>监测站点</w:t>
      </w:r>
      <w:r>
        <w:rPr>
          <w:rFonts w:ascii="Times New Roman" w:hAnsi="Times New Roman" w:eastAsia="Times New Roman" w:cs="Times New Roman"/>
          <w:sz w:val="24"/>
          <w:szCs w:val="24"/>
          <w:spacing w:val="-4"/>
        </w:rPr>
        <w:t>2021</w:t>
      </w:r>
      <w:r>
        <w:rPr>
          <w:rFonts w:ascii="SimSun" w:hAnsi="SimSun" w:eastAsia="SimSun" w:cs="SimSun"/>
          <w:sz w:val="24"/>
          <w:szCs w:val="24"/>
          <w:spacing w:val="-4"/>
        </w:rPr>
        <w:t>年基 </w:t>
      </w:r>
      <w:r>
        <w:rPr>
          <w:rFonts w:ascii="SimSun" w:hAnsi="SimSun" w:eastAsia="SimSun" w:cs="SimSun"/>
          <w:sz w:val="24"/>
          <w:szCs w:val="24"/>
          <w:spacing w:val="-2"/>
        </w:rPr>
        <w:t>准年连续</w:t>
      </w:r>
      <w:r>
        <w:rPr>
          <w:rFonts w:ascii="Times New Roman" w:hAnsi="Times New Roman" w:eastAsia="Times New Roman" w:cs="Times New Roman"/>
          <w:sz w:val="24"/>
          <w:szCs w:val="24"/>
          <w:spacing w:val="-2"/>
        </w:rPr>
        <w:t>1</w:t>
      </w:r>
      <w:r>
        <w:rPr>
          <w:rFonts w:ascii="SimSun" w:hAnsi="SimSun" w:eastAsia="SimSun" w:cs="SimSun"/>
          <w:sz w:val="24"/>
          <w:szCs w:val="24"/>
          <w:spacing w:val="-2"/>
        </w:rPr>
        <w:t>年的监测数据，作为本项目环境空气现状评价基本污染物</w:t>
      </w:r>
      <w:r>
        <w:rPr>
          <w:rFonts w:ascii="Times New Roman" w:hAnsi="Times New Roman" w:eastAsia="Times New Roman" w:cs="Times New Roman"/>
          <w:sz w:val="24"/>
          <w:szCs w:val="24"/>
          <w:spacing w:val="-2"/>
        </w:rPr>
        <w:t>SO2</w:t>
      </w:r>
      <w:r>
        <w:rPr>
          <w:rFonts w:ascii="SimSun" w:hAnsi="SimSun" w:eastAsia="SimSun" w:cs="SimSun"/>
          <w:sz w:val="24"/>
          <w:szCs w:val="24"/>
          <w:spacing w:val="-2"/>
        </w:rPr>
        <w:t>、</w:t>
      </w:r>
      <w:r>
        <w:rPr>
          <w:rFonts w:ascii="Times New Roman" w:hAnsi="Times New Roman" w:eastAsia="Times New Roman" w:cs="Times New Roman"/>
          <w:sz w:val="24"/>
          <w:szCs w:val="24"/>
          <w:spacing w:val="-2"/>
        </w:rPr>
        <w:t>N</w:t>
      </w:r>
      <w:r>
        <w:rPr>
          <w:rFonts w:ascii="Times New Roman" w:hAnsi="Times New Roman" w:eastAsia="Times New Roman" w:cs="Times New Roman"/>
          <w:sz w:val="24"/>
          <w:szCs w:val="24"/>
          <w:spacing w:val="-3"/>
        </w:rPr>
        <w:t>O2</w:t>
      </w:r>
      <w:r>
        <w:rPr>
          <w:rFonts w:ascii="SimSun" w:hAnsi="SimSun" w:eastAsia="SimSun" w:cs="SimSun"/>
          <w:sz w:val="24"/>
          <w:szCs w:val="24"/>
          <w:spacing w:val="-3"/>
        </w:rPr>
        <w:t>、</w:t>
      </w:r>
    </w:p>
    <w:p>
      <w:pPr>
        <w:ind w:left="110"/>
        <w:spacing w:line="219" w:lineRule="auto"/>
        <w:rPr>
          <w:rFonts w:ascii="SimSun" w:hAnsi="SimSun" w:eastAsia="SimSun" w:cs="SimSun"/>
          <w:sz w:val="24"/>
          <w:szCs w:val="24"/>
        </w:rPr>
      </w:pPr>
      <w:r>
        <w:rPr>
          <w:rFonts w:ascii="Times New Roman" w:hAnsi="Times New Roman" w:eastAsia="Times New Roman" w:cs="Times New Roman"/>
          <w:sz w:val="24"/>
          <w:szCs w:val="24"/>
          <w:spacing w:val="-2"/>
        </w:rPr>
        <w:t>PM10</w:t>
      </w:r>
      <w:r>
        <w:rPr>
          <w:rFonts w:ascii="SimSun" w:hAnsi="SimSun" w:eastAsia="SimSun" w:cs="SimSun"/>
          <w:sz w:val="24"/>
          <w:szCs w:val="24"/>
          <w:spacing w:val="-2"/>
        </w:rPr>
        <w:t>、</w:t>
      </w:r>
      <w:r>
        <w:rPr>
          <w:rFonts w:ascii="Times New Roman" w:hAnsi="Times New Roman" w:eastAsia="Times New Roman" w:cs="Times New Roman"/>
          <w:sz w:val="24"/>
          <w:szCs w:val="24"/>
          <w:spacing w:val="-2"/>
        </w:rPr>
        <w:t>PM2.5</w:t>
      </w:r>
      <w:r>
        <w:rPr>
          <w:rFonts w:ascii="Times New Roman" w:hAnsi="Times New Roman" w:eastAsia="Times New Roman" w:cs="Times New Roman"/>
          <w:sz w:val="24"/>
          <w:szCs w:val="24"/>
          <w:spacing w:val="-22"/>
        </w:rPr>
        <w:t xml:space="preserve"> </w:t>
      </w:r>
      <w:r>
        <w:rPr>
          <w:rFonts w:ascii="SimSun" w:hAnsi="SimSun" w:eastAsia="SimSun" w:cs="SimSun"/>
          <w:sz w:val="24"/>
          <w:szCs w:val="24"/>
          <w:spacing w:val="-2"/>
        </w:rPr>
        <w:t>、</w:t>
      </w:r>
      <w:r>
        <w:rPr>
          <w:rFonts w:ascii="Times New Roman" w:hAnsi="Times New Roman" w:eastAsia="Times New Roman" w:cs="Times New Roman"/>
          <w:sz w:val="24"/>
          <w:szCs w:val="24"/>
          <w:spacing w:val="-2"/>
        </w:rPr>
        <w:t>CO</w:t>
      </w:r>
      <w:r>
        <w:rPr>
          <w:rFonts w:ascii="SimSun" w:hAnsi="SimSun" w:eastAsia="SimSun" w:cs="SimSun"/>
          <w:sz w:val="24"/>
          <w:szCs w:val="24"/>
          <w:spacing w:val="-2"/>
        </w:rPr>
        <w:t>和</w:t>
      </w:r>
      <w:r>
        <w:rPr>
          <w:rFonts w:ascii="Times New Roman" w:hAnsi="Times New Roman" w:eastAsia="Times New Roman" w:cs="Times New Roman"/>
          <w:sz w:val="24"/>
          <w:szCs w:val="24"/>
          <w:spacing w:val="-2"/>
        </w:rPr>
        <w:t>O3</w:t>
      </w:r>
      <w:r>
        <w:rPr>
          <w:rFonts w:ascii="SimSun" w:hAnsi="SimSun" w:eastAsia="SimSun" w:cs="SimSun"/>
          <w:sz w:val="24"/>
          <w:szCs w:val="24"/>
          <w:spacing w:val="-2"/>
        </w:rPr>
        <w:t>的数据来源。</w:t>
      </w:r>
    </w:p>
    <w:p>
      <w:pPr>
        <w:ind w:left="595"/>
        <w:spacing w:before="216" w:line="220" w:lineRule="auto"/>
        <w:rPr>
          <w:rFonts w:ascii="SimSun" w:hAnsi="SimSun" w:eastAsia="SimSun" w:cs="SimSun"/>
          <w:sz w:val="24"/>
          <w:szCs w:val="24"/>
        </w:rPr>
      </w:pPr>
      <w:r>
        <w:rPr>
          <w:rFonts w:ascii="Times New Roman" w:hAnsi="Times New Roman" w:eastAsia="Times New Roman" w:cs="Times New Roman"/>
          <w:sz w:val="24"/>
          <w:szCs w:val="24"/>
          <w:spacing w:val="-2"/>
        </w:rPr>
        <w:t>3.1.</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2"/>
        </w:rPr>
        <w:t>1</w:t>
      </w:r>
      <w:r>
        <w:rPr>
          <w:rFonts w:ascii="SimSun" w:hAnsi="SimSun" w:eastAsia="SimSun" w:cs="SimSun"/>
          <w:sz w:val="24"/>
          <w:szCs w:val="24"/>
          <w:spacing w:val="-2"/>
        </w:rPr>
        <w:t>项目所在预期环境质量达标情况</w:t>
      </w:r>
    </w:p>
    <w:p>
      <w:pPr>
        <w:ind w:left="606"/>
        <w:spacing w:before="213" w:line="218"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）评价标准</w:t>
      </w:r>
    </w:p>
    <w:p>
      <w:pPr>
        <w:spacing w:before="216" w:line="502" w:lineRule="exact"/>
        <w:jc w:val="right"/>
        <w:rPr>
          <w:rFonts w:ascii="SimSun" w:hAnsi="SimSun" w:eastAsia="SimSun" w:cs="SimSun"/>
          <w:sz w:val="24"/>
          <w:szCs w:val="24"/>
        </w:rPr>
      </w:pPr>
      <w:r>
        <w:rPr>
          <w:rFonts w:ascii="SimSun" w:hAnsi="SimSun" w:eastAsia="SimSun" w:cs="SimSun"/>
          <w:sz w:val="24"/>
          <w:szCs w:val="24"/>
          <w:spacing w:val="-6"/>
          <w:position w:val="20"/>
        </w:rPr>
        <w:t>根据本项目所在区域的环境功能区划，基本因子</w:t>
      </w:r>
      <w:r>
        <w:rPr>
          <w:rFonts w:ascii="Times New Roman" w:hAnsi="Times New Roman" w:eastAsia="Times New Roman" w:cs="Times New Roman"/>
          <w:sz w:val="24"/>
          <w:szCs w:val="24"/>
          <w:spacing w:val="-6"/>
          <w:position w:val="20"/>
        </w:rPr>
        <w:t>SO2</w:t>
      </w:r>
      <w:r>
        <w:rPr>
          <w:rFonts w:ascii="SimSun" w:hAnsi="SimSun" w:eastAsia="SimSun" w:cs="SimSun"/>
          <w:sz w:val="24"/>
          <w:szCs w:val="24"/>
          <w:spacing w:val="-6"/>
          <w:position w:val="20"/>
        </w:rPr>
        <w:t>、</w:t>
      </w:r>
      <w:r>
        <w:rPr>
          <w:rFonts w:ascii="Times New Roman" w:hAnsi="Times New Roman" w:eastAsia="Times New Roman" w:cs="Times New Roman"/>
          <w:sz w:val="24"/>
          <w:szCs w:val="24"/>
          <w:spacing w:val="-6"/>
          <w:position w:val="20"/>
        </w:rPr>
        <w:t>NO2</w:t>
      </w:r>
      <w:r>
        <w:rPr>
          <w:rFonts w:ascii="SimSun" w:hAnsi="SimSun" w:eastAsia="SimSun" w:cs="SimSun"/>
          <w:sz w:val="24"/>
          <w:szCs w:val="24"/>
          <w:spacing w:val="-6"/>
          <w:position w:val="20"/>
        </w:rPr>
        <w:t>、</w:t>
      </w:r>
      <w:r>
        <w:rPr>
          <w:rFonts w:ascii="Times New Roman" w:hAnsi="Times New Roman" w:eastAsia="Times New Roman" w:cs="Times New Roman"/>
          <w:sz w:val="24"/>
          <w:szCs w:val="24"/>
          <w:spacing w:val="-6"/>
          <w:position w:val="20"/>
        </w:rPr>
        <w:t>PM10</w:t>
      </w:r>
      <w:r>
        <w:rPr>
          <w:rFonts w:ascii="SimSun" w:hAnsi="SimSun" w:eastAsia="SimSun" w:cs="SimSun"/>
          <w:sz w:val="24"/>
          <w:szCs w:val="24"/>
          <w:spacing w:val="-6"/>
          <w:position w:val="20"/>
        </w:rPr>
        <w:t>、</w:t>
      </w:r>
      <w:r>
        <w:rPr>
          <w:rFonts w:ascii="Times New Roman" w:hAnsi="Times New Roman" w:eastAsia="Times New Roman" w:cs="Times New Roman"/>
          <w:sz w:val="24"/>
          <w:szCs w:val="24"/>
          <w:spacing w:val="-6"/>
          <w:position w:val="20"/>
        </w:rPr>
        <w:t>PM2.5</w:t>
      </w:r>
      <w:r>
        <w:rPr>
          <w:rFonts w:ascii="SimSun" w:hAnsi="SimSun" w:eastAsia="SimSun" w:cs="SimSun"/>
          <w:sz w:val="24"/>
          <w:szCs w:val="24"/>
          <w:spacing w:val="-6"/>
          <w:position w:val="20"/>
        </w:rPr>
        <w:t>、</w:t>
      </w:r>
    </w:p>
    <w:p>
      <w:pPr>
        <w:ind w:left="113"/>
        <w:spacing w:line="219" w:lineRule="auto"/>
        <w:rPr>
          <w:rFonts w:ascii="SimSun" w:hAnsi="SimSun" w:eastAsia="SimSun" w:cs="SimSun"/>
          <w:sz w:val="24"/>
          <w:szCs w:val="24"/>
        </w:rPr>
      </w:pPr>
      <w:r>
        <w:rPr>
          <w:rFonts w:ascii="Times New Roman" w:hAnsi="Times New Roman" w:eastAsia="Times New Roman" w:cs="Times New Roman"/>
          <w:sz w:val="24"/>
          <w:szCs w:val="24"/>
          <w:spacing w:val="-1"/>
        </w:rPr>
        <w:t>TSP</w:t>
      </w:r>
      <w:r>
        <w:rPr>
          <w:rFonts w:ascii="Times New Roman" w:hAnsi="Times New Roman" w:eastAsia="Times New Roman" w:cs="Times New Roman"/>
          <w:sz w:val="24"/>
          <w:szCs w:val="24"/>
          <w:spacing w:val="-35"/>
        </w:rPr>
        <w:t xml:space="preserve"> </w:t>
      </w:r>
      <w:r>
        <w:rPr>
          <w:rFonts w:ascii="SimSun" w:hAnsi="SimSun" w:eastAsia="SimSun" w:cs="SimSun"/>
          <w:sz w:val="24"/>
          <w:szCs w:val="24"/>
          <w:spacing w:val="-1"/>
        </w:rPr>
        <w:t>、</w:t>
      </w:r>
      <w:r>
        <w:rPr>
          <w:rFonts w:ascii="Times New Roman" w:hAnsi="Times New Roman" w:eastAsia="Times New Roman" w:cs="Times New Roman"/>
          <w:sz w:val="24"/>
          <w:szCs w:val="24"/>
          <w:spacing w:val="-1"/>
        </w:rPr>
        <w:t>CO</w:t>
      </w:r>
      <w:r>
        <w:rPr>
          <w:rFonts w:ascii="Times New Roman" w:hAnsi="Times New Roman" w:eastAsia="Times New Roman" w:cs="Times New Roman"/>
          <w:sz w:val="24"/>
          <w:szCs w:val="24"/>
          <w:spacing w:val="-34"/>
        </w:rPr>
        <w:t xml:space="preserve"> </w:t>
      </w:r>
      <w:r>
        <w:rPr>
          <w:rFonts w:ascii="SimSun" w:hAnsi="SimSun" w:eastAsia="SimSun" w:cs="SimSun"/>
          <w:sz w:val="24"/>
          <w:szCs w:val="24"/>
          <w:spacing w:val="-1"/>
        </w:rPr>
        <w:t>、</w:t>
      </w:r>
      <w:r>
        <w:rPr>
          <w:rFonts w:ascii="Times New Roman" w:hAnsi="Times New Roman" w:eastAsia="Times New Roman" w:cs="Times New Roman"/>
          <w:sz w:val="24"/>
          <w:szCs w:val="24"/>
          <w:spacing w:val="-1"/>
        </w:rPr>
        <w:t>O3</w:t>
      </w:r>
      <w:r>
        <w:rPr>
          <w:rFonts w:ascii="SimSun" w:hAnsi="SimSun" w:eastAsia="SimSun" w:cs="SimSun"/>
          <w:sz w:val="24"/>
          <w:szCs w:val="24"/>
          <w:spacing w:val="-1"/>
        </w:rPr>
        <w:t>执行《环境空气质量标</w:t>
      </w:r>
      <w:r>
        <w:rPr>
          <w:rFonts w:ascii="SimSun" w:hAnsi="SimSun" w:eastAsia="SimSun" w:cs="SimSun"/>
          <w:sz w:val="24"/>
          <w:szCs w:val="24"/>
          <w:spacing w:val="-2"/>
        </w:rPr>
        <w:t>准》（</w:t>
      </w:r>
      <w:r>
        <w:rPr>
          <w:rFonts w:ascii="Times New Roman" w:hAnsi="Times New Roman" w:eastAsia="Times New Roman" w:cs="Times New Roman"/>
          <w:sz w:val="24"/>
          <w:szCs w:val="24"/>
          <w:spacing w:val="-2"/>
        </w:rPr>
        <w:t>GB3095-2012</w:t>
      </w:r>
      <w:r>
        <w:rPr>
          <w:rFonts w:ascii="SimSun" w:hAnsi="SimSun" w:eastAsia="SimSun" w:cs="SimSun"/>
          <w:sz w:val="24"/>
          <w:szCs w:val="24"/>
          <w:spacing w:val="-2"/>
        </w:rPr>
        <w:t>）中二级标准。</w:t>
      </w:r>
    </w:p>
    <w:p>
      <w:pPr>
        <w:ind w:left="606"/>
        <w:spacing w:before="214" w:line="218"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）评价方法</w:t>
      </w:r>
    </w:p>
    <w:p>
      <w:pPr>
        <w:ind w:left="116" w:right="104" w:firstLine="479"/>
        <w:spacing w:before="214" w:line="385" w:lineRule="auto"/>
        <w:rPr>
          <w:rFonts w:ascii="SimSun" w:hAnsi="SimSun" w:eastAsia="SimSun" w:cs="SimSun"/>
          <w:sz w:val="24"/>
          <w:szCs w:val="24"/>
        </w:rPr>
      </w:pPr>
      <w:r>
        <w:rPr>
          <w:rFonts w:ascii="SimSun" w:hAnsi="SimSun" w:eastAsia="SimSun" w:cs="SimSun"/>
          <w:sz w:val="24"/>
          <w:szCs w:val="24"/>
          <w:spacing w:val="-2"/>
        </w:rPr>
        <w:t>基本污染物按照《环境空气质量评价技术规范（试行</w:t>
      </w:r>
      <w:r>
        <w:rPr>
          <w:rFonts w:ascii="SimSun" w:hAnsi="SimSun" w:eastAsia="SimSun" w:cs="SimSun"/>
          <w:sz w:val="24"/>
          <w:szCs w:val="24"/>
          <w:spacing w:val="-3"/>
        </w:rPr>
        <w:t>）》</w:t>
      </w:r>
      <w:r>
        <w:rPr>
          <w:rFonts w:ascii="Times New Roman" w:hAnsi="Times New Roman" w:eastAsia="Times New Roman" w:cs="Times New Roman"/>
          <w:sz w:val="24"/>
          <w:szCs w:val="24"/>
          <w:spacing w:val="-3"/>
        </w:rPr>
        <w:t>HJ663-2013</w:t>
      </w:r>
      <w:r>
        <w:rPr>
          <w:rFonts w:ascii="SimSun" w:hAnsi="SimSun" w:eastAsia="SimSun" w:cs="SimSun"/>
          <w:sz w:val="24"/>
          <w:szCs w:val="24"/>
          <w:spacing w:val="-3"/>
        </w:rPr>
        <w:t>中各评</w:t>
      </w:r>
      <w:r>
        <w:rPr>
          <w:rFonts w:ascii="SimSun" w:hAnsi="SimSun" w:eastAsia="SimSun" w:cs="SimSun"/>
          <w:sz w:val="24"/>
          <w:szCs w:val="24"/>
        </w:rPr>
        <w:t xml:space="preserve"> </w:t>
      </w:r>
      <w:r>
        <w:rPr>
          <w:rFonts w:ascii="SimSun" w:hAnsi="SimSun" w:eastAsia="SimSun" w:cs="SimSun"/>
          <w:sz w:val="24"/>
          <w:szCs w:val="24"/>
        </w:rPr>
        <w:t>价项目的年评价指标进行判定。年评价指标中的年均浓</w:t>
      </w:r>
      <w:r>
        <w:rPr>
          <w:rFonts w:ascii="SimSun" w:hAnsi="SimSun" w:eastAsia="SimSun" w:cs="SimSun"/>
          <w:sz w:val="24"/>
          <w:szCs w:val="24"/>
          <w:spacing w:val="-1"/>
        </w:rPr>
        <w:t>度和相应百分位数</w:t>
      </w:r>
      <w:r>
        <w:rPr>
          <w:rFonts w:ascii="Times New Roman" w:hAnsi="Times New Roman" w:eastAsia="Times New Roman" w:cs="Times New Roman"/>
          <w:sz w:val="24"/>
          <w:szCs w:val="24"/>
          <w:spacing w:val="-1"/>
        </w:rPr>
        <w:t>24h</w:t>
      </w:r>
      <w:r>
        <w:rPr>
          <w:rFonts w:ascii="SimSun" w:hAnsi="SimSun" w:eastAsia="SimSun" w:cs="SimSun"/>
          <w:sz w:val="24"/>
          <w:szCs w:val="24"/>
          <w:spacing w:val="-1"/>
        </w:rPr>
        <w:t>平</w:t>
      </w:r>
      <w:r>
        <w:rPr>
          <w:rFonts w:ascii="SimSun" w:hAnsi="SimSun" w:eastAsia="SimSun" w:cs="SimSun"/>
          <w:sz w:val="24"/>
          <w:szCs w:val="24"/>
        </w:rPr>
        <w:t xml:space="preserve"> </w:t>
      </w:r>
      <w:r>
        <w:rPr>
          <w:rFonts w:ascii="SimSun" w:hAnsi="SimSun" w:eastAsia="SimSun" w:cs="SimSun"/>
          <w:sz w:val="24"/>
          <w:szCs w:val="24"/>
        </w:rPr>
        <w:t>均或</w:t>
      </w:r>
      <w:r>
        <w:rPr>
          <w:rFonts w:ascii="Times New Roman" w:hAnsi="Times New Roman" w:eastAsia="Times New Roman" w:cs="Times New Roman"/>
          <w:sz w:val="24"/>
          <w:szCs w:val="24"/>
        </w:rPr>
        <w:t>8h</w:t>
      </w:r>
      <w:r>
        <w:rPr>
          <w:rFonts w:ascii="SimSun" w:hAnsi="SimSun" w:eastAsia="SimSun" w:cs="SimSun"/>
          <w:sz w:val="24"/>
          <w:szCs w:val="24"/>
        </w:rPr>
        <w:t>平均质量浓度满足</w:t>
      </w:r>
      <w:r>
        <w:rPr>
          <w:rFonts w:ascii="Times New Roman" w:hAnsi="Times New Roman" w:eastAsia="Times New Roman" w:cs="Times New Roman"/>
          <w:sz w:val="24"/>
          <w:szCs w:val="24"/>
        </w:rPr>
        <w:t>GB3095</w:t>
      </w:r>
      <w:r>
        <w:rPr>
          <w:rFonts w:ascii="SimSun" w:hAnsi="SimSun" w:eastAsia="SimSun" w:cs="SimSun"/>
          <w:sz w:val="24"/>
          <w:szCs w:val="24"/>
        </w:rPr>
        <w:t>中浓度限值要求的</w:t>
      </w:r>
      <w:r>
        <w:rPr>
          <w:rFonts w:ascii="SimSun" w:hAnsi="SimSun" w:eastAsia="SimSun" w:cs="SimSun"/>
          <w:sz w:val="24"/>
          <w:szCs w:val="24"/>
          <w:spacing w:val="-1"/>
        </w:rPr>
        <w:t>即为达标。对于超标的污染</w:t>
      </w:r>
    </w:p>
    <w:p>
      <w:pPr>
        <w:ind w:left="115"/>
        <w:spacing w:before="1" w:line="219" w:lineRule="auto"/>
        <w:rPr>
          <w:rFonts w:ascii="SimSun" w:hAnsi="SimSun" w:eastAsia="SimSun" w:cs="SimSun"/>
          <w:sz w:val="24"/>
          <w:szCs w:val="24"/>
        </w:rPr>
      </w:pPr>
      <w:r>
        <w:rPr>
          <w:rFonts w:ascii="SimSun" w:hAnsi="SimSun" w:eastAsia="SimSun" w:cs="SimSun"/>
          <w:sz w:val="24"/>
          <w:szCs w:val="24"/>
          <w:spacing w:val="-1"/>
        </w:rPr>
        <w:t>物，计算其超标倍数和超标率。</w:t>
      </w:r>
    </w:p>
    <w:p>
      <w:pPr>
        <w:ind w:left="602"/>
        <w:spacing w:before="217" w:line="219" w:lineRule="auto"/>
        <w:rPr>
          <w:rFonts w:ascii="SimSun" w:hAnsi="SimSun" w:eastAsia="SimSun" w:cs="SimSun"/>
          <w:sz w:val="24"/>
          <w:szCs w:val="24"/>
        </w:rPr>
      </w:pPr>
      <w:r>
        <w:rPr>
          <w:rFonts w:ascii="SimSun" w:hAnsi="SimSun" w:eastAsia="SimSun" w:cs="SimSun"/>
          <w:sz w:val="24"/>
          <w:szCs w:val="24"/>
          <w:spacing w:val="-3"/>
        </w:rPr>
        <w:t>空气质量达标区判定结果见表</w:t>
      </w:r>
      <w:r>
        <w:rPr>
          <w:rFonts w:ascii="Times New Roman" w:hAnsi="Times New Roman" w:eastAsia="Times New Roman" w:cs="Times New Roman"/>
          <w:sz w:val="24"/>
          <w:szCs w:val="24"/>
          <w:spacing w:val="-3"/>
        </w:rPr>
        <w:t>3.1-</w:t>
      </w:r>
      <w:r>
        <w:rPr>
          <w:rFonts w:ascii="Times New Roman" w:hAnsi="Times New Roman" w:eastAsia="Times New Roman" w:cs="Times New Roman"/>
          <w:sz w:val="24"/>
          <w:szCs w:val="24"/>
          <w:spacing w:val="-22"/>
        </w:rPr>
        <w:t xml:space="preserve"> </w:t>
      </w:r>
      <w:r>
        <w:rPr>
          <w:rFonts w:ascii="Times New Roman" w:hAnsi="Times New Roman" w:eastAsia="Times New Roman" w:cs="Times New Roman"/>
          <w:sz w:val="24"/>
          <w:szCs w:val="24"/>
          <w:spacing w:val="-3"/>
        </w:rPr>
        <w:t>1</w:t>
      </w:r>
      <w:r>
        <w:rPr>
          <w:rFonts w:ascii="SimSun" w:hAnsi="SimSun" w:eastAsia="SimSun" w:cs="SimSun"/>
          <w:sz w:val="24"/>
          <w:szCs w:val="24"/>
          <w:spacing w:val="-3"/>
        </w:rPr>
        <w:t>。</w:t>
      </w:r>
    </w:p>
    <w:p>
      <w:pPr>
        <w:ind w:left="2336"/>
        <w:spacing w:before="134" w:line="218" w:lineRule="auto"/>
        <w:rPr>
          <w:rFonts w:ascii="SimSun" w:hAnsi="SimSun" w:eastAsia="SimSun" w:cs="SimSun"/>
          <w:sz w:val="24"/>
          <w:szCs w:val="24"/>
        </w:rPr>
      </w:pPr>
      <w:r>
        <w:rPr>
          <w:rFonts w:ascii="SimSun" w:hAnsi="SimSun" w:eastAsia="SimSun" w:cs="SimSun"/>
          <w:sz w:val="24"/>
          <w:szCs w:val="24"/>
          <w:spacing w:val="-4"/>
        </w:rPr>
        <w:t>表</w:t>
      </w:r>
      <w:r>
        <w:rPr>
          <w:rFonts w:ascii="Times New Roman" w:hAnsi="Times New Roman" w:eastAsia="Times New Roman" w:cs="Times New Roman"/>
          <w:sz w:val="24"/>
          <w:szCs w:val="24"/>
          <w:spacing w:val="-4"/>
        </w:rPr>
        <w:t>3.1-</w:t>
      </w:r>
      <w:r>
        <w:rPr>
          <w:rFonts w:ascii="Times New Roman" w:hAnsi="Times New Roman" w:eastAsia="Times New Roman" w:cs="Times New Roman"/>
          <w:sz w:val="24"/>
          <w:szCs w:val="24"/>
          <w:spacing w:val="-30"/>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3"/>
        </w:rPr>
        <w:t xml:space="preserve">        </w:t>
      </w:r>
      <w:r>
        <w:rPr>
          <w:rFonts w:ascii="SimSun" w:hAnsi="SimSun" w:eastAsia="SimSun" w:cs="SimSun"/>
          <w:sz w:val="24"/>
          <w:szCs w:val="24"/>
          <w:spacing w:val="-4"/>
        </w:rPr>
        <w:t>区域空气质量现状评价表</w:t>
      </w:r>
    </w:p>
    <w:p>
      <w:pPr>
        <w:spacing w:line="20" w:lineRule="auto"/>
        <w:rPr>
          <w:rFonts w:ascii="Arial"/>
          <w:sz w:val="2"/>
        </w:rPr>
      </w:pPr>
      <w:r>
        <w:rPr>
          <w:rFonts w:ascii="Arial"/>
          <w:sz w:val="2"/>
        </w:rPr>
      </w:r>
    </w:p>
    <w:tbl>
      <w:tblPr>
        <w:tblStyle w:val="TableNormal"/>
        <w:tblW w:w="8516"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80"/>
        <w:gridCol w:w="863"/>
        <w:gridCol w:w="2441"/>
        <w:gridCol w:w="1033"/>
        <w:gridCol w:w="1033"/>
        <w:gridCol w:w="1532"/>
        <w:gridCol w:w="834"/>
      </w:tblGrid>
      <w:tr>
        <w:trPr>
          <w:trHeight w:val="720" w:hRule="atLeast"/>
        </w:trPr>
        <w:tc>
          <w:tcPr>
            <w:tcW w:w="780" w:type="dxa"/>
            <w:vAlign w:val="top"/>
            <w:tcBorders>
              <w:top w:val="single" w:color="000000" w:sz="10" w:space="0"/>
              <w:left w:val="nil"/>
            </w:tcBorders>
          </w:tcPr>
          <w:p>
            <w:pPr>
              <w:pStyle w:val="TableText"/>
              <w:ind w:left="187"/>
              <w:spacing w:before="293" w:line="229" w:lineRule="auto"/>
              <w:rPr>
                <w:sz w:val="20"/>
                <w:szCs w:val="20"/>
              </w:rPr>
            </w:pPr>
            <w:r>
              <w:rPr>
                <w:sz w:val="20"/>
                <w:szCs w:val="20"/>
                <w:spacing w:val="5"/>
              </w:rPr>
              <w:t>序号</w:t>
            </w:r>
          </w:p>
        </w:tc>
        <w:tc>
          <w:tcPr>
            <w:tcW w:w="863" w:type="dxa"/>
            <w:vAlign w:val="top"/>
            <w:tcBorders>
              <w:top w:val="single" w:color="000000" w:sz="10" w:space="0"/>
            </w:tcBorders>
          </w:tcPr>
          <w:p>
            <w:pPr>
              <w:pStyle w:val="TableText"/>
              <w:ind w:left="230"/>
              <w:spacing w:before="293" w:line="228" w:lineRule="auto"/>
              <w:rPr>
                <w:sz w:val="20"/>
                <w:szCs w:val="20"/>
              </w:rPr>
            </w:pPr>
            <w:r>
              <w:rPr>
                <w:sz w:val="20"/>
                <w:szCs w:val="20"/>
                <w:spacing w:val="3"/>
              </w:rPr>
              <w:t>项目</w:t>
            </w:r>
          </w:p>
        </w:tc>
        <w:tc>
          <w:tcPr>
            <w:tcW w:w="2441" w:type="dxa"/>
            <w:vAlign w:val="top"/>
            <w:tcBorders>
              <w:top w:val="single" w:color="000000" w:sz="10" w:space="0"/>
            </w:tcBorders>
          </w:tcPr>
          <w:p>
            <w:pPr>
              <w:pStyle w:val="TableText"/>
              <w:ind w:left="805"/>
              <w:spacing w:before="293" w:line="228" w:lineRule="auto"/>
              <w:rPr>
                <w:sz w:val="20"/>
                <w:szCs w:val="20"/>
              </w:rPr>
            </w:pPr>
            <w:r>
              <w:rPr>
                <w:sz w:val="20"/>
                <w:szCs w:val="20"/>
                <w:spacing w:val="7"/>
              </w:rPr>
              <w:t>平均时间</w:t>
            </w:r>
          </w:p>
        </w:tc>
        <w:tc>
          <w:tcPr>
            <w:tcW w:w="1033" w:type="dxa"/>
            <w:vAlign w:val="top"/>
            <w:tcBorders>
              <w:top w:val="single" w:color="000000" w:sz="10" w:space="0"/>
            </w:tcBorders>
          </w:tcPr>
          <w:p>
            <w:pPr>
              <w:pStyle w:val="TableText"/>
              <w:ind w:left="206"/>
              <w:spacing w:before="292" w:line="228" w:lineRule="auto"/>
              <w:rPr>
                <w:sz w:val="20"/>
                <w:szCs w:val="20"/>
              </w:rPr>
            </w:pPr>
            <w:r>
              <w:rPr>
                <w:sz w:val="20"/>
                <w:szCs w:val="20"/>
                <w:spacing w:val="6"/>
              </w:rPr>
              <w:t>标准值</w:t>
            </w:r>
          </w:p>
        </w:tc>
        <w:tc>
          <w:tcPr>
            <w:tcW w:w="1033" w:type="dxa"/>
            <w:vAlign w:val="top"/>
            <w:tcBorders>
              <w:top w:val="single" w:color="000000" w:sz="10" w:space="0"/>
            </w:tcBorders>
          </w:tcPr>
          <w:p>
            <w:pPr>
              <w:pStyle w:val="TableText"/>
              <w:ind w:left="209"/>
              <w:spacing w:before="292" w:line="228" w:lineRule="auto"/>
              <w:rPr>
                <w:sz w:val="20"/>
                <w:szCs w:val="20"/>
              </w:rPr>
            </w:pPr>
            <w:r>
              <w:rPr>
                <w:sz w:val="20"/>
                <w:szCs w:val="20"/>
                <w:spacing w:val="6"/>
              </w:rPr>
              <w:t>现状值</w:t>
            </w:r>
          </w:p>
        </w:tc>
        <w:tc>
          <w:tcPr>
            <w:tcW w:w="1532" w:type="dxa"/>
            <w:vAlign w:val="top"/>
            <w:tcBorders>
              <w:top w:val="single" w:color="000000" w:sz="10" w:space="0"/>
            </w:tcBorders>
          </w:tcPr>
          <w:p>
            <w:pPr>
              <w:pStyle w:val="TableText"/>
              <w:ind w:left="403"/>
              <w:spacing w:before="292" w:line="228" w:lineRule="auto"/>
              <w:rPr>
                <w:rFonts w:ascii="Times New Roman" w:hAnsi="Times New Roman" w:eastAsia="Times New Roman" w:cs="Times New Roman"/>
                <w:sz w:val="20"/>
                <w:szCs w:val="20"/>
              </w:rPr>
            </w:pPr>
            <w:r>
              <w:rPr>
                <w:sz w:val="20"/>
                <w:szCs w:val="20"/>
                <w:spacing w:val="-2"/>
              </w:rPr>
              <w:t>占标率</w:t>
            </w:r>
            <w:r>
              <w:rPr>
                <w:rFonts w:ascii="Times New Roman" w:hAnsi="Times New Roman" w:eastAsia="Times New Roman" w:cs="Times New Roman"/>
                <w:sz w:val="20"/>
                <w:szCs w:val="20"/>
                <w:spacing w:val="-2"/>
              </w:rPr>
              <w:t>%</w:t>
            </w:r>
          </w:p>
        </w:tc>
        <w:tc>
          <w:tcPr>
            <w:tcW w:w="834" w:type="dxa"/>
            <w:vAlign w:val="top"/>
            <w:tcBorders>
              <w:top w:val="single" w:color="000000" w:sz="10" w:space="0"/>
              <w:right w:val="nil"/>
            </w:tcBorders>
          </w:tcPr>
          <w:p>
            <w:pPr>
              <w:pStyle w:val="TableText"/>
              <w:ind w:left="211"/>
              <w:spacing w:before="113" w:line="360" w:lineRule="exact"/>
              <w:rPr>
                <w:sz w:val="20"/>
                <w:szCs w:val="20"/>
              </w:rPr>
            </w:pPr>
            <w:r>
              <w:rPr>
                <w:sz w:val="20"/>
                <w:szCs w:val="20"/>
                <w:spacing w:val="5"/>
                <w:position w:val="11"/>
              </w:rPr>
              <w:t>达标</w:t>
            </w:r>
          </w:p>
          <w:p>
            <w:pPr>
              <w:pStyle w:val="TableText"/>
              <w:ind w:left="213"/>
              <w:spacing w:line="218" w:lineRule="auto"/>
              <w:rPr>
                <w:sz w:val="20"/>
                <w:szCs w:val="20"/>
              </w:rPr>
            </w:pPr>
            <w:r>
              <w:rPr>
                <w:sz w:val="20"/>
                <w:szCs w:val="20"/>
                <w:spacing w:val="4"/>
              </w:rPr>
              <w:t>情况</w:t>
            </w:r>
          </w:p>
        </w:tc>
      </w:tr>
      <w:tr>
        <w:trPr>
          <w:trHeight w:val="360" w:hRule="atLeast"/>
        </w:trPr>
        <w:tc>
          <w:tcPr>
            <w:tcW w:w="780" w:type="dxa"/>
            <w:vAlign w:val="top"/>
            <w:tcBorders>
              <w:left w:val="nil"/>
            </w:tcBorders>
          </w:tcPr>
          <w:p>
            <w:pPr>
              <w:ind w:left="360"/>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63" w:type="dxa"/>
            <w:vAlign w:val="top"/>
          </w:tcPr>
          <w:p>
            <w:pPr>
              <w:ind w:left="272"/>
              <w:spacing w:before="153"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z w:val="13"/>
                <w:szCs w:val="13"/>
                <w:spacing w:val="3"/>
                <w:position w:val="-1"/>
              </w:rPr>
              <w:t>2</w:t>
            </w:r>
          </w:p>
        </w:tc>
        <w:tc>
          <w:tcPr>
            <w:tcW w:w="2441" w:type="dxa"/>
            <w:vAlign w:val="top"/>
          </w:tcPr>
          <w:p>
            <w:pPr>
              <w:pStyle w:val="TableText"/>
              <w:ind w:left="910"/>
              <w:spacing w:before="118" w:line="214" w:lineRule="auto"/>
              <w:rPr>
                <w:sz w:val="20"/>
                <w:szCs w:val="20"/>
              </w:rPr>
            </w:pPr>
            <w:r>
              <w:rPr>
                <w:sz w:val="20"/>
                <w:szCs w:val="20"/>
                <w:spacing w:val="6"/>
              </w:rPr>
              <w:t>年平均</w:t>
            </w:r>
          </w:p>
        </w:tc>
        <w:tc>
          <w:tcPr>
            <w:tcW w:w="1033" w:type="dxa"/>
            <w:vAlign w:val="top"/>
          </w:tcPr>
          <w:p>
            <w:pPr>
              <w:ind w:left="418"/>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033" w:type="dxa"/>
            <w:vAlign w:val="top"/>
          </w:tcPr>
          <w:p>
            <w:pPr>
              <w:ind w:left="432"/>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1532" w:type="dxa"/>
            <w:vAlign w:val="top"/>
          </w:tcPr>
          <w:p>
            <w:pPr>
              <w:ind w:left="551"/>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16.67</w:t>
            </w:r>
          </w:p>
        </w:tc>
        <w:tc>
          <w:tcPr>
            <w:tcW w:w="834" w:type="dxa"/>
            <w:vAlign w:val="top"/>
            <w:tcBorders>
              <w:right w:val="nil"/>
            </w:tcBorders>
          </w:tcPr>
          <w:p>
            <w:pPr>
              <w:pStyle w:val="TableText"/>
              <w:ind w:left="211"/>
              <w:spacing w:before="118" w:line="214" w:lineRule="auto"/>
              <w:rPr>
                <w:sz w:val="20"/>
                <w:szCs w:val="20"/>
              </w:rPr>
            </w:pPr>
            <w:r>
              <w:rPr>
                <w:sz w:val="20"/>
                <w:szCs w:val="20"/>
                <w:spacing w:val="5"/>
              </w:rPr>
              <w:t>达标</w:t>
            </w:r>
          </w:p>
        </w:tc>
      </w:tr>
      <w:tr>
        <w:trPr>
          <w:trHeight w:val="453" w:hRule="atLeast"/>
        </w:trPr>
        <w:tc>
          <w:tcPr>
            <w:tcW w:w="780" w:type="dxa"/>
            <w:vAlign w:val="top"/>
            <w:tcBorders>
              <w:left w:val="nil"/>
            </w:tcBorders>
          </w:tcPr>
          <w:p>
            <w:pPr>
              <w:ind w:left="340"/>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63" w:type="dxa"/>
            <w:vAlign w:val="top"/>
          </w:tcPr>
          <w:p>
            <w:pPr>
              <w:ind w:left="240"/>
              <w:spacing w:before="206"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7"/>
              </w:rPr>
              <w:t>NO</w:t>
            </w:r>
            <w:r>
              <w:rPr>
                <w:rFonts w:ascii="Times New Roman" w:hAnsi="Times New Roman" w:eastAsia="Times New Roman" w:cs="Times New Roman"/>
                <w:sz w:val="13"/>
                <w:szCs w:val="13"/>
                <w:spacing w:val="7"/>
                <w:position w:val="-1"/>
              </w:rPr>
              <w:t>2</w:t>
            </w:r>
          </w:p>
        </w:tc>
        <w:tc>
          <w:tcPr>
            <w:tcW w:w="2441" w:type="dxa"/>
            <w:vAlign w:val="top"/>
          </w:tcPr>
          <w:p>
            <w:pPr>
              <w:pStyle w:val="TableText"/>
              <w:ind w:left="910"/>
              <w:spacing w:before="170" w:line="228" w:lineRule="auto"/>
              <w:rPr>
                <w:sz w:val="20"/>
                <w:szCs w:val="20"/>
              </w:rPr>
            </w:pPr>
            <w:r>
              <w:rPr>
                <w:sz w:val="20"/>
                <w:szCs w:val="20"/>
                <w:spacing w:val="6"/>
              </w:rPr>
              <w:t>年平均</w:t>
            </w:r>
          </w:p>
        </w:tc>
        <w:tc>
          <w:tcPr>
            <w:tcW w:w="1033" w:type="dxa"/>
            <w:vAlign w:val="top"/>
          </w:tcPr>
          <w:p>
            <w:pPr>
              <w:ind w:left="412"/>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w:t>
            </w:r>
          </w:p>
        </w:tc>
        <w:tc>
          <w:tcPr>
            <w:tcW w:w="1033" w:type="dxa"/>
            <w:vAlign w:val="top"/>
          </w:tcPr>
          <w:p>
            <w:pPr>
              <w:ind w:left="412"/>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25</w:t>
            </w:r>
          </w:p>
        </w:tc>
        <w:tc>
          <w:tcPr>
            <w:tcW w:w="1532" w:type="dxa"/>
            <w:vAlign w:val="top"/>
          </w:tcPr>
          <w:p>
            <w:pPr>
              <w:ind w:left="536"/>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62.50</w:t>
            </w:r>
          </w:p>
        </w:tc>
        <w:tc>
          <w:tcPr>
            <w:tcW w:w="834" w:type="dxa"/>
            <w:vAlign w:val="top"/>
            <w:tcBorders>
              <w:right w:val="nil"/>
            </w:tcBorders>
          </w:tcPr>
          <w:p>
            <w:pPr>
              <w:pStyle w:val="TableText"/>
              <w:ind w:left="211"/>
              <w:spacing w:before="170" w:line="228" w:lineRule="auto"/>
              <w:rPr>
                <w:sz w:val="20"/>
                <w:szCs w:val="20"/>
              </w:rPr>
            </w:pPr>
            <w:r>
              <w:rPr>
                <w:sz w:val="20"/>
                <w:szCs w:val="20"/>
                <w:spacing w:val="5"/>
              </w:rPr>
              <w:t>达标</w:t>
            </w:r>
          </w:p>
        </w:tc>
      </w:tr>
      <w:tr>
        <w:trPr>
          <w:trHeight w:val="382" w:hRule="atLeast"/>
        </w:trPr>
        <w:tc>
          <w:tcPr>
            <w:tcW w:w="780" w:type="dxa"/>
            <w:vAlign w:val="top"/>
            <w:tcBorders>
              <w:bottom w:val="single" w:color="000000" w:sz="10" w:space="0"/>
              <w:left w:val="nil"/>
            </w:tcBorders>
          </w:tcPr>
          <w:p>
            <w:pPr>
              <w:ind w:left="344"/>
              <w:spacing w:before="16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63" w:type="dxa"/>
            <w:vAlign w:val="top"/>
            <w:tcBorders>
              <w:bottom w:val="single" w:color="000000" w:sz="10" w:space="0"/>
            </w:tcBorders>
          </w:tcPr>
          <w:p>
            <w:pPr>
              <w:ind w:left="212"/>
              <w:spacing w:before="168" w:line="199"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z w:val="13"/>
                <w:szCs w:val="13"/>
                <w:spacing w:val="8"/>
                <w:position w:val="-1"/>
              </w:rPr>
              <w:t>10</w:t>
            </w:r>
          </w:p>
        </w:tc>
        <w:tc>
          <w:tcPr>
            <w:tcW w:w="2441" w:type="dxa"/>
            <w:vAlign w:val="top"/>
            <w:tcBorders>
              <w:bottom w:val="single" w:color="000000" w:sz="10" w:space="0"/>
            </w:tcBorders>
          </w:tcPr>
          <w:p>
            <w:pPr>
              <w:pStyle w:val="TableText"/>
              <w:ind w:left="910"/>
              <w:spacing w:before="130" w:line="223" w:lineRule="auto"/>
              <w:rPr>
                <w:sz w:val="20"/>
                <w:szCs w:val="20"/>
              </w:rPr>
            </w:pPr>
            <w:r>
              <w:rPr>
                <w:sz w:val="20"/>
                <w:szCs w:val="20"/>
                <w:spacing w:val="6"/>
              </w:rPr>
              <w:t>年平均</w:t>
            </w:r>
          </w:p>
        </w:tc>
        <w:tc>
          <w:tcPr>
            <w:tcW w:w="1033" w:type="dxa"/>
            <w:vAlign w:val="top"/>
            <w:tcBorders>
              <w:bottom w:val="single" w:color="000000" w:sz="10" w:space="0"/>
            </w:tcBorders>
          </w:tcPr>
          <w:p>
            <w:pPr>
              <w:ind w:left="416"/>
              <w:spacing w:before="16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70</w:t>
            </w:r>
          </w:p>
        </w:tc>
        <w:tc>
          <w:tcPr>
            <w:tcW w:w="1033" w:type="dxa"/>
            <w:vAlign w:val="top"/>
            <w:tcBorders>
              <w:bottom w:val="single" w:color="000000" w:sz="10" w:space="0"/>
            </w:tcBorders>
          </w:tcPr>
          <w:p>
            <w:pPr>
              <w:ind w:left="417"/>
              <w:spacing w:before="16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c>
          <w:tcPr>
            <w:tcW w:w="1532" w:type="dxa"/>
            <w:vAlign w:val="top"/>
            <w:tcBorders>
              <w:bottom w:val="single" w:color="000000" w:sz="10" w:space="0"/>
            </w:tcBorders>
          </w:tcPr>
          <w:p>
            <w:pPr>
              <w:ind w:left="535"/>
              <w:spacing w:before="16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98.57</w:t>
            </w:r>
          </w:p>
        </w:tc>
        <w:tc>
          <w:tcPr>
            <w:tcW w:w="834" w:type="dxa"/>
            <w:vAlign w:val="top"/>
            <w:tcBorders>
              <w:bottom w:val="single" w:color="000000" w:sz="10" w:space="0"/>
              <w:right w:val="nil"/>
            </w:tcBorders>
          </w:tcPr>
          <w:p>
            <w:pPr>
              <w:pStyle w:val="TableText"/>
              <w:ind w:left="211"/>
              <w:spacing w:before="130" w:line="223" w:lineRule="auto"/>
              <w:rPr>
                <w:sz w:val="20"/>
                <w:szCs w:val="20"/>
              </w:rPr>
            </w:pPr>
            <w:r>
              <w:rPr>
                <w:sz w:val="20"/>
                <w:szCs w:val="20"/>
                <w:spacing w:val="5"/>
              </w:rPr>
              <w:t>达标</w:t>
            </w:r>
          </w:p>
        </w:tc>
      </w:tr>
    </w:tbl>
    <w:p>
      <w:pPr>
        <w:pStyle w:val="BodyText"/>
        <w:rPr/>
      </w:pPr>
      <w:r/>
    </w:p>
    <w:p>
      <w:pPr>
        <w:sectPr>
          <w:footerReference w:type="default" r:id="rId112"/>
          <w:pgSz w:w="11906" w:h="16839"/>
          <w:pgMar w:top="400" w:right="1695" w:bottom="1211" w:left="1693" w:header="0" w:footer="1049" w:gutter="0"/>
        </w:sectPr>
        <w:rPr/>
      </w:pPr>
    </w:p>
    <w:p>
      <w:pPr>
        <w:spacing w:before="19"/>
        <w:rPr/>
      </w:pPr>
      <w:r/>
    </w:p>
    <w:p>
      <w:pPr>
        <w:spacing w:before="19"/>
        <w:rPr/>
      </w:pPr>
      <w:r/>
    </w:p>
    <w:p>
      <w:pPr>
        <w:spacing w:before="18"/>
        <w:rPr/>
      </w:pPr>
      <w:r/>
    </w:p>
    <w:p>
      <w:pPr>
        <w:spacing w:before="18"/>
        <w:rPr/>
      </w:pPr>
      <w:r/>
    </w:p>
    <w:tbl>
      <w:tblPr>
        <w:tblStyle w:val="TableNormal"/>
        <w:tblW w:w="8516"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80"/>
        <w:gridCol w:w="863"/>
        <w:gridCol w:w="2441"/>
        <w:gridCol w:w="1033"/>
        <w:gridCol w:w="1033"/>
        <w:gridCol w:w="1532"/>
        <w:gridCol w:w="834"/>
      </w:tblGrid>
      <w:tr>
        <w:trPr>
          <w:trHeight w:val="400" w:hRule="atLeast"/>
        </w:trPr>
        <w:tc>
          <w:tcPr>
            <w:tcW w:w="780" w:type="dxa"/>
            <w:vAlign w:val="top"/>
            <w:tcBorders>
              <w:top w:val="single" w:color="000000" w:sz="10" w:space="0"/>
              <w:left w:val="nil"/>
            </w:tcBorders>
          </w:tcPr>
          <w:p>
            <w:pPr>
              <w:ind w:left="339"/>
              <w:spacing w:before="16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863" w:type="dxa"/>
            <w:vAlign w:val="top"/>
            <w:tcBorders>
              <w:top w:val="single" w:color="000000" w:sz="10" w:space="0"/>
            </w:tcBorders>
          </w:tcPr>
          <w:p>
            <w:pPr>
              <w:ind w:left="195"/>
              <w:spacing w:before="171" w:line="199"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z w:val="13"/>
                <w:szCs w:val="13"/>
                <w:spacing w:val="6"/>
                <w:position w:val="-1"/>
              </w:rPr>
              <w:t>2.5</w:t>
            </w:r>
          </w:p>
        </w:tc>
        <w:tc>
          <w:tcPr>
            <w:tcW w:w="2441" w:type="dxa"/>
            <w:vAlign w:val="top"/>
            <w:tcBorders>
              <w:top w:val="single" w:color="000000" w:sz="10" w:space="0"/>
            </w:tcBorders>
          </w:tcPr>
          <w:p>
            <w:pPr>
              <w:pStyle w:val="TableText"/>
              <w:ind w:left="910"/>
              <w:spacing w:before="132" w:line="228" w:lineRule="auto"/>
              <w:rPr>
                <w:sz w:val="20"/>
                <w:szCs w:val="20"/>
              </w:rPr>
            </w:pPr>
            <w:r>
              <w:rPr>
                <w:sz w:val="20"/>
                <w:szCs w:val="20"/>
                <w:spacing w:val="6"/>
              </w:rPr>
              <w:t>年平均</w:t>
            </w:r>
          </w:p>
        </w:tc>
        <w:tc>
          <w:tcPr>
            <w:tcW w:w="1033" w:type="dxa"/>
            <w:vAlign w:val="top"/>
            <w:tcBorders>
              <w:top w:val="single" w:color="000000" w:sz="10" w:space="0"/>
            </w:tcBorders>
          </w:tcPr>
          <w:p>
            <w:pPr>
              <w:ind w:left="417"/>
              <w:spacing w:before="16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1033" w:type="dxa"/>
            <w:vAlign w:val="top"/>
            <w:tcBorders>
              <w:top w:val="single" w:color="000000" w:sz="10" w:space="0"/>
            </w:tcBorders>
          </w:tcPr>
          <w:p>
            <w:pPr>
              <w:ind w:left="416"/>
              <w:spacing w:before="16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1532" w:type="dxa"/>
            <w:vAlign w:val="top"/>
            <w:tcBorders>
              <w:top w:val="single" w:color="000000" w:sz="10" w:space="0"/>
            </w:tcBorders>
          </w:tcPr>
          <w:p>
            <w:pPr>
              <w:ind w:left="498"/>
              <w:spacing w:before="16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105.71</w:t>
            </w:r>
          </w:p>
        </w:tc>
        <w:tc>
          <w:tcPr>
            <w:tcW w:w="834" w:type="dxa"/>
            <w:vAlign w:val="top"/>
            <w:tcBorders>
              <w:top w:val="single" w:color="000000" w:sz="10" w:space="0"/>
              <w:right w:val="nil"/>
            </w:tcBorders>
          </w:tcPr>
          <w:p>
            <w:pPr>
              <w:pStyle w:val="TableText"/>
              <w:ind w:left="211"/>
              <w:spacing w:before="132" w:line="228" w:lineRule="auto"/>
              <w:rPr>
                <w:sz w:val="20"/>
                <w:szCs w:val="20"/>
              </w:rPr>
            </w:pPr>
            <w:r>
              <w:rPr>
                <w:sz w:val="20"/>
                <w:szCs w:val="20"/>
                <w:spacing w:val="5"/>
              </w:rPr>
              <w:t>超标</w:t>
            </w:r>
          </w:p>
        </w:tc>
      </w:tr>
      <w:tr>
        <w:trPr>
          <w:trHeight w:val="357" w:hRule="atLeast"/>
        </w:trPr>
        <w:tc>
          <w:tcPr>
            <w:tcW w:w="780" w:type="dxa"/>
            <w:vAlign w:val="top"/>
            <w:tcBorders>
              <w:left w:val="nil"/>
            </w:tcBorders>
          </w:tcPr>
          <w:p>
            <w:pPr>
              <w:ind w:left="346"/>
              <w:spacing w:before="15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63" w:type="dxa"/>
            <w:vAlign w:val="top"/>
          </w:tcPr>
          <w:p>
            <w:pPr>
              <w:ind w:left="291"/>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CO</w:t>
            </w:r>
          </w:p>
        </w:tc>
        <w:tc>
          <w:tcPr>
            <w:tcW w:w="2441" w:type="dxa"/>
            <w:vAlign w:val="top"/>
          </w:tcPr>
          <w:p>
            <w:pPr>
              <w:pStyle w:val="TableText"/>
              <w:ind w:left="280"/>
              <w:spacing w:before="118" w:line="211" w:lineRule="auto"/>
              <w:rPr>
                <w:sz w:val="20"/>
                <w:szCs w:val="20"/>
              </w:rPr>
            </w:pPr>
            <w:r>
              <w:rPr>
                <w:rFonts w:ascii="Times New Roman" w:hAnsi="Times New Roman" w:eastAsia="Times New Roman" w:cs="Times New Roman"/>
                <w:sz w:val="20"/>
                <w:szCs w:val="20"/>
                <w:spacing w:val="7"/>
              </w:rPr>
              <w:t>95</w:t>
            </w:r>
            <w:r>
              <w:rPr>
                <w:sz w:val="20"/>
                <w:szCs w:val="20"/>
                <w:spacing w:val="7"/>
              </w:rPr>
              <w:t>百分位</w:t>
            </w:r>
            <w:r>
              <w:rPr>
                <w:rFonts w:ascii="Times New Roman" w:hAnsi="Times New Roman" w:eastAsia="Times New Roman" w:cs="Times New Roman"/>
                <w:sz w:val="20"/>
                <w:szCs w:val="20"/>
                <w:spacing w:val="7"/>
              </w:rPr>
              <w:t>24</w:t>
            </w:r>
            <w:r>
              <w:rPr>
                <w:sz w:val="20"/>
                <w:szCs w:val="20"/>
                <w:spacing w:val="7"/>
              </w:rPr>
              <w:t>小时平均</w:t>
            </w:r>
          </w:p>
        </w:tc>
        <w:tc>
          <w:tcPr>
            <w:tcW w:w="1033" w:type="dxa"/>
            <w:vAlign w:val="top"/>
          </w:tcPr>
          <w:p>
            <w:pPr>
              <w:ind w:left="306"/>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4000</w:t>
            </w:r>
          </w:p>
        </w:tc>
        <w:tc>
          <w:tcPr>
            <w:tcW w:w="1033" w:type="dxa"/>
            <w:vAlign w:val="top"/>
          </w:tcPr>
          <w:p>
            <w:pPr>
              <w:ind w:left="363"/>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900</w:t>
            </w:r>
          </w:p>
        </w:tc>
        <w:tc>
          <w:tcPr>
            <w:tcW w:w="1532" w:type="dxa"/>
            <w:vAlign w:val="top"/>
          </w:tcPr>
          <w:p>
            <w:pPr>
              <w:ind w:left="531"/>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22.50</w:t>
            </w:r>
          </w:p>
        </w:tc>
        <w:tc>
          <w:tcPr>
            <w:tcW w:w="834" w:type="dxa"/>
            <w:vAlign w:val="top"/>
            <w:tcBorders>
              <w:right w:val="nil"/>
            </w:tcBorders>
          </w:tcPr>
          <w:p>
            <w:pPr>
              <w:pStyle w:val="TableText"/>
              <w:ind w:left="211"/>
              <w:spacing w:before="118" w:line="211" w:lineRule="auto"/>
              <w:rPr>
                <w:sz w:val="20"/>
                <w:szCs w:val="20"/>
              </w:rPr>
            </w:pPr>
            <w:r>
              <w:rPr>
                <w:sz w:val="20"/>
                <w:szCs w:val="20"/>
                <w:spacing w:val="5"/>
              </w:rPr>
              <w:t>达标</w:t>
            </w:r>
          </w:p>
        </w:tc>
      </w:tr>
      <w:tr>
        <w:trPr>
          <w:trHeight w:val="381" w:hRule="atLeast"/>
        </w:trPr>
        <w:tc>
          <w:tcPr>
            <w:tcW w:w="780" w:type="dxa"/>
            <w:vAlign w:val="top"/>
            <w:tcBorders>
              <w:bottom w:val="single" w:color="000000" w:sz="10" w:space="0"/>
              <w:left w:val="nil"/>
            </w:tcBorders>
          </w:tcPr>
          <w:p>
            <w:pPr>
              <w:ind w:left="345"/>
              <w:spacing w:before="1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863" w:type="dxa"/>
            <w:vAlign w:val="top"/>
            <w:tcBorders>
              <w:bottom w:val="single" w:color="000000" w:sz="10" w:space="0"/>
            </w:tcBorders>
          </w:tcPr>
          <w:p>
            <w:pPr>
              <w:ind w:left="326"/>
              <w:spacing w:before="162"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O</w:t>
            </w:r>
            <w:r>
              <w:rPr>
                <w:rFonts w:ascii="Times New Roman" w:hAnsi="Times New Roman" w:eastAsia="Times New Roman" w:cs="Times New Roman"/>
                <w:sz w:val="13"/>
                <w:szCs w:val="13"/>
                <w:position w:val="-1"/>
              </w:rPr>
              <w:t>3</w:t>
            </w:r>
          </w:p>
        </w:tc>
        <w:tc>
          <w:tcPr>
            <w:tcW w:w="2441" w:type="dxa"/>
            <w:vAlign w:val="top"/>
            <w:tcBorders>
              <w:bottom w:val="single" w:color="000000" w:sz="10" w:space="0"/>
            </w:tcBorders>
          </w:tcPr>
          <w:p>
            <w:pPr>
              <w:pStyle w:val="TableText"/>
              <w:ind w:left="333"/>
              <w:spacing w:before="126" w:line="226" w:lineRule="auto"/>
              <w:rPr>
                <w:sz w:val="20"/>
                <w:szCs w:val="20"/>
              </w:rPr>
            </w:pPr>
            <w:r>
              <w:rPr>
                <w:rFonts w:ascii="Times New Roman" w:hAnsi="Times New Roman" w:eastAsia="Times New Roman" w:cs="Times New Roman"/>
                <w:sz w:val="20"/>
                <w:szCs w:val="20"/>
                <w:spacing w:val="7"/>
              </w:rPr>
              <w:t>90</w:t>
            </w:r>
            <w:r>
              <w:rPr>
                <w:sz w:val="20"/>
                <w:szCs w:val="20"/>
                <w:spacing w:val="7"/>
              </w:rPr>
              <w:t>百分位</w:t>
            </w:r>
            <w:r>
              <w:rPr>
                <w:rFonts w:ascii="Times New Roman" w:hAnsi="Times New Roman" w:eastAsia="Times New Roman" w:cs="Times New Roman"/>
                <w:sz w:val="20"/>
                <w:szCs w:val="20"/>
                <w:spacing w:val="7"/>
              </w:rPr>
              <w:t>8</w:t>
            </w:r>
            <w:r>
              <w:rPr>
                <w:sz w:val="20"/>
                <w:szCs w:val="20"/>
                <w:spacing w:val="7"/>
              </w:rPr>
              <w:t>小时平均</w:t>
            </w:r>
          </w:p>
        </w:tc>
        <w:tc>
          <w:tcPr>
            <w:tcW w:w="1033" w:type="dxa"/>
            <w:vAlign w:val="top"/>
            <w:tcBorders>
              <w:bottom w:val="single" w:color="000000" w:sz="10" w:space="0"/>
            </w:tcBorders>
          </w:tcPr>
          <w:p>
            <w:pPr>
              <w:ind w:left="380"/>
              <w:spacing w:before="1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160</w:t>
            </w:r>
          </w:p>
        </w:tc>
        <w:tc>
          <w:tcPr>
            <w:tcW w:w="1033" w:type="dxa"/>
            <w:vAlign w:val="top"/>
            <w:tcBorders>
              <w:bottom w:val="single" w:color="000000" w:sz="10" w:space="0"/>
            </w:tcBorders>
          </w:tcPr>
          <w:p>
            <w:pPr>
              <w:ind w:left="420"/>
              <w:spacing w:before="1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88</w:t>
            </w:r>
          </w:p>
        </w:tc>
        <w:tc>
          <w:tcPr>
            <w:tcW w:w="1532" w:type="dxa"/>
            <w:vAlign w:val="top"/>
            <w:tcBorders>
              <w:bottom w:val="single" w:color="000000" w:sz="10" w:space="0"/>
            </w:tcBorders>
          </w:tcPr>
          <w:p>
            <w:pPr>
              <w:ind w:left="537"/>
              <w:spacing w:before="1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55.00</w:t>
            </w:r>
          </w:p>
        </w:tc>
        <w:tc>
          <w:tcPr>
            <w:tcW w:w="834" w:type="dxa"/>
            <w:vAlign w:val="top"/>
            <w:tcBorders>
              <w:bottom w:val="single" w:color="000000" w:sz="10" w:space="0"/>
              <w:right w:val="nil"/>
            </w:tcBorders>
          </w:tcPr>
          <w:p>
            <w:pPr>
              <w:pStyle w:val="TableText"/>
              <w:ind w:left="211"/>
              <w:spacing w:before="126" w:line="226" w:lineRule="auto"/>
              <w:rPr>
                <w:sz w:val="20"/>
                <w:szCs w:val="20"/>
              </w:rPr>
            </w:pPr>
            <w:r>
              <w:rPr>
                <w:sz w:val="20"/>
                <w:szCs w:val="20"/>
                <w:spacing w:val="5"/>
              </w:rPr>
              <w:t>达标</w:t>
            </w:r>
          </w:p>
        </w:tc>
      </w:tr>
    </w:tbl>
    <w:p>
      <w:pPr>
        <w:ind w:left="103" w:right="84" w:firstLine="492"/>
        <w:spacing w:before="196" w:line="384" w:lineRule="auto"/>
        <w:jc w:val="both"/>
        <w:rPr>
          <w:rFonts w:ascii="SimSun" w:hAnsi="SimSun" w:eastAsia="SimSun" w:cs="SimSun"/>
          <w:sz w:val="24"/>
          <w:szCs w:val="24"/>
        </w:rPr>
      </w:pPr>
      <w:r>
        <w:rPr>
          <w:rFonts w:ascii="SimSun" w:hAnsi="SimSun" w:eastAsia="SimSun" w:cs="SimSun"/>
          <w:sz w:val="24"/>
          <w:szCs w:val="24"/>
          <w:spacing w:val="-2"/>
        </w:rPr>
        <w:t>根据表</w:t>
      </w:r>
      <w:r>
        <w:rPr>
          <w:rFonts w:ascii="Times New Roman" w:hAnsi="Times New Roman" w:eastAsia="Times New Roman" w:cs="Times New Roman"/>
          <w:sz w:val="24"/>
          <w:szCs w:val="24"/>
          <w:spacing w:val="-2"/>
        </w:rPr>
        <w:t>3.1-</w:t>
      </w:r>
      <w:r>
        <w:rPr>
          <w:rFonts w:ascii="Times New Roman" w:hAnsi="Times New Roman" w:eastAsia="Times New Roman" w:cs="Times New Roman"/>
          <w:sz w:val="24"/>
          <w:szCs w:val="24"/>
          <w:spacing w:val="-33"/>
        </w:rPr>
        <w:t xml:space="preserve"> </w:t>
      </w:r>
      <w:r>
        <w:rPr>
          <w:rFonts w:ascii="Times New Roman" w:hAnsi="Times New Roman" w:eastAsia="Times New Roman" w:cs="Times New Roman"/>
          <w:sz w:val="24"/>
          <w:szCs w:val="24"/>
          <w:spacing w:val="-2"/>
        </w:rPr>
        <w:t>1</w:t>
      </w:r>
      <w:r>
        <w:rPr>
          <w:rFonts w:ascii="SimSun" w:hAnsi="SimSun" w:eastAsia="SimSun" w:cs="SimSun"/>
          <w:sz w:val="24"/>
          <w:szCs w:val="24"/>
          <w:spacing w:val="-2"/>
        </w:rPr>
        <w:t>对基本污染物的年评价指标的分析结果，本项目所在区域</w:t>
      </w:r>
      <w:r>
        <w:rPr>
          <w:rFonts w:ascii="Times New Roman" w:hAnsi="Times New Roman" w:eastAsia="Times New Roman" w:cs="Times New Roman"/>
          <w:sz w:val="24"/>
          <w:szCs w:val="24"/>
          <w:spacing w:val="-3"/>
        </w:rPr>
        <w:t>SO2</w:t>
      </w:r>
      <w:r>
        <w:rPr>
          <w:rFonts w:ascii="SimSun" w:hAnsi="SimSun" w:eastAsia="SimSun" w:cs="SimSun"/>
          <w:sz w:val="24"/>
          <w:szCs w:val="24"/>
          <w:spacing w:val="-3"/>
        </w:rPr>
        <w:t>、</w:t>
      </w:r>
      <w:r>
        <w:rPr>
          <w:rFonts w:ascii="SimSun" w:hAnsi="SimSun" w:eastAsia="SimSun" w:cs="SimSun"/>
          <w:sz w:val="24"/>
          <w:szCs w:val="24"/>
        </w:rPr>
        <w:t xml:space="preserve"> </w:t>
      </w:r>
      <w:r>
        <w:rPr>
          <w:rFonts w:ascii="Times New Roman" w:hAnsi="Times New Roman" w:eastAsia="Times New Roman" w:cs="Times New Roman"/>
          <w:sz w:val="24"/>
          <w:szCs w:val="24"/>
          <w:spacing w:val="-1"/>
        </w:rPr>
        <w:t>NO2</w:t>
      </w:r>
      <w:r>
        <w:rPr>
          <w:rFonts w:ascii="Times New Roman" w:hAnsi="Times New Roman" w:eastAsia="Times New Roman" w:cs="Times New Roman"/>
          <w:sz w:val="24"/>
          <w:szCs w:val="24"/>
          <w:spacing w:val="-34"/>
        </w:rPr>
        <w:t xml:space="preserve"> </w:t>
      </w:r>
      <w:r>
        <w:rPr>
          <w:rFonts w:ascii="SimSun" w:hAnsi="SimSun" w:eastAsia="SimSun" w:cs="SimSun"/>
          <w:sz w:val="24"/>
          <w:szCs w:val="24"/>
          <w:spacing w:val="-1"/>
        </w:rPr>
        <w:t>、</w:t>
      </w:r>
      <w:r>
        <w:rPr>
          <w:rFonts w:ascii="Times New Roman" w:hAnsi="Times New Roman" w:eastAsia="Times New Roman" w:cs="Times New Roman"/>
          <w:sz w:val="24"/>
          <w:szCs w:val="24"/>
          <w:spacing w:val="-1"/>
        </w:rPr>
        <w:t>CO</w:t>
      </w:r>
      <w:r>
        <w:rPr>
          <w:rFonts w:ascii="SimSun" w:hAnsi="SimSun" w:eastAsia="SimSun" w:cs="SimSun"/>
          <w:sz w:val="24"/>
          <w:szCs w:val="24"/>
          <w:spacing w:val="-1"/>
        </w:rPr>
        <w:t>年评价和</w:t>
      </w:r>
      <w:r>
        <w:rPr>
          <w:rFonts w:ascii="Times New Roman" w:hAnsi="Times New Roman" w:eastAsia="Times New Roman" w:cs="Times New Roman"/>
          <w:sz w:val="24"/>
          <w:szCs w:val="24"/>
          <w:spacing w:val="-1"/>
        </w:rPr>
        <w:t>O3</w:t>
      </w:r>
      <w:r>
        <w:rPr>
          <w:rFonts w:ascii="SimSun" w:hAnsi="SimSun" w:eastAsia="SimSun" w:cs="SimSun"/>
          <w:sz w:val="24"/>
          <w:szCs w:val="24"/>
          <w:spacing w:val="-1"/>
        </w:rPr>
        <w:t>日最大</w:t>
      </w:r>
      <w:r>
        <w:rPr>
          <w:rFonts w:ascii="Times New Roman" w:hAnsi="Times New Roman" w:eastAsia="Times New Roman" w:cs="Times New Roman"/>
          <w:sz w:val="24"/>
          <w:szCs w:val="24"/>
          <w:spacing w:val="-1"/>
        </w:rPr>
        <w:t>8</w:t>
      </w:r>
      <w:r>
        <w:rPr>
          <w:rFonts w:ascii="SimSun" w:hAnsi="SimSun" w:eastAsia="SimSun" w:cs="SimSun"/>
          <w:sz w:val="24"/>
          <w:szCs w:val="24"/>
          <w:spacing w:val="-1"/>
        </w:rPr>
        <w:t>小时平均的指标为达标；</w:t>
      </w:r>
      <w:r>
        <w:rPr>
          <w:rFonts w:ascii="Times New Roman" w:hAnsi="Times New Roman" w:eastAsia="Times New Roman" w:cs="Times New Roman"/>
          <w:sz w:val="24"/>
          <w:szCs w:val="24"/>
          <w:spacing w:val="-1"/>
        </w:rPr>
        <w:t>PM2.5</w:t>
      </w:r>
      <w:r>
        <w:rPr>
          <w:rFonts w:ascii="Times New Roman" w:hAnsi="Times New Roman" w:eastAsia="Times New Roman" w:cs="Times New Roman"/>
          <w:sz w:val="24"/>
          <w:szCs w:val="24"/>
          <w:spacing w:val="-34"/>
        </w:rPr>
        <w:t xml:space="preserve"> </w:t>
      </w:r>
      <w:r>
        <w:rPr>
          <w:rFonts w:ascii="SimSun" w:hAnsi="SimSun" w:eastAsia="SimSun" w:cs="SimSun"/>
          <w:sz w:val="24"/>
          <w:szCs w:val="24"/>
          <w:spacing w:val="-2"/>
        </w:rPr>
        <w:t>、</w:t>
      </w:r>
      <w:r>
        <w:rPr>
          <w:rFonts w:ascii="Times New Roman" w:hAnsi="Times New Roman" w:eastAsia="Times New Roman" w:cs="Times New Roman"/>
          <w:sz w:val="24"/>
          <w:szCs w:val="24"/>
          <w:spacing w:val="-2"/>
        </w:rPr>
        <w:t>PM10</w:t>
      </w:r>
      <w:r>
        <w:rPr>
          <w:rFonts w:ascii="SimSun" w:hAnsi="SimSun" w:eastAsia="SimSun" w:cs="SimSun"/>
          <w:sz w:val="24"/>
          <w:szCs w:val="24"/>
          <w:spacing w:val="-2"/>
        </w:rPr>
        <w:t>的年评价</w:t>
      </w:r>
    </w:p>
    <w:p>
      <w:pPr>
        <w:ind w:left="118"/>
        <w:spacing w:line="220" w:lineRule="auto"/>
        <w:rPr>
          <w:rFonts w:ascii="SimSun" w:hAnsi="SimSun" w:eastAsia="SimSun" w:cs="SimSun"/>
          <w:sz w:val="24"/>
          <w:szCs w:val="24"/>
        </w:rPr>
      </w:pPr>
      <w:r>
        <w:rPr>
          <w:rFonts w:ascii="SimSun" w:hAnsi="SimSun" w:eastAsia="SimSun" w:cs="SimSun"/>
          <w:sz w:val="24"/>
          <w:szCs w:val="24"/>
          <w:spacing w:val="-1"/>
        </w:rPr>
        <w:t>指标均为超标。判定项目所在区域为非达标区。</w:t>
      </w:r>
    </w:p>
    <w:p>
      <w:pPr>
        <w:ind w:left="129" w:right="65" w:firstLine="464"/>
        <w:spacing w:before="215" w:line="384" w:lineRule="auto"/>
        <w:jc w:val="both"/>
        <w:rPr>
          <w:rFonts w:ascii="SimSun" w:hAnsi="SimSun" w:eastAsia="SimSun" w:cs="SimSun"/>
          <w:sz w:val="24"/>
          <w:szCs w:val="24"/>
        </w:rPr>
      </w:pPr>
      <w:r>
        <w:rPr>
          <w:rFonts w:ascii="SimSun" w:hAnsi="SimSun" w:eastAsia="SimSun" w:cs="SimSun"/>
          <w:sz w:val="24"/>
          <w:szCs w:val="24"/>
          <w:spacing w:val="-3"/>
        </w:rPr>
        <w:t>评价结果表明：本项目区域为非达标区，评价区域监测点环境空</w:t>
      </w:r>
      <w:r>
        <w:rPr>
          <w:rFonts w:ascii="SimSun" w:hAnsi="SimSun" w:eastAsia="SimSun" w:cs="SimSun"/>
          <w:sz w:val="24"/>
          <w:szCs w:val="24"/>
          <w:spacing w:val="-4"/>
        </w:rPr>
        <w:t>气质量指标</w:t>
      </w:r>
      <w:r>
        <w:rPr>
          <w:rFonts w:ascii="SimSun" w:hAnsi="SimSun" w:eastAsia="SimSun" w:cs="SimSun"/>
          <w:sz w:val="24"/>
          <w:szCs w:val="24"/>
        </w:rPr>
        <w:t xml:space="preserve"> </w:t>
      </w:r>
      <w:r>
        <w:rPr>
          <w:rFonts w:ascii="SimSun" w:hAnsi="SimSun" w:eastAsia="SimSun" w:cs="SimSun"/>
          <w:sz w:val="24"/>
          <w:szCs w:val="24"/>
          <w:spacing w:val="-1"/>
        </w:rPr>
        <w:t>除</w:t>
      </w:r>
      <w:r>
        <w:rPr>
          <w:rFonts w:ascii="Times New Roman" w:hAnsi="Times New Roman" w:eastAsia="Times New Roman" w:cs="Times New Roman"/>
          <w:sz w:val="24"/>
          <w:szCs w:val="24"/>
          <w:spacing w:val="-1"/>
        </w:rPr>
        <w:t>PM2.5</w:t>
      </w:r>
      <w:r>
        <w:rPr>
          <w:rFonts w:ascii="SimSun" w:hAnsi="SimSun" w:eastAsia="SimSun" w:cs="SimSun"/>
          <w:sz w:val="24"/>
          <w:szCs w:val="24"/>
          <w:spacing w:val="-1"/>
        </w:rPr>
        <w:t>、</w:t>
      </w:r>
      <w:r>
        <w:rPr>
          <w:rFonts w:ascii="Times New Roman" w:hAnsi="Times New Roman" w:eastAsia="Times New Roman" w:cs="Times New Roman"/>
          <w:sz w:val="24"/>
          <w:szCs w:val="24"/>
          <w:spacing w:val="-1"/>
        </w:rPr>
        <w:t>PM10</w:t>
      </w:r>
      <w:r>
        <w:rPr>
          <w:rFonts w:ascii="SimSun" w:hAnsi="SimSun" w:eastAsia="SimSun" w:cs="SimSun"/>
          <w:sz w:val="24"/>
          <w:szCs w:val="24"/>
          <w:spacing w:val="-1"/>
        </w:rPr>
        <w:t>外，基本污染物均符合《环境空气质量标准》（</w:t>
      </w:r>
      <w:r>
        <w:rPr>
          <w:rFonts w:ascii="Times New Roman" w:hAnsi="Times New Roman" w:eastAsia="Times New Roman" w:cs="Times New Roman"/>
          <w:sz w:val="24"/>
          <w:szCs w:val="24"/>
          <w:spacing w:val="-1"/>
        </w:rPr>
        <w:t>GB3095-20</w:t>
      </w:r>
      <w:r>
        <w:rPr>
          <w:rFonts w:ascii="Times New Roman" w:hAnsi="Times New Roman" w:eastAsia="Times New Roman" w:cs="Times New Roman"/>
          <w:sz w:val="24"/>
          <w:szCs w:val="24"/>
          <w:spacing w:val="-2"/>
        </w:rPr>
        <w:t>12</w:t>
      </w:r>
      <w:r>
        <w:rPr>
          <w:rFonts w:ascii="SimSun" w:hAnsi="SimSun" w:eastAsia="SimSun" w:cs="SimSun"/>
          <w:sz w:val="24"/>
          <w:szCs w:val="24"/>
          <w:spacing w:val="-2"/>
        </w:rPr>
        <w:t>）</w:t>
      </w:r>
    </w:p>
    <w:p>
      <w:pPr>
        <w:ind w:left="135"/>
        <w:spacing w:line="220" w:lineRule="auto"/>
        <w:rPr>
          <w:rFonts w:ascii="SimSun" w:hAnsi="SimSun" w:eastAsia="SimSun" w:cs="SimSun"/>
          <w:sz w:val="24"/>
          <w:szCs w:val="24"/>
        </w:rPr>
      </w:pPr>
      <w:r>
        <w:rPr>
          <w:rFonts w:ascii="SimSun" w:hAnsi="SimSun" w:eastAsia="SimSun" w:cs="SimSun"/>
          <w:sz w:val="24"/>
          <w:szCs w:val="24"/>
          <w:spacing w:val="-5"/>
        </w:rPr>
        <w:t>的二级标准。</w:t>
      </w:r>
    </w:p>
    <w:p>
      <w:pPr>
        <w:pStyle w:val="BodyText"/>
        <w:spacing w:line="375" w:lineRule="auto"/>
        <w:rPr/>
      </w:pPr>
      <w:r/>
    </w:p>
    <w:p>
      <w:pPr>
        <w:ind w:left="143"/>
        <w:spacing w:before="91" w:line="219" w:lineRule="auto"/>
        <w:outlineLvl w:val="0"/>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5"/>
        </w:rPr>
        <w:t>四、在总量控制标准中，表述为本项目无《新疆维吾尔自治区生态环</w:t>
      </w:r>
    </w:p>
    <w:p>
      <w:pPr>
        <w:ind w:left="118"/>
        <w:spacing w:before="226" w:line="220"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境保护“十四五</w:t>
      </w:r>
      <w:r>
        <w:rPr>
          <w:rFonts w:ascii="SimSun" w:hAnsi="SimSun" w:eastAsia="SimSun" w:cs="SimSun"/>
          <w:sz w:val="28"/>
          <w:szCs w:val="28"/>
          <w:spacing w:val="-100"/>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
        </w:rPr>
        <w:t>”规划》总量控制指标内容有误。请核实。</w:t>
      </w:r>
    </w:p>
    <w:p>
      <w:pPr>
        <w:ind w:left="621"/>
        <w:spacing w:before="213" w:line="219" w:lineRule="auto"/>
        <w:rPr>
          <w:rFonts w:ascii="Times New Roman" w:hAnsi="Times New Roman" w:eastAsia="Times New Roman" w:cs="Times New Roman"/>
          <w:sz w:val="24"/>
          <w:szCs w:val="24"/>
        </w:rPr>
      </w:pPr>
      <w:r>
        <w:rPr>
          <w:rFonts w:ascii="SimSun" w:hAnsi="SimSun" w:eastAsia="SimSun" w:cs="SimSun"/>
          <w:sz w:val="24"/>
          <w:szCs w:val="24"/>
          <w:spacing w:val="-5"/>
        </w:rPr>
        <w:t>已修改，见</w:t>
      </w:r>
      <w:r>
        <w:rPr>
          <w:rFonts w:ascii="Times New Roman" w:hAnsi="Times New Roman" w:eastAsia="Times New Roman" w:cs="Times New Roman"/>
          <w:sz w:val="24"/>
          <w:szCs w:val="24"/>
          <w:spacing w:val="-5"/>
        </w:rPr>
        <w:t>P36</w:t>
      </w:r>
    </w:p>
    <w:p>
      <w:pPr>
        <w:ind w:left="103" w:right="250" w:firstLine="491"/>
        <w:spacing w:before="217" w:line="384" w:lineRule="auto"/>
        <w:rPr>
          <w:rFonts w:ascii="SimSun" w:hAnsi="SimSun" w:eastAsia="SimSun" w:cs="SimSun"/>
          <w:sz w:val="24"/>
          <w:szCs w:val="24"/>
        </w:rPr>
      </w:pPr>
      <w:r>
        <w:rPr>
          <w:rFonts w:ascii="SimSun" w:hAnsi="SimSun" w:eastAsia="SimSun" w:cs="SimSun"/>
          <w:sz w:val="24"/>
          <w:szCs w:val="24"/>
        </w:rPr>
        <w:t>根据自治区党委自治区人民政府印发的《新疆维</w:t>
      </w:r>
      <w:r>
        <w:rPr>
          <w:rFonts w:ascii="SimSun" w:hAnsi="SimSun" w:eastAsia="SimSun" w:cs="SimSun"/>
          <w:sz w:val="24"/>
          <w:szCs w:val="24"/>
          <w:spacing w:val="-1"/>
        </w:rPr>
        <w:t>吾尔自治区生态环境保护</w:t>
      </w:r>
      <w:r>
        <w:rPr>
          <w:rFonts w:ascii="SimSun" w:hAnsi="SimSun" w:eastAsia="SimSun" w:cs="SimSun"/>
          <w:sz w:val="24"/>
          <w:szCs w:val="24"/>
        </w:rPr>
        <w:t xml:space="preserve"> </w:t>
      </w:r>
      <w:r>
        <w:rPr>
          <w:rFonts w:ascii="SimSun" w:hAnsi="SimSun" w:eastAsia="SimSun" w:cs="SimSun"/>
          <w:sz w:val="24"/>
          <w:szCs w:val="24"/>
          <w:spacing w:val="-3"/>
        </w:rPr>
        <w:t>“十四五</w:t>
      </w:r>
      <w:r>
        <w:rPr>
          <w:rFonts w:ascii="SimSun" w:hAnsi="SimSun" w:eastAsia="SimSun" w:cs="SimSun"/>
          <w:sz w:val="24"/>
          <w:szCs w:val="24"/>
          <w:spacing w:val="-81"/>
        </w:rPr>
        <w:t xml:space="preserve"> </w:t>
      </w:r>
      <w:r>
        <w:rPr>
          <w:rFonts w:ascii="SimSun" w:hAnsi="SimSun" w:eastAsia="SimSun" w:cs="SimSun"/>
          <w:sz w:val="24"/>
          <w:szCs w:val="24"/>
          <w:spacing w:val="-3"/>
        </w:rPr>
        <w:t>”规划》，新疆“十四五</w:t>
      </w:r>
      <w:r>
        <w:rPr>
          <w:rFonts w:ascii="SimSun" w:hAnsi="SimSun" w:eastAsia="SimSun" w:cs="SimSun"/>
          <w:sz w:val="24"/>
          <w:szCs w:val="24"/>
          <w:spacing w:val="-88"/>
        </w:rPr>
        <w:t xml:space="preserve"> </w:t>
      </w:r>
      <w:r>
        <w:rPr>
          <w:rFonts w:ascii="SimSun" w:hAnsi="SimSun" w:eastAsia="SimSun" w:cs="SimSun"/>
          <w:sz w:val="24"/>
          <w:szCs w:val="24"/>
          <w:spacing w:val="-3"/>
        </w:rPr>
        <w:t>”生态环境保护规划总量控制指标为</w:t>
      </w:r>
      <w:r>
        <w:rPr>
          <w:rFonts w:ascii="Times New Roman" w:hAnsi="Times New Roman" w:eastAsia="Times New Roman" w:cs="Times New Roman"/>
          <w:sz w:val="24"/>
          <w:szCs w:val="24"/>
          <w:spacing w:val="-3"/>
        </w:rPr>
        <w:t>COD</w:t>
      </w:r>
      <w:r>
        <w:rPr>
          <w:rFonts w:ascii="SimSun" w:hAnsi="SimSun" w:eastAsia="SimSun" w:cs="SimSun"/>
          <w:sz w:val="24"/>
          <w:szCs w:val="24"/>
          <w:spacing w:val="-3"/>
        </w:rPr>
        <w:t>、</w:t>
      </w:r>
    </w:p>
    <w:p>
      <w:pPr>
        <w:ind w:left="115"/>
        <w:spacing w:before="1" w:line="218" w:lineRule="auto"/>
        <w:rPr>
          <w:rFonts w:ascii="SimSun" w:hAnsi="SimSun" w:eastAsia="SimSun" w:cs="SimSun"/>
          <w:sz w:val="24"/>
          <w:szCs w:val="24"/>
        </w:rPr>
      </w:pPr>
      <w:r>
        <w:rPr>
          <w:rFonts w:ascii="SimSun" w:hAnsi="SimSun" w:eastAsia="SimSun" w:cs="SimSun"/>
          <w:sz w:val="24"/>
          <w:szCs w:val="24"/>
          <w:spacing w:val="-1"/>
        </w:rPr>
        <w:t>氨氮、氮氧化物和</w:t>
      </w:r>
      <w:r>
        <w:rPr>
          <w:rFonts w:ascii="Times New Roman" w:hAnsi="Times New Roman" w:eastAsia="Times New Roman" w:cs="Times New Roman"/>
          <w:sz w:val="24"/>
          <w:szCs w:val="24"/>
          <w:spacing w:val="-1"/>
        </w:rPr>
        <w:t>VOCs</w:t>
      </w:r>
      <w:r>
        <w:rPr>
          <w:rFonts w:ascii="SimSun" w:hAnsi="SimSun" w:eastAsia="SimSun" w:cs="SimSun"/>
          <w:sz w:val="24"/>
          <w:szCs w:val="24"/>
          <w:spacing w:val="-1"/>
        </w:rPr>
        <w:t>。</w:t>
      </w:r>
    </w:p>
    <w:p>
      <w:pPr>
        <w:ind w:left="115" w:right="104" w:firstLine="480"/>
        <w:spacing w:before="217" w:line="384" w:lineRule="auto"/>
        <w:rPr>
          <w:rFonts w:ascii="SimSun" w:hAnsi="SimSun" w:eastAsia="SimSun" w:cs="SimSun"/>
          <w:sz w:val="24"/>
          <w:szCs w:val="24"/>
        </w:rPr>
      </w:pPr>
      <w:r>
        <w:rPr>
          <w:rFonts w:ascii="SimSun" w:hAnsi="SimSun" w:eastAsia="SimSun" w:cs="SimSun"/>
          <w:sz w:val="24"/>
          <w:szCs w:val="24"/>
          <w:spacing w:val="-3"/>
        </w:rPr>
        <w:t>根据本项目污染物因子排放特点，本项目不新增二氧化硫、氮氧</w:t>
      </w:r>
      <w:r>
        <w:rPr>
          <w:rFonts w:ascii="SimSun" w:hAnsi="SimSun" w:eastAsia="SimSun" w:cs="SimSun"/>
          <w:sz w:val="24"/>
          <w:szCs w:val="24"/>
          <w:spacing w:val="-4"/>
        </w:rPr>
        <w:t>化物废气排</w:t>
      </w:r>
      <w:r>
        <w:rPr>
          <w:rFonts w:ascii="SimSun" w:hAnsi="SimSun" w:eastAsia="SimSun" w:cs="SimSun"/>
          <w:sz w:val="24"/>
          <w:szCs w:val="24"/>
        </w:rPr>
        <w:t xml:space="preserve"> </w:t>
      </w:r>
      <w:r>
        <w:rPr>
          <w:rFonts w:ascii="SimSun" w:hAnsi="SimSun" w:eastAsia="SimSun" w:cs="SimSun"/>
          <w:sz w:val="24"/>
          <w:szCs w:val="24"/>
          <w:spacing w:val="-1"/>
        </w:rPr>
        <w:t>放量，不新增废水排放量。故不考虑</w:t>
      </w:r>
      <w:r>
        <w:rPr>
          <w:rFonts w:ascii="Times New Roman" w:hAnsi="Times New Roman" w:eastAsia="Times New Roman" w:cs="Times New Roman"/>
          <w:sz w:val="24"/>
          <w:szCs w:val="24"/>
          <w:spacing w:val="-1"/>
        </w:rPr>
        <w:t>COD</w:t>
      </w:r>
      <w:r>
        <w:rPr>
          <w:rFonts w:ascii="Times New Roman" w:hAnsi="Times New Roman" w:eastAsia="Times New Roman" w:cs="Times New Roman"/>
          <w:sz w:val="24"/>
          <w:szCs w:val="24"/>
          <w:spacing w:val="-34"/>
        </w:rPr>
        <w:t xml:space="preserve"> </w:t>
      </w:r>
      <w:r>
        <w:rPr>
          <w:rFonts w:ascii="SimSun" w:hAnsi="SimSun" w:eastAsia="SimSun" w:cs="SimSun"/>
          <w:sz w:val="24"/>
          <w:szCs w:val="24"/>
          <w:spacing w:val="-1"/>
        </w:rPr>
        <w:t>、氨氮总量指标和二氧化硫、氮</w:t>
      </w:r>
      <w:r>
        <w:rPr>
          <w:rFonts w:ascii="SimSun" w:hAnsi="SimSun" w:eastAsia="SimSun" w:cs="SimSun"/>
          <w:sz w:val="24"/>
          <w:szCs w:val="24"/>
          <w:spacing w:val="-2"/>
        </w:rPr>
        <w:t>氧化</w:t>
      </w:r>
    </w:p>
    <w:p>
      <w:pPr>
        <w:ind w:left="115"/>
        <w:spacing w:line="220" w:lineRule="auto"/>
        <w:rPr>
          <w:rFonts w:ascii="SimSun" w:hAnsi="SimSun" w:eastAsia="SimSun" w:cs="SimSun"/>
          <w:sz w:val="24"/>
          <w:szCs w:val="24"/>
        </w:rPr>
      </w:pPr>
      <w:r>
        <w:rPr>
          <w:rFonts w:ascii="SimSun" w:hAnsi="SimSun" w:eastAsia="SimSun" w:cs="SimSun"/>
          <w:sz w:val="24"/>
          <w:szCs w:val="24"/>
          <w:spacing w:val="-2"/>
        </w:rPr>
        <w:t>物总量指标。</w:t>
      </w:r>
    </w:p>
    <w:p>
      <w:pPr>
        <w:ind w:left="125" w:right="191" w:firstLine="470"/>
        <w:spacing w:before="216" w:line="384" w:lineRule="auto"/>
        <w:rPr>
          <w:rFonts w:ascii="SimSun" w:hAnsi="SimSun" w:eastAsia="SimSun" w:cs="SimSun"/>
          <w:sz w:val="24"/>
          <w:szCs w:val="24"/>
        </w:rPr>
      </w:pPr>
      <w:r>
        <w:rPr>
          <w:rFonts w:ascii="SimSun" w:hAnsi="SimSun" w:eastAsia="SimSun" w:cs="SimSun"/>
          <w:sz w:val="24"/>
          <w:szCs w:val="24"/>
          <w:spacing w:val="-2"/>
        </w:rPr>
        <w:t>本项目需要申请总量控制指标的污染物为</w:t>
      </w:r>
      <w:r>
        <w:rPr>
          <w:rFonts w:ascii="Times New Roman" w:hAnsi="Times New Roman" w:eastAsia="Times New Roman" w:cs="Times New Roman"/>
          <w:sz w:val="24"/>
          <w:szCs w:val="24"/>
          <w:spacing w:val="-2"/>
        </w:rPr>
        <w:t>VOCs0.</w:t>
      </w:r>
      <w:r>
        <w:rPr>
          <w:rFonts w:ascii="Times New Roman" w:hAnsi="Times New Roman" w:eastAsia="Times New Roman" w:cs="Times New Roman"/>
          <w:sz w:val="24"/>
          <w:szCs w:val="24"/>
          <w:spacing w:val="-28"/>
        </w:rPr>
        <w:t xml:space="preserve"> </w:t>
      </w:r>
      <w:r>
        <w:rPr>
          <w:rFonts w:ascii="Times New Roman" w:hAnsi="Times New Roman" w:eastAsia="Times New Roman" w:cs="Times New Roman"/>
          <w:sz w:val="24"/>
          <w:szCs w:val="24"/>
          <w:spacing w:val="-2"/>
        </w:rPr>
        <w:t>15t/a</w:t>
      </w:r>
      <w:r>
        <w:rPr>
          <w:rFonts w:ascii="Times New Roman" w:hAnsi="Times New Roman" w:eastAsia="Times New Roman" w:cs="Times New Roman"/>
          <w:sz w:val="24"/>
          <w:szCs w:val="24"/>
          <w:spacing w:val="-28"/>
        </w:rPr>
        <w:t xml:space="preserve"> </w:t>
      </w:r>
      <w:r>
        <w:rPr>
          <w:rFonts w:ascii="SimSun" w:hAnsi="SimSun" w:eastAsia="SimSun" w:cs="SimSun"/>
          <w:sz w:val="24"/>
          <w:szCs w:val="24"/>
          <w:spacing w:val="-2"/>
        </w:rPr>
        <w:t>。需执行倍量替代，</w:t>
      </w:r>
      <w:r>
        <w:rPr>
          <w:rFonts w:ascii="SimSun" w:hAnsi="SimSun" w:eastAsia="SimSun" w:cs="SimSun"/>
          <w:sz w:val="24"/>
          <w:szCs w:val="24"/>
        </w:rPr>
        <w:t xml:space="preserve"> </w:t>
      </w:r>
      <w:r>
        <w:rPr>
          <w:rFonts w:ascii="SimSun" w:hAnsi="SimSun" w:eastAsia="SimSun" w:cs="SimSun"/>
          <w:sz w:val="24"/>
          <w:szCs w:val="24"/>
          <w:spacing w:val="-1"/>
        </w:rPr>
        <w:t>替代总量为</w:t>
      </w:r>
      <w:r>
        <w:rPr>
          <w:rFonts w:ascii="Times New Roman" w:hAnsi="Times New Roman" w:eastAsia="Times New Roman" w:cs="Times New Roman"/>
          <w:sz w:val="24"/>
          <w:szCs w:val="24"/>
          <w:spacing w:val="-1"/>
        </w:rPr>
        <w:t>0.3t/a</w:t>
      </w:r>
      <w:r>
        <w:rPr>
          <w:rFonts w:ascii="Times New Roman" w:hAnsi="Times New Roman" w:eastAsia="Times New Roman" w:cs="Times New Roman"/>
          <w:sz w:val="24"/>
          <w:szCs w:val="24"/>
          <w:spacing w:val="-28"/>
        </w:rPr>
        <w:t xml:space="preserve"> </w:t>
      </w:r>
      <w:r>
        <w:rPr>
          <w:rFonts w:ascii="SimSun" w:hAnsi="SimSun" w:eastAsia="SimSun" w:cs="SimSun"/>
          <w:sz w:val="24"/>
          <w:szCs w:val="24"/>
          <w:spacing w:val="-1"/>
        </w:rPr>
        <w:t>。企业向当地生态环境部门</w:t>
      </w:r>
      <w:r>
        <w:rPr>
          <w:rFonts w:ascii="SimSun" w:hAnsi="SimSun" w:eastAsia="SimSun" w:cs="SimSun"/>
          <w:sz w:val="24"/>
          <w:szCs w:val="24"/>
          <w:spacing w:val="-2"/>
        </w:rPr>
        <w:t>申请，由当地环保部门调控进行倍</w:t>
      </w:r>
    </w:p>
    <w:p>
      <w:pPr>
        <w:ind w:left="115"/>
        <w:spacing w:line="219" w:lineRule="auto"/>
        <w:rPr>
          <w:rFonts w:ascii="SimSun" w:hAnsi="SimSun" w:eastAsia="SimSun" w:cs="SimSun"/>
          <w:sz w:val="24"/>
          <w:szCs w:val="24"/>
        </w:rPr>
      </w:pPr>
      <w:r>
        <w:rPr>
          <w:rFonts w:ascii="SimSun" w:hAnsi="SimSun" w:eastAsia="SimSun" w:cs="SimSun"/>
          <w:sz w:val="24"/>
          <w:szCs w:val="24"/>
          <w:spacing w:val="-3"/>
        </w:rPr>
        <w:t>量替代。</w:t>
      </w:r>
    </w:p>
    <w:p>
      <w:pPr>
        <w:pStyle w:val="BodyText"/>
        <w:spacing w:line="346" w:lineRule="auto"/>
        <w:rPr/>
      </w:pPr>
      <w:r/>
    </w:p>
    <w:p>
      <w:pPr>
        <w:pStyle w:val="BodyText"/>
        <w:spacing w:line="347" w:lineRule="auto"/>
        <w:rPr/>
      </w:pPr>
      <w:r/>
    </w:p>
    <w:p>
      <w:pPr>
        <w:ind w:left="121"/>
        <w:spacing w:before="92" w:line="219" w:lineRule="auto"/>
        <w:outlineLvl w:val="0"/>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4"/>
        </w:rPr>
        <w:t>五、采用活性炭吸附去除非甲烷总烃，要分析说明活性炭随吸附时间</w:t>
      </w:r>
    </w:p>
    <w:p>
      <w:pPr>
        <w:ind w:left="118"/>
        <w:spacing w:before="226" w:line="562" w:lineRule="exact"/>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position w:val="21"/>
        </w:rPr>
        <w:t>延长其吸附效率是否会降低，能否保证非甲烷总烃持续稳定达标排</w:t>
      </w:r>
    </w:p>
    <w:p>
      <w:pPr>
        <w:ind w:left="116"/>
        <w:spacing w:before="1" w:line="220"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放。请核实。</w:t>
      </w:r>
    </w:p>
    <w:p>
      <w:pPr>
        <w:ind w:left="621"/>
        <w:spacing w:before="212" w:line="219" w:lineRule="auto"/>
        <w:rPr>
          <w:rFonts w:ascii="Times New Roman" w:hAnsi="Times New Roman" w:eastAsia="Times New Roman" w:cs="Times New Roman"/>
          <w:sz w:val="24"/>
          <w:szCs w:val="24"/>
        </w:rPr>
      </w:pPr>
      <w:r>
        <w:rPr>
          <w:rFonts w:ascii="SimSun" w:hAnsi="SimSun" w:eastAsia="SimSun" w:cs="SimSun"/>
          <w:sz w:val="24"/>
          <w:szCs w:val="24"/>
          <w:spacing w:val="-5"/>
        </w:rPr>
        <w:t>已修改，见</w:t>
      </w:r>
      <w:r>
        <w:rPr>
          <w:rFonts w:ascii="Times New Roman" w:hAnsi="Times New Roman" w:eastAsia="Times New Roman" w:cs="Times New Roman"/>
          <w:sz w:val="24"/>
          <w:szCs w:val="24"/>
          <w:spacing w:val="-5"/>
        </w:rPr>
        <w:t>P50</w:t>
      </w:r>
    </w:p>
    <w:p>
      <w:pPr>
        <w:ind w:left="594"/>
        <w:spacing w:before="214" w:line="217" w:lineRule="auto"/>
        <w:rPr>
          <w:rFonts w:ascii="SimSun" w:hAnsi="SimSun" w:eastAsia="SimSun" w:cs="SimSun"/>
          <w:sz w:val="24"/>
          <w:szCs w:val="24"/>
        </w:rPr>
      </w:pPr>
      <w:r>
        <w:rPr>
          <w:rFonts w:ascii="SimSun" w:hAnsi="SimSun" w:eastAsia="SimSun" w:cs="SimSun"/>
          <w:sz w:val="24"/>
          <w:szCs w:val="24"/>
          <w:spacing w:val="-1"/>
        </w:rPr>
        <w:t>①废气治理装置产生危险废物</w:t>
      </w:r>
    </w:p>
    <w:p>
      <w:pPr>
        <w:spacing w:line="217" w:lineRule="auto"/>
        <w:sectPr>
          <w:footerReference w:type="default" r:id="rId113"/>
          <w:pgSz w:w="11906" w:h="16839"/>
          <w:pgMar w:top="400" w:right="1695" w:bottom="1211" w:left="1693" w:header="0" w:footer="1049" w:gutter="0"/>
        </w:sectPr>
        <w:rPr>
          <w:rFonts w:ascii="SimSun" w:hAnsi="SimSun" w:eastAsia="SimSun" w:cs="SimSun"/>
          <w:sz w:val="24"/>
          <w:szCs w:val="24"/>
        </w:rPr>
      </w:pPr>
    </w:p>
    <w:p>
      <w:pPr>
        <w:pStyle w:val="BodyText"/>
        <w:spacing w:line="287" w:lineRule="auto"/>
        <w:rPr/>
      </w:pPr>
      <w:r/>
    </w:p>
    <w:p>
      <w:pPr>
        <w:pStyle w:val="BodyText"/>
        <w:spacing w:line="287" w:lineRule="auto"/>
        <w:rPr/>
      </w:pPr>
      <w:r/>
    </w:p>
    <w:p>
      <w:pPr>
        <w:pStyle w:val="BodyText"/>
        <w:spacing w:line="288" w:lineRule="auto"/>
        <w:rPr/>
      </w:pPr>
      <w:r/>
    </w:p>
    <w:p>
      <w:pPr>
        <w:pStyle w:val="BodyText"/>
        <w:spacing w:line="288" w:lineRule="auto"/>
        <w:rPr/>
      </w:pPr>
      <w:r/>
    </w:p>
    <w:p>
      <w:pPr>
        <w:ind w:left="25" w:right="61" w:firstLine="479"/>
        <w:spacing w:before="78" w:line="384" w:lineRule="auto"/>
        <w:rPr>
          <w:rFonts w:ascii="SimSun" w:hAnsi="SimSun" w:eastAsia="SimSun" w:cs="SimSun"/>
          <w:sz w:val="24"/>
          <w:szCs w:val="24"/>
        </w:rPr>
      </w:pPr>
      <w:r>
        <w:rPr>
          <w:rFonts w:ascii="SimSun" w:hAnsi="SimSun" w:eastAsia="SimSun" w:cs="SimSun"/>
          <w:sz w:val="24"/>
          <w:szCs w:val="24"/>
          <w:spacing w:val="-3"/>
        </w:rPr>
        <w:t>本项目有机废气处理装置产生的废催化剂、废活性炭和空压机</w:t>
      </w:r>
      <w:r>
        <w:rPr>
          <w:rFonts w:ascii="SimSun" w:hAnsi="SimSun" w:eastAsia="SimSun" w:cs="SimSun"/>
          <w:sz w:val="24"/>
          <w:szCs w:val="24"/>
          <w:spacing w:val="-4"/>
        </w:rPr>
        <w:t>更换的废机油</w:t>
      </w:r>
      <w:r>
        <w:rPr>
          <w:rFonts w:ascii="SimSun" w:hAnsi="SimSun" w:eastAsia="SimSun" w:cs="SimSun"/>
          <w:sz w:val="24"/>
          <w:szCs w:val="24"/>
        </w:rPr>
        <w:t xml:space="preserve"> </w:t>
      </w:r>
      <w:r>
        <w:rPr>
          <w:rFonts w:ascii="SimSun" w:hAnsi="SimSun" w:eastAsia="SimSun" w:cs="SimSun"/>
          <w:sz w:val="24"/>
          <w:szCs w:val="24"/>
          <w:spacing w:val="-3"/>
        </w:rPr>
        <w:t>属于危险废物。建设单位依托企业已建一座</w:t>
      </w:r>
      <w:r>
        <w:rPr>
          <w:rFonts w:ascii="Times New Roman" w:hAnsi="Times New Roman" w:eastAsia="Times New Roman" w:cs="Times New Roman"/>
          <w:sz w:val="24"/>
          <w:szCs w:val="24"/>
          <w:spacing w:val="-3"/>
        </w:rPr>
        <w:t>15</w:t>
      </w:r>
      <w:r>
        <w:rPr>
          <w:rFonts w:ascii="SimSun" w:hAnsi="SimSun" w:eastAsia="SimSun" w:cs="SimSun"/>
          <w:sz w:val="24"/>
          <w:szCs w:val="24"/>
          <w:spacing w:val="-3"/>
        </w:rPr>
        <w:t>㎡危废暂存间，危险废物用密闭容</w:t>
      </w:r>
    </w:p>
    <w:p>
      <w:pPr>
        <w:ind w:left="23"/>
        <w:spacing w:line="219" w:lineRule="auto"/>
        <w:rPr>
          <w:rFonts w:ascii="SimSun" w:hAnsi="SimSun" w:eastAsia="SimSun" w:cs="SimSun"/>
          <w:sz w:val="24"/>
          <w:szCs w:val="24"/>
        </w:rPr>
      </w:pPr>
      <w:r>
        <w:rPr>
          <w:rFonts w:ascii="SimSun" w:hAnsi="SimSun" w:eastAsia="SimSun" w:cs="SimSun"/>
          <w:sz w:val="24"/>
          <w:szCs w:val="24"/>
          <w:spacing w:val="-1"/>
        </w:rPr>
        <w:t>器收集后，置于危废暂存间内，定期交由有资质单位处置。</w:t>
      </w:r>
    </w:p>
    <w:p>
      <w:pPr>
        <w:ind w:left="27" w:right="61" w:firstLine="477"/>
        <w:spacing w:before="217" w:line="367" w:lineRule="auto"/>
        <w:rPr>
          <w:rFonts w:ascii="SimSun" w:hAnsi="SimSun" w:eastAsia="SimSun" w:cs="SimSun"/>
          <w:sz w:val="24"/>
          <w:szCs w:val="24"/>
        </w:rPr>
      </w:pPr>
      <w:r>
        <w:rPr>
          <w:rFonts w:ascii="SimSun" w:hAnsi="SimSun" w:eastAsia="SimSun" w:cs="SimSun"/>
          <w:sz w:val="24"/>
          <w:szCs w:val="24"/>
          <w:spacing w:val="-3"/>
        </w:rPr>
        <w:t>本项目有机废气处理采用活性炭吸附</w:t>
      </w:r>
      <w:r>
        <w:rPr>
          <w:rFonts w:ascii="Times New Roman" w:hAnsi="Times New Roman" w:eastAsia="Times New Roman" w:cs="Times New Roman"/>
          <w:sz w:val="24"/>
          <w:szCs w:val="24"/>
          <w:spacing w:val="-3"/>
        </w:rPr>
        <w:t>+</w:t>
      </w:r>
      <w:r>
        <w:rPr>
          <w:rFonts w:ascii="SimSun" w:hAnsi="SimSun" w:eastAsia="SimSun" w:cs="SimSun"/>
          <w:sz w:val="24"/>
          <w:szCs w:val="24"/>
          <w:spacing w:val="-3"/>
        </w:rPr>
        <w:t>直接催化燃烧装置（</w:t>
      </w:r>
      <w:r>
        <w:rPr>
          <w:rFonts w:ascii="Times New Roman" w:hAnsi="Times New Roman" w:eastAsia="Times New Roman" w:cs="Times New Roman"/>
          <w:sz w:val="24"/>
          <w:szCs w:val="24"/>
          <w:spacing w:val="-3"/>
        </w:rPr>
        <w:t>CO</w:t>
      </w:r>
      <w:r>
        <w:rPr>
          <w:rFonts w:ascii="SimSun" w:hAnsi="SimSun" w:eastAsia="SimSun" w:cs="SimSun"/>
          <w:sz w:val="24"/>
          <w:szCs w:val="24"/>
          <w:spacing w:val="-3"/>
        </w:rPr>
        <w:t>）装置，活性</w:t>
      </w:r>
      <w:r>
        <w:rPr>
          <w:rFonts w:ascii="SimSun" w:hAnsi="SimSun" w:eastAsia="SimSun" w:cs="SimSun"/>
          <w:sz w:val="24"/>
          <w:szCs w:val="24"/>
          <w:spacing w:val="8"/>
        </w:rPr>
        <w:t xml:space="preserve"> </w:t>
      </w:r>
      <w:r>
        <w:rPr>
          <w:rFonts w:ascii="SimSun" w:hAnsi="SimSun" w:eastAsia="SimSun" w:cs="SimSun"/>
          <w:sz w:val="24"/>
          <w:szCs w:val="24"/>
          <w:spacing w:val="-2"/>
        </w:rPr>
        <w:t>炭吸附箱截面积为</w:t>
      </w:r>
      <w:r>
        <w:rPr>
          <w:rFonts w:ascii="Times New Roman" w:hAnsi="Times New Roman" w:eastAsia="Times New Roman" w:cs="Times New Roman"/>
          <w:sz w:val="24"/>
          <w:szCs w:val="24"/>
          <w:spacing w:val="-2"/>
        </w:rPr>
        <w:t>4.84</w:t>
      </w:r>
      <w:r>
        <w:rPr>
          <w:rFonts w:ascii="SimSun" w:hAnsi="SimSun" w:eastAsia="SimSun" w:cs="SimSun"/>
          <w:sz w:val="24"/>
          <w:szCs w:val="24"/>
          <w:spacing w:val="-2"/>
        </w:rPr>
        <w:t>㎡，装填高度</w:t>
      </w:r>
      <w:r>
        <w:rPr>
          <w:rFonts w:ascii="Times New Roman" w:hAnsi="Times New Roman" w:eastAsia="Times New Roman" w:cs="Times New Roman"/>
          <w:sz w:val="24"/>
          <w:szCs w:val="24"/>
          <w:spacing w:val="-2"/>
        </w:rPr>
        <w:t>800mm</w:t>
      </w:r>
      <w:r>
        <w:rPr>
          <w:rFonts w:ascii="SimSun" w:hAnsi="SimSun" w:eastAsia="SimSun" w:cs="SimSun"/>
          <w:sz w:val="24"/>
          <w:szCs w:val="24"/>
          <w:spacing w:val="-2"/>
        </w:rPr>
        <w:t>，单个活性炭吸附箱活性炭装填量为</w:t>
      </w:r>
    </w:p>
    <w:p>
      <w:pPr>
        <w:ind w:left="17"/>
        <w:spacing w:line="322" w:lineRule="exact"/>
        <w:rPr>
          <w:rFonts w:ascii="SimSun" w:hAnsi="SimSun" w:eastAsia="SimSun" w:cs="SimSun"/>
          <w:sz w:val="24"/>
          <w:szCs w:val="24"/>
        </w:rPr>
      </w:pPr>
      <w:r>
        <w:rPr>
          <w:rFonts w:ascii="Times New Roman" w:hAnsi="Times New Roman" w:eastAsia="Times New Roman" w:cs="Times New Roman"/>
          <w:sz w:val="24"/>
          <w:szCs w:val="24"/>
          <w:spacing w:val="-1"/>
          <w:position w:val="1"/>
        </w:rPr>
        <w:t>4.84×0.8=3.872m</w:t>
      </w:r>
      <w:r>
        <w:rPr>
          <w:rFonts w:ascii="SimSun" w:hAnsi="SimSun" w:eastAsia="SimSun" w:cs="SimSun"/>
          <w:sz w:val="24"/>
          <w:szCs w:val="24"/>
          <w:spacing w:val="-1"/>
          <w:position w:val="1"/>
        </w:rPr>
        <w:t>³。</w:t>
      </w:r>
    </w:p>
    <w:p>
      <w:pPr>
        <w:ind w:left="509"/>
        <w:spacing w:before="222" w:line="499" w:lineRule="exact"/>
        <w:rPr>
          <w:rFonts w:ascii="SimSun" w:hAnsi="SimSun" w:eastAsia="SimSun" w:cs="SimSun"/>
          <w:sz w:val="24"/>
          <w:szCs w:val="24"/>
        </w:rPr>
      </w:pPr>
      <w:r>
        <w:rPr>
          <w:rFonts w:ascii="SimSun" w:hAnsi="SimSun" w:eastAsia="SimSun" w:cs="SimSun"/>
          <w:sz w:val="24"/>
          <w:szCs w:val="24"/>
          <w:spacing w:val="-1"/>
          <w:position w:val="19"/>
        </w:rPr>
        <w:t>结合实验室测试和工程经验数据，蜂窝活性炭动态吸附量按</w:t>
      </w:r>
      <w:r>
        <w:rPr>
          <w:rFonts w:ascii="Times New Roman" w:hAnsi="Times New Roman" w:eastAsia="Times New Roman" w:cs="Times New Roman"/>
          <w:sz w:val="24"/>
          <w:szCs w:val="24"/>
          <w:spacing w:val="-1"/>
          <w:position w:val="19"/>
        </w:rPr>
        <w:t>4%</w:t>
      </w:r>
      <w:r>
        <w:rPr>
          <w:rFonts w:ascii="SimSun" w:hAnsi="SimSun" w:eastAsia="SimSun" w:cs="SimSun"/>
          <w:sz w:val="24"/>
          <w:szCs w:val="24"/>
          <w:spacing w:val="-1"/>
          <w:position w:val="19"/>
        </w:rPr>
        <w:t>设计，蜂窝</w:t>
      </w:r>
    </w:p>
    <w:p>
      <w:pPr>
        <w:ind w:left="27"/>
        <w:spacing w:line="212" w:lineRule="auto"/>
        <w:rPr>
          <w:rFonts w:ascii="SimSun" w:hAnsi="SimSun" w:eastAsia="SimSun" w:cs="SimSun"/>
          <w:sz w:val="24"/>
          <w:szCs w:val="24"/>
        </w:rPr>
      </w:pPr>
      <w:r>
        <w:rPr>
          <w:rFonts w:ascii="SimSun" w:hAnsi="SimSun" w:eastAsia="SimSun" w:cs="SimSun"/>
          <w:sz w:val="24"/>
          <w:szCs w:val="24"/>
          <w:spacing w:val="-2"/>
        </w:rPr>
        <w:t>活性炭密度</w:t>
      </w:r>
      <w:r>
        <w:rPr>
          <w:rFonts w:ascii="Times New Roman" w:hAnsi="Times New Roman" w:eastAsia="Times New Roman" w:cs="Times New Roman"/>
          <w:sz w:val="24"/>
          <w:szCs w:val="24"/>
          <w:spacing w:val="-2"/>
        </w:rPr>
        <w:t>450kg/m</w:t>
      </w:r>
      <w:r>
        <w:rPr>
          <w:rFonts w:ascii="SimSun" w:hAnsi="SimSun" w:eastAsia="SimSun" w:cs="SimSun"/>
          <w:sz w:val="24"/>
          <w:szCs w:val="24"/>
          <w:spacing w:val="-2"/>
        </w:rPr>
        <w:t>³,</w:t>
      </w:r>
      <w:r>
        <w:rPr>
          <w:rFonts w:ascii="SimSun" w:hAnsi="SimSun" w:eastAsia="SimSun" w:cs="SimSun"/>
          <w:sz w:val="24"/>
          <w:szCs w:val="24"/>
          <w:spacing w:val="73"/>
        </w:rPr>
        <w:t xml:space="preserve"> </w:t>
      </w:r>
      <w:r>
        <w:rPr>
          <w:rFonts w:ascii="SimSun" w:hAnsi="SimSun" w:eastAsia="SimSun" w:cs="SimSun"/>
          <w:sz w:val="24"/>
          <w:szCs w:val="24"/>
          <w:spacing w:val="-2"/>
        </w:rPr>
        <w:t>单个活性炭吸附箱活性炭重量为</w:t>
      </w:r>
      <w:r>
        <w:rPr>
          <w:rFonts w:ascii="Times New Roman" w:hAnsi="Times New Roman" w:eastAsia="Times New Roman" w:cs="Times New Roman"/>
          <w:sz w:val="24"/>
          <w:szCs w:val="24"/>
          <w:spacing w:val="-2"/>
        </w:rPr>
        <w:t>450kg/m</w:t>
      </w:r>
      <w:r>
        <w:rPr>
          <w:rFonts w:ascii="SimSun" w:hAnsi="SimSun" w:eastAsia="SimSun" w:cs="SimSun"/>
          <w:sz w:val="24"/>
          <w:szCs w:val="24"/>
          <w:spacing w:val="-2"/>
        </w:rPr>
        <w:t>³</w:t>
      </w:r>
      <w:r>
        <w:rPr>
          <w:rFonts w:ascii="Times New Roman" w:hAnsi="Times New Roman" w:eastAsia="Times New Roman" w:cs="Times New Roman"/>
          <w:sz w:val="24"/>
          <w:szCs w:val="24"/>
          <w:spacing w:val="-2"/>
        </w:rPr>
        <w:t>×3.872m</w:t>
      </w:r>
      <w:r>
        <w:rPr>
          <w:rFonts w:ascii="SimSun" w:hAnsi="SimSun" w:eastAsia="SimSun" w:cs="SimSun"/>
          <w:sz w:val="24"/>
          <w:szCs w:val="24"/>
          <w:spacing w:val="-2"/>
        </w:rPr>
        <w:t>³</w:t>
      </w:r>
    </w:p>
    <w:p>
      <w:pPr>
        <w:ind w:left="18"/>
        <w:spacing w:before="180" w:line="323" w:lineRule="exact"/>
        <w:rPr>
          <w:rFonts w:ascii="SimSun" w:hAnsi="SimSun" w:eastAsia="SimSun" w:cs="SimSun"/>
          <w:sz w:val="24"/>
          <w:szCs w:val="24"/>
        </w:rPr>
      </w:pPr>
      <w:r>
        <w:rPr>
          <w:rFonts w:ascii="Times New Roman" w:hAnsi="Times New Roman" w:eastAsia="Times New Roman" w:cs="Times New Roman"/>
          <w:sz w:val="24"/>
          <w:szCs w:val="24"/>
          <w:spacing w:val="-2"/>
          <w:position w:val="2"/>
        </w:rPr>
        <w:t>=</w:t>
      </w:r>
      <w:r>
        <w:rPr>
          <w:rFonts w:ascii="Times New Roman" w:hAnsi="Times New Roman" w:eastAsia="Times New Roman" w:cs="Times New Roman"/>
          <w:sz w:val="24"/>
          <w:szCs w:val="24"/>
          <w:spacing w:val="-28"/>
          <w:position w:val="2"/>
        </w:rPr>
        <w:t xml:space="preserve"> </w:t>
      </w:r>
      <w:r>
        <w:rPr>
          <w:rFonts w:ascii="Times New Roman" w:hAnsi="Times New Roman" w:eastAsia="Times New Roman" w:cs="Times New Roman"/>
          <w:sz w:val="24"/>
          <w:szCs w:val="24"/>
          <w:spacing w:val="-2"/>
          <w:position w:val="2"/>
        </w:rPr>
        <w:t>1754.4kg</w:t>
      </w:r>
      <w:r>
        <w:rPr>
          <w:rFonts w:ascii="Times New Roman" w:hAnsi="Times New Roman" w:eastAsia="Times New Roman" w:cs="Times New Roman"/>
          <w:sz w:val="24"/>
          <w:szCs w:val="24"/>
          <w:spacing w:val="-31"/>
          <w:position w:val="2"/>
        </w:rPr>
        <w:t xml:space="preserve"> </w:t>
      </w:r>
      <w:r>
        <w:rPr>
          <w:rFonts w:ascii="SimSun" w:hAnsi="SimSun" w:eastAsia="SimSun" w:cs="SimSun"/>
          <w:sz w:val="24"/>
          <w:szCs w:val="24"/>
          <w:spacing w:val="-2"/>
          <w:position w:val="2"/>
        </w:rPr>
        <w:t>，达到动态吸附饱和，单个床体可以吸附的</w:t>
      </w:r>
      <w:r>
        <w:rPr>
          <w:rFonts w:ascii="Times New Roman" w:hAnsi="Times New Roman" w:eastAsia="Times New Roman" w:cs="Times New Roman"/>
          <w:sz w:val="24"/>
          <w:szCs w:val="24"/>
          <w:spacing w:val="-2"/>
          <w:position w:val="2"/>
        </w:rPr>
        <w:t>VOCs</w:t>
      </w:r>
      <w:r>
        <w:rPr>
          <w:rFonts w:ascii="SimSun" w:hAnsi="SimSun" w:eastAsia="SimSun" w:cs="SimSun"/>
          <w:sz w:val="24"/>
          <w:szCs w:val="24"/>
          <w:spacing w:val="-2"/>
          <w:position w:val="2"/>
        </w:rPr>
        <w:t>量为</w:t>
      </w:r>
    </w:p>
    <w:p>
      <w:pPr>
        <w:ind w:left="18"/>
        <w:spacing w:before="177" w:line="501" w:lineRule="exact"/>
        <w:rPr>
          <w:rFonts w:ascii="SimSun" w:hAnsi="SimSun" w:eastAsia="SimSun" w:cs="SimSun"/>
          <w:sz w:val="24"/>
          <w:szCs w:val="24"/>
        </w:rPr>
      </w:pPr>
      <w:r>
        <w:rPr>
          <w:rFonts w:ascii="Times New Roman" w:hAnsi="Times New Roman" w:eastAsia="Times New Roman" w:cs="Times New Roman"/>
          <w:sz w:val="24"/>
          <w:szCs w:val="24"/>
          <w:spacing w:val="-2"/>
          <w:position w:val="17"/>
        </w:rPr>
        <w:t>=4%×</w:t>
      </w:r>
      <w:r>
        <w:rPr>
          <w:rFonts w:ascii="Times New Roman" w:hAnsi="Times New Roman" w:eastAsia="Times New Roman" w:cs="Times New Roman"/>
          <w:sz w:val="24"/>
          <w:szCs w:val="24"/>
          <w:spacing w:val="-32"/>
          <w:position w:val="17"/>
        </w:rPr>
        <w:t xml:space="preserve"> </w:t>
      </w:r>
      <w:r>
        <w:rPr>
          <w:rFonts w:ascii="Times New Roman" w:hAnsi="Times New Roman" w:eastAsia="Times New Roman" w:cs="Times New Roman"/>
          <w:sz w:val="24"/>
          <w:szCs w:val="24"/>
          <w:spacing w:val="-2"/>
          <w:position w:val="17"/>
        </w:rPr>
        <w:t>1742.4kg=70kg</w:t>
      </w:r>
      <w:r>
        <w:rPr>
          <w:rFonts w:ascii="Times New Roman" w:hAnsi="Times New Roman" w:eastAsia="Times New Roman" w:cs="Times New Roman"/>
          <w:sz w:val="24"/>
          <w:szCs w:val="24"/>
          <w:spacing w:val="-27"/>
          <w:position w:val="17"/>
        </w:rPr>
        <w:t xml:space="preserve"> </w:t>
      </w:r>
      <w:r>
        <w:rPr>
          <w:rFonts w:ascii="SimSun" w:hAnsi="SimSun" w:eastAsia="SimSun" w:cs="SimSun"/>
          <w:sz w:val="24"/>
          <w:szCs w:val="24"/>
          <w:spacing w:val="-2"/>
          <w:position w:val="17"/>
        </w:rPr>
        <w:t>。吸附达到动态吸附饱和时间</w:t>
      </w:r>
      <w:r>
        <w:rPr>
          <w:rFonts w:ascii="Times New Roman" w:hAnsi="Times New Roman" w:eastAsia="Times New Roman" w:cs="Times New Roman"/>
          <w:sz w:val="24"/>
          <w:szCs w:val="24"/>
          <w:spacing w:val="-2"/>
          <w:position w:val="17"/>
        </w:rPr>
        <w:t>=70×</w:t>
      </w:r>
      <w:r>
        <w:rPr>
          <w:rFonts w:ascii="Times New Roman" w:hAnsi="Times New Roman" w:eastAsia="Times New Roman" w:cs="Times New Roman"/>
          <w:sz w:val="24"/>
          <w:szCs w:val="24"/>
          <w:spacing w:val="-33"/>
          <w:position w:val="17"/>
        </w:rPr>
        <w:t xml:space="preserve"> </w:t>
      </w:r>
      <w:r>
        <w:rPr>
          <w:rFonts w:ascii="Times New Roman" w:hAnsi="Times New Roman" w:eastAsia="Times New Roman" w:cs="Times New Roman"/>
          <w:sz w:val="24"/>
          <w:szCs w:val="24"/>
          <w:spacing w:val="-2"/>
          <w:position w:val="17"/>
        </w:rPr>
        <w:t>106</w:t>
      </w:r>
      <w:r>
        <w:rPr>
          <w:rFonts w:ascii="SimSun" w:hAnsi="SimSun" w:eastAsia="SimSun" w:cs="SimSun"/>
          <w:sz w:val="24"/>
          <w:szCs w:val="24"/>
          <w:spacing w:val="-2"/>
          <w:position w:val="17"/>
        </w:rPr>
        <w:t>÷</w:t>
      </w:r>
      <w:r>
        <w:rPr>
          <w:rFonts w:ascii="Times New Roman" w:hAnsi="Times New Roman" w:eastAsia="Times New Roman" w:cs="Times New Roman"/>
          <w:sz w:val="24"/>
          <w:szCs w:val="24"/>
          <w:spacing w:val="-2"/>
          <w:position w:val="17"/>
        </w:rPr>
        <w:t>200</w:t>
      </w:r>
      <w:r>
        <w:rPr>
          <w:rFonts w:ascii="Times New Roman" w:hAnsi="Times New Roman" w:eastAsia="Times New Roman" w:cs="Times New Roman"/>
          <w:sz w:val="24"/>
          <w:szCs w:val="24"/>
          <w:spacing w:val="-3"/>
          <w:position w:val="17"/>
        </w:rPr>
        <w:t>00m</w:t>
      </w:r>
      <w:r>
        <w:rPr>
          <w:rFonts w:ascii="SimSun" w:hAnsi="SimSun" w:eastAsia="SimSun" w:cs="SimSun"/>
          <w:sz w:val="24"/>
          <w:szCs w:val="24"/>
          <w:spacing w:val="-3"/>
          <w:position w:val="17"/>
        </w:rPr>
        <w:t>³</w:t>
      </w:r>
    </w:p>
    <w:p>
      <w:pPr>
        <w:ind w:left="14"/>
        <w:spacing w:line="323" w:lineRule="exact"/>
        <w:rPr>
          <w:rFonts w:ascii="SimSun" w:hAnsi="SimSun" w:eastAsia="SimSun" w:cs="SimSun"/>
          <w:sz w:val="24"/>
          <w:szCs w:val="24"/>
        </w:rPr>
      </w:pPr>
      <w:r>
        <w:rPr>
          <w:rFonts w:ascii="Times New Roman" w:hAnsi="Times New Roman" w:eastAsia="Times New Roman" w:cs="Times New Roman"/>
          <w:sz w:val="24"/>
          <w:szCs w:val="24"/>
          <w:spacing w:val="-1"/>
          <w:position w:val="2"/>
        </w:rPr>
        <w:t>/h×60=58.33h</w:t>
      </w:r>
      <w:r>
        <w:rPr>
          <w:rFonts w:ascii="SimSun" w:hAnsi="SimSun" w:eastAsia="SimSun" w:cs="SimSun"/>
          <w:sz w:val="24"/>
          <w:szCs w:val="24"/>
          <w:spacing w:val="-1"/>
          <w:position w:val="2"/>
        </w:rPr>
        <w:t>。</w:t>
      </w:r>
    </w:p>
    <w:p>
      <w:pPr>
        <w:ind w:right="61"/>
        <w:spacing w:before="220" w:line="501" w:lineRule="exact"/>
        <w:jc w:val="right"/>
        <w:rPr>
          <w:rFonts w:ascii="SimSun" w:hAnsi="SimSun" w:eastAsia="SimSun" w:cs="SimSun"/>
          <w:sz w:val="24"/>
          <w:szCs w:val="24"/>
        </w:rPr>
      </w:pPr>
      <w:r>
        <w:rPr>
          <w:rFonts w:ascii="SimSun" w:hAnsi="SimSun" w:eastAsia="SimSun" w:cs="SimSun"/>
          <w:sz w:val="24"/>
          <w:szCs w:val="24"/>
          <w:spacing w:val="-1"/>
          <w:position w:val="20"/>
        </w:rPr>
        <w:t>活性炭吸附床在吸附</w:t>
      </w:r>
      <w:r>
        <w:rPr>
          <w:rFonts w:ascii="Times New Roman" w:hAnsi="Times New Roman" w:eastAsia="Times New Roman" w:cs="Times New Roman"/>
          <w:sz w:val="24"/>
          <w:szCs w:val="24"/>
          <w:spacing w:val="-1"/>
          <w:position w:val="20"/>
        </w:rPr>
        <w:t>58.33h</w:t>
      </w:r>
      <w:r>
        <w:rPr>
          <w:rFonts w:ascii="SimSun" w:hAnsi="SimSun" w:eastAsia="SimSun" w:cs="SimSun"/>
          <w:sz w:val="24"/>
          <w:szCs w:val="24"/>
          <w:spacing w:val="-1"/>
          <w:position w:val="20"/>
        </w:rPr>
        <w:t>后即达到蜂窝活性炭</w:t>
      </w:r>
      <w:r>
        <w:rPr>
          <w:rFonts w:ascii="SimSun" w:hAnsi="SimSun" w:eastAsia="SimSun" w:cs="SimSun"/>
          <w:sz w:val="24"/>
          <w:szCs w:val="24"/>
          <w:spacing w:val="-2"/>
          <w:position w:val="20"/>
        </w:rPr>
        <w:t>的动态饱和时间。蜂窝活性</w:t>
      </w:r>
    </w:p>
    <w:p>
      <w:pPr>
        <w:ind w:left="27"/>
        <w:spacing w:before="1" w:line="218" w:lineRule="auto"/>
        <w:rPr>
          <w:rFonts w:ascii="SimSun" w:hAnsi="SimSun" w:eastAsia="SimSun" w:cs="SimSun"/>
          <w:sz w:val="24"/>
          <w:szCs w:val="24"/>
        </w:rPr>
      </w:pPr>
      <w:r>
        <w:rPr>
          <w:rFonts w:ascii="SimSun" w:hAnsi="SimSun" w:eastAsia="SimSun" w:cs="SimSun"/>
          <w:sz w:val="24"/>
          <w:szCs w:val="24"/>
        </w:rPr>
        <w:t>炭更换周期为</w:t>
      </w:r>
      <w:r>
        <w:rPr>
          <w:rFonts w:ascii="Times New Roman" w:hAnsi="Times New Roman" w:eastAsia="Times New Roman" w:cs="Times New Roman"/>
          <w:sz w:val="24"/>
          <w:szCs w:val="24"/>
        </w:rPr>
        <w:t>2-2.5</w:t>
      </w:r>
      <w:r>
        <w:rPr>
          <w:rFonts w:ascii="SimSun" w:hAnsi="SimSun" w:eastAsia="SimSun" w:cs="SimSun"/>
          <w:sz w:val="24"/>
          <w:szCs w:val="24"/>
        </w:rPr>
        <w:t>年，贵金属催化剂更换</w:t>
      </w:r>
      <w:r>
        <w:rPr>
          <w:rFonts w:ascii="SimSun" w:hAnsi="SimSun" w:eastAsia="SimSun" w:cs="SimSun"/>
          <w:sz w:val="24"/>
          <w:szCs w:val="24"/>
          <w:spacing w:val="-1"/>
        </w:rPr>
        <w:t>周期为</w:t>
      </w:r>
      <w:r>
        <w:rPr>
          <w:rFonts w:ascii="Times New Roman" w:hAnsi="Times New Roman" w:eastAsia="Times New Roman" w:cs="Times New Roman"/>
          <w:sz w:val="24"/>
          <w:szCs w:val="24"/>
          <w:spacing w:val="-1"/>
        </w:rPr>
        <w:t>2</w:t>
      </w:r>
      <w:r>
        <w:rPr>
          <w:rFonts w:ascii="SimSun" w:hAnsi="SimSun" w:eastAsia="SimSun" w:cs="SimSun"/>
          <w:sz w:val="24"/>
          <w:szCs w:val="24"/>
          <w:spacing w:val="-1"/>
        </w:rPr>
        <w:t>年左右或</w:t>
      </w:r>
      <w:r>
        <w:rPr>
          <w:rFonts w:ascii="Times New Roman" w:hAnsi="Times New Roman" w:eastAsia="Times New Roman" w:cs="Times New Roman"/>
          <w:sz w:val="24"/>
          <w:szCs w:val="24"/>
          <w:spacing w:val="-1"/>
        </w:rPr>
        <w:t>8000</w:t>
      </w:r>
      <w:r>
        <w:rPr>
          <w:rFonts w:ascii="SimSun" w:hAnsi="SimSun" w:eastAsia="SimSun" w:cs="SimSun"/>
          <w:sz w:val="24"/>
          <w:szCs w:val="24"/>
          <w:spacing w:val="-1"/>
        </w:rPr>
        <w:t>小时。</w:t>
      </w:r>
    </w:p>
    <w:p>
      <w:pPr>
        <w:ind w:left="25" w:firstLine="481"/>
        <w:spacing w:before="215" w:line="385" w:lineRule="auto"/>
        <w:rPr>
          <w:rFonts w:ascii="SimSun" w:hAnsi="SimSun" w:eastAsia="SimSun" w:cs="SimSun"/>
          <w:sz w:val="24"/>
          <w:szCs w:val="24"/>
        </w:rPr>
      </w:pPr>
      <w:r>
        <w:rPr>
          <w:rFonts w:ascii="SimSun" w:hAnsi="SimSun" w:eastAsia="SimSun" w:cs="SimSun"/>
          <w:sz w:val="24"/>
          <w:szCs w:val="24"/>
          <w:spacing w:val="-3"/>
        </w:rPr>
        <w:t>非甲烷总烃废气处理量为</w:t>
      </w:r>
      <w:r>
        <w:rPr>
          <w:rFonts w:ascii="Times New Roman" w:hAnsi="Times New Roman" w:eastAsia="Times New Roman" w:cs="Times New Roman"/>
          <w:sz w:val="24"/>
          <w:szCs w:val="24"/>
          <w:spacing w:val="-3"/>
        </w:rPr>
        <w:t>0.85t/a</w:t>
      </w:r>
      <w:r>
        <w:rPr>
          <w:rFonts w:ascii="SimSun" w:hAnsi="SimSun" w:eastAsia="SimSun" w:cs="SimSun"/>
          <w:sz w:val="24"/>
          <w:szCs w:val="24"/>
          <w:spacing w:val="-3"/>
        </w:rPr>
        <w:t>，活性炭产生量为废气的</w:t>
      </w:r>
      <w:r>
        <w:rPr>
          <w:rFonts w:ascii="Times New Roman" w:hAnsi="Times New Roman" w:eastAsia="Times New Roman" w:cs="Times New Roman"/>
          <w:sz w:val="24"/>
          <w:szCs w:val="24"/>
          <w:spacing w:val="-3"/>
        </w:rPr>
        <w:t>1.2</w:t>
      </w:r>
      <w:r>
        <w:rPr>
          <w:rFonts w:ascii="SimSun" w:hAnsi="SimSun" w:eastAsia="SimSun" w:cs="SimSun"/>
          <w:sz w:val="24"/>
          <w:szCs w:val="24"/>
          <w:spacing w:val="-3"/>
        </w:rPr>
        <w:t>倍，废活性炭产</w:t>
      </w:r>
      <w:r>
        <w:rPr>
          <w:rFonts w:ascii="SimSun" w:hAnsi="SimSun" w:eastAsia="SimSun" w:cs="SimSun"/>
          <w:sz w:val="24"/>
          <w:szCs w:val="24"/>
          <w:spacing w:val="9"/>
        </w:rPr>
        <w:t xml:space="preserve"> </w:t>
      </w:r>
      <w:r>
        <w:rPr>
          <w:rFonts w:ascii="SimSun" w:hAnsi="SimSun" w:eastAsia="SimSun" w:cs="SimSun"/>
          <w:sz w:val="24"/>
          <w:szCs w:val="24"/>
          <w:spacing w:val="-3"/>
        </w:rPr>
        <w:t>生量为</w:t>
      </w:r>
      <w:r>
        <w:rPr>
          <w:rFonts w:ascii="Times New Roman" w:hAnsi="Times New Roman" w:eastAsia="Times New Roman" w:cs="Times New Roman"/>
          <w:sz w:val="24"/>
          <w:szCs w:val="24"/>
          <w:spacing w:val="-3"/>
        </w:rPr>
        <w:t>1.02t/2a</w:t>
      </w:r>
      <w:r>
        <w:rPr>
          <w:rFonts w:ascii="Times New Roman" w:hAnsi="Times New Roman" w:eastAsia="Times New Roman" w:cs="Times New Roman"/>
          <w:sz w:val="24"/>
          <w:szCs w:val="24"/>
          <w:spacing w:val="-28"/>
        </w:rPr>
        <w:t xml:space="preserve"> </w:t>
      </w:r>
      <w:r>
        <w:rPr>
          <w:rFonts w:ascii="SimSun" w:hAnsi="SimSun" w:eastAsia="SimSun" w:cs="SimSun"/>
          <w:sz w:val="24"/>
          <w:szCs w:val="24"/>
          <w:spacing w:val="-3"/>
        </w:rPr>
        <w:t>。催化剂、活性炭每两年更</w:t>
      </w:r>
      <w:r>
        <w:rPr>
          <w:rFonts w:ascii="SimSun" w:hAnsi="SimSun" w:eastAsia="SimSun" w:cs="SimSun"/>
          <w:sz w:val="24"/>
          <w:szCs w:val="24"/>
          <w:spacing w:val="-4"/>
        </w:rPr>
        <w:t>换一次。催化剂主要为贵金属铂、钯，</w:t>
      </w:r>
    </w:p>
    <w:p>
      <w:pPr>
        <w:ind w:left="22"/>
        <w:spacing w:before="1" w:line="218" w:lineRule="auto"/>
        <w:rPr>
          <w:rFonts w:ascii="SimSun" w:hAnsi="SimSun" w:eastAsia="SimSun" w:cs="SimSun"/>
          <w:sz w:val="24"/>
          <w:szCs w:val="24"/>
        </w:rPr>
      </w:pPr>
      <w:r>
        <w:rPr>
          <w:rFonts w:ascii="SimSun" w:hAnsi="SimSun" w:eastAsia="SimSun" w:cs="SimSun"/>
          <w:sz w:val="24"/>
          <w:szCs w:val="24"/>
          <w:spacing w:val="-1"/>
        </w:rPr>
        <w:t>废催化剂产生量为</w:t>
      </w:r>
      <w:r>
        <w:rPr>
          <w:rFonts w:ascii="Times New Roman" w:hAnsi="Times New Roman" w:eastAsia="Times New Roman" w:cs="Times New Roman"/>
          <w:sz w:val="24"/>
          <w:szCs w:val="24"/>
          <w:spacing w:val="-1"/>
        </w:rPr>
        <w:t>1t/2a</w:t>
      </w:r>
      <w:r>
        <w:rPr>
          <w:rFonts w:ascii="SimSun" w:hAnsi="SimSun" w:eastAsia="SimSun" w:cs="SimSun"/>
          <w:sz w:val="24"/>
          <w:szCs w:val="24"/>
          <w:spacing w:val="-1"/>
        </w:rPr>
        <w:t>。</w:t>
      </w:r>
    </w:p>
    <w:p>
      <w:pPr>
        <w:ind w:left="34" w:right="68" w:firstLine="470"/>
        <w:spacing w:before="214" w:line="385" w:lineRule="auto"/>
        <w:rPr>
          <w:rFonts w:ascii="SimSun" w:hAnsi="SimSun" w:eastAsia="SimSun" w:cs="SimSun"/>
          <w:sz w:val="24"/>
          <w:szCs w:val="24"/>
        </w:rPr>
      </w:pPr>
      <w:r>
        <w:rPr>
          <w:rFonts w:ascii="SimSun" w:hAnsi="SimSun" w:eastAsia="SimSun" w:cs="SimSun"/>
          <w:sz w:val="24"/>
          <w:szCs w:val="24"/>
        </w:rPr>
        <w:t>蜂窝活性炭更换周期为</w:t>
      </w:r>
      <w:r>
        <w:rPr>
          <w:rFonts w:ascii="Times New Roman" w:hAnsi="Times New Roman" w:eastAsia="Times New Roman" w:cs="Times New Roman"/>
          <w:sz w:val="24"/>
          <w:szCs w:val="24"/>
        </w:rPr>
        <w:t>2-2.5</w:t>
      </w:r>
      <w:r>
        <w:rPr>
          <w:rFonts w:ascii="SimSun" w:hAnsi="SimSun" w:eastAsia="SimSun" w:cs="SimSun"/>
          <w:sz w:val="24"/>
          <w:szCs w:val="24"/>
        </w:rPr>
        <w:t>年，贵金属催化剂更</w:t>
      </w:r>
      <w:r>
        <w:rPr>
          <w:rFonts w:ascii="SimSun" w:hAnsi="SimSun" w:eastAsia="SimSun" w:cs="SimSun"/>
          <w:sz w:val="24"/>
          <w:szCs w:val="24"/>
          <w:spacing w:val="-1"/>
        </w:rPr>
        <w:t>换周期为</w:t>
      </w:r>
      <w:r>
        <w:rPr>
          <w:rFonts w:ascii="Times New Roman" w:hAnsi="Times New Roman" w:eastAsia="Times New Roman" w:cs="Times New Roman"/>
          <w:sz w:val="24"/>
          <w:szCs w:val="24"/>
          <w:spacing w:val="-1"/>
        </w:rPr>
        <w:t>2</w:t>
      </w:r>
      <w:r>
        <w:rPr>
          <w:rFonts w:ascii="SimSun" w:hAnsi="SimSun" w:eastAsia="SimSun" w:cs="SimSun"/>
          <w:sz w:val="24"/>
          <w:szCs w:val="24"/>
          <w:spacing w:val="-1"/>
        </w:rPr>
        <w:t>年左右或</w:t>
      </w:r>
      <w:r>
        <w:rPr>
          <w:rFonts w:ascii="Times New Roman" w:hAnsi="Times New Roman" w:eastAsia="Times New Roman" w:cs="Times New Roman"/>
          <w:sz w:val="24"/>
          <w:szCs w:val="24"/>
          <w:spacing w:val="-1"/>
        </w:rPr>
        <w:t>8000</w:t>
      </w:r>
      <w:r>
        <w:rPr>
          <w:rFonts w:ascii="SimSun" w:hAnsi="SimSun" w:eastAsia="SimSun" w:cs="SimSun"/>
          <w:sz w:val="24"/>
          <w:szCs w:val="24"/>
          <w:spacing w:val="-1"/>
        </w:rPr>
        <w:t>小</w:t>
      </w:r>
      <w:r>
        <w:rPr>
          <w:rFonts w:ascii="SimSun" w:hAnsi="SimSun" w:eastAsia="SimSun" w:cs="SimSun"/>
          <w:sz w:val="24"/>
          <w:szCs w:val="24"/>
        </w:rPr>
        <w:t xml:space="preserve"> </w:t>
      </w:r>
      <w:r>
        <w:rPr>
          <w:rFonts w:ascii="SimSun" w:hAnsi="SimSun" w:eastAsia="SimSun" w:cs="SimSun"/>
          <w:sz w:val="24"/>
          <w:szCs w:val="24"/>
          <w:spacing w:val="-1"/>
        </w:rPr>
        <w:t>时。本项目按照</w:t>
      </w:r>
      <w:r>
        <w:rPr>
          <w:rFonts w:ascii="Times New Roman" w:hAnsi="Times New Roman" w:eastAsia="Times New Roman" w:cs="Times New Roman"/>
          <w:sz w:val="24"/>
          <w:szCs w:val="24"/>
          <w:spacing w:val="-1"/>
        </w:rPr>
        <w:t>2</w:t>
      </w:r>
      <w:r>
        <w:rPr>
          <w:rFonts w:ascii="SimSun" w:hAnsi="SimSun" w:eastAsia="SimSun" w:cs="SimSun"/>
          <w:sz w:val="24"/>
          <w:szCs w:val="24"/>
          <w:spacing w:val="-1"/>
        </w:rPr>
        <w:t>年更换一次进行计算。废活性炭排放</w:t>
      </w:r>
      <w:r>
        <w:rPr>
          <w:rFonts w:ascii="SimSun" w:hAnsi="SimSun" w:eastAsia="SimSun" w:cs="SimSun"/>
          <w:sz w:val="24"/>
          <w:szCs w:val="24"/>
          <w:spacing w:val="-2"/>
        </w:rPr>
        <w:t>量为</w:t>
      </w:r>
      <w:r>
        <w:rPr>
          <w:rFonts w:ascii="Times New Roman" w:hAnsi="Times New Roman" w:eastAsia="Times New Roman" w:cs="Times New Roman"/>
          <w:sz w:val="24"/>
          <w:szCs w:val="24"/>
          <w:spacing w:val="-2"/>
        </w:rPr>
        <w:t>0.51t/a</w:t>
      </w:r>
      <w:r>
        <w:rPr>
          <w:rFonts w:ascii="Times New Roman" w:hAnsi="Times New Roman" w:eastAsia="Times New Roman" w:cs="Times New Roman"/>
          <w:sz w:val="24"/>
          <w:szCs w:val="24"/>
          <w:spacing w:val="-28"/>
        </w:rPr>
        <w:t xml:space="preserve"> </w:t>
      </w:r>
      <w:r>
        <w:rPr>
          <w:rFonts w:ascii="SimSun" w:hAnsi="SimSun" w:eastAsia="SimSun" w:cs="SimSun"/>
          <w:sz w:val="24"/>
          <w:szCs w:val="24"/>
          <w:spacing w:val="-2"/>
        </w:rPr>
        <w:t>。废催化剂产</w:t>
      </w:r>
    </w:p>
    <w:p>
      <w:pPr>
        <w:ind w:left="25"/>
        <w:spacing w:before="1" w:line="220" w:lineRule="auto"/>
        <w:rPr>
          <w:rFonts w:ascii="SimSun" w:hAnsi="SimSun" w:eastAsia="SimSun" w:cs="SimSun"/>
          <w:sz w:val="24"/>
          <w:szCs w:val="24"/>
        </w:rPr>
      </w:pPr>
      <w:r>
        <w:rPr>
          <w:rFonts w:ascii="SimSun" w:hAnsi="SimSun" w:eastAsia="SimSun" w:cs="SimSun"/>
          <w:sz w:val="24"/>
          <w:szCs w:val="24"/>
          <w:spacing w:val="-2"/>
        </w:rPr>
        <w:t>生量为</w:t>
      </w:r>
      <w:r>
        <w:rPr>
          <w:rFonts w:ascii="Times New Roman" w:hAnsi="Times New Roman" w:eastAsia="Times New Roman" w:cs="Times New Roman"/>
          <w:sz w:val="24"/>
          <w:szCs w:val="24"/>
          <w:spacing w:val="-2"/>
        </w:rPr>
        <w:t>0.5t/a</w:t>
      </w:r>
      <w:r>
        <w:rPr>
          <w:rFonts w:ascii="SimSun" w:hAnsi="SimSun" w:eastAsia="SimSun" w:cs="SimSun"/>
          <w:sz w:val="24"/>
          <w:szCs w:val="24"/>
          <w:spacing w:val="-2"/>
        </w:rPr>
        <w:t>。</w:t>
      </w:r>
    </w:p>
    <w:p>
      <w:pPr>
        <w:pStyle w:val="BodyText"/>
        <w:spacing w:line="344" w:lineRule="auto"/>
        <w:rPr/>
      </w:pPr>
      <w:r/>
    </w:p>
    <w:p>
      <w:pPr>
        <w:pStyle w:val="BodyText"/>
        <w:spacing w:line="345" w:lineRule="auto"/>
        <w:rPr/>
      </w:pPr>
      <w:r/>
    </w:p>
    <w:p>
      <w:pPr>
        <w:ind w:left="27"/>
        <w:spacing w:before="92" w:line="219" w:lineRule="auto"/>
        <w:outlineLvl w:val="0"/>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4"/>
        </w:rPr>
        <w:t>六、废气治理设施是否为可行性技术应依据《排污许可证申请与核发</w:t>
      </w:r>
    </w:p>
    <w:p>
      <w:pPr>
        <w:ind w:left="26"/>
        <w:spacing w:before="229" w:line="559" w:lineRule="exact"/>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position w:val="21"/>
        </w:rPr>
        <w:t>技术规范</w:t>
      </w:r>
      <w:r>
        <w:rPr>
          <w:rFonts w:ascii="SimSun" w:hAnsi="SimSun" w:eastAsia="SimSun" w:cs="SimSun"/>
          <w:sz w:val="28"/>
          <w:szCs w:val="28"/>
          <w:spacing w:val="-1"/>
          <w:position w:val="2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
          <w:position w:val="21"/>
        </w:rPr>
        <w:t>橡胶和塑料制品工业》（</w:t>
      </w:r>
      <w:r>
        <w:rPr>
          <w:rFonts w:ascii="Times New Roman" w:hAnsi="Times New Roman" w:eastAsia="Times New Roman" w:cs="Times New Roman"/>
          <w:sz w:val="28"/>
          <w:szCs w:val="28"/>
          <w:b/>
          <w:bCs/>
          <w:spacing w:val="-1"/>
          <w:position w:val="21"/>
        </w:rPr>
        <w:t>HJ1122</w:t>
      </w:r>
      <w:r>
        <w:rPr>
          <w:rFonts w:ascii="SimSun" w:hAnsi="SimSun" w:eastAsia="SimSun" w:cs="SimSun"/>
          <w:sz w:val="28"/>
          <w:szCs w:val="28"/>
          <w14:textOutline w14:w="5103" w14:cap="sq" w14:cmpd="sng">
            <w14:solidFill>
              <w14:srgbClr w14:val="000000"/>
            </w14:solidFill>
            <w14:prstDash w14:val="solid"/>
            <w14:bevel/>
          </w14:textOutline>
          <w:spacing w:val="-1"/>
          <w:position w:val="21"/>
        </w:rPr>
        <w:t>—</w:t>
      </w:r>
      <w:r>
        <w:rPr>
          <w:rFonts w:ascii="Times New Roman" w:hAnsi="Times New Roman" w:eastAsia="Times New Roman" w:cs="Times New Roman"/>
          <w:sz w:val="28"/>
          <w:szCs w:val="28"/>
          <w:b/>
          <w:bCs/>
          <w:spacing w:val="-1"/>
          <w:position w:val="21"/>
        </w:rPr>
        <w:t>20</w:t>
      </w:r>
      <w:r>
        <w:rPr>
          <w:rFonts w:ascii="Times New Roman" w:hAnsi="Times New Roman" w:eastAsia="Times New Roman" w:cs="Times New Roman"/>
          <w:sz w:val="28"/>
          <w:szCs w:val="28"/>
          <w:b/>
          <w:bCs/>
          <w:spacing w:val="-2"/>
          <w:position w:val="21"/>
        </w:rPr>
        <w:t>20</w:t>
      </w:r>
      <w:r>
        <w:rPr>
          <w:rFonts w:ascii="SimSun" w:hAnsi="SimSun" w:eastAsia="SimSun" w:cs="SimSun"/>
          <w:sz w:val="28"/>
          <w:szCs w:val="28"/>
          <w14:textOutline w14:w="5103" w14:cap="sq" w14:cmpd="sng">
            <w14:solidFill>
              <w14:srgbClr w14:val="000000"/>
            </w14:solidFill>
            <w14:prstDash w14:val="solid"/>
            <w14:bevel/>
          </w14:textOutline>
          <w:spacing w:val="-2"/>
          <w:position w:val="21"/>
        </w:rPr>
        <w:t>）相关要求进行分</w:t>
      </w:r>
    </w:p>
    <w:p>
      <w:pPr>
        <w:ind w:left="27"/>
        <w:spacing w:before="1" w:line="219"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3"/>
        </w:rPr>
        <w:t>析说明。</w:t>
      </w:r>
    </w:p>
    <w:p>
      <w:pPr>
        <w:ind w:left="529"/>
        <w:spacing w:before="214" w:line="219" w:lineRule="auto"/>
        <w:rPr>
          <w:rFonts w:ascii="Times New Roman" w:hAnsi="Times New Roman" w:eastAsia="Times New Roman" w:cs="Times New Roman"/>
          <w:sz w:val="24"/>
          <w:szCs w:val="24"/>
        </w:rPr>
      </w:pPr>
      <w:r>
        <w:rPr>
          <w:rFonts w:ascii="SimSun" w:hAnsi="SimSun" w:eastAsia="SimSun" w:cs="SimSun"/>
          <w:sz w:val="24"/>
          <w:szCs w:val="24"/>
          <w:spacing w:val="-5"/>
        </w:rPr>
        <w:t>已修改，见</w:t>
      </w:r>
      <w:r>
        <w:rPr>
          <w:rFonts w:ascii="Times New Roman" w:hAnsi="Times New Roman" w:eastAsia="Times New Roman" w:cs="Times New Roman"/>
          <w:sz w:val="24"/>
          <w:szCs w:val="24"/>
          <w:spacing w:val="-5"/>
        </w:rPr>
        <w:t>P43</w:t>
      </w:r>
    </w:p>
    <w:p>
      <w:pPr>
        <w:ind w:left="497"/>
        <w:spacing w:before="216" w:line="220" w:lineRule="auto"/>
        <w:rPr>
          <w:rFonts w:ascii="SimSun" w:hAnsi="SimSun" w:eastAsia="SimSun" w:cs="SimSun"/>
          <w:sz w:val="24"/>
          <w:szCs w:val="24"/>
        </w:rPr>
      </w:pPr>
      <w:hyperlink w:history="true" r:id="rId81">
        <w:r>
          <w:rPr>
            <w:rFonts w:ascii="Times New Roman" w:hAnsi="Times New Roman" w:eastAsia="Times New Roman" w:cs="Times New Roman"/>
            <w:sz w:val="24"/>
            <w:szCs w:val="24"/>
            <w:spacing w:val="-1"/>
          </w:rPr>
          <w:t>4.2.1.5</w:t>
        </w:r>
      </w:hyperlink>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1"/>
        </w:rPr>
        <w:t>废气治理设施合理可行性</w:t>
      </w:r>
    </w:p>
    <w:p>
      <w:pPr>
        <w:ind w:left="514"/>
        <w:spacing w:before="214"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）符合废气污染防治可行性技术</w:t>
      </w:r>
    </w:p>
    <w:p>
      <w:pPr>
        <w:ind w:left="503"/>
        <w:spacing w:before="214" w:line="219" w:lineRule="auto"/>
        <w:rPr>
          <w:rFonts w:ascii="SimSun" w:hAnsi="SimSun" w:eastAsia="SimSun" w:cs="SimSun"/>
          <w:sz w:val="24"/>
          <w:szCs w:val="24"/>
        </w:rPr>
      </w:pPr>
      <w:r>
        <w:rPr>
          <w:rFonts w:ascii="SimSun" w:hAnsi="SimSun" w:eastAsia="SimSun" w:cs="SimSun"/>
          <w:sz w:val="24"/>
          <w:szCs w:val="24"/>
          <w:spacing w:val="-1"/>
        </w:rPr>
        <w:t>根据《排污许可证申请与核发技术规范 橡胶和塑料制品工业》</w:t>
      </w:r>
    </w:p>
    <w:p>
      <w:pPr>
        <w:spacing w:line="219" w:lineRule="auto"/>
        <w:sectPr>
          <w:footerReference w:type="default" r:id="rId114"/>
          <w:pgSz w:w="11906" w:h="16839"/>
          <w:pgMar w:top="400" w:right="1738" w:bottom="1211" w:left="1785" w:header="0" w:footer="1049" w:gutter="0"/>
        </w:sectPr>
        <w:rPr>
          <w:rFonts w:ascii="SimSun" w:hAnsi="SimSun" w:eastAsia="SimSun" w:cs="SimSun"/>
          <w:sz w:val="24"/>
          <w:szCs w:val="24"/>
        </w:rPr>
      </w:pPr>
    </w:p>
    <w:p>
      <w:pPr>
        <w:pStyle w:val="BodyText"/>
        <w:spacing w:line="287" w:lineRule="auto"/>
        <w:rPr/>
      </w:pPr>
      <w:r/>
    </w:p>
    <w:p>
      <w:pPr>
        <w:pStyle w:val="BodyText"/>
        <w:spacing w:line="287" w:lineRule="auto"/>
        <w:rPr/>
      </w:pPr>
      <w:r/>
    </w:p>
    <w:p>
      <w:pPr>
        <w:pStyle w:val="BodyText"/>
        <w:spacing w:line="287" w:lineRule="auto"/>
        <w:rPr/>
      </w:pPr>
      <w:r/>
    </w:p>
    <w:p>
      <w:pPr>
        <w:pStyle w:val="BodyText"/>
        <w:spacing w:line="288" w:lineRule="auto"/>
        <w:rPr/>
      </w:pPr>
      <w:r/>
    </w:p>
    <w:p>
      <w:pPr>
        <w:ind w:left="22" w:right="80" w:firstLine="12"/>
        <w:spacing w:before="78" w:line="385"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HJ1122-2020</w:t>
      </w:r>
      <w:r>
        <w:rPr>
          <w:rFonts w:ascii="SimSun" w:hAnsi="SimSun" w:eastAsia="SimSun" w:cs="SimSun"/>
          <w:sz w:val="24"/>
          <w:szCs w:val="24"/>
          <w:spacing w:val="-1"/>
        </w:rPr>
        <w:t>）中第二部分塑料制品工业附录</w:t>
      </w:r>
      <w:r>
        <w:rPr>
          <w:rFonts w:ascii="Times New Roman" w:hAnsi="Times New Roman" w:eastAsia="Times New Roman" w:cs="Times New Roman"/>
          <w:sz w:val="24"/>
          <w:szCs w:val="24"/>
          <w:spacing w:val="-1"/>
        </w:rPr>
        <w:t>A</w:t>
      </w:r>
      <w:r>
        <w:rPr>
          <w:rFonts w:ascii="SimSun" w:hAnsi="SimSun" w:eastAsia="SimSun" w:cs="SimSun"/>
          <w:sz w:val="24"/>
          <w:szCs w:val="24"/>
          <w:spacing w:val="-1"/>
        </w:rPr>
        <w:t>中表</w:t>
      </w:r>
      <w:r>
        <w:rPr>
          <w:rFonts w:ascii="Times New Roman" w:hAnsi="Times New Roman" w:eastAsia="Times New Roman" w:cs="Times New Roman"/>
          <w:sz w:val="24"/>
          <w:szCs w:val="24"/>
          <w:spacing w:val="-1"/>
        </w:rPr>
        <w:t>A.2</w:t>
      </w:r>
      <w:r>
        <w:rPr>
          <w:rFonts w:ascii="SimSun" w:hAnsi="SimSun" w:eastAsia="SimSun" w:cs="SimSun"/>
          <w:sz w:val="24"/>
          <w:szCs w:val="24"/>
          <w:spacing w:val="-1"/>
        </w:rPr>
        <w:t>塑料制品工业排污单位</w:t>
      </w:r>
      <w:r>
        <w:rPr>
          <w:rFonts w:ascii="SimSun" w:hAnsi="SimSun" w:eastAsia="SimSun" w:cs="SimSun"/>
          <w:sz w:val="24"/>
          <w:szCs w:val="24"/>
          <w:spacing w:val="10"/>
        </w:rPr>
        <w:t xml:space="preserve"> </w:t>
      </w:r>
      <w:r>
        <w:rPr>
          <w:rFonts w:ascii="SimSun" w:hAnsi="SimSun" w:eastAsia="SimSun" w:cs="SimSun"/>
          <w:sz w:val="24"/>
          <w:szCs w:val="24"/>
        </w:rPr>
        <w:t>废气污染防治可行性技术参考表，塑料薄膜制造类别污</w:t>
      </w:r>
      <w:r>
        <w:rPr>
          <w:rFonts w:ascii="SimSun" w:hAnsi="SimSun" w:eastAsia="SimSun" w:cs="SimSun"/>
          <w:sz w:val="24"/>
          <w:szCs w:val="24"/>
          <w:spacing w:val="-1"/>
        </w:rPr>
        <w:t>染防治设施名称及工艺</w:t>
      </w:r>
      <w:r>
        <w:rPr>
          <w:rFonts w:ascii="SimSun" w:hAnsi="SimSun" w:eastAsia="SimSun" w:cs="SimSun"/>
          <w:sz w:val="24"/>
          <w:szCs w:val="24"/>
        </w:rPr>
        <w:t xml:space="preserve">  </w:t>
      </w:r>
      <w:r>
        <w:rPr>
          <w:rFonts w:ascii="SimSun" w:hAnsi="SimSun" w:eastAsia="SimSun" w:cs="SimSun"/>
          <w:sz w:val="24"/>
          <w:szCs w:val="24"/>
          <w:spacing w:val="-1"/>
        </w:rPr>
        <w:t>有：除尘、喷淋、吸附、热力燃烧、催化燃烧、低温等离子体、</w:t>
      </w:r>
      <w:r>
        <w:rPr>
          <w:rFonts w:ascii="Times New Roman" w:hAnsi="Times New Roman" w:eastAsia="Times New Roman" w:cs="Times New Roman"/>
          <w:sz w:val="24"/>
          <w:szCs w:val="24"/>
          <w:spacing w:val="-1"/>
        </w:rPr>
        <w:t>UV</w:t>
      </w:r>
      <w:r>
        <w:rPr>
          <w:rFonts w:ascii="SimSun" w:hAnsi="SimSun" w:eastAsia="SimSun" w:cs="SimSun"/>
          <w:sz w:val="24"/>
          <w:szCs w:val="24"/>
          <w:spacing w:val="-1"/>
        </w:rPr>
        <w:t>光氧催化</w:t>
      </w:r>
      <w:r>
        <w:rPr>
          <w:rFonts w:ascii="Times New Roman" w:hAnsi="Times New Roman" w:eastAsia="Times New Roman" w:cs="Times New Roman"/>
          <w:sz w:val="24"/>
          <w:szCs w:val="24"/>
          <w:spacing w:val="-1"/>
        </w:rPr>
        <w:t>/</w:t>
      </w:r>
      <w:r>
        <w:rPr>
          <w:rFonts w:ascii="SimSun" w:hAnsi="SimSun" w:eastAsia="SimSun" w:cs="SimSun"/>
          <w:sz w:val="24"/>
          <w:szCs w:val="24"/>
          <w:spacing w:val="-1"/>
        </w:rPr>
        <w:t>光</w:t>
      </w:r>
    </w:p>
    <w:p>
      <w:pPr>
        <w:ind w:left="23"/>
        <w:spacing w:line="219" w:lineRule="auto"/>
        <w:rPr>
          <w:rFonts w:ascii="SimSun" w:hAnsi="SimSun" w:eastAsia="SimSun" w:cs="SimSun"/>
          <w:sz w:val="24"/>
          <w:szCs w:val="24"/>
        </w:rPr>
      </w:pPr>
      <w:r>
        <w:rPr>
          <w:rFonts w:ascii="SimSun" w:hAnsi="SimSun" w:eastAsia="SimSun" w:cs="SimSun"/>
          <w:sz w:val="24"/>
          <w:szCs w:val="24"/>
          <w:spacing w:val="-1"/>
        </w:rPr>
        <w:t>催化、生物法、以上组合技术。</w:t>
      </w:r>
    </w:p>
    <w:p>
      <w:pPr>
        <w:ind w:left="504"/>
        <w:spacing w:before="214" w:line="499" w:lineRule="exact"/>
        <w:rPr>
          <w:rFonts w:ascii="SimSun" w:hAnsi="SimSun" w:eastAsia="SimSun" w:cs="SimSun"/>
          <w:sz w:val="24"/>
          <w:szCs w:val="24"/>
        </w:rPr>
      </w:pPr>
      <w:r>
        <w:rPr>
          <w:rFonts w:ascii="SimSun" w:hAnsi="SimSun" w:eastAsia="SimSun" w:cs="SimSun"/>
          <w:sz w:val="24"/>
          <w:szCs w:val="24"/>
          <w:position w:val="19"/>
        </w:rPr>
        <w:t>本项目有组织废气采用活性炭吸附</w:t>
      </w:r>
      <w:r>
        <w:rPr>
          <w:rFonts w:ascii="Times New Roman" w:hAnsi="Times New Roman" w:eastAsia="Times New Roman" w:cs="Times New Roman"/>
          <w:sz w:val="24"/>
          <w:szCs w:val="24"/>
          <w:position w:val="19"/>
        </w:rPr>
        <w:t>+</w:t>
      </w:r>
      <w:r>
        <w:rPr>
          <w:rFonts w:ascii="SimSun" w:hAnsi="SimSun" w:eastAsia="SimSun" w:cs="SimSun"/>
          <w:sz w:val="24"/>
          <w:szCs w:val="24"/>
          <w:position w:val="19"/>
        </w:rPr>
        <w:t>直接催化</w:t>
      </w:r>
      <w:r>
        <w:rPr>
          <w:rFonts w:ascii="SimSun" w:hAnsi="SimSun" w:eastAsia="SimSun" w:cs="SimSun"/>
          <w:sz w:val="24"/>
          <w:szCs w:val="24"/>
          <w:spacing w:val="-1"/>
          <w:position w:val="19"/>
        </w:rPr>
        <w:t>燃烧法装置处理，属于两级组</w:t>
      </w:r>
    </w:p>
    <w:p>
      <w:pPr>
        <w:ind w:left="24"/>
        <w:spacing w:line="219" w:lineRule="auto"/>
        <w:rPr>
          <w:rFonts w:ascii="SimSun" w:hAnsi="SimSun" w:eastAsia="SimSun" w:cs="SimSun"/>
          <w:sz w:val="24"/>
          <w:szCs w:val="24"/>
        </w:rPr>
      </w:pPr>
      <w:r>
        <w:rPr>
          <w:rFonts w:ascii="SimSun" w:hAnsi="SimSun" w:eastAsia="SimSun" w:cs="SimSun"/>
          <w:sz w:val="24"/>
          <w:szCs w:val="24"/>
        </w:rPr>
        <w:t>合技术，属于《排污许可证申请与核发技术规</w:t>
      </w:r>
      <w:r>
        <w:rPr>
          <w:rFonts w:ascii="SimSun" w:hAnsi="SimSun" w:eastAsia="SimSun" w:cs="SimSun"/>
          <w:sz w:val="24"/>
          <w:szCs w:val="24"/>
          <w:spacing w:val="-1"/>
        </w:rPr>
        <w:t>范 橡胶和塑料制品工业》</w:t>
      </w:r>
    </w:p>
    <w:p>
      <w:pPr>
        <w:ind w:left="34"/>
        <w:spacing w:before="216"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HJ1122-2020</w:t>
      </w:r>
      <w:r>
        <w:rPr>
          <w:rFonts w:ascii="SimSun" w:hAnsi="SimSun" w:eastAsia="SimSun" w:cs="SimSun"/>
          <w:sz w:val="24"/>
          <w:szCs w:val="24"/>
          <w:spacing w:val="-2"/>
        </w:rPr>
        <w:t>）可行性技术。</w:t>
      </w:r>
    </w:p>
    <w:p>
      <w:pPr>
        <w:ind w:left="23" w:right="80" w:firstLine="480"/>
        <w:spacing w:before="216" w:line="384" w:lineRule="auto"/>
        <w:rPr>
          <w:rFonts w:ascii="SimSun" w:hAnsi="SimSun" w:eastAsia="SimSun" w:cs="SimSun"/>
          <w:sz w:val="24"/>
          <w:szCs w:val="24"/>
        </w:rPr>
      </w:pPr>
      <w:r>
        <w:rPr>
          <w:rFonts w:ascii="SimSun" w:hAnsi="SimSun" w:eastAsia="SimSun" w:cs="SimSun"/>
          <w:sz w:val="24"/>
          <w:szCs w:val="24"/>
          <w:spacing w:val="-1"/>
        </w:rPr>
        <w:t>本项目使用集气罩收集有机废气，经计算，废气产生量为</w:t>
      </w:r>
      <w:r>
        <w:rPr>
          <w:rFonts w:ascii="Times New Roman" w:hAnsi="Times New Roman" w:eastAsia="Times New Roman" w:cs="Times New Roman"/>
          <w:sz w:val="24"/>
          <w:szCs w:val="24"/>
          <w:spacing w:val="-1"/>
        </w:rPr>
        <w:t>1t/a</w:t>
      </w:r>
      <w:r>
        <w:rPr>
          <w:rFonts w:ascii="Times New Roman" w:hAnsi="Times New Roman" w:eastAsia="Times New Roman" w:cs="Times New Roman"/>
          <w:sz w:val="24"/>
          <w:szCs w:val="24"/>
          <w:spacing w:val="-32"/>
        </w:rPr>
        <w:t xml:space="preserve"> </w:t>
      </w:r>
      <w:r>
        <w:rPr>
          <w:rFonts w:ascii="SimSun" w:hAnsi="SimSun" w:eastAsia="SimSun" w:cs="SimSun"/>
          <w:sz w:val="24"/>
          <w:szCs w:val="24"/>
          <w:spacing w:val="-1"/>
        </w:rPr>
        <w:t>，</w:t>
      </w:r>
      <w:r>
        <w:rPr>
          <w:rFonts w:ascii="SimSun" w:hAnsi="SimSun" w:eastAsia="SimSun" w:cs="SimSun"/>
          <w:sz w:val="24"/>
          <w:szCs w:val="24"/>
          <w:spacing w:val="-2"/>
        </w:rPr>
        <w:t>产生浓度为</w:t>
      </w:r>
      <w:r>
        <w:rPr>
          <w:rFonts w:ascii="SimSun" w:hAnsi="SimSun" w:eastAsia="SimSun" w:cs="SimSun"/>
          <w:sz w:val="24"/>
          <w:szCs w:val="24"/>
        </w:rPr>
        <w:t xml:space="preserve"> </w:t>
      </w:r>
      <w:r>
        <w:rPr>
          <w:rFonts w:ascii="Times New Roman" w:hAnsi="Times New Roman" w:eastAsia="Times New Roman" w:cs="Times New Roman"/>
          <w:sz w:val="24"/>
          <w:szCs w:val="24"/>
          <w:spacing w:val="-3"/>
        </w:rPr>
        <w:t>31.57mg/m</w:t>
      </w:r>
      <w:r>
        <w:rPr>
          <w:rFonts w:ascii="SimSun" w:hAnsi="SimSun" w:eastAsia="SimSun" w:cs="SimSun"/>
          <w:sz w:val="24"/>
          <w:szCs w:val="24"/>
          <w:spacing w:val="-3"/>
        </w:rPr>
        <w:t>³, 在未经处理情况下废气排放浓度可满足《合成树脂工业污染物</w:t>
      </w:r>
      <w:r>
        <w:rPr>
          <w:rFonts w:ascii="SimSun" w:hAnsi="SimSun" w:eastAsia="SimSun" w:cs="SimSun"/>
          <w:sz w:val="24"/>
          <w:szCs w:val="24"/>
          <w:spacing w:val="-4"/>
        </w:rPr>
        <w:t>排放</w:t>
      </w:r>
      <w:r>
        <w:rPr>
          <w:rFonts w:ascii="SimSun" w:hAnsi="SimSun" w:eastAsia="SimSun" w:cs="SimSun"/>
          <w:sz w:val="24"/>
          <w:szCs w:val="24"/>
        </w:rPr>
        <w:t xml:space="preserve"> </w:t>
      </w:r>
      <w:r>
        <w:rPr>
          <w:rFonts w:ascii="SimSun" w:hAnsi="SimSun" w:eastAsia="SimSun" w:cs="SimSun"/>
          <w:sz w:val="24"/>
          <w:szCs w:val="24"/>
          <w:spacing w:val="-4"/>
        </w:rPr>
        <w:t>标准》（</w:t>
      </w:r>
      <w:r>
        <w:rPr>
          <w:rFonts w:ascii="Times New Roman" w:hAnsi="Times New Roman" w:eastAsia="Times New Roman" w:cs="Times New Roman"/>
          <w:sz w:val="24"/>
          <w:szCs w:val="24"/>
          <w:spacing w:val="-4"/>
        </w:rPr>
        <w:t>GB31572-2015</w:t>
      </w:r>
      <w:r>
        <w:rPr>
          <w:rFonts w:ascii="SimSun" w:hAnsi="SimSun" w:eastAsia="SimSun" w:cs="SimSun"/>
          <w:sz w:val="24"/>
          <w:szCs w:val="24"/>
          <w:spacing w:val="-4"/>
        </w:rPr>
        <w:t>）中表</w:t>
      </w:r>
      <w:r>
        <w:rPr>
          <w:rFonts w:ascii="Times New Roman" w:hAnsi="Times New Roman" w:eastAsia="Times New Roman" w:cs="Times New Roman"/>
          <w:sz w:val="24"/>
          <w:szCs w:val="24"/>
          <w:spacing w:val="-4"/>
        </w:rPr>
        <w:t>5</w:t>
      </w:r>
      <w:r>
        <w:rPr>
          <w:rFonts w:ascii="SimSun" w:hAnsi="SimSun" w:eastAsia="SimSun" w:cs="SimSun"/>
          <w:sz w:val="24"/>
          <w:szCs w:val="24"/>
          <w:spacing w:val="-4"/>
        </w:rPr>
        <w:t>大气污染物特别排放限值要求（浓度</w:t>
      </w:r>
      <w:r>
        <w:rPr>
          <w:rFonts w:ascii="Times New Roman" w:hAnsi="Times New Roman" w:eastAsia="Times New Roman" w:cs="Times New Roman"/>
          <w:sz w:val="24"/>
          <w:szCs w:val="24"/>
          <w:spacing w:val="-4"/>
        </w:rPr>
        <w:t>60mg/m</w:t>
      </w:r>
      <w:r>
        <w:rPr>
          <w:rFonts w:ascii="SimSun" w:hAnsi="SimSun" w:eastAsia="SimSun" w:cs="SimSun"/>
          <w:sz w:val="24"/>
          <w:szCs w:val="24"/>
          <w:spacing w:val="-4"/>
        </w:rPr>
        <w:t>³) ,</w:t>
      </w:r>
      <w:r>
        <w:rPr>
          <w:rFonts w:ascii="SimSun" w:hAnsi="SimSun" w:eastAsia="SimSun" w:cs="SimSun"/>
          <w:sz w:val="24"/>
          <w:szCs w:val="24"/>
          <w:spacing w:val="12"/>
        </w:rPr>
        <w:t xml:space="preserve"> </w:t>
      </w:r>
      <w:r>
        <w:rPr>
          <w:rFonts w:ascii="SimSun" w:hAnsi="SimSun" w:eastAsia="SimSun" w:cs="SimSun"/>
          <w:sz w:val="24"/>
          <w:szCs w:val="24"/>
        </w:rPr>
        <w:t>为减少挥发性有机废气对周边环境影响，采取了“活</w:t>
      </w:r>
      <w:r>
        <w:rPr>
          <w:rFonts w:ascii="SimSun" w:hAnsi="SimSun" w:eastAsia="SimSun" w:cs="SimSun"/>
          <w:sz w:val="24"/>
          <w:szCs w:val="24"/>
          <w:spacing w:val="-1"/>
        </w:rPr>
        <w:t>性炭吸附</w:t>
      </w:r>
      <w:r>
        <w:rPr>
          <w:rFonts w:ascii="Times New Roman" w:hAnsi="Times New Roman" w:eastAsia="Times New Roman" w:cs="Times New Roman"/>
          <w:sz w:val="24"/>
          <w:szCs w:val="24"/>
          <w:spacing w:val="-1"/>
        </w:rPr>
        <w:t>+</w:t>
      </w:r>
      <w:r>
        <w:rPr>
          <w:rFonts w:ascii="SimSun" w:hAnsi="SimSun" w:eastAsia="SimSun" w:cs="SimSun"/>
          <w:sz w:val="24"/>
          <w:szCs w:val="24"/>
          <w:spacing w:val="-1"/>
        </w:rPr>
        <w:t>直接催化燃烧法</w:t>
      </w:r>
    </w:p>
    <w:p>
      <w:pPr>
        <w:ind w:left="23"/>
        <w:spacing w:line="219" w:lineRule="auto"/>
        <w:rPr>
          <w:rFonts w:ascii="SimSun" w:hAnsi="SimSun" w:eastAsia="SimSun" w:cs="SimSun"/>
          <w:sz w:val="24"/>
          <w:szCs w:val="24"/>
        </w:rPr>
      </w:pPr>
      <w:r>
        <w:rPr>
          <w:rFonts w:ascii="SimSun" w:hAnsi="SimSun" w:eastAsia="SimSun" w:cs="SimSun"/>
          <w:sz w:val="24"/>
          <w:szCs w:val="24"/>
          <w:spacing w:val="-3"/>
        </w:rPr>
        <w:t>装置</w:t>
      </w:r>
      <w:r>
        <w:rPr>
          <w:rFonts w:ascii="Times New Roman" w:hAnsi="Times New Roman" w:eastAsia="Times New Roman" w:cs="Times New Roman"/>
          <w:sz w:val="24"/>
          <w:szCs w:val="24"/>
          <w:spacing w:val="-3"/>
        </w:rPr>
        <w:t>+15m</w:t>
      </w:r>
      <w:r>
        <w:rPr>
          <w:rFonts w:ascii="SimSun" w:hAnsi="SimSun" w:eastAsia="SimSun" w:cs="SimSun"/>
          <w:sz w:val="24"/>
          <w:szCs w:val="24"/>
          <w:spacing w:val="-3"/>
        </w:rPr>
        <w:t>排气筒</w:t>
      </w:r>
      <w:r>
        <w:rPr>
          <w:rFonts w:ascii="SimSun" w:hAnsi="SimSun" w:eastAsia="SimSun" w:cs="SimSun"/>
          <w:sz w:val="24"/>
          <w:szCs w:val="24"/>
          <w:spacing w:val="-86"/>
        </w:rPr>
        <w:t xml:space="preserve"> </w:t>
      </w:r>
      <w:r>
        <w:rPr>
          <w:rFonts w:ascii="SimSun" w:hAnsi="SimSun" w:eastAsia="SimSun" w:cs="SimSun"/>
          <w:sz w:val="24"/>
          <w:szCs w:val="24"/>
          <w:spacing w:val="-3"/>
        </w:rPr>
        <w:t>”处理措施。</w:t>
      </w:r>
    </w:p>
    <w:p>
      <w:pPr>
        <w:pStyle w:val="BodyText"/>
        <w:spacing w:line="346" w:lineRule="auto"/>
        <w:rPr/>
      </w:pPr>
      <w:r/>
    </w:p>
    <w:p>
      <w:pPr>
        <w:pStyle w:val="BodyText"/>
        <w:spacing w:line="347" w:lineRule="auto"/>
        <w:rPr/>
      </w:pPr>
      <w:r/>
    </w:p>
    <w:p>
      <w:pPr>
        <w:ind w:left="23"/>
        <w:spacing w:before="92" w:line="219" w:lineRule="auto"/>
        <w:outlineLvl w:val="0"/>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4"/>
        </w:rPr>
        <w:t>七、危险废物暂存间依托可行性分析中，应分析说明废活性炭产生量</w:t>
      </w:r>
    </w:p>
    <w:p>
      <w:pPr>
        <w:ind w:left="23"/>
        <w:spacing w:before="227" w:line="220"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及最大占地面积（空间</w:t>
      </w:r>
      <w:r>
        <w:rPr>
          <w:rFonts w:ascii="SimSun" w:hAnsi="SimSun" w:eastAsia="SimSun" w:cs="SimSun"/>
          <w:sz w:val="28"/>
          <w:szCs w:val="28"/>
          <w14:textOutline w14:w="5103" w14:cap="sq" w14:cmpd="sng">
            <w14:solidFill>
              <w14:srgbClr w14:val="000000"/>
            </w14:solidFill>
            <w14:prstDash w14:val="solid"/>
            <w14:bevel/>
          </w14:textOutline>
          <w:spacing w:val="21"/>
        </w:rPr>
        <w:t>），</w:t>
      </w:r>
      <w:r>
        <w:rPr>
          <w:rFonts w:ascii="SimSun" w:hAnsi="SimSun" w:eastAsia="SimSun" w:cs="SimSun"/>
          <w:sz w:val="28"/>
          <w:szCs w:val="28"/>
          <w14:textOutline w14:w="5103" w14:cap="sq" w14:cmpd="sng">
            <w14:solidFill>
              <w14:srgbClr w14:val="000000"/>
            </w14:solidFill>
            <w14:prstDash w14:val="solid"/>
            <w14:bevel/>
          </w14:textOutline>
          <w:spacing w:val="-1"/>
        </w:rPr>
        <w:t>能否保证全部暂存于危废暂存间。</w:t>
      </w:r>
    </w:p>
    <w:p>
      <w:pPr>
        <w:ind w:left="529"/>
        <w:spacing w:before="215" w:line="219" w:lineRule="auto"/>
        <w:rPr>
          <w:rFonts w:ascii="Times New Roman" w:hAnsi="Times New Roman" w:eastAsia="Times New Roman" w:cs="Times New Roman"/>
          <w:sz w:val="24"/>
          <w:szCs w:val="24"/>
        </w:rPr>
      </w:pPr>
      <w:r>
        <w:rPr>
          <w:rFonts w:ascii="SimSun" w:hAnsi="SimSun" w:eastAsia="SimSun" w:cs="SimSun"/>
          <w:sz w:val="24"/>
          <w:szCs w:val="24"/>
          <w:spacing w:val="-5"/>
        </w:rPr>
        <w:t>已修改，见</w:t>
      </w:r>
      <w:r>
        <w:rPr>
          <w:rFonts w:ascii="Times New Roman" w:hAnsi="Times New Roman" w:eastAsia="Times New Roman" w:cs="Times New Roman"/>
          <w:sz w:val="24"/>
          <w:szCs w:val="24"/>
          <w:spacing w:val="-5"/>
        </w:rPr>
        <w:t>P30</w:t>
      </w:r>
    </w:p>
    <w:p>
      <w:pPr>
        <w:ind w:left="514"/>
        <w:spacing w:before="214"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）危险废物暂存间依托可行性分析</w:t>
      </w:r>
    </w:p>
    <w:p>
      <w:pPr>
        <w:ind w:left="26" w:right="80" w:firstLine="478"/>
        <w:spacing w:before="215" w:line="385" w:lineRule="auto"/>
        <w:rPr>
          <w:rFonts w:ascii="SimSun" w:hAnsi="SimSun" w:eastAsia="SimSun" w:cs="SimSun"/>
          <w:sz w:val="24"/>
          <w:szCs w:val="24"/>
        </w:rPr>
      </w:pPr>
      <w:r>
        <w:rPr>
          <w:rFonts w:ascii="SimSun" w:hAnsi="SimSun" w:eastAsia="SimSun" w:cs="SimSun"/>
          <w:sz w:val="24"/>
          <w:szCs w:val="24"/>
          <w:spacing w:val="-3"/>
        </w:rPr>
        <w:t>本项目空压机更换的废机油、废气处理过程产生的废催化剂、</w:t>
      </w:r>
      <w:r>
        <w:rPr>
          <w:rFonts w:ascii="SimSun" w:hAnsi="SimSun" w:eastAsia="SimSun" w:cs="SimSun"/>
          <w:sz w:val="24"/>
          <w:szCs w:val="24"/>
          <w:spacing w:val="-4"/>
        </w:rPr>
        <w:t>废活性炭属于</w:t>
      </w:r>
      <w:r>
        <w:rPr>
          <w:rFonts w:ascii="SimSun" w:hAnsi="SimSun" w:eastAsia="SimSun" w:cs="SimSun"/>
          <w:sz w:val="24"/>
          <w:szCs w:val="24"/>
        </w:rPr>
        <w:t xml:space="preserve"> </w:t>
      </w:r>
      <w:r>
        <w:rPr>
          <w:rFonts w:ascii="SimSun" w:hAnsi="SimSun" w:eastAsia="SimSun" w:cs="SimSun"/>
          <w:sz w:val="24"/>
          <w:szCs w:val="24"/>
          <w:spacing w:val="-3"/>
        </w:rPr>
        <w:t>危险废物，危险废物依托企业已建一座</w:t>
      </w:r>
      <w:r>
        <w:rPr>
          <w:rFonts w:ascii="Times New Roman" w:hAnsi="Times New Roman" w:eastAsia="Times New Roman" w:cs="Times New Roman"/>
          <w:sz w:val="24"/>
          <w:szCs w:val="24"/>
          <w:spacing w:val="-3"/>
        </w:rPr>
        <w:t>15</w:t>
      </w:r>
      <w:r>
        <w:rPr>
          <w:rFonts w:ascii="SimSun" w:hAnsi="SimSun" w:eastAsia="SimSun" w:cs="SimSun"/>
          <w:sz w:val="24"/>
          <w:szCs w:val="24"/>
          <w:spacing w:val="-3"/>
        </w:rPr>
        <w:t>㎡危废暂存间暂存。企业现有危险废物</w:t>
      </w:r>
    </w:p>
    <w:p>
      <w:pPr>
        <w:ind w:left="23"/>
        <w:spacing w:line="219" w:lineRule="auto"/>
        <w:rPr>
          <w:rFonts w:ascii="SimSun" w:hAnsi="SimSun" w:eastAsia="SimSun" w:cs="SimSun"/>
          <w:sz w:val="24"/>
          <w:szCs w:val="24"/>
        </w:rPr>
      </w:pPr>
      <w:r>
        <w:rPr>
          <w:rFonts w:ascii="SimSun" w:hAnsi="SimSun" w:eastAsia="SimSun" w:cs="SimSun"/>
          <w:sz w:val="24"/>
          <w:szCs w:val="24"/>
          <w:spacing w:val="-3"/>
        </w:rPr>
        <w:t>产生量为</w:t>
      </w:r>
      <w:r>
        <w:rPr>
          <w:rFonts w:ascii="Times New Roman" w:hAnsi="Times New Roman" w:eastAsia="Times New Roman" w:cs="Times New Roman"/>
          <w:sz w:val="24"/>
          <w:szCs w:val="24"/>
          <w:spacing w:val="-3"/>
        </w:rPr>
        <w:t>0.6t/a</w:t>
      </w:r>
      <w:r>
        <w:rPr>
          <w:rFonts w:ascii="Times New Roman" w:hAnsi="Times New Roman" w:eastAsia="Times New Roman" w:cs="Times New Roman"/>
          <w:sz w:val="24"/>
          <w:szCs w:val="24"/>
          <w:spacing w:val="-21"/>
        </w:rPr>
        <w:t xml:space="preserve"> </w:t>
      </w:r>
      <w:r>
        <w:rPr>
          <w:rFonts w:ascii="SimSun" w:hAnsi="SimSun" w:eastAsia="SimSun" w:cs="SimSun"/>
          <w:sz w:val="24"/>
          <w:szCs w:val="24"/>
          <w:spacing w:val="-3"/>
        </w:rPr>
        <w:t>，实际最大占地面积为</w:t>
      </w:r>
      <w:r>
        <w:rPr>
          <w:rFonts w:ascii="Times New Roman" w:hAnsi="Times New Roman" w:eastAsia="Times New Roman" w:cs="Times New Roman"/>
          <w:sz w:val="24"/>
          <w:szCs w:val="24"/>
          <w:spacing w:val="-3"/>
        </w:rPr>
        <w:t>5</w:t>
      </w:r>
      <w:r>
        <w:rPr>
          <w:rFonts w:ascii="SimSun" w:hAnsi="SimSun" w:eastAsia="SimSun" w:cs="SimSun"/>
          <w:sz w:val="24"/>
          <w:szCs w:val="24"/>
          <w:spacing w:val="-3"/>
        </w:rPr>
        <w:t>㎡。</w:t>
      </w:r>
    </w:p>
    <w:p>
      <w:pPr>
        <w:ind w:left="22" w:firstLine="481"/>
        <w:spacing w:before="213" w:line="385" w:lineRule="auto"/>
        <w:rPr>
          <w:rFonts w:ascii="SimSun" w:hAnsi="SimSun" w:eastAsia="SimSun" w:cs="SimSun"/>
          <w:sz w:val="24"/>
          <w:szCs w:val="24"/>
        </w:rPr>
      </w:pPr>
      <w:r>
        <w:rPr>
          <w:rFonts w:ascii="SimSun" w:hAnsi="SimSun" w:eastAsia="SimSun" w:cs="SimSun"/>
          <w:sz w:val="24"/>
          <w:szCs w:val="24"/>
          <w:spacing w:val="-5"/>
        </w:rPr>
        <w:t>本项目危险废物废催化剂、废活性炭</w:t>
      </w:r>
      <w:r>
        <w:rPr>
          <w:rFonts w:ascii="Times New Roman" w:hAnsi="Times New Roman" w:eastAsia="Times New Roman" w:cs="Times New Roman"/>
          <w:sz w:val="24"/>
          <w:szCs w:val="24"/>
          <w:spacing w:val="-5"/>
        </w:rPr>
        <w:t>2</w:t>
      </w:r>
      <w:r>
        <w:rPr>
          <w:rFonts w:ascii="SimSun" w:hAnsi="SimSun" w:eastAsia="SimSun" w:cs="SimSun"/>
          <w:sz w:val="24"/>
          <w:szCs w:val="24"/>
          <w:spacing w:val="-5"/>
        </w:rPr>
        <w:t>年更换一次，</w:t>
      </w:r>
      <w:r>
        <w:rPr>
          <w:rFonts w:ascii="SimSun" w:hAnsi="SimSun" w:eastAsia="SimSun" w:cs="SimSun"/>
          <w:sz w:val="24"/>
          <w:szCs w:val="24"/>
          <w:spacing w:val="-6"/>
        </w:rPr>
        <w:t>废催化剂产生量为</w:t>
      </w:r>
      <w:r>
        <w:rPr>
          <w:rFonts w:ascii="Times New Roman" w:hAnsi="Times New Roman" w:eastAsia="Times New Roman" w:cs="Times New Roman"/>
          <w:sz w:val="24"/>
          <w:szCs w:val="24"/>
          <w:spacing w:val="-6"/>
        </w:rPr>
        <w:t>0.5t/a</w:t>
      </w:r>
      <w:r>
        <w:rPr>
          <w:rFonts w:ascii="SimSun" w:hAnsi="SimSun" w:eastAsia="SimSun" w:cs="SimSun"/>
          <w:sz w:val="24"/>
          <w:szCs w:val="24"/>
          <w:spacing w:val="-6"/>
        </w:rPr>
        <w:t>、</w:t>
      </w:r>
      <w:r>
        <w:rPr>
          <w:rFonts w:ascii="SimSun" w:hAnsi="SimSun" w:eastAsia="SimSun" w:cs="SimSun"/>
          <w:sz w:val="24"/>
          <w:szCs w:val="24"/>
        </w:rPr>
        <w:t xml:space="preserve"> </w:t>
      </w:r>
      <w:r>
        <w:rPr>
          <w:rFonts w:ascii="SimSun" w:hAnsi="SimSun" w:eastAsia="SimSun" w:cs="SimSun"/>
          <w:sz w:val="24"/>
          <w:szCs w:val="24"/>
          <w:spacing w:val="-3"/>
        </w:rPr>
        <w:t>废活性炭产生量为</w:t>
      </w:r>
      <w:r>
        <w:rPr>
          <w:rFonts w:ascii="Times New Roman" w:hAnsi="Times New Roman" w:eastAsia="Times New Roman" w:cs="Times New Roman"/>
          <w:sz w:val="24"/>
          <w:szCs w:val="24"/>
          <w:spacing w:val="-3"/>
        </w:rPr>
        <w:t>0.5t/a</w:t>
      </w:r>
      <w:r>
        <w:rPr>
          <w:rFonts w:ascii="SimSun" w:hAnsi="SimSun" w:eastAsia="SimSun" w:cs="SimSun"/>
          <w:sz w:val="24"/>
          <w:szCs w:val="24"/>
          <w:spacing w:val="-3"/>
        </w:rPr>
        <w:t>，需要占地存储占地面积</w:t>
      </w:r>
      <w:r>
        <w:rPr>
          <w:rFonts w:ascii="Times New Roman" w:hAnsi="Times New Roman" w:eastAsia="Times New Roman" w:cs="Times New Roman"/>
          <w:sz w:val="24"/>
          <w:szCs w:val="24"/>
          <w:spacing w:val="-3"/>
        </w:rPr>
        <w:t>3</w:t>
      </w:r>
      <w:r>
        <w:rPr>
          <w:rFonts w:ascii="SimSun" w:hAnsi="SimSun" w:eastAsia="SimSun" w:cs="SimSun"/>
          <w:sz w:val="24"/>
          <w:szCs w:val="24"/>
          <w:spacing w:val="-3"/>
        </w:rPr>
        <w:t>㎡；废机油年产生</w:t>
      </w:r>
      <w:r>
        <w:rPr>
          <w:rFonts w:ascii="Times New Roman" w:hAnsi="Times New Roman" w:eastAsia="Times New Roman" w:cs="Times New Roman"/>
          <w:sz w:val="24"/>
          <w:szCs w:val="24"/>
          <w:spacing w:val="-3"/>
        </w:rPr>
        <w:t>0.5t/a</w:t>
      </w:r>
      <w:r>
        <w:rPr>
          <w:rFonts w:ascii="SimSun" w:hAnsi="SimSun" w:eastAsia="SimSun" w:cs="SimSun"/>
          <w:sz w:val="24"/>
          <w:szCs w:val="24"/>
          <w:spacing w:val="-3"/>
        </w:rPr>
        <w:t>，需要 </w:t>
      </w:r>
      <w:r>
        <w:rPr>
          <w:rFonts w:ascii="SimSun" w:hAnsi="SimSun" w:eastAsia="SimSun" w:cs="SimSun"/>
          <w:sz w:val="24"/>
          <w:szCs w:val="24"/>
          <w:spacing w:val="-2"/>
        </w:rPr>
        <w:t>存储占地面积</w:t>
      </w:r>
      <w:r>
        <w:rPr>
          <w:rFonts w:ascii="Times New Roman" w:hAnsi="Times New Roman" w:eastAsia="Times New Roman" w:cs="Times New Roman"/>
          <w:sz w:val="24"/>
          <w:szCs w:val="24"/>
          <w:spacing w:val="-2"/>
        </w:rPr>
        <w:t>5</w:t>
      </w:r>
      <w:r>
        <w:rPr>
          <w:rFonts w:ascii="SimSun" w:hAnsi="SimSun" w:eastAsia="SimSun" w:cs="SimSun"/>
          <w:sz w:val="24"/>
          <w:szCs w:val="24"/>
          <w:spacing w:val="-2"/>
        </w:rPr>
        <w:t>㎡</w:t>
      </w:r>
      <w:r>
        <w:rPr>
          <w:rFonts w:ascii="SimSun" w:hAnsi="SimSun" w:eastAsia="SimSun" w:cs="SimSun"/>
          <w:sz w:val="24"/>
          <w:szCs w:val="24"/>
          <w:spacing w:val="-58"/>
        </w:rPr>
        <w:t xml:space="preserve"> </w:t>
      </w:r>
      <w:r>
        <w:rPr>
          <w:rFonts w:ascii="SimSun" w:hAnsi="SimSun" w:eastAsia="SimSun" w:cs="SimSun"/>
          <w:sz w:val="24"/>
          <w:szCs w:val="24"/>
          <w:spacing w:val="-2"/>
        </w:rPr>
        <w:t>。企业现有剩余</w:t>
      </w:r>
      <w:r>
        <w:rPr>
          <w:rFonts w:ascii="Times New Roman" w:hAnsi="Times New Roman" w:eastAsia="Times New Roman" w:cs="Times New Roman"/>
          <w:sz w:val="24"/>
          <w:szCs w:val="24"/>
          <w:spacing w:val="-2"/>
        </w:rPr>
        <w:t>10</w:t>
      </w:r>
      <w:r>
        <w:rPr>
          <w:rFonts w:ascii="SimSun" w:hAnsi="SimSun" w:eastAsia="SimSun" w:cs="SimSun"/>
          <w:sz w:val="24"/>
          <w:szCs w:val="24"/>
          <w:spacing w:val="-2"/>
        </w:rPr>
        <w:t>㎡暂存空间供本项目使用，剩余暂存面积可</w:t>
      </w:r>
    </w:p>
    <w:p>
      <w:pPr>
        <w:ind w:left="23"/>
        <w:spacing w:line="218" w:lineRule="auto"/>
        <w:rPr>
          <w:rFonts w:ascii="SimSun" w:hAnsi="SimSun" w:eastAsia="SimSun" w:cs="SimSun"/>
          <w:sz w:val="24"/>
          <w:szCs w:val="24"/>
        </w:rPr>
      </w:pPr>
      <w:r>
        <w:rPr>
          <w:rFonts w:ascii="SimSun" w:hAnsi="SimSun" w:eastAsia="SimSun" w:cs="SimSun"/>
          <w:sz w:val="24"/>
          <w:szCs w:val="24"/>
          <w:spacing w:val="-1"/>
        </w:rPr>
        <w:t>满足本项目危险废物暂存。</w:t>
      </w:r>
    </w:p>
    <w:p>
      <w:pPr>
        <w:ind w:left="23" w:right="80" w:firstLine="483"/>
        <w:spacing w:before="218" w:line="384" w:lineRule="auto"/>
        <w:rPr>
          <w:rFonts w:ascii="SimSun" w:hAnsi="SimSun" w:eastAsia="SimSun" w:cs="SimSun"/>
          <w:sz w:val="24"/>
          <w:szCs w:val="24"/>
        </w:rPr>
      </w:pPr>
      <w:r>
        <w:rPr>
          <w:rFonts w:ascii="SimSun" w:hAnsi="SimSun" w:eastAsia="SimSun" w:cs="SimSun"/>
          <w:sz w:val="24"/>
          <w:szCs w:val="24"/>
          <w:spacing w:val="-1"/>
        </w:rPr>
        <w:t>企业现有危废暂存间存储废</w:t>
      </w:r>
      <w:r>
        <w:rPr>
          <w:rFonts w:ascii="Times New Roman" w:hAnsi="Times New Roman" w:eastAsia="Times New Roman" w:cs="Times New Roman"/>
          <w:sz w:val="24"/>
          <w:szCs w:val="24"/>
          <w:spacing w:val="-1"/>
        </w:rPr>
        <w:t>UV</w:t>
      </w:r>
      <w:r>
        <w:rPr>
          <w:rFonts w:ascii="SimSun" w:hAnsi="SimSun" w:eastAsia="SimSun" w:cs="SimSun"/>
          <w:sz w:val="24"/>
          <w:szCs w:val="24"/>
          <w:spacing w:val="-1"/>
        </w:rPr>
        <w:t>光氧灯管、废机油，与本项目危险废物种类</w:t>
      </w:r>
      <w:r>
        <w:rPr>
          <w:rFonts w:ascii="SimSun" w:hAnsi="SimSun" w:eastAsia="SimSun" w:cs="SimSun"/>
          <w:sz w:val="24"/>
          <w:szCs w:val="24"/>
          <w:spacing w:val="17"/>
        </w:rPr>
        <w:t xml:space="preserve"> </w:t>
      </w:r>
      <w:r>
        <w:rPr>
          <w:rFonts w:ascii="SimSun" w:hAnsi="SimSun" w:eastAsia="SimSun" w:cs="SimSun"/>
          <w:sz w:val="24"/>
          <w:szCs w:val="24"/>
          <w:spacing w:val="-3"/>
        </w:rPr>
        <w:t>相容。危险废物暂存间内已按照重点防渗要求进行建设，已通过环境保护竣工验</w:t>
      </w:r>
    </w:p>
    <w:p>
      <w:pPr>
        <w:ind w:left="31"/>
        <w:spacing w:before="1" w:line="218" w:lineRule="auto"/>
        <w:rPr>
          <w:rFonts w:ascii="SimSun" w:hAnsi="SimSun" w:eastAsia="SimSun" w:cs="SimSun"/>
          <w:sz w:val="24"/>
          <w:szCs w:val="24"/>
        </w:rPr>
      </w:pPr>
      <w:r>
        <w:rPr>
          <w:rFonts w:ascii="SimSun" w:hAnsi="SimSun" w:eastAsia="SimSun" w:cs="SimSun"/>
          <w:sz w:val="24"/>
          <w:szCs w:val="24"/>
          <w:spacing w:val="-1"/>
        </w:rPr>
        <w:t>收工作，本项目无需整改。因此，企业现有危废暂存间依托可行。</w:t>
      </w:r>
    </w:p>
    <w:p>
      <w:pPr>
        <w:spacing w:line="218" w:lineRule="auto"/>
        <w:sectPr>
          <w:footerReference w:type="default" r:id="rId115"/>
          <w:pgSz w:w="11906" w:h="16839"/>
          <w:pgMar w:top="400" w:right="1719" w:bottom="1211" w:left="1785" w:header="0" w:footer="1049" w:gutter="0"/>
        </w:sectPr>
        <w:rPr>
          <w:rFonts w:ascii="SimSun" w:hAnsi="SimSun" w:eastAsia="SimSun" w:cs="SimSun"/>
          <w:sz w:val="24"/>
          <w:szCs w:val="24"/>
        </w:rPr>
      </w:pPr>
    </w:p>
    <w:p>
      <w:pPr>
        <w:pStyle w:val="BodyText"/>
        <w:spacing w:line="277" w:lineRule="auto"/>
        <w:rPr/>
      </w:pPr>
      <w:r/>
    </w:p>
    <w:p>
      <w:pPr>
        <w:pStyle w:val="BodyText"/>
        <w:spacing w:line="278" w:lineRule="auto"/>
        <w:rPr/>
      </w:pPr>
      <w:r/>
    </w:p>
    <w:p>
      <w:pPr>
        <w:pStyle w:val="BodyText"/>
        <w:spacing w:line="278" w:lineRule="auto"/>
        <w:rPr/>
      </w:pPr>
      <w:r/>
    </w:p>
    <w:p>
      <w:pPr>
        <w:pStyle w:val="BodyText"/>
        <w:spacing w:line="278" w:lineRule="auto"/>
        <w:rPr/>
      </w:pPr>
      <w:r/>
    </w:p>
    <w:p>
      <w:pPr>
        <w:pStyle w:val="BodyText"/>
        <w:spacing w:line="278" w:lineRule="auto"/>
        <w:rPr/>
      </w:pPr>
      <w:r/>
    </w:p>
    <w:p>
      <w:pPr>
        <w:ind w:left="121"/>
        <w:spacing w:before="91" w:line="219" w:lineRule="auto"/>
        <w:outlineLvl w:val="0"/>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4"/>
        </w:rPr>
        <w:t>八、监测计划应增加厂区内非甲烷监测项目，执行《挥发性有机物无</w:t>
      </w:r>
    </w:p>
    <w:p>
      <w:pPr>
        <w:ind w:left="120"/>
        <w:spacing w:before="226" w:line="221"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组织排放控制标准》（</w:t>
      </w:r>
      <w:r>
        <w:rPr>
          <w:rFonts w:ascii="Times New Roman" w:hAnsi="Times New Roman" w:eastAsia="Times New Roman" w:cs="Times New Roman"/>
          <w:sz w:val="28"/>
          <w:szCs w:val="28"/>
          <w:b/>
          <w:bCs/>
        </w:rPr>
        <w:t>GB37822-2019</w:t>
      </w:r>
      <w:r>
        <w:rPr>
          <w:rFonts w:ascii="SimSun" w:hAnsi="SimSun" w:eastAsia="SimSun" w:cs="SimSun"/>
          <w:sz w:val="28"/>
          <w:szCs w:val="28"/>
          <w14:textOutline w14:w="5103" w14:cap="sq" w14:cmpd="sng">
            <w14:solidFill>
              <w14:srgbClr w14:val="000000"/>
            </w14:solidFill>
            <w14:prstDash w14:val="solid"/>
            <w14:bevel/>
          </w14:textOutline>
        </w:rPr>
        <w:t>）相关要</w:t>
      </w:r>
      <w:r>
        <w:rPr>
          <w:rFonts w:ascii="SimSun" w:hAnsi="SimSun" w:eastAsia="SimSun" w:cs="SimSun"/>
          <w:sz w:val="28"/>
          <w:szCs w:val="28"/>
          <w14:textOutline w14:w="5103" w14:cap="sq" w14:cmpd="sng">
            <w14:solidFill>
              <w14:srgbClr w14:val="000000"/>
            </w14:solidFill>
            <w14:prstDash w14:val="solid"/>
            <w14:bevel/>
          </w14:textOutline>
          <w:spacing w:val="-1"/>
        </w:rPr>
        <w:t>求。</w:t>
      </w:r>
    </w:p>
    <w:p>
      <w:pPr>
        <w:ind w:left="621"/>
        <w:spacing w:before="211" w:line="502" w:lineRule="exact"/>
        <w:rPr>
          <w:rFonts w:ascii="Times New Roman" w:hAnsi="Times New Roman" w:eastAsia="Times New Roman" w:cs="Times New Roman"/>
          <w:sz w:val="24"/>
          <w:szCs w:val="24"/>
        </w:rPr>
      </w:pPr>
      <w:r>
        <w:rPr>
          <w:rFonts w:ascii="SimSun" w:hAnsi="SimSun" w:eastAsia="SimSun" w:cs="SimSun"/>
          <w:sz w:val="24"/>
          <w:szCs w:val="24"/>
          <w:spacing w:val="-5"/>
          <w:position w:val="19"/>
        </w:rPr>
        <w:t>已修改，见</w:t>
      </w:r>
      <w:r>
        <w:rPr>
          <w:rFonts w:ascii="Times New Roman" w:hAnsi="Times New Roman" w:eastAsia="Times New Roman" w:cs="Times New Roman"/>
          <w:sz w:val="24"/>
          <w:szCs w:val="24"/>
          <w:spacing w:val="-5"/>
          <w:position w:val="19"/>
        </w:rPr>
        <w:t>P47</w:t>
      </w:r>
    </w:p>
    <w:p>
      <w:pPr>
        <w:ind w:left="589"/>
        <w:spacing w:before="1" w:line="220" w:lineRule="auto"/>
        <w:rPr>
          <w:rFonts w:ascii="SimSun" w:hAnsi="SimSun" w:eastAsia="SimSun" w:cs="SimSun"/>
          <w:sz w:val="24"/>
          <w:szCs w:val="24"/>
        </w:rPr>
      </w:pPr>
      <w:hyperlink w:history="true" r:id="rId39">
        <w:r>
          <w:rPr>
            <w:rFonts w:ascii="Times New Roman" w:hAnsi="Times New Roman" w:eastAsia="Times New Roman" w:cs="Times New Roman"/>
            <w:sz w:val="24"/>
            <w:szCs w:val="24"/>
            <w:spacing w:val="-1"/>
          </w:rPr>
          <w:t>4.2.1.6</w:t>
        </w:r>
      </w:hyperlink>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1"/>
        </w:rPr>
        <w:t>监测计划</w:t>
      </w:r>
    </w:p>
    <w:p>
      <w:pPr>
        <w:ind w:left="117" w:right="104" w:firstLine="479"/>
        <w:spacing w:before="210" w:line="385" w:lineRule="auto"/>
        <w:rPr>
          <w:rFonts w:ascii="SimSun" w:hAnsi="SimSun" w:eastAsia="SimSun" w:cs="SimSun"/>
          <w:sz w:val="24"/>
          <w:szCs w:val="24"/>
        </w:rPr>
      </w:pPr>
      <w:r>
        <w:rPr>
          <w:rFonts w:ascii="SimSun" w:hAnsi="SimSun" w:eastAsia="SimSun" w:cs="SimSun"/>
          <w:sz w:val="24"/>
          <w:szCs w:val="24"/>
          <w:spacing w:val="-3"/>
        </w:rPr>
        <w:t>本项目常规废气监测可委托监测，委托监测单位应具有相应资</w:t>
      </w:r>
      <w:r>
        <w:rPr>
          <w:rFonts w:ascii="SimSun" w:hAnsi="SimSun" w:eastAsia="SimSun" w:cs="SimSun"/>
          <w:sz w:val="24"/>
          <w:szCs w:val="24"/>
          <w:spacing w:val="-4"/>
        </w:rPr>
        <w:t>质。根据《排</w:t>
      </w:r>
      <w:r>
        <w:rPr>
          <w:rFonts w:ascii="SimSun" w:hAnsi="SimSun" w:eastAsia="SimSun" w:cs="SimSun"/>
          <w:sz w:val="24"/>
          <w:szCs w:val="24"/>
        </w:rPr>
        <w:t xml:space="preserve"> </w:t>
      </w:r>
      <w:r>
        <w:rPr>
          <w:rFonts w:ascii="SimSun" w:hAnsi="SimSun" w:eastAsia="SimSun" w:cs="SimSun"/>
          <w:sz w:val="24"/>
          <w:szCs w:val="24"/>
          <w:spacing w:val="-1"/>
        </w:rPr>
        <w:t>污许可证申领与核发技术规范 总则》（</w:t>
      </w:r>
      <w:r>
        <w:rPr>
          <w:rFonts w:ascii="Times New Roman" w:hAnsi="Times New Roman" w:eastAsia="Times New Roman" w:cs="Times New Roman"/>
          <w:sz w:val="24"/>
          <w:szCs w:val="24"/>
          <w:spacing w:val="-1"/>
        </w:rPr>
        <w:t>HJ 942-2018</w:t>
      </w:r>
      <w:r>
        <w:rPr>
          <w:rFonts w:ascii="SimSun" w:hAnsi="SimSun" w:eastAsia="SimSun" w:cs="SimSun"/>
          <w:sz w:val="24"/>
          <w:szCs w:val="24"/>
          <w:spacing w:val="-1"/>
        </w:rPr>
        <w:t>）、《排污单位自行监测技</w:t>
      </w:r>
      <w:r>
        <w:rPr>
          <w:rFonts w:ascii="SimSun" w:hAnsi="SimSun" w:eastAsia="SimSun" w:cs="SimSun"/>
          <w:sz w:val="24"/>
          <w:szCs w:val="24"/>
          <w:spacing w:val="8"/>
        </w:rPr>
        <w:t xml:space="preserve"> </w:t>
      </w:r>
      <w:r>
        <w:rPr>
          <w:rFonts w:ascii="SimSun" w:hAnsi="SimSun" w:eastAsia="SimSun" w:cs="SimSun"/>
          <w:sz w:val="24"/>
          <w:szCs w:val="24"/>
          <w:spacing w:val="-2"/>
        </w:rPr>
        <w:t>术指南 橡胶和塑料制品》（</w:t>
      </w:r>
      <w:r>
        <w:rPr>
          <w:rFonts w:ascii="Times New Roman" w:hAnsi="Times New Roman" w:eastAsia="Times New Roman" w:cs="Times New Roman"/>
          <w:sz w:val="24"/>
          <w:szCs w:val="24"/>
          <w:spacing w:val="-2"/>
        </w:rPr>
        <w:t>HJ1207-2021</w:t>
      </w:r>
      <w:r>
        <w:rPr>
          <w:rFonts w:ascii="SimSun" w:hAnsi="SimSun" w:eastAsia="SimSun" w:cs="SimSun"/>
          <w:sz w:val="24"/>
          <w:szCs w:val="24"/>
          <w:spacing w:val="-2"/>
        </w:rPr>
        <w:t>）、《排污许</w:t>
      </w:r>
      <w:r>
        <w:rPr>
          <w:rFonts w:ascii="SimSun" w:hAnsi="SimSun" w:eastAsia="SimSun" w:cs="SimSun"/>
          <w:sz w:val="24"/>
          <w:szCs w:val="24"/>
          <w:spacing w:val="-3"/>
        </w:rPr>
        <w:t>可证申领与核发技术规范</w:t>
      </w:r>
    </w:p>
    <w:p>
      <w:pPr>
        <w:ind w:left="114"/>
        <w:spacing w:line="218" w:lineRule="auto"/>
        <w:rPr>
          <w:rFonts w:ascii="SimSun" w:hAnsi="SimSun" w:eastAsia="SimSun" w:cs="SimSun"/>
          <w:sz w:val="24"/>
          <w:szCs w:val="24"/>
        </w:rPr>
      </w:pPr>
      <w:r>
        <w:rPr>
          <w:rFonts w:ascii="SimSun" w:hAnsi="SimSun" w:eastAsia="SimSun" w:cs="SimSun"/>
          <w:sz w:val="24"/>
          <w:szCs w:val="24"/>
          <w:spacing w:val="-1"/>
        </w:rPr>
        <w:t>橡胶和塑料制品》（</w:t>
      </w:r>
      <w:r>
        <w:rPr>
          <w:rFonts w:ascii="Times New Roman" w:hAnsi="Times New Roman" w:eastAsia="Times New Roman" w:cs="Times New Roman"/>
          <w:sz w:val="24"/>
          <w:szCs w:val="24"/>
          <w:spacing w:val="-1"/>
        </w:rPr>
        <w:t>HJ1122-2020</w:t>
      </w:r>
      <w:r>
        <w:rPr>
          <w:rFonts w:ascii="SimSun" w:hAnsi="SimSun" w:eastAsia="SimSun" w:cs="SimSun"/>
          <w:sz w:val="24"/>
          <w:szCs w:val="24"/>
          <w:spacing w:val="-1"/>
        </w:rPr>
        <w:t>）和《挥发性有机物无组织排放控制标准》</w:t>
      </w:r>
    </w:p>
    <w:p>
      <w:pPr>
        <w:ind w:left="126"/>
        <w:spacing w:before="214" w:line="232"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GB37822-2019</w:t>
      </w:r>
      <w:r>
        <w:rPr>
          <w:rFonts w:ascii="SimSun" w:hAnsi="SimSun" w:eastAsia="SimSun" w:cs="SimSun"/>
          <w:sz w:val="24"/>
          <w:szCs w:val="24"/>
          <w:spacing w:val="-2"/>
        </w:rPr>
        <w:t>）。</w:t>
      </w:r>
    </w:p>
    <w:p>
      <w:pPr>
        <w:ind w:left="2816"/>
        <w:spacing w:before="120" w:line="219" w:lineRule="auto"/>
        <w:rPr>
          <w:rFonts w:ascii="SimSun" w:hAnsi="SimSun" w:eastAsia="SimSun" w:cs="SimSun"/>
          <w:sz w:val="24"/>
          <w:szCs w:val="24"/>
        </w:rPr>
      </w:pPr>
      <w:r>
        <w:rPr>
          <w:rFonts w:ascii="SimSun" w:hAnsi="SimSun" w:eastAsia="SimSun" w:cs="SimSun"/>
          <w:sz w:val="24"/>
          <w:szCs w:val="24"/>
          <w:spacing w:val="-1"/>
        </w:rPr>
        <w:t>表</w:t>
      </w:r>
      <w:r>
        <w:rPr>
          <w:rFonts w:ascii="Times New Roman" w:hAnsi="Times New Roman" w:eastAsia="Times New Roman" w:cs="Times New Roman"/>
          <w:sz w:val="24"/>
          <w:szCs w:val="24"/>
          <w:spacing w:val="-1"/>
        </w:rPr>
        <w:t>4.2-9    </w:t>
      </w:r>
      <w:r>
        <w:rPr>
          <w:rFonts w:ascii="SimSun" w:hAnsi="SimSun" w:eastAsia="SimSun" w:cs="SimSun"/>
          <w:sz w:val="24"/>
          <w:szCs w:val="24"/>
          <w:spacing w:val="-1"/>
        </w:rPr>
        <w:t>环境监测计划内容</w:t>
      </w:r>
    </w:p>
    <w:tbl>
      <w:tblPr>
        <w:tblStyle w:val="TableNormal"/>
        <w:tblW w:w="8516"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14"/>
        <w:gridCol w:w="1816"/>
        <w:gridCol w:w="1138"/>
        <w:gridCol w:w="1438"/>
        <w:gridCol w:w="3310"/>
      </w:tblGrid>
      <w:tr>
        <w:trPr>
          <w:trHeight w:val="725" w:hRule="atLeast"/>
        </w:trPr>
        <w:tc>
          <w:tcPr>
            <w:tcW w:w="814" w:type="dxa"/>
            <w:vAlign w:val="top"/>
            <w:tcBorders>
              <w:top w:val="single" w:color="000000" w:sz="10" w:space="0"/>
              <w:left w:val="nil"/>
            </w:tcBorders>
          </w:tcPr>
          <w:p>
            <w:pPr>
              <w:pStyle w:val="TableText"/>
              <w:ind w:left="205"/>
              <w:spacing w:before="114" w:line="360" w:lineRule="exact"/>
              <w:rPr>
                <w:sz w:val="20"/>
                <w:szCs w:val="20"/>
              </w:rPr>
            </w:pPr>
            <w:r>
              <w:rPr>
                <w:sz w:val="20"/>
                <w:szCs w:val="20"/>
                <w:spacing w:val="4"/>
                <w:position w:val="11"/>
              </w:rPr>
              <w:t>环境</w:t>
            </w:r>
          </w:p>
          <w:p>
            <w:pPr>
              <w:pStyle w:val="TableText"/>
              <w:ind w:left="206"/>
              <w:spacing w:line="222" w:lineRule="auto"/>
              <w:rPr>
                <w:sz w:val="20"/>
                <w:szCs w:val="20"/>
              </w:rPr>
            </w:pPr>
            <w:r>
              <w:rPr>
                <w:sz w:val="20"/>
                <w:szCs w:val="20"/>
                <w:spacing w:val="4"/>
              </w:rPr>
              <w:t>要素</w:t>
            </w:r>
          </w:p>
        </w:tc>
        <w:tc>
          <w:tcPr>
            <w:tcW w:w="1816" w:type="dxa"/>
            <w:vAlign w:val="top"/>
            <w:tcBorders>
              <w:top w:val="single" w:color="000000" w:sz="10" w:space="0"/>
            </w:tcBorders>
          </w:tcPr>
          <w:p>
            <w:pPr>
              <w:pStyle w:val="TableText"/>
              <w:ind w:left="599"/>
              <w:spacing w:before="294" w:line="229" w:lineRule="auto"/>
              <w:rPr>
                <w:sz w:val="20"/>
                <w:szCs w:val="20"/>
              </w:rPr>
            </w:pPr>
            <w:r>
              <w:rPr>
                <w:sz w:val="20"/>
                <w:szCs w:val="20"/>
                <w:spacing w:val="6"/>
              </w:rPr>
              <w:t>监测点</w:t>
            </w:r>
          </w:p>
        </w:tc>
        <w:tc>
          <w:tcPr>
            <w:tcW w:w="1138" w:type="dxa"/>
            <w:vAlign w:val="top"/>
            <w:tcBorders>
              <w:top w:val="single" w:color="000000" w:sz="10" w:space="0"/>
            </w:tcBorders>
          </w:tcPr>
          <w:p>
            <w:pPr>
              <w:pStyle w:val="TableText"/>
              <w:ind w:left="156"/>
              <w:spacing w:before="294" w:line="228" w:lineRule="auto"/>
              <w:rPr>
                <w:sz w:val="20"/>
                <w:szCs w:val="20"/>
              </w:rPr>
            </w:pPr>
            <w:r>
              <w:rPr>
                <w:sz w:val="20"/>
                <w:szCs w:val="20"/>
                <w:spacing w:val="7"/>
              </w:rPr>
              <w:t>监测因子</w:t>
            </w:r>
          </w:p>
        </w:tc>
        <w:tc>
          <w:tcPr>
            <w:tcW w:w="1438" w:type="dxa"/>
            <w:vAlign w:val="top"/>
            <w:tcBorders>
              <w:top w:val="single" w:color="000000" w:sz="10" w:space="0"/>
            </w:tcBorders>
          </w:tcPr>
          <w:p>
            <w:pPr>
              <w:pStyle w:val="TableText"/>
              <w:ind w:left="304"/>
              <w:spacing w:before="293" w:line="228" w:lineRule="auto"/>
              <w:rPr>
                <w:sz w:val="20"/>
                <w:szCs w:val="20"/>
              </w:rPr>
            </w:pPr>
            <w:r>
              <w:rPr>
                <w:sz w:val="20"/>
                <w:szCs w:val="20"/>
                <w:spacing w:val="7"/>
              </w:rPr>
              <w:t>监测频次</w:t>
            </w:r>
          </w:p>
        </w:tc>
        <w:tc>
          <w:tcPr>
            <w:tcW w:w="3310" w:type="dxa"/>
            <w:vAlign w:val="top"/>
            <w:tcBorders>
              <w:top w:val="single" w:color="000000" w:sz="10" w:space="0"/>
              <w:right w:val="nil"/>
            </w:tcBorders>
          </w:tcPr>
          <w:p>
            <w:pPr>
              <w:pStyle w:val="TableText"/>
              <w:ind w:left="1241"/>
              <w:spacing w:before="293" w:line="228" w:lineRule="auto"/>
              <w:rPr>
                <w:sz w:val="20"/>
                <w:szCs w:val="20"/>
              </w:rPr>
            </w:pPr>
            <w:r>
              <w:rPr>
                <w:sz w:val="20"/>
                <w:szCs w:val="20"/>
                <w:spacing w:val="7"/>
              </w:rPr>
              <w:t>执行标准</w:t>
            </w:r>
          </w:p>
        </w:tc>
      </w:tr>
      <w:tr>
        <w:trPr>
          <w:trHeight w:val="1077" w:hRule="atLeast"/>
        </w:trPr>
        <w:tc>
          <w:tcPr>
            <w:tcW w:w="814" w:type="dxa"/>
            <w:vAlign w:val="top"/>
            <w:tcBorders>
              <w:left w:val="nil"/>
            </w:tcBorders>
          </w:tcPr>
          <w:p>
            <w:pPr>
              <w:pStyle w:val="TableText"/>
              <w:ind w:left="206"/>
              <w:spacing w:before="294" w:line="228" w:lineRule="auto"/>
              <w:rPr>
                <w:sz w:val="20"/>
                <w:szCs w:val="20"/>
              </w:rPr>
            </w:pPr>
            <w:r>
              <w:rPr>
                <w:sz w:val="20"/>
                <w:szCs w:val="20"/>
                <w:spacing w:val="4"/>
              </w:rPr>
              <w:t>有组</w:t>
            </w:r>
          </w:p>
          <w:p>
            <w:pPr>
              <w:pStyle w:val="TableText"/>
              <w:ind w:left="314"/>
              <w:spacing w:before="112" w:line="232" w:lineRule="auto"/>
              <w:rPr>
                <w:sz w:val="20"/>
                <w:szCs w:val="20"/>
              </w:rPr>
            </w:pPr>
            <w:r>
              <w:rPr>
                <w:sz w:val="20"/>
                <w:szCs w:val="20"/>
              </w:rPr>
              <w:t>织</w:t>
            </w:r>
          </w:p>
        </w:tc>
        <w:tc>
          <w:tcPr>
            <w:tcW w:w="1816" w:type="dxa"/>
            <w:vAlign w:val="top"/>
          </w:tcPr>
          <w:p>
            <w:pPr>
              <w:spacing w:line="406" w:lineRule="auto"/>
              <w:rPr>
                <w:rFonts w:ascii="Arial"/>
                <w:sz w:val="21"/>
              </w:rPr>
            </w:pPr>
            <w:r/>
          </w:p>
          <w:p>
            <w:pPr>
              <w:pStyle w:val="TableText"/>
              <w:ind w:left="598"/>
              <w:spacing w:before="65" w:line="229" w:lineRule="auto"/>
              <w:rPr>
                <w:sz w:val="20"/>
                <w:szCs w:val="20"/>
              </w:rPr>
            </w:pPr>
            <w:r>
              <w:rPr>
                <w:sz w:val="20"/>
                <w:szCs w:val="20"/>
                <w:spacing w:val="6"/>
              </w:rPr>
              <w:t>排放口</w:t>
            </w:r>
          </w:p>
        </w:tc>
        <w:tc>
          <w:tcPr>
            <w:tcW w:w="1138" w:type="dxa"/>
            <w:vAlign w:val="top"/>
          </w:tcPr>
          <w:p>
            <w:pPr>
              <w:pStyle w:val="TableText"/>
              <w:ind w:left="469" w:right="148" w:hanging="311"/>
              <w:spacing w:before="294" w:line="280" w:lineRule="auto"/>
              <w:rPr>
                <w:sz w:val="20"/>
                <w:szCs w:val="20"/>
              </w:rPr>
            </w:pPr>
            <w:r>
              <w:rPr>
                <w:sz w:val="20"/>
                <w:szCs w:val="20"/>
                <w:spacing w:val="6"/>
              </w:rPr>
              <w:t>非甲烷总</w:t>
            </w:r>
            <w:r>
              <w:rPr>
                <w:sz w:val="20"/>
                <w:szCs w:val="20"/>
                <w:spacing w:val="1"/>
              </w:rPr>
              <w:t xml:space="preserve"> </w:t>
            </w:r>
            <w:r>
              <w:rPr>
                <w:sz w:val="20"/>
                <w:szCs w:val="20"/>
              </w:rPr>
              <w:t>烃</w:t>
            </w:r>
          </w:p>
        </w:tc>
        <w:tc>
          <w:tcPr>
            <w:tcW w:w="1438" w:type="dxa"/>
            <w:vAlign w:val="top"/>
          </w:tcPr>
          <w:p>
            <w:pPr>
              <w:pStyle w:val="TableText"/>
              <w:ind w:left="466" w:right="112" w:hanging="334"/>
              <w:spacing w:before="293" w:line="280" w:lineRule="auto"/>
              <w:rPr>
                <w:sz w:val="20"/>
                <w:szCs w:val="20"/>
              </w:rPr>
            </w:pPr>
            <w:r>
              <w:rPr>
                <w:rFonts w:ascii="Times New Roman" w:hAnsi="Times New Roman" w:eastAsia="Times New Roman" w:cs="Times New Roman"/>
                <w:sz w:val="20"/>
                <w:szCs w:val="20"/>
                <w:spacing w:val="4"/>
              </w:rPr>
              <w:t>1</w:t>
            </w:r>
            <w:r>
              <w:rPr>
                <w:sz w:val="20"/>
                <w:szCs w:val="20"/>
                <w:spacing w:val="4"/>
              </w:rPr>
              <w:t>次</w:t>
            </w:r>
            <w:r>
              <w:rPr>
                <w:rFonts w:ascii="Times New Roman" w:hAnsi="Times New Roman" w:eastAsia="Times New Roman" w:cs="Times New Roman"/>
                <w:sz w:val="20"/>
                <w:szCs w:val="20"/>
                <w:spacing w:val="4"/>
              </w:rPr>
              <w:t>/</w:t>
            </w:r>
            <w:r>
              <w:rPr>
                <w:sz w:val="20"/>
                <w:szCs w:val="20"/>
                <w:spacing w:val="4"/>
              </w:rPr>
              <w:t>半年，每</w:t>
            </w:r>
            <w:r>
              <w:rPr>
                <w:sz w:val="20"/>
                <w:szCs w:val="20"/>
                <w:spacing w:val="3"/>
              </w:rPr>
              <w:t xml:space="preserve"> </w:t>
            </w:r>
            <w:r>
              <w:rPr>
                <w:sz w:val="20"/>
                <w:szCs w:val="20"/>
                <w:spacing w:val="3"/>
              </w:rPr>
              <w:t>次</w:t>
            </w:r>
            <w:r>
              <w:rPr>
                <w:rFonts w:ascii="Times New Roman" w:hAnsi="Times New Roman" w:eastAsia="Times New Roman" w:cs="Times New Roman"/>
                <w:sz w:val="20"/>
                <w:szCs w:val="20"/>
                <w:spacing w:val="3"/>
              </w:rPr>
              <w:t>1</w:t>
            </w:r>
            <w:r>
              <w:rPr>
                <w:sz w:val="20"/>
                <w:szCs w:val="20"/>
                <w:spacing w:val="3"/>
              </w:rPr>
              <w:t>天</w:t>
            </w:r>
          </w:p>
        </w:tc>
        <w:tc>
          <w:tcPr>
            <w:tcW w:w="3310" w:type="dxa"/>
            <w:vAlign w:val="top"/>
            <w:tcBorders>
              <w:right w:val="nil"/>
            </w:tcBorders>
          </w:tcPr>
          <w:p>
            <w:pPr>
              <w:pStyle w:val="TableText"/>
              <w:ind w:left="118"/>
              <w:spacing w:before="113" w:line="228" w:lineRule="auto"/>
              <w:rPr>
                <w:sz w:val="20"/>
                <w:szCs w:val="20"/>
              </w:rPr>
            </w:pPr>
            <w:r>
              <w:rPr>
                <w:sz w:val="20"/>
                <w:szCs w:val="20"/>
                <w:spacing w:val="8"/>
              </w:rPr>
              <w:t>《合成树脂工业污染物排放标准》</w:t>
            </w:r>
          </w:p>
          <w:p>
            <w:pPr>
              <w:pStyle w:val="TableText"/>
              <w:ind w:left="123"/>
              <w:spacing w:before="113" w:line="228" w:lineRule="auto"/>
              <w:rPr>
                <w:sz w:val="20"/>
                <w:szCs w:val="20"/>
              </w:rPr>
            </w:pPr>
            <w:r>
              <w:rPr>
                <w:sz w:val="20"/>
                <w:szCs w:val="20"/>
                <w:spacing w:val="1"/>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1"/>
              </w:rPr>
              <w:t>31572-2015</w:t>
            </w:r>
            <w:r>
              <w:rPr>
                <w:sz w:val="20"/>
                <w:szCs w:val="20"/>
                <w:spacing w:val="1"/>
              </w:rPr>
              <w:t>）中大气污染物特</w:t>
            </w:r>
          </w:p>
          <w:p>
            <w:pPr>
              <w:pStyle w:val="TableText"/>
              <w:ind w:left="1138"/>
              <w:spacing w:before="113" w:line="215" w:lineRule="auto"/>
              <w:rPr>
                <w:sz w:val="20"/>
                <w:szCs w:val="20"/>
              </w:rPr>
            </w:pPr>
            <w:r>
              <w:rPr>
                <w:sz w:val="20"/>
                <w:szCs w:val="20"/>
                <w:spacing w:val="7"/>
              </w:rPr>
              <w:t>别排放限值</w:t>
            </w:r>
          </w:p>
        </w:tc>
      </w:tr>
      <w:tr>
        <w:trPr>
          <w:trHeight w:val="1078" w:hRule="atLeast"/>
        </w:trPr>
        <w:tc>
          <w:tcPr>
            <w:tcW w:w="814" w:type="dxa"/>
            <w:vAlign w:val="top"/>
            <w:vMerge w:val="restart"/>
            <w:tcBorders>
              <w:bottom w:val="nil"/>
              <w:left w:val="nil"/>
            </w:tcBorders>
          </w:tcPr>
          <w:p>
            <w:pPr>
              <w:spacing w:line="316" w:lineRule="auto"/>
              <w:rPr>
                <w:rFonts w:ascii="Arial"/>
                <w:sz w:val="21"/>
              </w:rPr>
            </w:pPr>
            <w:r/>
          </w:p>
          <w:p>
            <w:pPr>
              <w:spacing w:line="317" w:lineRule="auto"/>
              <w:rPr>
                <w:rFonts w:ascii="Arial"/>
                <w:sz w:val="21"/>
              </w:rPr>
            </w:pPr>
            <w:r/>
          </w:p>
          <w:p>
            <w:pPr>
              <w:pStyle w:val="TableText"/>
              <w:ind w:left="207"/>
              <w:spacing w:before="65" w:line="228" w:lineRule="auto"/>
              <w:rPr>
                <w:sz w:val="20"/>
                <w:szCs w:val="20"/>
              </w:rPr>
            </w:pPr>
            <w:r>
              <w:rPr>
                <w:sz w:val="20"/>
                <w:szCs w:val="20"/>
                <w:spacing w:val="3"/>
              </w:rPr>
              <w:t>无组</w:t>
            </w:r>
          </w:p>
          <w:p>
            <w:pPr>
              <w:pStyle w:val="TableText"/>
              <w:ind w:left="314"/>
              <w:spacing w:before="112" w:line="232" w:lineRule="auto"/>
              <w:rPr>
                <w:sz w:val="20"/>
                <w:szCs w:val="20"/>
              </w:rPr>
            </w:pPr>
            <w:r>
              <w:rPr>
                <w:sz w:val="20"/>
                <w:szCs w:val="20"/>
              </w:rPr>
              <w:t>织</w:t>
            </w:r>
          </w:p>
        </w:tc>
        <w:tc>
          <w:tcPr>
            <w:tcW w:w="1816" w:type="dxa"/>
            <w:vAlign w:val="top"/>
          </w:tcPr>
          <w:p>
            <w:pPr>
              <w:pStyle w:val="TableText"/>
              <w:ind w:left="116"/>
              <w:spacing w:before="121" w:line="228" w:lineRule="auto"/>
              <w:rPr>
                <w:sz w:val="20"/>
                <w:szCs w:val="20"/>
              </w:rPr>
            </w:pPr>
            <w:r>
              <w:rPr>
                <w:sz w:val="20"/>
                <w:szCs w:val="20"/>
                <w:spacing w:val="-2"/>
              </w:rPr>
              <w:t>厂区边界（上风向</w:t>
            </w:r>
          </w:p>
          <w:p>
            <w:pPr>
              <w:pStyle w:val="TableText"/>
              <w:ind w:left="597" w:right="170" w:hanging="403"/>
              <w:spacing w:before="112" w:line="271" w:lineRule="auto"/>
              <w:rPr>
                <w:sz w:val="20"/>
                <w:szCs w:val="20"/>
              </w:rPr>
            </w:pPr>
            <w:r>
              <w:rPr>
                <w:rFonts w:ascii="Times New Roman" w:hAnsi="Times New Roman" w:eastAsia="Times New Roman" w:cs="Times New Roman"/>
                <w:sz w:val="20"/>
                <w:szCs w:val="20"/>
                <w:spacing w:val="5"/>
              </w:rPr>
              <w:t>1</w:t>
            </w:r>
            <w:r>
              <w:rPr>
                <w:sz w:val="20"/>
                <w:szCs w:val="20"/>
                <w:spacing w:val="5"/>
              </w:rPr>
              <w:t>个点，下风向</w:t>
            </w:r>
            <w:r>
              <w:rPr>
                <w:rFonts w:ascii="Times New Roman" w:hAnsi="Times New Roman" w:eastAsia="Times New Roman" w:cs="Times New Roman"/>
                <w:sz w:val="20"/>
                <w:szCs w:val="20"/>
                <w:spacing w:val="5"/>
              </w:rPr>
              <w:t>3</w:t>
            </w:r>
            <w:r>
              <w:rPr>
                <w:rFonts w:ascii="Times New Roman" w:hAnsi="Times New Roman" w:eastAsia="Times New Roman" w:cs="Times New Roman"/>
                <w:sz w:val="20"/>
                <w:szCs w:val="20"/>
                <w:spacing w:val="4"/>
              </w:rPr>
              <w:t xml:space="preserve"> </w:t>
            </w:r>
            <w:r>
              <w:rPr>
                <w:sz w:val="20"/>
                <w:szCs w:val="20"/>
                <w:spacing w:val="3"/>
              </w:rPr>
              <w:t>个点）</w:t>
            </w:r>
          </w:p>
        </w:tc>
        <w:tc>
          <w:tcPr>
            <w:tcW w:w="1138" w:type="dxa"/>
            <w:vAlign w:val="top"/>
            <w:vMerge w:val="restart"/>
            <w:tcBorders>
              <w:bottom w:val="nil"/>
            </w:tcBorders>
          </w:tcPr>
          <w:p>
            <w:pPr>
              <w:spacing w:line="316" w:lineRule="auto"/>
              <w:rPr>
                <w:rFonts w:ascii="Arial"/>
                <w:sz w:val="21"/>
              </w:rPr>
            </w:pPr>
            <w:r/>
          </w:p>
          <w:p>
            <w:pPr>
              <w:spacing w:line="317" w:lineRule="auto"/>
              <w:rPr>
                <w:rFonts w:ascii="Arial"/>
                <w:sz w:val="21"/>
              </w:rPr>
            </w:pPr>
            <w:r/>
          </w:p>
          <w:p>
            <w:pPr>
              <w:pStyle w:val="TableText"/>
              <w:ind w:left="469" w:right="148" w:hanging="311"/>
              <w:spacing w:before="65" w:line="280" w:lineRule="auto"/>
              <w:rPr>
                <w:sz w:val="20"/>
                <w:szCs w:val="20"/>
              </w:rPr>
            </w:pPr>
            <w:r>
              <w:rPr>
                <w:sz w:val="20"/>
                <w:szCs w:val="20"/>
                <w:spacing w:val="6"/>
              </w:rPr>
              <w:t>非甲烷总</w:t>
            </w:r>
            <w:r>
              <w:rPr>
                <w:sz w:val="20"/>
                <w:szCs w:val="20"/>
                <w:spacing w:val="1"/>
              </w:rPr>
              <w:t xml:space="preserve"> </w:t>
            </w:r>
            <w:r>
              <w:rPr>
                <w:sz w:val="20"/>
                <w:szCs w:val="20"/>
              </w:rPr>
              <w:t>烃</w:t>
            </w:r>
          </w:p>
        </w:tc>
        <w:tc>
          <w:tcPr>
            <w:tcW w:w="1438" w:type="dxa"/>
            <w:vAlign w:val="top"/>
            <w:vMerge w:val="restart"/>
            <w:tcBorders>
              <w:bottom w:val="nil"/>
            </w:tcBorders>
          </w:tcPr>
          <w:p>
            <w:pPr>
              <w:spacing w:line="316" w:lineRule="auto"/>
              <w:rPr>
                <w:rFonts w:ascii="Arial"/>
                <w:sz w:val="21"/>
              </w:rPr>
            </w:pPr>
            <w:r/>
          </w:p>
          <w:p>
            <w:pPr>
              <w:spacing w:line="317" w:lineRule="auto"/>
              <w:rPr>
                <w:rFonts w:ascii="Arial"/>
                <w:sz w:val="21"/>
              </w:rPr>
            </w:pPr>
            <w:r/>
          </w:p>
          <w:p>
            <w:pPr>
              <w:pStyle w:val="TableText"/>
              <w:ind w:left="624" w:right="106" w:hanging="494"/>
              <w:spacing w:before="65" w:line="280" w:lineRule="auto"/>
              <w:rPr>
                <w:sz w:val="20"/>
                <w:szCs w:val="20"/>
              </w:rPr>
            </w:pPr>
            <w:r>
              <w:rPr>
                <w:rFonts w:ascii="Times New Roman" w:hAnsi="Times New Roman" w:eastAsia="Times New Roman" w:cs="Times New Roman"/>
                <w:sz w:val="20"/>
                <w:szCs w:val="20"/>
                <w:spacing w:val="-8"/>
              </w:rPr>
              <w:t>1</w:t>
            </w:r>
            <w:r>
              <w:rPr>
                <w:sz w:val="20"/>
                <w:szCs w:val="20"/>
                <w:spacing w:val="-8"/>
              </w:rPr>
              <w:t>次</w:t>
            </w:r>
            <w:r>
              <w:rPr>
                <w:rFonts w:ascii="Times New Roman" w:hAnsi="Times New Roman" w:eastAsia="Times New Roman" w:cs="Times New Roman"/>
                <w:sz w:val="20"/>
                <w:szCs w:val="20"/>
                <w:spacing w:val="-8"/>
              </w:rPr>
              <w:t>/</w:t>
            </w:r>
            <w:r>
              <w:rPr>
                <w:sz w:val="20"/>
                <w:szCs w:val="20"/>
                <w:spacing w:val="-8"/>
              </w:rPr>
              <w:t>年，每次</w:t>
            </w: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3"/>
              </w:rPr>
              <w:t xml:space="preserve"> </w:t>
            </w:r>
            <w:r>
              <w:rPr>
                <w:sz w:val="20"/>
                <w:szCs w:val="20"/>
              </w:rPr>
              <w:t>天</w:t>
            </w:r>
          </w:p>
        </w:tc>
        <w:tc>
          <w:tcPr>
            <w:tcW w:w="3310" w:type="dxa"/>
            <w:vAlign w:val="top"/>
            <w:tcBorders>
              <w:right w:val="nil"/>
            </w:tcBorders>
          </w:tcPr>
          <w:p>
            <w:pPr>
              <w:pStyle w:val="TableText"/>
              <w:ind w:left="175" w:right="65" w:hanging="57"/>
              <w:spacing w:before="301" w:line="280" w:lineRule="auto"/>
              <w:rPr>
                <w:sz w:val="20"/>
                <w:szCs w:val="20"/>
              </w:rPr>
            </w:pPr>
            <w:r>
              <w:rPr>
                <w:sz w:val="20"/>
                <w:szCs w:val="20"/>
                <w:spacing w:val="8"/>
              </w:rPr>
              <w:t>《合成树脂工业污染物排放标准》</w:t>
            </w:r>
            <w:r>
              <w:rPr>
                <w:sz w:val="20"/>
                <w:szCs w:val="20"/>
                <w:spacing w:val="1"/>
              </w:rPr>
              <w:t xml:space="preserve"> </w:t>
            </w:r>
            <w:r>
              <w:rPr>
                <w:sz w:val="20"/>
                <w:szCs w:val="20"/>
                <w:spacing w:val="6"/>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31572-2015</w:t>
            </w:r>
            <w:r>
              <w:rPr>
                <w:sz w:val="20"/>
                <w:szCs w:val="20"/>
                <w:spacing w:val="6"/>
              </w:rPr>
              <w:t>）排放限值要求</w:t>
            </w:r>
          </w:p>
        </w:tc>
      </w:tr>
      <w:tr>
        <w:trPr>
          <w:trHeight w:val="813" w:hRule="atLeast"/>
        </w:trPr>
        <w:tc>
          <w:tcPr>
            <w:tcW w:w="814" w:type="dxa"/>
            <w:vAlign w:val="top"/>
            <w:vMerge w:val="continue"/>
            <w:tcBorders>
              <w:bottom w:val="single" w:color="000000" w:sz="10" w:space="0"/>
              <w:left w:val="nil"/>
              <w:top w:val="nil"/>
            </w:tcBorders>
          </w:tcPr>
          <w:p>
            <w:pPr>
              <w:rPr>
                <w:rFonts w:ascii="Arial"/>
                <w:sz w:val="21"/>
              </w:rPr>
            </w:pPr>
            <w:r/>
          </w:p>
        </w:tc>
        <w:tc>
          <w:tcPr>
            <w:tcW w:w="1816" w:type="dxa"/>
            <w:vAlign w:val="top"/>
            <w:tcBorders>
              <w:bottom w:val="single" w:color="000000" w:sz="10" w:space="0"/>
            </w:tcBorders>
          </w:tcPr>
          <w:p>
            <w:pPr>
              <w:pStyle w:val="TableText"/>
              <w:ind w:left="474" w:right="142" w:hanging="318"/>
              <w:spacing w:before="164" w:line="280" w:lineRule="auto"/>
              <w:rPr>
                <w:rFonts w:ascii="Times New Roman" w:hAnsi="Times New Roman" w:eastAsia="Times New Roman" w:cs="Times New Roman"/>
                <w:sz w:val="20"/>
                <w:szCs w:val="20"/>
              </w:rPr>
            </w:pPr>
            <w:r>
              <w:rPr>
                <w:sz w:val="20"/>
                <w:szCs w:val="20"/>
                <w:spacing w:val="7"/>
              </w:rPr>
              <w:t>下风向、厂房门</w:t>
            </w: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rPr>
              <w:t xml:space="preserve"> </w:t>
            </w:r>
            <w:r>
              <w:rPr>
                <w:sz w:val="20"/>
                <w:szCs w:val="20"/>
                <w:spacing w:val="4"/>
              </w:rPr>
              <w:t>窗口外</w:t>
            </w:r>
            <w:r>
              <w:rPr>
                <w:rFonts w:ascii="Times New Roman" w:hAnsi="Times New Roman" w:eastAsia="Times New Roman" w:cs="Times New Roman"/>
                <w:sz w:val="20"/>
                <w:szCs w:val="20"/>
                <w:spacing w:val="4"/>
              </w:rPr>
              <w:t>1m</w:t>
            </w:r>
          </w:p>
        </w:tc>
        <w:tc>
          <w:tcPr>
            <w:tcW w:w="1138" w:type="dxa"/>
            <w:vAlign w:val="top"/>
            <w:vMerge w:val="continue"/>
            <w:tcBorders>
              <w:bottom w:val="single" w:color="000000" w:sz="10" w:space="0"/>
              <w:top w:val="nil"/>
            </w:tcBorders>
          </w:tcPr>
          <w:p>
            <w:pPr>
              <w:rPr>
                <w:rFonts w:ascii="Arial"/>
                <w:sz w:val="21"/>
              </w:rPr>
            </w:pPr>
            <w:r/>
          </w:p>
        </w:tc>
        <w:tc>
          <w:tcPr>
            <w:tcW w:w="1438" w:type="dxa"/>
            <w:vAlign w:val="top"/>
            <w:vMerge w:val="continue"/>
            <w:tcBorders>
              <w:bottom w:val="single" w:color="000000" w:sz="10" w:space="0"/>
              <w:top w:val="nil"/>
            </w:tcBorders>
          </w:tcPr>
          <w:p>
            <w:pPr>
              <w:rPr>
                <w:rFonts w:ascii="Arial"/>
                <w:sz w:val="21"/>
              </w:rPr>
            </w:pPr>
            <w:r/>
          </w:p>
        </w:tc>
        <w:tc>
          <w:tcPr>
            <w:tcW w:w="3310" w:type="dxa"/>
            <w:vAlign w:val="top"/>
            <w:tcBorders>
              <w:bottom w:val="single" w:color="000000" w:sz="10" w:space="0"/>
              <w:right w:val="nil"/>
            </w:tcBorders>
          </w:tcPr>
          <w:p>
            <w:pPr>
              <w:pStyle w:val="TableText"/>
              <w:ind w:left="483" w:right="187" w:hanging="288"/>
              <w:spacing w:before="164" w:line="280" w:lineRule="auto"/>
              <w:rPr>
                <w:sz w:val="20"/>
                <w:szCs w:val="20"/>
              </w:rPr>
            </w:pPr>
            <w:r>
              <w:rPr>
                <w:sz w:val="20"/>
                <w:szCs w:val="20"/>
                <w:spacing w:val="8"/>
              </w:rPr>
              <w:t>《挥发性有机物无组织排放控制</w:t>
            </w:r>
            <w:r>
              <w:rPr>
                <w:sz w:val="20"/>
                <w:szCs w:val="20"/>
                <w:spacing w:val="11"/>
              </w:rPr>
              <w:t xml:space="preserve"> </w:t>
            </w:r>
            <w:r>
              <w:rPr>
                <w:sz w:val="20"/>
                <w:szCs w:val="20"/>
                <w:spacing w:val="6"/>
              </w:rPr>
              <w:t>标准》（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37822-2019</w:t>
            </w:r>
            <w:r>
              <w:rPr>
                <w:sz w:val="20"/>
                <w:szCs w:val="20"/>
                <w:spacing w:val="6"/>
              </w:rPr>
              <w:t>）</w:t>
            </w:r>
          </w:p>
        </w:tc>
      </w:tr>
    </w:tbl>
    <w:p>
      <w:pPr>
        <w:pStyle w:val="BodyText"/>
        <w:spacing w:line="303" w:lineRule="auto"/>
        <w:rPr/>
      </w:pPr>
      <w:r/>
    </w:p>
    <w:p>
      <w:pPr>
        <w:pStyle w:val="BodyText"/>
        <w:spacing w:line="303" w:lineRule="auto"/>
        <w:rPr/>
      </w:pPr>
      <w:r/>
    </w:p>
    <w:p>
      <w:pPr>
        <w:pStyle w:val="BodyText"/>
        <w:spacing w:line="304" w:lineRule="auto"/>
        <w:rPr/>
      </w:pPr>
      <w:r/>
    </w:p>
    <w:p>
      <w:pPr>
        <w:ind w:left="118"/>
        <w:spacing w:before="92" w:line="221" w:lineRule="auto"/>
        <w:outlineLvl w:val="0"/>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专家：曹鹏</w:t>
      </w:r>
    </w:p>
    <w:p>
      <w:pPr>
        <w:ind w:left="124"/>
        <w:spacing w:before="228" w:line="219" w:lineRule="auto"/>
        <w:outlineLvl w:val="0"/>
        <w:rPr>
          <w:rFonts w:ascii="SimSun" w:hAnsi="SimSun" w:eastAsia="SimSun" w:cs="SimSun"/>
          <w:sz w:val="28"/>
          <w:szCs w:val="28"/>
        </w:rPr>
      </w:pPr>
      <w:r>
        <w:rPr>
          <w:rFonts w:ascii="Times New Roman" w:hAnsi="Times New Roman" w:eastAsia="Times New Roman" w:cs="Times New Roman"/>
          <w:sz w:val="28"/>
          <w:szCs w:val="28"/>
          <w:b/>
          <w:bCs/>
          <w:spacing w:val="-1"/>
        </w:rPr>
        <w:t>1.</w:t>
      </w:r>
      <w:r>
        <w:rPr>
          <w:rFonts w:ascii="SimSun" w:hAnsi="SimSun" w:eastAsia="SimSun" w:cs="SimSun"/>
          <w:sz w:val="28"/>
          <w:szCs w:val="28"/>
          <w14:textOutline w14:w="5103" w14:cap="sq" w14:cmpd="sng">
            <w14:solidFill>
              <w14:srgbClr w14:val="000000"/>
            </w14:solidFill>
            <w14:prstDash w14:val="solid"/>
            <w14:bevel/>
          </w14:textOutline>
          <w:spacing w:val="-1"/>
        </w:rPr>
        <w:t>平面布置图不符合要求。</w:t>
      </w:r>
    </w:p>
    <w:p>
      <w:pPr>
        <w:ind w:left="621"/>
        <w:spacing w:before="213" w:line="219" w:lineRule="auto"/>
        <w:rPr>
          <w:rFonts w:ascii="SimSun" w:hAnsi="SimSun" w:eastAsia="SimSun" w:cs="SimSun"/>
          <w:sz w:val="24"/>
          <w:szCs w:val="24"/>
        </w:rPr>
      </w:pPr>
      <w:r>
        <w:rPr>
          <w:rFonts w:ascii="SimSun" w:hAnsi="SimSun" w:eastAsia="SimSun" w:cs="SimSun"/>
          <w:sz w:val="24"/>
          <w:szCs w:val="24"/>
          <w:spacing w:val="-6"/>
        </w:rPr>
        <w:t>已修改，见附图</w:t>
      </w:r>
    </w:p>
    <w:p>
      <w:pPr>
        <w:pStyle w:val="BodyText"/>
        <w:spacing w:line="347" w:lineRule="auto"/>
        <w:rPr/>
      </w:pPr>
      <w:r/>
    </w:p>
    <w:p>
      <w:pPr>
        <w:pStyle w:val="BodyText"/>
        <w:spacing w:line="347" w:lineRule="auto"/>
        <w:rPr/>
      </w:pPr>
      <w:r/>
    </w:p>
    <w:p>
      <w:pPr>
        <w:ind w:left="112"/>
        <w:spacing w:before="91" w:line="220" w:lineRule="auto"/>
        <w:outlineLvl w:val="0"/>
        <w:rPr>
          <w:rFonts w:ascii="SimSun" w:hAnsi="SimSun" w:eastAsia="SimSun" w:cs="SimSun"/>
          <w:sz w:val="28"/>
          <w:szCs w:val="28"/>
        </w:rPr>
      </w:pPr>
      <w:r>
        <w:rPr>
          <w:rFonts w:ascii="Times New Roman" w:hAnsi="Times New Roman" w:eastAsia="Times New Roman" w:cs="Times New Roman"/>
          <w:sz w:val="28"/>
          <w:szCs w:val="28"/>
          <w:b/>
          <w:bCs/>
          <w:spacing w:val="1"/>
        </w:rPr>
        <w:t>2.  </w:t>
      </w:r>
      <w:r>
        <w:rPr>
          <w:rFonts w:ascii="SimSun" w:hAnsi="SimSun" w:eastAsia="SimSun" w:cs="SimSun"/>
          <w:sz w:val="28"/>
          <w:szCs w:val="28"/>
          <w14:textOutline w14:w="5103" w14:cap="sq" w14:cmpd="sng">
            <w14:solidFill>
              <w14:srgbClr w14:val="000000"/>
            </w14:solidFill>
            <w14:prstDash w14:val="solid"/>
            <w14:bevel/>
          </w14:textOutline>
          <w:spacing w:val="1"/>
        </w:rPr>
        <w:t>主要产生废气设备建设局部密闭式集气罩</w:t>
      </w:r>
      <w:r>
        <w:rPr>
          <w:rFonts w:ascii="SimSun" w:hAnsi="SimSun" w:eastAsia="SimSun" w:cs="SimSun"/>
          <w:sz w:val="28"/>
          <w:szCs w:val="28"/>
          <w14:textOutline w14:w="5103" w14:cap="sq" w14:cmpd="sng">
            <w14:solidFill>
              <w14:srgbClr w14:val="000000"/>
            </w14:solidFill>
            <w14:prstDash w14:val="solid"/>
            <w14:bevel/>
          </w14:textOutline>
        </w:rPr>
        <w:t>，在污染物产生点上方</w:t>
      </w:r>
    </w:p>
    <w:p>
      <w:pPr>
        <w:spacing w:before="226" w:line="559" w:lineRule="exact"/>
        <w:jc w:val="right"/>
        <w:rPr>
          <w:rFonts w:ascii="SimSun" w:hAnsi="SimSun" w:eastAsia="SimSun" w:cs="SimSun"/>
          <w:sz w:val="28"/>
          <w:szCs w:val="28"/>
        </w:rPr>
      </w:pPr>
      <w:r>
        <w:rPr>
          <w:rFonts w:ascii="Times New Roman" w:hAnsi="Times New Roman" w:eastAsia="Times New Roman" w:cs="Times New Roman"/>
          <w:sz w:val="28"/>
          <w:szCs w:val="28"/>
          <w:b/>
          <w:bCs/>
          <w:spacing w:val="-5"/>
          <w:position w:val="21"/>
        </w:rPr>
        <w:t>10-15cm</w:t>
      </w:r>
      <w:r>
        <w:rPr>
          <w:rFonts w:ascii="SimSun" w:hAnsi="SimSun" w:eastAsia="SimSun" w:cs="SimSun"/>
          <w:sz w:val="28"/>
          <w:szCs w:val="28"/>
          <w14:textOutline w14:w="5103" w14:cap="sq" w14:cmpd="sng">
            <w14:solidFill>
              <w14:srgbClr w14:val="000000"/>
            </w14:solidFill>
            <w14:prstDash w14:val="solid"/>
            <w14:bevel/>
          </w14:textOutline>
          <w:spacing w:val="-5"/>
          <w:position w:val="21"/>
        </w:rPr>
        <w:t>设置负压收集装置，共设置</w:t>
      </w:r>
      <w:r>
        <w:rPr>
          <w:rFonts w:ascii="Times New Roman" w:hAnsi="Times New Roman" w:eastAsia="Times New Roman" w:cs="Times New Roman"/>
          <w:sz w:val="28"/>
          <w:szCs w:val="28"/>
          <w:b/>
          <w:bCs/>
          <w:spacing w:val="-5"/>
          <w:position w:val="21"/>
        </w:rPr>
        <w:t>5</w:t>
      </w:r>
      <w:r>
        <w:rPr>
          <w:rFonts w:ascii="SimSun" w:hAnsi="SimSun" w:eastAsia="SimSun" w:cs="SimSun"/>
          <w:sz w:val="28"/>
          <w:szCs w:val="28"/>
          <w14:textOutline w14:w="5103" w14:cap="sq" w14:cmpd="sng">
            <w14:solidFill>
              <w14:srgbClr w14:val="000000"/>
            </w14:solidFill>
            <w14:prstDash w14:val="solid"/>
            <w14:bevel/>
          </w14:textOutline>
          <w:spacing w:val="-5"/>
          <w:position w:val="21"/>
        </w:rPr>
        <w:t>个，尺寸分别为</w:t>
      </w:r>
      <w:r>
        <w:rPr>
          <w:rFonts w:ascii="Times New Roman" w:hAnsi="Times New Roman" w:eastAsia="Times New Roman" w:cs="Times New Roman"/>
          <w:sz w:val="28"/>
          <w:szCs w:val="28"/>
          <w:b/>
          <w:bCs/>
          <w:spacing w:val="-5"/>
          <w:position w:val="21"/>
        </w:rPr>
        <w:t>900cm</w:t>
      </w:r>
      <w:r>
        <w:rPr>
          <w:rFonts w:ascii="SimSun" w:hAnsi="SimSun" w:eastAsia="SimSun" w:cs="SimSun"/>
          <w:sz w:val="28"/>
          <w:szCs w:val="28"/>
          <w14:textOutline w14:w="5103" w14:cap="sq" w14:cmpd="sng">
            <w14:solidFill>
              <w14:srgbClr w14:val="000000"/>
            </w14:solidFill>
            <w14:prstDash w14:val="solid"/>
            <w14:bevel/>
          </w14:textOutline>
          <w:spacing w:val="-5"/>
          <w:position w:val="21"/>
        </w:rPr>
        <w:t>×</w:t>
      </w:r>
      <w:r>
        <w:rPr>
          <w:rFonts w:ascii="Times New Roman" w:hAnsi="Times New Roman" w:eastAsia="Times New Roman" w:cs="Times New Roman"/>
          <w:sz w:val="28"/>
          <w:szCs w:val="28"/>
          <w:b/>
          <w:bCs/>
          <w:spacing w:val="-6"/>
          <w:position w:val="21"/>
        </w:rPr>
        <w:t>400cm</w:t>
      </w:r>
      <w:r>
        <w:rPr>
          <w:rFonts w:ascii="SimSun" w:hAnsi="SimSun" w:eastAsia="SimSun" w:cs="SimSun"/>
          <w:sz w:val="28"/>
          <w:szCs w:val="28"/>
          <w14:textOutline w14:w="5103" w14:cap="sq" w14:cmpd="sng">
            <w14:solidFill>
              <w14:srgbClr w14:val="000000"/>
            </w14:solidFill>
            <w14:prstDash w14:val="solid"/>
            <w14:bevel/>
          </w14:textOutline>
          <w:spacing w:val="-6"/>
          <w:position w:val="21"/>
        </w:rPr>
        <w:t>、</w:t>
      </w:r>
    </w:p>
    <w:p>
      <w:pPr>
        <w:spacing w:before="1" w:line="231" w:lineRule="auto"/>
        <w:jc w:val="right"/>
        <w:rPr>
          <w:rFonts w:ascii="SimSun" w:hAnsi="SimSun" w:eastAsia="SimSun" w:cs="SimSun"/>
          <w:sz w:val="28"/>
          <w:szCs w:val="28"/>
        </w:rPr>
      </w:pPr>
      <w:r>
        <w:rPr>
          <w:rFonts w:ascii="Times New Roman" w:hAnsi="Times New Roman" w:eastAsia="Times New Roman" w:cs="Times New Roman"/>
          <w:sz w:val="28"/>
          <w:szCs w:val="28"/>
          <w:b/>
          <w:bCs/>
          <w:spacing w:val="-5"/>
        </w:rPr>
        <w:t>1250cm</w:t>
      </w:r>
      <w:r>
        <w:rPr>
          <w:rFonts w:ascii="SimSun" w:hAnsi="SimSun" w:eastAsia="SimSun" w:cs="SimSun"/>
          <w:sz w:val="28"/>
          <w:szCs w:val="28"/>
          <w14:textOutline w14:w="5103" w14:cap="sq" w14:cmpd="sng">
            <w14:solidFill>
              <w14:srgbClr w14:val="000000"/>
            </w14:solidFill>
            <w14:prstDash w14:val="solid"/>
            <w14:bevel/>
          </w14:textOutline>
          <w:spacing w:val="-5"/>
        </w:rPr>
        <w:t>×</w:t>
      </w:r>
      <w:r>
        <w:rPr>
          <w:rFonts w:ascii="Times New Roman" w:hAnsi="Times New Roman" w:eastAsia="Times New Roman" w:cs="Times New Roman"/>
          <w:sz w:val="28"/>
          <w:szCs w:val="28"/>
          <w:b/>
          <w:bCs/>
          <w:spacing w:val="-5"/>
        </w:rPr>
        <w:t>700cm</w:t>
      </w:r>
      <w:r>
        <w:rPr>
          <w:rFonts w:ascii="SimSun" w:hAnsi="SimSun" w:eastAsia="SimSun" w:cs="SimSun"/>
          <w:sz w:val="28"/>
          <w:szCs w:val="28"/>
          <w14:textOutline w14:w="5103" w14:cap="sq" w14:cmpd="sng">
            <w14:solidFill>
              <w14:srgbClr w14:val="000000"/>
            </w14:solidFill>
            <w14:prstDash w14:val="solid"/>
            <w14:bevel/>
          </w14:textOutline>
          <w:spacing w:val="-5"/>
        </w:rPr>
        <w:t>、</w:t>
      </w:r>
      <w:r>
        <w:rPr>
          <w:rFonts w:ascii="Times New Roman" w:hAnsi="Times New Roman" w:eastAsia="Times New Roman" w:cs="Times New Roman"/>
          <w:sz w:val="28"/>
          <w:szCs w:val="28"/>
          <w:b/>
          <w:bCs/>
          <w:spacing w:val="-5"/>
        </w:rPr>
        <w:t>600cm</w:t>
      </w:r>
      <w:r>
        <w:rPr>
          <w:rFonts w:ascii="SimSun" w:hAnsi="SimSun" w:eastAsia="SimSun" w:cs="SimSun"/>
          <w:sz w:val="28"/>
          <w:szCs w:val="28"/>
          <w14:textOutline w14:w="5103" w14:cap="sq" w14:cmpd="sng">
            <w14:solidFill>
              <w14:srgbClr w14:val="000000"/>
            </w14:solidFill>
            <w14:prstDash w14:val="solid"/>
            <w14:bevel/>
          </w14:textOutline>
          <w:spacing w:val="-5"/>
        </w:rPr>
        <w:t>×</w:t>
      </w:r>
      <w:r>
        <w:rPr>
          <w:rFonts w:ascii="Times New Roman" w:hAnsi="Times New Roman" w:eastAsia="Times New Roman" w:cs="Times New Roman"/>
          <w:sz w:val="28"/>
          <w:szCs w:val="28"/>
          <w:b/>
          <w:bCs/>
          <w:spacing w:val="-5"/>
        </w:rPr>
        <w:t>400cm</w:t>
      </w:r>
      <w:r>
        <w:rPr>
          <w:rFonts w:ascii="SimSun" w:hAnsi="SimSun" w:eastAsia="SimSun" w:cs="SimSun"/>
          <w:sz w:val="28"/>
          <w:szCs w:val="28"/>
          <w14:textOutline w14:w="5103" w14:cap="sq" w14:cmpd="sng">
            <w14:solidFill>
              <w14:srgbClr w14:val="000000"/>
            </w14:solidFill>
            <w14:prstDash w14:val="solid"/>
            <w14:bevel/>
          </w14:textOutline>
          <w:spacing w:val="-5"/>
        </w:rPr>
        <w:t>、</w:t>
      </w:r>
      <w:r>
        <w:rPr>
          <w:rFonts w:ascii="Times New Roman" w:hAnsi="Times New Roman" w:eastAsia="Times New Roman" w:cs="Times New Roman"/>
          <w:sz w:val="28"/>
          <w:szCs w:val="28"/>
          <w:b/>
          <w:bCs/>
          <w:spacing w:val="-5"/>
        </w:rPr>
        <w:t>400cm</w:t>
      </w:r>
      <w:r>
        <w:rPr>
          <w:rFonts w:ascii="SimSun" w:hAnsi="SimSun" w:eastAsia="SimSun" w:cs="SimSun"/>
          <w:sz w:val="28"/>
          <w:szCs w:val="28"/>
          <w14:textOutline w14:w="5103" w14:cap="sq" w14:cmpd="sng">
            <w14:solidFill>
              <w14:srgbClr w14:val="000000"/>
            </w14:solidFill>
            <w14:prstDash w14:val="solid"/>
            <w14:bevel/>
          </w14:textOutline>
          <w:spacing w:val="-5"/>
        </w:rPr>
        <w:t>×</w:t>
      </w:r>
      <w:r>
        <w:rPr>
          <w:rFonts w:ascii="Times New Roman" w:hAnsi="Times New Roman" w:eastAsia="Times New Roman" w:cs="Times New Roman"/>
          <w:sz w:val="28"/>
          <w:szCs w:val="28"/>
          <w:b/>
          <w:bCs/>
          <w:spacing w:val="-5"/>
        </w:rPr>
        <w:t>400cm</w:t>
      </w:r>
      <w:r>
        <w:rPr>
          <w:rFonts w:ascii="SimSun" w:hAnsi="SimSun" w:eastAsia="SimSun" w:cs="SimSun"/>
          <w:sz w:val="28"/>
          <w:szCs w:val="28"/>
          <w14:textOutline w14:w="5103" w14:cap="sq" w14:cmpd="sng">
            <w14:solidFill>
              <w14:srgbClr w14:val="000000"/>
            </w14:solidFill>
            <w14:prstDash w14:val="solid"/>
            <w14:bevel/>
          </w14:textOutline>
          <w:spacing w:val="-5"/>
        </w:rPr>
        <w:t>、</w:t>
      </w:r>
      <w:r>
        <w:rPr>
          <w:rFonts w:ascii="Times New Roman" w:hAnsi="Times New Roman" w:eastAsia="Times New Roman" w:cs="Times New Roman"/>
          <w:sz w:val="28"/>
          <w:szCs w:val="28"/>
          <w:b/>
          <w:bCs/>
          <w:spacing w:val="-5"/>
        </w:rPr>
        <w:t>300cm</w:t>
      </w:r>
      <w:r>
        <w:rPr>
          <w:rFonts w:ascii="SimSun" w:hAnsi="SimSun" w:eastAsia="SimSun" w:cs="SimSun"/>
          <w:sz w:val="28"/>
          <w:szCs w:val="28"/>
          <w14:textOutline w14:w="5103" w14:cap="sq" w14:cmpd="sng">
            <w14:solidFill>
              <w14:srgbClr w14:val="000000"/>
            </w14:solidFill>
            <w14:prstDash w14:val="solid"/>
            <w14:bevel/>
          </w14:textOutline>
          <w:spacing w:val="-5"/>
        </w:rPr>
        <w:t>×</w:t>
      </w:r>
      <w:r>
        <w:rPr>
          <w:rFonts w:ascii="Times New Roman" w:hAnsi="Times New Roman" w:eastAsia="Times New Roman" w:cs="Times New Roman"/>
          <w:sz w:val="28"/>
          <w:szCs w:val="28"/>
          <w:b/>
          <w:bCs/>
          <w:spacing w:val="-5"/>
        </w:rPr>
        <w:t>300cm</w:t>
      </w:r>
      <w:r>
        <w:rPr>
          <w:rFonts w:ascii="SimSun" w:hAnsi="SimSun" w:eastAsia="SimSun" w:cs="SimSun"/>
          <w:sz w:val="28"/>
          <w:szCs w:val="28"/>
          <w14:textOutline w14:w="5103" w14:cap="sq" w14:cmpd="sng">
            <w14:solidFill>
              <w14:srgbClr w14:val="000000"/>
            </w14:solidFill>
            <w14:prstDash w14:val="solid"/>
            <w14:bevel/>
          </w14:textOutline>
          <w:spacing w:val="-5"/>
        </w:rPr>
        <w:t>，</w:t>
      </w:r>
    </w:p>
    <w:p>
      <w:pPr>
        <w:spacing w:line="231" w:lineRule="auto"/>
        <w:sectPr>
          <w:footerReference w:type="default" r:id="rId116"/>
          <w:pgSz w:w="11906" w:h="16839"/>
          <w:pgMar w:top="400" w:right="1695" w:bottom="1211" w:left="1693" w:header="0" w:footer="1049" w:gutter="0"/>
        </w:sectPr>
        <w:rPr>
          <w:rFonts w:ascii="SimSun" w:hAnsi="SimSun" w:eastAsia="SimSun" w:cs="SimSun"/>
          <w:sz w:val="28"/>
          <w:szCs w:val="28"/>
        </w:rPr>
      </w:pPr>
    </w:p>
    <w:p>
      <w:pPr>
        <w:pStyle w:val="BodyText"/>
        <w:spacing w:line="287" w:lineRule="auto"/>
        <w:rPr/>
      </w:pPr>
      <w:r/>
    </w:p>
    <w:p>
      <w:pPr>
        <w:pStyle w:val="BodyText"/>
        <w:spacing w:line="288" w:lineRule="auto"/>
        <w:rPr/>
      </w:pPr>
      <w:r/>
    </w:p>
    <w:p>
      <w:pPr>
        <w:pStyle w:val="BodyText"/>
        <w:spacing w:line="288" w:lineRule="auto"/>
        <w:rPr/>
      </w:pPr>
      <w:r/>
    </w:p>
    <w:p>
      <w:pPr>
        <w:pStyle w:val="BodyText"/>
        <w:spacing w:line="288" w:lineRule="auto"/>
        <w:rPr/>
      </w:pPr>
      <w:r/>
    </w:p>
    <w:p>
      <w:pPr>
        <w:ind w:left="25" w:right="13" w:firstLine="26"/>
        <w:spacing w:before="91" w:line="369" w:lineRule="auto"/>
        <w:jc w:val="both"/>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5"/>
        </w:rPr>
        <w:t>四周采用软质垂帘围挡。按照描述，分别在塑化挤出、吹胀牵引、风</w:t>
      </w:r>
      <w:r>
        <w:rPr>
          <w:rFonts w:ascii="SimSun" w:hAnsi="SimSun" w:eastAsia="SimSun" w:cs="SimSun"/>
          <w:sz w:val="28"/>
          <w:szCs w:val="28"/>
          <w:spacing w:val="15"/>
        </w:rPr>
        <w:t xml:space="preserve"> </w:t>
      </w:r>
      <w:r>
        <w:rPr>
          <w:rFonts w:ascii="SimSun" w:hAnsi="SimSun" w:eastAsia="SimSun" w:cs="SimSun"/>
          <w:sz w:val="28"/>
          <w:szCs w:val="28"/>
          <w14:textOutline w14:w="5103" w14:cap="sq" w14:cmpd="sng">
            <w14:solidFill>
              <w14:srgbClr w14:val="000000"/>
            </w14:solidFill>
            <w14:prstDash w14:val="solid"/>
            <w14:bevel/>
          </w14:textOutline>
          <w:spacing w:val="-4"/>
        </w:rPr>
        <w:t>环冷却三个阶段产生非甲烷总烃，那么按照</w:t>
      </w:r>
      <w:r>
        <w:rPr>
          <w:rFonts w:ascii="Times New Roman" w:hAnsi="Times New Roman" w:eastAsia="Times New Roman" w:cs="Times New Roman"/>
          <w:sz w:val="28"/>
          <w:szCs w:val="28"/>
          <w:b/>
          <w:bCs/>
          <w:spacing w:val="-4"/>
        </w:rPr>
        <w:t>2</w:t>
      </w:r>
      <w:r>
        <w:rPr>
          <w:rFonts w:ascii="SimSun" w:hAnsi="SimSun" w:eastAsia="SimSun" w:cs="SimSun"/>
          <w:sz w:val="28"/>
          <w:szCs w:val="28"/>
          <w14:textOutline w14:w="5103" w14:cap="sq" w14:cmpd="sng">
            <w14:solidFill>
              <w14:srgbClr w14:val="000000"/>
            </w14:solidFill>
            <w14:prstDash w14:val="solid"/>
            <w14:bevel/>
          </w14:textOutline>
          <w:spacing w:val="-4"/>
        </w:rPr>
        <w:t>套生产线计算，应该有</w:t>
      </w:r>
      <w:r>
        <w:rPr>
          <w:rFonts w:ascii="Times New Roman" w:hAnsi="Times New Roman" w:eastAsia="Times New Roman" w:cs="Times New Roman"/>
          <w:sz w:val="28"/>
          <w:szCs w:val="28"/>
          <w:b/>
          <w:bCs/>
          <w:spacing w:val="-4"/>
        </w:rPr>
        <w:t>6</w:t>
      </w:r>
      <w:r>
        <w:rPr>
          <w:rFonts w:ascii="Times New Roman" w:hAnsi="Times New Roman" w:eastAsia="Times New Roman" w:cs="Times New Roman"/>
          <w:sz w:val="28"/>
          <w:szCs w:val="28"/>
          <w:b/>
          <w:bCs/>
          <w:spacing w:val="17"/>
        </w:rPr>
        <w:t xml:space="preserve"> </w:t>
      </w:r>
      <w:r>
        <w:rPr>
          <w:rFonts w:ascii="SimSun" w:hAnsi="SimSun" w:eastAsia="SimSun" w:cs="SimSun"/>
          <w:sz w:val="28"/>
          <w:szCs w:val="28"/>
          <w14:textOutline w14:w="5103" w14:cap="sq" w14:cmpd="sng">
            <w14:solidFill>
              <w14:srgbClr w14:val="000000"/>
            </w14:solidFill>
            <w14:prstDash w14:val="solid"/>
            <w14:bevel/>
          </w14:textOutline>
          <w:spacing w:val="-4"/>
        </w:rPr>
        <w:t>个集气罩，而且是两两尺寸一样的，这五个集气罩是如何分配的？另</w:t>
      </w:r>
    </w:p>
    <w:p>
      <w:pPr>
        <w:ind w:left="30"/>
        <w:spacing w:line="219"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外确认这个尺寸单位是</w:t>
      </w:r>
      <w:r>
        <w:rPr>
          <w:rFonts w:ascii="Times New Roman" w:hAnsi="Times New Roman" w:eastAsia="Times New Roman" w:cs="Times New Roman"/>
          <w:sz w:val="28"/>
          <w:szCs w:val="28"/>
          <w:b/>
          <w:bCs/>
          <w:spacing w:val="-1"/>
        </w:rPr>
        <w:t>cm</w:t>
      </w:r>
      <w:r>
        <w:rPr>
          <w:rFonts w:ascii="SimSun" w:hAnsi="SimSun" w:eastAsia="SimSun" w:cs="SimSun"/>
          <w:sz w:val="28"/>
          <w:szCs w:val="28"/>
          <w14:textOutline w14:w="5103" w14:cap="sq" w14:cmpd="sng">
            <w14:solidFill>
              <w14:srgbClr w14:val="000000"/>
            </w14:solidFill>
            <w14:prstDash w14:val="solid"/>
            <w14:bevel/>
          </w14:textOutline>
          <w:spacing w:val="-1"/>
        </w:rPr>
        <w:t>？</w:t>
      </w:r>
    </w:p>
    <w:p>
      <w:pPr>
        <w:ind w:left="529"/>
        <w:spacing w:before="213" w:line="500" w:lineRule="exact"/>
        <w:rPr>
          <w:rFonts w:ascii="Times New Roman" w:hAnsi="Times New Roman" w:eastAsia="Times New Roman" w:cs="Times New Roman"/>
          <w:sz w:val="24"/>
          <w:szCs w:val="24"/>
        </w:rPr>
      </w:pPr>
      <w:r>
        <w:rPr>
          <w:rFonts w:ascii="SimSun" w:hAnsi="SimSun" w:eastAsia="SimSun" w:cs="SimSun"/>
          <w:sz w:val="24"/>
          <w:szCs w:val="24"/>
          <w:spacing w:val="-5"/>
          <w:position w:val="19"/>
        </w:rPr>
        <w:t>已修改，见</w:t>
      </w:r>
      <w:r>
        <w:rPr>
          <w:rFonts w:ascii="Times New Roman" w:hAnsi="Times New Roman" w:eastAsia="Times New Roman" w:cs="Times New Roman"/>
          <w:sz w:val="24"/>
          <w:szCs w:val="24"/>
          <w:spacing w:val="-5"/>
          <w:position w:val="19"/>
        </w:rPr>
        <w:t>P37</w:t>
      </w:r>
    </w:p>
    <w:p>
      <w:pPr>
        <w:ind w:left="501"/>
        <w:spacing w:line="217" w:lineRule="auto"/>
        <w:rPr>
          <w:rFonts w:ascii="SimSun" w:hAnsi="SimSun" w:eastAsia="SimSun" w:cs="SimSun"/>
          <w:sz w:val="24"/>
          <w:szCs w:val="24"/>
        </w:rPr>
      </w:pPr>
      <w:r>
        <w:rPr>
          <w:rFonts w:ascii="SimSun" w:hAnsi="SimSun" w:eastAsia="SimSun" w:cs="SimSun"/>
          <w:sz w:val="24"/>
          <w:szCs w:val="24"/>
          <w:spacing w:val="-2"/>
        </w:rPr>
        <w:t>②废气收集情况</w:t>
      </w:r>
    </w:p>
    <w:p>
      <w:pPr>
        <w:ind w:right="28"/>
        <w:spacing w:before="219" w:line="499" w:lineRule="exact"/>
        <w:jc w:val="right"/>
        <w:rPr>
          <w:rFonts w:ascii="SimSun" w:hAnsi="SimSun" w:eastAsia="SimSun" w:cs="SimSun"/>
          <w:sz w:val="24"/>
          <w:szCs w:val="24"/>
        </w:rPr>
      </w:pPr>
      <w:r>
        <w:rPr>
          <w:rFonts w:ascii="SimSun" w:hAnsi="SimSun" w:eastAsia="SimSun" w:cs="SimSun"/>
          <w:sz w:val="24"/>
          <w:szCs w:val="24"/>
          <w:spacing w:val="-1"/>
          <w:position w:val="19"/>
        </w:rPr>
        <w:t>主要产生废气设备建设局部密闭式集气罩，在污染物产生点上方</w:t>
      </w:r>
      <w:r>
        <w:rPr>
          <w:rFonts w:ascii="Times New Roman" w:hAnsi="Times New Roman" w:eastAsia="Times New Roman" w:cs="Times New Roman"/>
          <w:sz w:val="24"/>
          <w:szCs w:val="24"/>
          <w:spacing w:val="-1"/>
          <w:position w:val="19"/>
        </w:rPr>
        <w:t>10-</w:t>
      </w:r>
      <w:r>
        <w:rPr>
          <w:rFonts w:ascii="Times New Roman" w:hAnsi="Times New Roman" w:eastAsia="Times New Roman" w:cs="Times New Roman"/>
          <w:sz w:val="24"/>
          <w:szCs w:val="24"/>
          <w:spacing w:val="-33"/>
          <w:position w:val="19"/>
        </w:rPr>
        <w:t xml:space="preserve"> </w:t>
      </w:r>
      <w:r>
        <w:rPr>
          <w:rFonts w:ascii="Times New Roman" w:hAnsi="Times New Roman" w:eastAsia="Times New Roman" w:cs="Times New Roman"/>
          <w:sz w:val="24"/>
          <w:szCs w:val="24"/>
          <w:spacing w:val="-2"/>
          <w:position w:val="19"/>
        </w:rPr>
        <w:t>15cm</w:t>
      </w:r>
      <w:r>
        <w:rPr>
          <w:rFonts w:ascii="SimSun" w:hAnsi="SimSun" w:eastAsia="SimSun" w:cs="SimSun"/>
          <w:sz w:val="24"/>
          <w:szCs w:val="24"/>
          <w:spacing w:val="-2"/>
          <w:position w:val="19"/>
        </w:rPr>
        <w:t>设</w:t>
      </w:r>
    </w:p>
    <w:p>
      <w:pPr>
        <w:ind w:left="21"/>
        <w:spacing w:line="218" w:lineRule="auto"/>
        <w:rPr>
          <w:rFonts w:ascii="SimSun" w:hAnsi="SimSun" w:eastAsia="SimSun" w:cs="SimSun"/>
          <w:sz w:val="24"/>
          <w:szCs w:val="24"/>
        </w:rPr>
      </w:pPr>
      <w:r>
        <w:rPr>
          <w:rFonts w:ascii="SimSun" w:hAnsi="SimSun" w:eastAsia="SimSun" w:cs="SimSun"/>
          <w:sz w:val="24"/>
          <w:szCs w:val="24"/>
        </w:rPr>
        <w:t>置负压收集装置，每条生产线设置</w:t>
      </w:r>
      <w:r>
        <w:rPr>
          <w:rFonts w:ascii="Times New Roman" w:hAnsi="Times New Roman" w:eastAsia="Times New Roman" w:cs="Times New Roman"/>
          <w:sz w:val="24"/>
          <w:szCs w:val="24"/>
        </w:rPr>
        <w:t>3</w:t>
      </w:r>
      <w:r>
        <w:rPr>
          <w:rFonts w:ascii="SimSun" w:hAnsi="SimSun" w:eastAsia="SimSun" w:cs="SimSun"/>
          <w:sz w:val="24"/>
          <w:szCs w:val="24"/>
        </w:rPr>
        <w:t>个集气罩，尺寸分别为</w:t>
      </w:r>
      <w:r>
        <w:rPr>
          <w:rFonts w:ascii="Times New Roman" w:hAnsi="Times New Roman" w:eastAsia="Times New Roman" w:cs="Times New Roman"/>
          <w:sz w:val="24"/>
          <w:szCs w:val="24"/>
        </w:rPr>
        <w:t>90</w:t>
      </w:r>
      <w:r>
        <w:rPr>
          <w:rFonts w:ascii="Times New Roman" w:hAnsi="Times New Roman" w:eastAsia="Times New Roman" w:cs="Times New Roman"/>
          <w:sz w:val="24"/>
          <w:szCs w:val="24"/>
          <w:spacing w:val="-1"/>
        </w:rPr>
        <w:t>0mm</w:t>
      </w:r>
      <w:r>
        <w:rPr>
          <w:rFonts w:ascii="SimSun" w:hAnsi="SimSun" w:eastAsia="SimSun" w:cs="SimSun"/>
          <w:sz w:val="24"/>
          <w:szCs w:val="24"/>
          <w:spacing w:val="-1"/>
        </w:rPr>
        <w:t>×</w:t>
      </w:r>
      <w:r>
        <w:rPr>
          <w:rFonts w:ascii="Times New Roman" w:hAnsi="Times New Roman" w:eastAsia="Times New Roman" w:cs="Times New Roman"/>
          <w:sz w:val="24"/>
          <w:szCs w:val="24"/>
          <w:spacing w:val="-1"/>
        </w:rPr>
        <w:t>400mm</w:t>
      </w:r>
      <w:r>
        <w:rPr>
          <w:rFonts w:ascii="SimSun" w:hAnsi="SimSun" w:eastAsia="SimSun" w:cs="SimSun"/>
          <w:sz w:val="24"/>
          <w:szCs w:val="24"/>
          <w:spacing w:val="-1"/>
        </w:rPr>
        <w:t>、</w:t>
      </w:r>
    </w:p>
    <w:p>
      <w:pPr>
        <w:ind w:left="22" w:right="13" w:firstLine="19"/>
        <w:spacing w:before="215" w:line="385" w:lineRule="auto"/>
        <w:rPr>
          <w:rFonts w:ascii="SimSun" w:hAnsi="SimSun" w:eastAsia="SimSun" w:cs="SimSun"/>
          <w:sz w:val="24"/>
          <w:szCs w:val="24"/>
        </w:rPr>
      </w:pPr>
      <w:r>
        <w:rPr>
          <w:rFonts w:ascii="Times New Roman" w:hAnsi="Times New Roman" w:eastAsia="Times New Roman" w:cs="Times New Roman"/>
          <w:sz w:val="24"/>
          <w:szCs w:val="24"/>
          <w:spacing w:val="-3"/>
        </w:rPr>
        <w:t>1250mm</w:t>
      </w:r>
      <w:r>
        <w:rPr>
          <w:rFonts w:ascii="SimSun" w:hAnsi="SimSun" w:eastAsia="SimSun" w:cs="SimSun"/>
          <w:sz w:val="24"/>
          <w:szCs w:val="24"/>
          <w:spacing w:val="-3"/>
        </w:rPr>
        <w:t>×</w:t>
      </w:r>
      <w:r>
        <w:rPr>
          <w:rFonts w:ascii="Times New Roman" w:hAnsi="Times New Roman" w:eastAsia="Times New Roman" w:cs="Times New Roman"/>
          <w:sz w:val="24"/>
          <w:szCs w:val="24"/>
          <w:spacing w:val="-3"/>
        </w:rPr>
        <w:t>700mm</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3"/>
        </w:rPr>
        <w:t>、</w:t>
      </w:r>
      <w:r>
        <w:rPr>
          <w:rFonts w:ascii="Times New Roman" w:hAnsi="Times New Roman" w:eastAsia="Times New Roman" w:cs="Times New Roman"/>
          <w:sz w:val="24"/>
          <w:szCs w:val="24"/>
          <w:spacing w:val="-3"/>
        </w:rPr>
        <w:t>600mm</w:t>
      </w:r>
      <w:r>
        <w:rPr>
          <w:rFonts w:ascii="SimSun" w:hAnsi="SimSun" w:eastAsia="SimSun" w:cs="SimSun"/>
          <w:sz w:val="24"/>
          <w:szCs w:val="24"/>
          <w:spacing w:val="-3"/>
        </w:rPr>
        <w:t>×</w:t>
      </w:r>
      <w:r>
        <w:rPr>
          <w:rFonts w:ascii="Times New Roman" w:hAnsi="Times New Roman" w:eastAsia="Times New Roman" w:cs="Times New Roman"/>
          <w:sz w:val="24"/>
          <w:szCs w:val="24"/>
          <w:spacing w:val="-3"/>
        </w:rPr>
        <w:t>400mm</w:t>
      </w:r>
      <w:r>
        <w:rPr>
          <w:rFonts w:ascii="Times New Roman" w:hAnsi="Times New Roman" w:eastAsia="Times New Roman" w:cs="Times New Roman"/>
          <w:sz w:val="24"/>
          <w:szCs w:val="24"/>
          <w:spacing w:val="-33"/>
        </w:rPr>
        <w:t xml:space="preserve"> </w:t>
      </w:r>
      <w:r>
        <w:rPr>
          <w:rFonts w:ascii="SimSun" w:hAnsi="SimSun" w:eastAsia="SimSun" w:cs="SimSun"/>
          <w:sz w:val="24"/>
          <w:szCs w:val="24"/>
          <w:spacing w:val="-3"/>
        </w:rPr>
        <w:t>，四周采用软质垂帘围挡，根据《广东省工</w:t>
      </w:r>
      <w:r>
        <w:rPr>
          <w:rFonts w:ascii="SimSun" w:hAnsi="SimSun" w:eastAsia="SimSun" w:cs="SimSun"/>
          <w:sz w:val="24"/>
          <w:szCs w:val="24"/>
        </w:rPr>
        <w:t xml:space="preserve"> </w:t>
      </w:r>
      <w:r>
        <w:rPr>
          <w:rFonts w:ascii="SimSun" w:hAnsi="SimSun" w:eastAsia="SimSun" w:cs="SimSun"/>
          <w:sz w:val="24"/>
          <w:szCs w:val="24"/>
          <w:spacing w:val="-3"/>
        </w:rPr>
        <w:t>业源挥发性有机物减排量核算方法》（试行）中包围型集气设备，集气效率可达</w:t>
      </w:r>
    </w:p>
    <w:p>
      <w:pPr>
        <w:ind w:left="29"/>
        <w:spacing w:line="218" w:lineRule="auto"/>
        <w:rPr>
          <w:rFonts w:ascii="SimSun" w:hAnsi="SimSun" w:eastAsia="SimSun" w:cs="SimSun"/>
          <w:sz w:val="24"/>
          <w:szCs w:val="24"/>
        </w:rPr>
      </w:pPr>
      <w:r>
        <w:rPr>
          <w:rFonts w:ascii="SimSun" w:hAnsi="SimSun" w:eastAsia="SimSun" w:cs="SimSun"/>
          <w:sz w:val="24"/>
          <w:szCs w:val="24"/>
          <w:spacing w:val="-3"/>
        </w:rPr>
        <w:t>到</w:t>
      </w:r>
      <w:r>
        <w:rPr>
          <w:rFonts w:ascii="Times New Roman" w:hAnsi="Times New Roman" w:eastAsia="Times New Roman" w:cs="Times New Roman"/>
          <w:sz w:val="24"/>
          <w:szCs w:val="24"/>
          <w:spacing w:val="-3"/>
        </w:rPr>
        <w:t>80%</w:t>
      </w:r>
      <w:r>
        <w:rPr>
          <w:rFonts w:ascii="Times New Roman" w:hAnsi="Times New Roman" w:eastAsia="Times New Roman" w:cs="Times New Roman"/>
          <w:sz w:val="24"/>
          <w:szCs w:val="24"/>
          <w:spacing w:val="-19"/>
        </w:rPr>
        <w:t xml:space="preserve"> </w:t>
      </w:r>
      <w:r>
        <w:rPr>
          <w:rFonts w:ascii="SimSun" w:hAnsi="SimSun" w:eastAsia="SimSun" w:cs="SimSun"/>
          <w:sz w:val="24"/>
          <w:szCs w:val="24"/>
          <w:spacing w:val="-3"/>
        </w:rPr>
        <w:t>。本项目按照</w:t>
      </w:r>
      <w:r>
        <w:rPr>
          <w:rFonts w:ascii="Times New Roman" w:hAnsi="Times New Roman" w:eastAsia="Times New Roman" w:cs="Times New Roman"/>
          <w:sz w:val="24"/>
          <w:szCs w:val="24"/>
          <w:spacing w:val="-3"/>
        </w:rPr>
        <w:t>80%</w:t>
      </w:r>
      <w:r>
        <w:rPr>
          <w:rFonts w:ascii="SimSun" w:hAnsi="SimSun" w:eastAsia="SimSun" w:cs="SimSun"/>
          <w:sz w:val="24"/>
          <w:szCs w:val="24"/>
          <w:spacing w:val="-3"/>
        </w:rPr>
        <w:t>集气效率计算。</w:t>
      </w:r>
    </w:p>
    <w:p>
      <w:pPr>
        <w:pStyle w:val="BodyText"/>
        <w:spacing w:line="374" w:lineRule="auto"/>
        <w:rPr/>
      </w:pPr>
      <w:r/>
    </w:p>
    <w:p>
      <w:pPr>
        <w:ind w:left="18"/>
        <w:spacing w:before="92" w:line="220" w:lineRule="auto"/>
        <w:outlineLvl w:val="0"/>
        <w:rPr>
          <w:rFonts w:ascii="SimSun" w:hAnsi="SimSun" w:eastAsia="SimSun" w:cs="SimSun"/>
          <w:sz w:val="28"/>
          <w:szCs w:val="28"/>
        </w:rPr>
      </w:pPr>
      <w:r>
        <w:rPr>
          <w:rFonts w:ascii="Times New Roman" w:hAnsi="Times New Roman" w:eastAsia="Times New Roman" w:cs="Times New Roman"/>
          <w:sz w:val="28"/>
          <w:szCs w:val="28"/>
          <w:b/>
          <w:bCs/>
        </w:rPr>
        <w:t>3.  </w:t>
      </w:r>
      <w:r>
        <w:rPr>
          <w:rFonts w:ascii="SimSun" w:hAnsi="SimSun" w:eastAsia="SimSun" w:cs="SimSun"/>
          <w:sz w:val="28"/>
          <w:szCs w:val="28"/>
          <w14:textOutline w14:w="5103" w14:cap="sq" w14:cmpd="sng">
            <w14:solidFill>
              <w14:srgbClr w14:val="000000"/>
            </w14:solidFill>
            <w14:prstDash w14:val="solid"/>
            <w14:bevel/>
          </w14:textOutline>
        </w:rPr>
        <w:t>要明确活性炭的装填量。</w:t>
      </w:r>
    </w:p>
    <w:p>
      <w:pPr>
        <w:ind w:left="529"/>
        <w:spacing w:before="216" w:line="219" w:lineRule="auto"/>
        <w:rPr>
          <w:rFonts w:ascii="Times New Roman" w:hAnsi="Times New Roman" w:eastAsia="Times New Roman" w:cs="Times New Roman"/>
          <w:sz w:val="24"/>
          <w:szCs w:val="24"/>
        </w:rPr>
      </w:pPr>
      <w:r>
        <w:rPr>
          <w:rFonts w:ascii="SimSun" w:hAnsi="SimSun" w:eastAsia="SimSun" w:cs="SimSun"/>
          <w:sz w:val="24"/>
          <w:szCs w:val="24"/>
          <w:spacing w:val="-5"/>
        </w:rPr>
        <w:t>已修改，见</w:t>
      </w:r>
      <w:r>
        <w:rPr>
          <w:rFonts w:ascii="Times New Roman" w:hAnsi="Times New Roman" w:eastAsia="Times New Roman" w:cs="Times New Roman"/>
          <w:sz w:val="24"/>
          <w:szCs w:val="24"/>
          <w:spacing w:val="-5"/>
        </w:rPr>
        <w:t>P50</w:t>
      </w:r>
    </w:p>
    <w:p>
      <w:pPr>
        <w:ind w:left="502"/>
        <w:spacing w:before="214" w:line="217" w:lineRule="auto"/>
        <w:rPr>
          <w:rFonts w:ascii="SimSun" w:hAnsi="SimSun" w:eastAsia="SimSun" w:cs="SimSun"/>
          <w:sz w:val="24"/>
          <w:szCs w:val="24"/>
        </w:rPr>
      </w:pPr>
      <w:r>
        <w:rPr>
          <w:rFonts w:ascii="SimSun" w:hAnsi="SimSun" w:eastAsia="SimSun" w:cs="SimSun"/>
          <w:sz w:val="24"/>
          <w:szCs w:val="24"/>
          <w:spacing w:val="-1"/>
        </w:rPr>
        <w:t>①废气治理装置产生危险废物</w:t>
      </w:r>
    </w:p>
    <w:p>
      <w:pPr>
        <w:ind w:left="25" w:right="13" w:firstLine="479"/>
        <w:spacing w:before="216" w:line="385" w:lineRule="auto"/>
        <w:rPr>
          <w:rFonts w:ascii="SimSun" w:hAnsi="SimSun" w:eastAsia="SimSun" w:cs="SimSun"/>
          <w:sz w:val="24"/>
          <w:szCs w:val="24"/>
        </w:rPr>
      </w:pPr>
      <w:r>
        <w:rPr>
          <w:rFonts w:ascii="SimSun" w:hAnsi="SimSun" w:eastAsia="SimSun" w:cs="SimSun"/>
          <w:sz w:val="24"/>
          <w:szCs w:val="24"/>
          <w:spacing w:val="-3"/>
        </w:rPr>
        <w:t>本项目有机废气处理装置产生的废催化剂、废活性炭和空压机</w:t>
      </w:r>
      <w:r>
        <w:rPr>
          <w:rFonts w:ascii="SimSun" w:hAnsi="SimSun" w:eastAsia="SimSun" w:cs="SimSun"/>
          <w:sz w:val="24"/>
          <w:szCs w:val="24"/>
          <w:spacing w:val="-4"/>
        </w:rPr>
        <w:t>更换的废机油</w:t>
      </w:r>
      <w:r>
        <w:rPr>
          <w:rFonts w:ascii="SimSun" w:hAnsi="SimSun" w:eastAsia="SimSun" w:cs="SimSun"/>
          <w:sz w:val="24"/>
          <w:szCs w:val="24"/>
        </w:rPr>
        <w:t xml:space="preserve"> </w:t>
      </w:r>
      <w:r>
        <w:rPr>
          <w:rFonts w:ascii="SimSun" w:hAnsi="SimSun" w:eastAsia="SimSun" w:cs="SimSun"/>
          <w:sz w:val="24"/>
          <w:szCs w:val="24"/>
          <w:spacing w:val="-3"/>
        </w:rPr>
        <w:t>属于危险废物。建设单位依托企业已建一座</w:t>
      </w:r>
      <w:r>
        <w:rPr>
          <w:rFonts w:ascii="Times New Roman" w:hAnsi="Times New Roman" w:eastAsia="Times New Roman" w:cs="Times New Roman"/>
          <w:sz w:val="24"/>
          <w:szCs w:val="24"/>
          <w:spacing w:val="-3"/>
        </w:rPr>
        <w:t>15</w:t>
      </w:r>
      <w:r>
        <w:rPr>
          <w:rFonts w:ascii="SimSun" w:hAnsi="SimSun" w:eastAsia="SimSun" w:cs="SimSun"/>
          <w:sz w:val="24"/>
          <w:szCs w:val="24"/>
          <w:spacing w:val="-3"/>
        </w:rPr>
        <w:t>㎡危废暂存间，危险废物用密闭容</w:t>
      </w:r>
    </w:p>
    <w:p>
      <w:pPr>
        <w:ind w:left="23"/>
        <w:spacing w:before="1" w:line="219" w:lineRule="auto"/>
        <w:rPr>
          <w:rFonts w:ascii="SimSun" w:hAnsi="SimSun" w:eastAsia="SimSun" w:cs="SimSun"/>
          <w:sz w:val="24"/>
          <w:szCs w:val="24"/>
        </w:rPr>
      </w:pPr>
      <w:r>
        <w:rPr>
          <w:rFonts w:ascii="SimSun" w:hAnsi="SimSun" w:eastAsia="SimSun" w:cs="SimSun"/>
          <w:sz w:val="24"/>
          <w:szCs w:val="24"/>
          <w:spacing w:val="-1"/>
        </w:rPr>
        <w:t>器收集后，置于危废暂存间内，定期交由有资质单位处置。</w:t>
      </w:r>
    </w:p>
    <w:p>
      <w:pPr>
        <w:ind w:left="27" w:right="13" w:firstLine="477"/>
        <w:spacing w:before="215" w:line="368" w:lineRule="auto"/>
        <w:rPr>
          <w:rFonts w:ascii="SimSun" w:hAnsi="SimSun" w:eastAsia="SimSun" w:cs="SimSun"/>
          <w:sz w:val="24"/>
          <w:szCs w:val="24"/>
        </w:rPr>
      </w:pPr>
      <w:r>
        <w:rPr>
          <w:rFonts w:ascii="SimSun" w:hAnsi="SimSun" w:eastAsia="SimSun" w:cs="SimSun"/>
          <w:sz w:val="24"/>
          <w:szCs w:val="24"/>
          <w:spacing w:val="-3"/>
        </w:rPr>
        <w:t>本项目有机废气处理采用活性炭吸附</w:t>
      </w:r>
      <w:r>
        <w:rPr>
          <w:rFonts w:ascii="Times New Roman" w:hAnsi="Times New Roman" w:eastAsia="Times New Roman" w:cs="Times New Roman"/>
          <w:sz w:val="24"/>
          <w:szCs w:val="24"/>
          <w:spacing w:val="-3"/>
        </w:rPr>
        <w:t>+</w:t>
      </w:r>
      <w:r>
        <w:rPr>
          <w:rFonts w:ascii="SimSun" w:hAnsi="SimSun" w:eastAsia="SimSun" w:cs="SimSun"/>
          <w:sz w:val="24"/>
          <w:szCs w:val="24"/>
          <w:spacing w:val="-3"/>
        </w:rPr>
        <w:t>直接催化燃烧装置（</w:t>
      </w:r>
      <w:r>
        <w:rPr>
          <w:rFonts w:ascii="Times New Roman" w:hAnsi="Times New Roman" w:eastAsia="Times New Roman" w:cs="Times New Roman"/>
          <w:sz w:val="24"/>
          <w:szCs w:val="24"/>
          <w:spacing w:val="-3"/>
        </w:rPr>
        <w:t>CO</w:t>
      </w:r>
      <w:r>
        <w:rPr>
          <w:rFonts w:ascii="SimSun" w:hAnsi="SimSun" w:eastAsia="SimSun" w:cs="SimSun"/>
          <w:sz w:val="24"/>
          <w:szCs w:val="24"/>
          <w:spacing w:val="-3"/>
        </w:rPr>
        <w:t>）装置，活性</w:t>
      </w:r>
      <w:r>
        <w:rPr>
          <w:rFonts w:ascii="SimSun" w:hAnsi="SimSun" w:eastAsia="SimSun" w:cs="SimSun"/>
          <w:sz w:val="24"/>
          <w:szCs w:val="24"/>
          <w:spacing w:val="8"/>
        </w:rPr>
        <w:t xml:space="preserve"> </w:t>
      </w:r>
      <w:r>
        <w:rPr>
          <w:rFonts w:ascii="SimSun" w:hAnsi="SimSun" w:eastAsia="SimSun" w:cs="SimSun"/>
          <w:sz w:val="24"/>
          <w:szCs w:val="24"/>
          <w:spacing w:val="-2"/>
        </w:rPr>
        <w:t>炭吸附箱截面积为</w:t>
      </w:r>
      <w:r>
        <w:rPr>
          <w:rFonts w:ascii="Times New Roman" w:hAnsi="Times New Roman" w:eastAsia="Times New Roman" w:cs="Times New Roman"/>
          <w:sz w:val="24"/>
          <w:szCs w:val="24"/>
          <w:spacing w:val="-2"/>
        </w:rPr>
        <w:t>4.84</w:t>
      </w:r>
      <w:r>
        <w:rPr>
          <w:rFonts w:ascii="SimSun" w:hAnsi="SimSun" w:eastAsia="SimSun" w:cs="SimSun"/>
          <w:sz w:val="24"/>
          <w:szCs w:val="24"/>
          <w:spacing w:val="-2"/>
        </w:rPr>
        <w:t>㎡，装填高度</w:t>
      </w:r>
      <w:r>
        <w:rPr>
          <w:rFonts w:ascii="Times New Roman" w:hAnsi="Times New Roman" w:eastAsia="Times New Roman" w:cs="Times New Roman"/>
          <w:sz w:val="24"/>
          <w:szCs w:val="24"/>
          <w:spacing w:val="-2"/>
        </w:rPr>
        <w:t>800mm</w:t>
      </w:r>
      <w:r>
        <w:rPr>
          <w:rFonts w:ascii="SimSun" w:hAnsi="SimSun" w:eastAsia="SimSun" w:cs="SimSun"/>
          <w:sz w:val="24"/>
          <w:szCs w:val="24"/>
          <w:spacing w:val="-2"/>
        </w:rPr>
        <w:t>，单个活性炭吸附箱活性炭装填量为</w:t>
      </w:r>
    </w:p>
    <w:p>
      <w:pPr>
        <w:ind w:left="17"/>
        <w:spacing w:line="323" w:lineRule="exact"/>
        <w:rPr>
          <w:rFonts w:ascii="SimSun" w:hAnsi="SimSun" w:eastAsia="SimSun" w:cs="SimSun"/>
          <w:sz w:val="24"/>
          <w:szCs w:val="24"/>
        </w:rPr>
      </w:pPr>
      <w:r>
        <w:rPr>
          <w:rFonts w:ascii="Times New Roman" w:hAnsi="Times New Roman" w:eastAsia="Times New Roman" w:cs="Times New Roman"/>
          <w:sz w:val="24"/>
          <w:szCs w:val="24"/>
          <w:spacing w:val="-1"/>
          <w:position w:val="1"/>
        </w:rPr>
        <w:t>4.84×0.8=3.872m</w:t>
      </w:r>
      <w:r>
        <w:rPr>
          <w:rFonts w:ascii="SimSun" w:hAnsi="SimSun" w:eastAsia="SimSun" w:cs="SimSun"/>
          <w:sz w:val="24"/>
          <w:szCs w:val="24"/>
          <w:spacing w:val="-1"/>
          <w:position w:val="1"/>
        </w:rPr>
        <w:t>³。</w:t>
      </w:r>
    </w:p>
    <w:p>
      <w:pPr>
        <w:ind w:left="509"/>
        <w:spacing w:before="219" w:line="502" w:lineRule="exact"/>
        <w:rPr>
          <w:rFonts w:ascii="SimSun" w:hAnsi="SimSun" w:eastAsia="SimSun" w:cs="SimSun"/>
          <w:sz w:val="24"/>
          <w:szCs w:val="24"/>
        </w:rPr>
      </w:pPr>
      <w:r>
        <w:rPr>
          <w:rFonts w:ascii="SimSun" w:hAnsi="SimSun" w:eastAsia="SimSun" w:cs="SimSun"/>
          <w:sz w:val="24"/>
          <w:szCs w:val="24"/>
          <w:spacing w:val="-1"/>
          <w:position w:val="20"/>
        </w:rPr>
        <w:t>结合实验室测试和工程经验数据，蜂窝活性炭动态吸附量按</w:t>
      </w:r>
      <w:r>
        <w:rPr>
          <w:rFonts w:ascii="Times New Roman" w:hAnsi="Times New Roman" w:eastAsia="Times New Roman" w:cs="Times New Roman"/>
          <w:sz w:val="24"/>
          <w:szCs w:val="24"/>
          <w:spacing w:val="-1"/>
          <w:position w:val="20"/>
        </w:rPr>
        <w:t>4%</w:t>
      </w:r>
      <w:r>
        <w:rPr>
          <w:rFonts w:ascii="SimSun" w:hAnsi="SimSun" w:eastAsia="SimSun" w:cs="SimSun"/>
          <w:sz w:val="24"/>
          <w:szCs w:val="24"/>
          <w:spacing w:val="-1"/>
          <w:position w:val="20"/>
        </w:rPr>
        <w:t>设计，蜂窝</w:t>
      </w:r>
    </w:p>
    <w:p>
      <w:pPr>
        <w:ind w:left="27"/>
        <w:spacing w:line="210" w:lineRule="auto"/>
        <w:rPr>
          <w:rFonts w:ascii="SimSun" w:hAnsi="SimSun" w:eastAsia="SimSun" w:cs="SimSun"/>
          <w:sz w:val="24"/>
          <w:szCs w:val="24"/>
        </w:rPr>
      </w:pPr>
      <w:r>
        <w:rPr>
          <w:rFonts w:ascii="SimSun" w:hAnsi="SimSun" w:eastAsia="SimSun" w:cs="SimSun"/>
          <w:sz w:val="24"/>
          <w:szCs w:val="24"/>
          <w:spacing w:val="-2"/>
        </w:rPr>
        <w:t>活性炭密度</w:t>
      </w:r>
      <w:r>
        <w:rPr>
          <w:rFonts w:ascii="Times New Roman" w:hAnsi="Times New Roman" w:eastAsia="Times New Roman" w:cs="Times New Roman"/>
          <w:sz w:val="24"/>
          <w:szCs w:val="24"/>
          <w:spacing w:val="-2"/>
        </w:rPr>
        <w:t>450kg/m</w:t>
      </w:r>
      <w:r>
        <w:rPr>
          <w:rFonts w:ascii="SimSun" w:hAnsi="SimSun" w:eastAsia="SimSun" w:cs="SimSun"/>
          <w:sz w:val="24"/>
          <w:szCs w:val="24"/>
          <w:spacing w:val="-2"/>
        </w:rPr>
        <w:t>³,</w:t>
      </w:r>
      <w:r>
        <w:rPr>
          <w:rFonts w:ascii="SimSun" w:hAnsi="SimSun" w:eastAsia="SimSun" w:cs="SimSun"/>
          <w:sz w:val="24"/>
          <w:szCs w:val="24"/>
          <w:spacing w:val="73"/>
        </w:rPr>
        <w:t xml:space="preserve"> </w:t>
      </w:r>
      <w:r>
        <w:rPr>
          <w:rFonts w:ascii="SimSun" w:hAnsi="SimSun" w:eastAsia="SimSun" w:cs="SimSun"/>
          <w:sz w:val="24"/>
          <w:szCs w:val="24"/>
          <w:spacing w:val="-2"/>
        </w:rPr>
        <w:t>单个活性炭吸附箱活性炭重量为</w:t>
      </w:r>
      <w:r>
        <w:rPr>
          <w:rFonts w:ascii="Times New Roman" w:hAnsi="Times New Roman" w:eastAsia="Times New Roman" w:cs="Times New Roman"/>
          <w:sz w:val="24"/>
          <w:szCs w:val="24"/>
          <w:spacing w:val="-2"/>
        </w:rPr>
        <w:t>450kg/m</w:t>
      </w:r>
      <w:r>
        <w:rPr>
          <w:rFonts w:ascii="SimSun" w:hAnsi="SimSun" w:eastAsia="SimSun" w:cs="SimSun"/>
          <w:sz w:val="24"/>
          <w:szCs w:val="24"/>
          <w:spacing w:val="-2"/>
        </w:rPr>
        <w:t>³</w:t>
      </w:r>
      <w:r>
        <w:rPr>
          <w:rFonts w:ascii="Times New Roman" w:hAnsi="Times New Roman" w:eastAsia="Times New Roman" w:cs="Times New Roman"/>
          <w:sz w:val="24"/>
          <w:szCs w:val="24"/>
          <w:spacing w:val="-2"/>
        </w:rPr>
        <w:t>×3.872m</w:t>
      </w:r>
      <w:r>
        <w:rPr>
          <w:rFonts w:ascii="SimSun" w:hAnsi="SimSun" w:eastAsia="SimSun" w:cs="SimSun"/>
          <w:sz w:val="24"/>
          <w:szCs w:val="24"/>
          <w:spacing w:val="-2"/>
        </w:rPr>
        <w:t>³</w:t>
      </w:r>
    </w:p>
    <w:p>
      <w:pPr>
        <w:ind w:left="18"/>
        <w:spacing w:before="183" w:line="323" w:lineRule="exact"/>
        <w:rPr>
          <w:rFonts w:ascii="SimSun" w:hAnsi="SimSun" w:eastAsia="SimSun" w:cs="SimSun"/>
          <w:sz w:val="24"/>
          <w:szCs w:val="24"/>
        </w:rPr>
      </w:pPr>
      <w:r>
        <w:rPr>
          <w:rFonts w:ascii="Times New Roman" w:hAnsi="Times New Roman" w:eastAsia="Times New Roman" w:cs="Times New Roman"/>
          <w:sz w:val="24"/>
          <w:szCs w:val="24"/>
          <w:spacing w:val="-2"/>
          <w:position w:val="2"/>
        </w:rPr>
        <w:t>=</w:t>
      </w:r>
      <w:r>
        <w:rPr>
          <w:rFonts w:ascii="Times New Roman" w:hAnsi="Times New Roman" w:eastAsia="Times New Roman" w:cs="Times New Roman"/>
          <w:sz w:val="24"/>
          <w:szCs w:val="24"/>
          <w:spacing w:val="-28"/>
          <w:position w:val="2"/>
        </w:rPr>
        <w:t xml:space="preserve"> </w:t>
      </w:r>
      <w:r>
        <w:rPr>
          <w:rFonts w:ascii="Times New Roman" w:hAnsi="Times New Roman" w:eastAsia="Times New Roman" w:cs="Times New Roman"/>
          <w:sz w:val="24"/>
          <w:szCs w:val="24"/>
          <w:spacing w:val="-2"/>
          <w:position w:val="2"/>
        </w:rPr>
        <w:t>1754.4kg</w:t>
      </w:r>
      <w:r>
        <w:rPr>
          <w:rFonts w:ascii="Times New Roman" w:hAnsi="Times New Roman" w:eastAsia="Times New Roman" w:cs="Times New Roman"/>
          <w:sz w:val="24"/>
          <w:szCs w:val="24"/>
          <w:spacing w:val="-31"/>
          <w:position w:val="2"/>
        </w:rPr>
        <w:t xml:space="preserve"> </w:t>
      </w:r>
      <w:r>
        <w:rPr>
          <w:rFonts w:ascii="SimSun" w:hAnsi="SimSun" w:eastAsia="SimSun" w:cs="SimSun"/>
          <w:sz w:val="24"/>
          <w:szCs w:val="24"/>
          <w:spacing w:val="-2"/>
          <w:position w:val="2"/>
        </w:rPr>
        <w:t>，达到动态吸附饱和，单个床体可以吸附的</w:t>
      </w:r>
      <w:r>
        <w:rPr>
          <w:rFonts w:ascii="Times New Roman" w:hAnsi="Times New Roman" w:eastAsia="Times New Roman" w:cs="Times New Roman"/>
          <w:sz w:val="24"/>
          <w:szCs w:val="24"/>
          <w:spacing w:val="-2"/>
          <w:position w:val="2"/>
        </w:rPr>
        <w:t>VOCs</w:t>
      </w:r>
      <w:r>
        <w:rPr>
          <w:rFonts w:ascii="SimSun" w:hAnsi="SimSun" w:eastAsia="SimSun" w:cs="SimSun"/>
          <w:sz w:val="24"/>
          <w:szCs w:val="24"/>
          <w:spacing w:val="-2"/>
          <w:position w:val="2"/>
        </w:rPr>
        <w:t>量为</w:t>
      </w:r>
    </w:p>
    <w:p>
      <w:pPr>
        <w:ind w:left="18"/>
        <w:spacing w:before="176" w:line="499" w:lineRule="exact"/>
        <w:rPr>
          <w:rFonts w:ascii="SimSun" w:hAnsi="SimSun" w:eastAsia="SimSun" w:cs="SimSun"/>
          <w:sz w:val="24"/>
          <w:szCs w:val="24"/>
        </w:rPr>
      </w:pPr>
      <w:r>
        <w:rPr>
          <w:rFonts w:ascii="Times New Roman" w:hAnsi="Times New Roman" w:eastAsia="Times New Roman" w:cs="Times New Roman"/>
          <w:sz w:val="24"/>
          <w:szCs w:val="24"/>
          <w:spacing w:val="-2"/>
          <w:position w:val="17"/>
        </w:rPr>
        <w:t>=4%×</w:t>
      </w:r>
      <w:r>
        <w:rPr>
          <w:rFonts w:ascii="Times New Roman" w:hAnsi="Times New Roman" w:eastAsia="Times New Roman" w:cs="Times New Roman"/>
          <w:sz w:val="24"/>
          <w:szCs w:val="24"/>
          <w:spacing w:val="-32"/>
          <w:position w:val="17"/>
        </w:rPr>
        <w:t xml:space="preserve"> </w:t>
      </w:r>
      <w:r>
        <w:rPr>
          <w:rFonts w:ascii="Times New Roman" w:hAnsi="Times New Roman" w:eastAsia="Times New Roman" w:cs="Times New Roman"/>
          <w:sz w:val="24"/>
          <w:szCs w:val="24"/>
          <w:spacing w:val="-2"/>
          <w:position w:val="17"/>
        </w:rPr>
        <w:t>1742.4kg=70kg</w:t>
      </w:r>
      <w:r>
        <w:rPr>
          <w:rFonts w:ascii="Times New Roman" w:hAnsi="Times New Roman" w:eastAsia="Times New Roman" w:cs="Times New Roman"/>
          <w:sz w:val="24"/>
          <w:szCs w:val="24"/>
          <w:spacing w:val="-27"/>
          <w:position w:val="17"/>
        </w:rPr>
        <w:t xml:space="preserve"> </w:t>
      </w:r>
      <w:r>
        <w:rPr>
          <w:rFonts w:ascii="SimSun" w:hAnsi="SimSun" w:eastAsia="SimSun" w:cs="SimSun"/>
          <w:sz w:val="24"/>
          <w:szCs w:val="24"/>
          <w:spacing w:val="-2"/>
          <w:position w:val="17"/>
        </w:rPr>
        <w:t>。吸附达到动态吸附饱和时间</w:t>
      </w:r>
      <w:r>
        <w:rPr>
          <w:rFonts w:ascii="Times New Roman" w:hAnsi="Times New Roman" w:eastAsia="Times New Roman" w:cs="Times New Roman"/>
          <w:sz w:val="24"/>
          <w:szCs w:val="24"/>
          <w:spacing w:val="-2"/>
          <w:position w:val="17"/>
        </w:rPr>
        <w:t>=70×</w:t>
      </w:r>
      <w:r>
        <w:rPr>
          <w:rFonts w:ascii="Times New Roman" w:hAnsi="Times New Roman" w:eastAsia="Times New Roman" w:cs="Times New Roman"/>
          <w:sz w:val="24"/>
          <w:szCs w:val="24"/>
          <w:spacing w:val="-33"/>
          <w:position w:val="17"/>
        </w:rPr>
        <w:t xml:space="preserve"> </w:t>
      </w:r>
      <w:r>
        <w:rPr>
          <w:rFonts w:ascii="Times New Roman" w:hAnsi="Times New Roman" w:eastAsia="Times New Roman" w:cs="Times New Roman"/>
          <w:sz w:val="24"/>
          <w:szCs w:val="24"/>
          <w:spacing w:val="-2"/>
          <w:position w:val="17"/>
        </w:rPr>
        <w:t>106</w:t>
      </w:r>
      <w:r>
        <w:rPr>
          <w:rFonts w:ascii="SimSun" w:hAnsi="SimSun" w:eastAsia="SimSun" w:cs="SimSun"/>
          <w:sz w:val="24"/>
          <w:szCs w:val="24"/>
          <w:spacing w:val="-2"/>
          <w:position w:val="17"/>
        </w:rPr>
        <w:t>÷</w:t>
      </w:r>
      <w:r>
        <w:rPr>
          <w:rFonts w:ascii="Times New Roman" w:hAnsi="Times New Roman" w:eastAsia="Times New Roman" w:cs="Times New Roman"/>
          <w:sz w:val="24"/>
          <w:szCs w:val="24"/>
          <w:spacing w:val="-2"/>
          <w:position w:val="17"/>
        </w:rPr>
        <w:t>200</w:t>
      </w:r>
      <w:r>
        <w:rPr>
          <w:rFonts w:ascii="Times New Roman" w:hAnsi="Times New Roman" w:eastAsia="Times New Roman" w:cs="Times New Roman"/>
          <w:sz w:val="24"/>
          <w:szCs w:val="24"/>
          <w:spacing w:val="-3"/>
          <w:position w:val="17"/>
        </w:rPr>
        <w:t>00m</w:t>
      </w:r>
      <w:r>
        <w:rPr>
          <w:rFonts w:ascii="SimSun" w:hAnsi="SimSun" w:eastAsia="SimSun" w:cs="SimSun"/>
          <w:sz w:val="24"/>
          <w:szCs w:val="24"/>
          <w:spacing w:val="-3"/>
          <w:position w:val="17"/>
        </w:rPr>
        <w:t>³</w:t>
      </w:r>
    </w:p>
    <w:p>
      <w:pPr>
        <w:ind w:left="14"/>
        <w:spacing w:line="323" w:lineRule="exact"/>
        <w:rPr>
          <w:rFonts w:ascii="SimSun" w:hAnsi="SimSun" w:eastAsia="SimSun" w:cs="SimSun"/>
          <w:sz w:val="24"/>
          <w:szCs w:val="24"/>
        </w:rPr>
      </w:pPr>
      <w:r>
        <w:rPr>
          <w:rFonts w:ascii="Times New Roman" w:hAnsi="Times New Roman" w:eastAsia="Times New Roman" w:cs="Times New Roman"/>
          <w:sz w:val="24"/>
          <w:szCs w:val="24"/>
          <w:spacing w:val="-1"/>
          <w:position w:val="2"/>
        </w:rPr>
        <w:t>/h×60=58.33h</w:t>
      </w:r>
      <w:r>
        <w:rPr>
          <w:rFonts w:ascii="SimSun" w:hAnsi="SimSun" w:eastAsia="SimSun" w:cs="SimSun"/>
          <w:sz w:val="24"/>
          <w:szCs w:val="24"/>
          <w:spacing w:val="-1"/>
          <w:position w:val="2"/>
        </w:rPr>
        <w:t>。</w:t>
      </w:r>
    </w:p>
    <w:p>
      <w:pPr>
        <w:ind w:right="13"/>
        <w:spacing w:before="221" w:line="219" w:lineRule="auto"/>
        <w:jc w:val="right"/>
        <w:rPr>
          <w:rFonts w:ascii="SimSun" w:hAnsi="SimSun" w:eastAsia="SimSun" w:cs="SimSun"/>
          <w:sz w:val="24"/>
          <w:szCs w:val="24"/>
        </w:rPr>
      </w:pPr>
      <w:r>
        <w:rPr>
          <w:rFonts w:ascii="SimSun" w:hAnsi="SimSun" w:eastAsia="SimSun" w:cs="SimSun"/>
          <w:sz w:val="24"/>
          <w:szCs w:val="24"/>
          <w:spacing w:val="-1"/>
        </w:rPr>
        <w:t>活性炭吸附床在吸附</w:t>
      </w:r>
      <w:r>
        <w:rPr>
          <w:rFonts w:ascii="Times New Roman" w:hAnsi="Times New Roman" w:eastAsia="Times New Roman" w:cs="Times New Roman"/>
          <w:sz w:val="24"/>
          <w:szCs w:val="24"/>
          <w:spacing w:val="-1"/>
        </w:rPr>
        <w:t>58.33h</w:t>
      </w:r>
      <w:r>
        <w:rPr>
          <w:rFonts w:ascii="SimSun" w:hAnsi="SimSun" w:eastAsia="SimSun" w:cs="SimSun"/>
          <w:sz w:val="24"/>
          <w:szCs w:val="24"/>
          <w:spacing w:val="-1"/>
        </w:rPr>
        <w:t>后即达到蜂窝活性炭</w:t>
      </w:r>
      <w:r>
        <w:rPr>
          <w:rFonts w:ascii="SimSun" w:hAnsi="SimSun" w:eastAsia="SimSun" w:cs="SimSun"/>
          <w:sz w:val="24"/>
          <w:szCs w:val="24"/>
          <w:spacing w:val="-2"/>
        </w:rPr>
        <w:t>的动态饱和时间。蜂窝活性</w:t>
      </w:r>
    </w:p>
    <w:p>
      <w:pPr>
        <w:spacing w:line="219" w:lineRule="auto"/>
        <w:sectPr>
          <w:footerReference w:type="default" r:id="rId117"/>
          <w:pgSz w:w="11906" w:h="16839"/>
          <w:pgMar w:top="400" w:right="1785" w:bottom="1211" w:left="1785" w:header="0" w:footer="1049" w:gutter="0"/>
        </w:sectPr>
        <w:rPr>
          <w:rFonts w:ascii="SimSun" w:hAnsi="SimSun" w:eastAsia="SimSun" w:cs="SimSun"/>
          <w:sz w:val="24"/>
          <w:szCs w:val="24"/>
        </w:rPr>
      </w:pPr>
    </w:p>
    <w:p>
      <w:pPr>
        <w:pStyle w:val="BodyText"/>
        <w:spacing w:line="287" w:lineRule="auto"/>
        <w:rPr/>
      </w:pPr>
      <w:r/>
    </w:p>
    <w:p>
      <w:pPr>
        <w:pStyle w:val="BodyText"/>
        <w:spacing w:line="287" w:lineRule="auto"/>
        <w:rPr/>
      </w:pPr>
      <w:r/>
    </w:p>
    <w:p>
      <w:pPr>
        <w:pStyle w:val="BodyText"/>
        <w:spacing w:line="288" w:lineRule="auto"/>
        <w:rPr/>
      </w:pPr>
      <w:r/>
    </w:p>
    <w:p>
      <w:pPr>
        <w:pStyle w:val="BodyText"/>
        <w:spacing w:line="288" w:lineRule="auto"/>
        <w:rPr/>
      </w:pPr>
      <w:r/>
    </w:p>
    <w:p>
      <w:pPr>
        <w:ind w:left="27"/>
        <w:spacing w:before="78" w:line="219" w:lineRule="auto"/>
        <w:rPr>
          <w:rFonts w:ascii="SimSun" w:hAnsi="SimSun" w:eastAsia="SimSun" w:cs="SimSun"/>
          <w:sz w:val="24"/>
          <w:szCs w:val="24"/>
        </w:rPr>
      </w:pPr>
      <w:r>
        <w:rPr>
          <w:rFonts w:ascii="SimSun" w:hAnsi="SimSun" w:eastAsia="SimSun" w:cs="SimSun"/>
          <w:sz w:val="24"/>
          <w:szCs w:val="24"/>
        </w:rPr>
        <w:t>炭更换周期为</w:t>
      </w:r>
      <w:r>
        <w:rPr>
          <w:rFonts w:ascii="Times New Roman" w:hAnsi="Times New Roman" w:eastAsia="Times New Roman" w:cs="Times New Roman"/>
          <w:sz w:val="24"/>
          <w:szCs w:val="24"/>
        </w:rPr>
        <w:t>2-2.5</w:t>
      </w:r>
      <w:r>
        <w:rPr>
          <w:rFonts w:ascii="SimSun" w:hAnsi="SimSun" w:eastAsia="SimSun" w:cs="SimSun"/>
          <w:sz w:val="24"/>
          <w:szCs w:val="24"/>
        </w:rPr>
        <w:t>年，贵金属催化剂更换</w:t>
      </w:r>
      <w:r>
        <w:rPr>
          <w:rFonts w:ascii="SimSun" w:hAnsi="SimSun" w:eastAsia="SimSun" w:cs="SimSun"/>
          <w:sz w:val="24"/>
          <w:szCs w:val="24"/>
          <w:spacing w:val="-1"/>
        </w:rPr>
        <w:t>周期为</w:t>
      </w:r>
      <w:r>
        <w:rPr>
          <w:rFonts w:ascii="Times New Roman" w:hAnsi="Times New Roman" w:eastAsia="Times New Roman" w:cs="Times New Roman"/>
          <w:sz w:val="24"/>
          <w:szCs w:val="24"/>
          <w:spacing w:val="-1"/>
        </w:rPr>
        <w:t>2</w:t>
      </w:r>
      <w:r>
        <w:rPr>
          <w:rFonts w:ascii="SimSun" w:hAnsi="SimSun" w:eastAsia="SimSun" w:cs="SimSun"/>
          <w:sz w:val="24"/>
          <w:szCs w:val="24"/>
          <w:spacing w:val="-1"/>
        </w:rPr>
        <w:t>年左右或</w:t>
      </w:r>
      <w:r>
        <w:rPr>
          <w:rFonts w:ascii="Times New Roman" w:hAnsi="Times New Roman" w:eastAsia="Times New Roman" w:cs="Times New Roman"/>
          <w:sz w:val="24"/>
          <w:szCs w:val="24"/>
          <w:spacing w:val="-1"/>
        </w:rPr>
        <w:t>8000</w:t>
      </w:r>
      <w:r>
        <w:rPr>
          <w:rFonts w:ascii="SimSun" w:hAnsi="SimSun" w:eastAsia="SimSun" w:cs="SimSun"/>
          <w:sz w:val="24"/>
          <w:szCs w:val="24"/>
          <w:spacing w:val="-1"/>
        </w:rPr>
        <w:t>小时。</w:t>
      </w:r>
    </w:p>
    <w:p>
      <w:pPr>
        <w:ind w:left="25" w:firstLine="481"/>
        <w:spacing w:before="214" w:line="385" w:lineRule="auto"/>
        <w:jc w:val="both"/>
        <w:rPr>
          <w:rFonts w:ascii="SimSun" w:hAnsi="SimSun" w:eastAsia="SimSun" w:cs="SimSun"/>
          <w:sz w:val="24"/>
          <w:szCs w:val="24"/>
        </w:rPr>
      </w:pPr>
      <w:r>
        <w:rPr>
          <w:rFonts w:ascii="SimSun" w:hAnsi="SimSun" w:eastAsia="SimSun" w:cs="SimSun"/>
          <w:sz w:val="24"/>
          <w:szCs w:val="24"/>
          <w:spacing w:val="-3"/>
        </w:rPr>
        <w:t>非甲烷总烃废气处理量为</w:t>
      </w:r>
      <w:r>
        <w:rPr>
          <w:rFonts w:ascii="Times New Roman" w:hAnsi="Times New Roman" w:eastAsia="Times New Roman" w:cs="Times New Roman"/>
          <w:sz w:val="24"/>
          <w:szCs w:val="24"/>
          <w:spacing w:val="-3"/>
        </w:rPr>
        <w:t>0.85t/a</w:t>
      </w:r>
      <w:r>
        <w:rPr>
          <w:rFonts w:ascii="SimSun" w:hAnsi="SimSun" w:eastAsia="SimSun" w:cs="SimSun"/>
          <w:sz w:val="24"/>
          <w:szCs w:val="24"/>
          <w:spacing w:val="-3"/>
        </w:rPr>
        <w:t>，活性炭产生量为废气的</w:t>
      </w:r>
      <w:r>
        <w:rPr>
          <w:rFonts w:ascii="Times New Roman" w:hAnsi="Times New Roman" w:eastAsia="Times New Roman" w:cs="Times New Roman"/>
          <w:sz w:val="24"/>
          <w:szCs w:val="24"/>
          <w:spacing w:val="-3"/>
        </w:rPr>
        <w:t>1.2</w:t>
      </w:r>
      <w:r>
        <w:rPr>
          <w:rFonts w:ascii="SimSun" w:hAnsi="SimSun" w:eastAsia="SimSun" w:cs="SimSun"/>
          <w:sz w:val="24"/>
          <w:szCs w:val="24"/>
          <w:spacing w:val="-3"/>
        </w:rPr>
        <w:t>倍，废活性炭产</w:t>
      </w:r>
      <w:r>
        <w:rPr>
          <w:rFonts w:ascii="SimSun" w:hAnsi="SimSun" w:eastAsia="SimSun" w:cs="SimSun"/>
          <w:sz w:val="24"/>
          <w:szCs w:val="24"/>
          <w:spacing w:val="9"/>
        </w:rPr>
        <w:t xml:space="preserve"> </w:t>
      </w:r>
      <w:r>
        <w:rPr>
          <w:rFonts w:ascii="SimSun" w:hAnsi="SimSun" w:eastAsia="SimSun" w:cs="SimSun"/>
          <w:sz w:val="24"/>
          <w:szCs w:val="24"/>
          <w:spacing w:val="-3"/>
        </w:rPr>
        <w:t>生量为</w:t>
      </w:r>
      <w:r>
        <w:rPr>
          <w:rFonts w:ascii="Times New Roman" w:hAnsi="Times New Roman" w:eastAsia="Times New Roman" w:cs="Times New Roman"/>
          <w:sz w:val="24"/>
          <w:szCs w:val="24"/>
          <w:spacing w:val="-3"/>
        </w:rPr>
        <w:t>1.02t/2a</w:t>
      </w:r>
      <w:r>
        <w:rPr>
          <w:rFonts w:ascii="Times New Roman" w:hAnsi="Times New Roman" w:eastAsia="Times New Roman" w:cs="Times New Roman"/>
          <w:sz w:val="24"/>
          <w:szCs w:val="24"/>
          <w:spacing w:val="-28"/>
        </w:rPr>
        <w:t xml:space="preserve"> </w:t>
      </w:r>
      <w:r>
        <w:rPr>
          <w:rFonts w:ascii="SimSun" w:hAnsi="SimSun" w:eastAsia="SimSun" w:cs="SimSun"/>
          <w:sz w:val="24"/>
          <w:szCs w:val="24"/>
          <w:spacing w:val="-3"/>
        </w:rPr>
        <w:t>。催化剂、活性炭每两年更</w:t>
      </w:r>
      <w:r>
        <w:rPr>
          <w:rFonts w:ascii="SimSun" w:hAnsi="SimSun" w:eastAsia="SimSun" w:cs="SimSun"/>
          <w:sz w:val="24"/>
          <w:szCs w:val="24"/>
          <w:spacing w:val="-4"/>
        </w:rPr>
        <w:t>换一次。催化剂主要为贵金属铂、钯，</w:t>
      </w:r>
    </w:p>
    <w:p>
      <w:pPr>
        <w:ind w:left="22"/>
        <w:spacing w:line="218" w:lineRule="auto"/>
        <w:rPr>
          <w:rFonts w:ascii="SimSun" w:hAnsi="SimSun" w:eastAsia="SimSun" w:cs="SimSun"/>
          <w:sz w:val="24"/>
          <w:szCs w:val="24"/>
        </w:rPr>
      </w:pPr>
      <w:r>
        <w:rPr>
          <w:rFonts w:ascii="SimSun" w:hAnsi="SimSun" w:eastAsia="SimSun" w:cs="SimSun"/>
          <w:sz w:val="24"/>
          <w:szCs w:val="24"/>
          <w:spacing w:val="-1"/>
        </w:rPr>
        <w:t>废催化剂产生量为</w:t>
      </w:r>
      <w:r>
        <w:rPr>
          <w:rFonts w:ascii="Times New Roman" w:hAnsi="Times New Roman" w:eastAsia="Times New Roman" w:cs="Times New Roman"/>
          <w:sz w:val="24"/>
          <w:szCs w:val="24"/>
          <w:spacing w:val="-1"/>
        </w:rPr>
        <w:t>1t/2a</w:t>
      </w:r>
      <w:r>
        <w:rPr>
          <w:rFonts w:ascii="SimSun" w:hAnsi="SimSun" w:eastAsia="SimSun" w:cs="SimSun"/>
          <w:sz w:val="24"/>
          <w:szCs w:val="24"/>
          <w:spacing w:val="-1"/>
        </w:rPr>
        <w:t>。</w:t>
      </w:r>
    </w:p>
    <w:p>
      <w:pPr>
        <w:ind w:left="34" w:right="68" w:firstLine="470"/>
        <w:spacing w:before="214" w:line="385" w:lineRule="auto"/>
        <w:jc w:val="both"/>
        <w:rPr>
          <w:rFonts w:ascii="SimSun" w:hAnsi="SimSun" w:eastAsia="SimSun" w:cs="SimSun"/>
          <w:sz w:val="24"/>
          <w:szCs w:val="24"/>
        </w:rPr>
      </w:pPr>
      <w:r>
        <w:rPr>
          <w:rFonts w:ascii="SimSun" w:hAnsi="SimSun" w:eastAsia="SimSun" w:cs="SimSun"/>
          <w:sz w:val="24"/>
          <w:szCs w:val="24"/>
        </w:rPr>
        <w:t>蜂窝活性炭更换周期为</w:t>
      </w:r>
      <w:r>
        <w:rPr>
          <w:rFonts w:ascii="Times New Roman" w:hAnsi="Times New Roman" w:eastAsia="Times New Roman" w:cs="Times New Roman"/>
          <w:sz w:val="24"/>
          <w:szCs w:val="24"/>
        </w:rPr>
        <w:t>2-2.5</w:t>
      </w:r>
      <w:r>
        <w:rPr>
          <w:rFonts w:ascii="SimSun" w:hAnsi="SimSun" w:eastAsia="SimSun" w:cs="SimSun"/>
          <w:sz w:val="24"/>
          <w:szCs w:val="24"/>
        </w:rPr>
        <w:t>年，贵金属催化剂更</w:t>
      </w:r>
      <w:r>
        <w:rPr>
          <w:rFonts w:ascii="SimSun" w:hAnsi="SimSun" w:eastAsia="SimSun" w:cs="SimSun"/>
          <w:sz w:val="24"/>
          <w:szCs w:val="24"/>
          <w:spacing w:val="-1"/>
        </w:rPr>
        <w:t>换周期为</w:t>
      </w:r>
      <w:r>
        <w:rPr>
          <w:rFonts w:ascii="Times New Roman" w:hAnsi="Times New Roman" w:eastAsia="Times New Roman" w:cs="Times New Roman"/>
          <w:sz w:val="24"/>
          <w:szCs w:val="24"/>
          <w:spacing w:val="-1"/>
        </w:rPr>
        <w:t>2</w:t>
      </w:r>
      <w:r>
        <w:rPr>
          <w:rFonts w:ascii="SimSun" w:hAnsi="SimSun" w:eastAsia="SimSun" w:cs="SimSun"/>
          <w:sz w:val="24"/>
          <w:szCs w:val="24"/>
          <w:spacing w:val="-1"/>
        </w:rPr>
        <w:t>年左右或</w:t>
      </w:r>
      <w:r>
        <w:rPr>
          <w:rFonts w:ascii="Times New Roman" w:hAnsi="Times New Roman" w:eastAsia="Times New Roman" w:cs="Times New Roman"/>
          <w:sz w:val="24"/>
          <w:szCs w:val="24"/>
          <w:spacing w:val="-1"/>
        </w:rPr>
        <w:t>8000</w:t>
      </w:r>
      <w:r>
        <w:rPr>
          <w:rFonts w:ascii="SimSun" w:hAnsi="SimSun" w:eastAsia="SimSun" w:cs="SimSun"/>
          <w:sz w:val="24"/>
          <w:szCs w:val="24"/>
          <w:spacing w:val="-1"/>
        </w:rPr>
        <w:t>小</w:t>
      </w:r>
      <w:r>
        <w:rPr>
          <w:rFonts w:ascii="SimSun" w:hAnsi="SimSun" w:eastAsia="SimSun" w:cs="SimSun"/>
          <w:sz w:val="24"/>
          <w:szCs w:val="24"/>
        </w:rPr>
        <w:t xml:space="preserve"> </w:t>
      </w:r>
      <w:r>
        <w:rPr>
          <w:rFonts w:ascii="SimSun" w:hAnsi="SimSun" w:eastAsia="SimSun" w:cs="SimSun"/>
          <w:sz w:val="24"/>
          <w:szCs w:val="24"/>
          <w:spacing w:val="-1"/>
        </w:rPr>
        <w:t>时。本项目按照</w:t>
      </w:r>
      <w:r>
        <w:rPr>
          <w:rFonts w:ascii="Times New Roman" w:hAnsi="Times New Roman" w:eastAsia="Times New Roman" w:cs="Times New Roman"/>
          <w:sz w:val="24"/>
          <w:szCs w:val="24"/>
          <w:spacing w:val="-1"/>
        </w:rPr>
        <w:t>2</w:t>
      </w:r>
      <w:r>
        <w:rPr>
          <w:rFonts w:ascii="SimSun" w:hAnsi="SimSun" w:eastAsia="SimSun" w:cs="SimSun"/>
          <w:sz w:val="24"/>
          <w:szCs w:val="24"/>
          <w:spacing w:val="-1"/>
        </w:rPr>
        <w:t>年更换一次进行计算。废活性炭排放</w:t>
      </w:r>
      <w:r>
        <w:rPr>
          <w:rFonts w:ascii="SimSun" w:hAnsi="SimSun" w:eastAsia="SimSun" w:cs="SimSun"/>
          <w:sz w:val="24"/>
          <w:szCs w:val="24"/>
          <w:spacing w:val="-2"/>
        </w:rPr>
        <w:t>量为</w:t>
      </w:r>
      <w:r>
        <w:rPr>
          <w:rFonts w:ascii="Times New Roman" w:hAnsi="Times New Roman" w:eastAsia="Times New Roman" w:cs="Times New Roman"/>
          <w:sz w:val="24"/>
          <w:szCs w:val="24"/>
          <w:spacing w:val="-2"/>
        </w:rPr>
        <w:t>0.51t/a</w:t>
      </w:r>
      <w:r>
        <w:rPr>
          <w:rFonts w:ascii="Times New Roman" w:hAnsi="Times New Roman" w:eastAsia="Times New Roman" w:cs="Times New Roman"/>
          <w:sz w:val="24"/>
          <w:szCs w:val="24"/>
          <w:spacing w:val="-28"/>
        </w:rPr>
        <w:t xml:space="preserve"> </w:t>
      </w:r>
      <w:r>
        <w:rPr>
          <w:rFonts w:ascii="SimSun" w:hAnsi="SimSun" w:eastAsia="SimSun" w:cs="SimSun"/>
          <w:sz w:val="24"/>
          <w:szCs w:val="24"/>
          <w:spacing w:val="-2"/>
        </w:rPr>
        <w:t>。废催化剂产</w:t>
      </w:r>
    </w:p>
    <w:p>
      <w:pPr>
        <w:ind w:left="25"/>
        <w:spacing w:before="1" w:line="220" w:lineRule="auto"/>
        <w:rPr>
          <w:rFonts w:ascii="SimSun" w:hAnsi="SimSun" w:eastAsia="SimSun" w:cs="SimSun"/>
          <w:sz w:val="24"/>
          <w:szCs w:val="24"/>
        </w:rPr>
      </w:pPr>
      <w:r>
        <w:rPr>
          <w:rFonts w:ascii="SimSun" w:hAnsi="SimSun" w:eastAsia="SimSun" w:cs="SimSun"/>
          <w:sz w:val="24"/>
          <w:szCs w:val="24"/>
          <w:spacing w:val="-2"/>
        </w:rPr>
        <w:t>生量为</w:t>
      </w:r>
      <w:r>
        <w:rPr>
          <w:rFonts w:ascii="Times New Roman" w:hAnsi="Times New Roman" w:eastAsia="Times New Roman" w:cs="Times New Roman"/>
          <w:sz w:val="24"/>
          <w:szCs w:val="24"/>
          <w:spacing w:val="-2"/>
        </w:rPr>
        <w:t>0.5t/a</w:t>
      </w:r>
      <w:r>
        <w:rPr>
          <w:rFonts w:ascii="SimSun" w:hAnsi="SimSun" w:eastAsia="SimSun" w:cs="SimSun"/>
          <w:sz w:val="24"/>
          <w:szCs w:val="24"/>
          <w:spacing w:val="-2"/>
        </w:rPr>
        <w:t>。</w:t>
      </w:r>
    </w:p>
    <w:p>
      <w:pPr>
        <w:pStyle w:val="BodyText"/>
        <w:spacing w:line="344" w:lineRule="auto"/>
        <w:rPr/>
      </w:pPr>
      <w:r/>
    </w:p>
    <w:p>
      <w:pPr>
        <w:pStyle w:val="BodyText"/>
        <w:spacing w:line="344" w:lineRule="auto"/>
        <w:rPr/>
      </w:pPr>
      <w:r/>
    </w:p>
    <w:p>
      <w:pPr>
        <w:ind w:left="21"/>
        <w:spacing w:before="92" w:line="213" w:lineRule="auto"/>
        <w:outlineLvl w:val="0"/>
        <w:rPr>
          <w:rFonts w:ascii="SimSun" w:hAnsi="SimSun" w:eastAsia="SimSun" w:cs="SimSun"/>
          <w:sz w:val="28"/>
          <w:szCs w:val="28"/>
        </w:rPr>
      </w:pPr>
      <w:r>
        <w:rPr>
          <w:rFonts w:ascii="Times New Roman" w:hAnsi="Times New Roman" w:eastAsia="Times New Roman" w:cs="Times New Roman"/>
          <w:sz w:val="28"/>
          <w:szCs w:val="28"/>
          <w:b/>
          <w:bCs/>
          <w:spacing w:val="-3"/>
        </w:rPr>
        <w:t>4.</w:t>
      </w:r>
      <w:r>
        <w:rPr>
          <w:rFonts w:ascii="Times New Roman" w:hAnsi="Times New Roman" w:eastAsia="Times New Roman" w:cs="Times New Roman"/>
          <w:sz w:val="28"/>
          <w:szCs w:val="28"/>
          <w:b/>
          <w:bCs/>
          <w:spacing w:val="-28"/>
        </w:rPr>
        <w:t xml:space="preserve"> </w:t>
      </w:r>
      <w:r>
        <w:rPr>
          <w:rFonts w:ascii="SimSun" w:hAnsi="SimSun" w:eastAsia="SimSun" w:cs="SimSun"/>
          <w:sz w:val="28"/>
          <w:szCs w:val="28"/>
          <w14:textOutline w14:w="5103" w14:cap="sq" w14:cmpd="sng">
            <w14:solidFill>
              <w14:srgbClr w14:val="000000"/>
            </w14:solidFill>
            <w14:prstDash w14:val="solid"/>
            <w14:bevel/>
          </w14:textOutline>
          <w:spacing w:val="-3"/>
        </w:rPr>
        <w:t>已有项目的两个排口的非甲烷总烃排放浓度均小于</w:t>
      </w:r>
      <w:r>
        <w:rPr>
          <w:rFonts w:ascii="Times New Roman" w:hAnsi="Times New Roman" w:eastAsia="Times New Roman" w:cs="Times New Roman"/>
          <w:sz w:val="28"/>
          <w:szCs w:val="28"/>
          <w:b/>
          <w:bCs/>
          <w:spacing w:val="-3"/>
        </w:rPr>
        <w:t>10mg/m</w:t>
      </w:r>
      <w:r>
        <w:rPr>
          <w:rFonts w:ascii="SimSun" w:hAnsi="SimSun" w:eastAsia="SimSun" w:cs="SimSun"/>
          <w:sz w:val="28"/>
          <w:szCs w:val="28"/>
          <w14:textOutline w14:w="5103" w14:cap="sq" w14:cmpd="sng">
            <w14:solidFill>
              <w14:srgbClr w14:val="000000"/>
            </w14:solidFill>
            <w14:prstDash w14:val="solid"/>
            <w14:bevel/>
          </w14:textOutline>
          <w:spacing w:val="-3"/>
        </w:rPr>
        <w:t>³,</w:t>
      </w:r>
      <w:r>
        <w:rPr>
          <w:rFonts w:ascii="SimSun" w:hAnsi="SimSun" w:eastAsia="SimSun" w:cs="SimSun"/>
          <w:sz w:val="28"/>
          <w:szCs w:val="28"/>
          <w:spacing w:val="4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3"/>
        </w:rPr>
        <w:t>也未</w:t>
      </w:r>
    </w:p>
    <w:p>
      <w:pPr>
        <w:ind w:left="23" w:right="28" w:firstLine="2"/>
        <w:spacing w:before="239" w:line="369" w:lineRule="auto"/>
        <w:jc w:val="both"/>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4"/>
        </w:rPr>
        <w:t>提供处理效率；另外环评批复中明确的是使用活性炭吸附装置，而建</w:t>
      </w:r>
      <w:r>
        <w:rPr>
          <w:rFonts w:ascii="SimSun" w:hAnsi="SimSun" w:eastAsia="SimSun" w:cs="SimSun"/>
          <w:sz w:val="28"/>
          <w:szCs w:val="28"/>
          <w:spacing w:val="11"/>
        </w:rPr>
        <w:t xml:space="preserve"> </w:t>
      </w:r>
      <w:r>
        <w:rPr>
          <w:rFonts w:ascii="SimSun" w:hAnsi="SimSun" w:eastAsia="SimSun" w:cs="SimSun"/>
          <w:sz w:val="28"/>
          <w:szCs w:val="28"/>
          <w14:textOutline w14:w="5103" w14:cap="sq" w14:cmpd="sng">
            <w14:solidFill>
              <w14:srgbClr w14:val="000000"/>
            </w14:solidFill>
            <w14:prstDash w14:val="solid"/>
            <w14:bevel/>
          </w14:textOutline>
        </w:rPr>
        <w:t>设的是两级</w:t>
      </w:r>
      <w:r>
        <w:rPr>
          <w:rFonts w:ascii="Times New Roman" w:hAnsi="Times New Roman" w:eastAsia="Times New Roman" w:cs="Times New Roman"/>
          <w:sz w:val="28"/>
          <w:szCs w:val="28"/>
          <w:b/>
          <w:bCs/>
        </w:rPr>
        <w:t>UV</w:t>
      </w:r>
      <w:r>
        <w:rPr>
          <w:rFonts w:ascii="SimSun" w:hAnsi="SimSun" w:eastAsia="SimSun" w:cs="SimSun"/>
          <w:sz w:val="28"/>
          <w:szCs w:val="28"/>
          <w14:textOutline w14:w="5103" w14:cap="sq" w14:cmpd="sng">
            <w14:solidFill>
              <w14:srgbClr w14:val="000000"/>
            </w14:solidFill>
            <w14:prstDash w14:val="solid"/>
            <w14:bevel/>
          </w14:textOutline>
        </w:rPr>
        <w:t>光氧净化装置。新建设的非甲烷总烃的排放浓度高达</w:t>
      </w:r>
      <w:r>
        <w:rPr>
          <w:rFonts w:ascii="SimSun" w:hAnsi="SimSun" w:eastAsia="SimSun" w:cs="SimSun"/>
          <w:sz w:val="28"/>
          <w:szCs w:val="28"/>
          <w:spacing w:val="17"/>
        </w:rPr>
        <w:t xml:space="preserve"> </w:t>
      </w:r>
      <w:r>
        <w:rPr>
          <w:rFonts w:ascii="Times New Roman" w:hAnsi="Times New Roman" w:eastAsia="Times New Roman" w:cs="Times New Roman"/>
          <w:sz w:val="28"/>
          <w:szCs w:val="28"/>
          <w:b/>
          <w:bCs/>
          <w:spacing w:val="-2"/>
        </w:rPr>
        <w:t>57.41mg/Nm</w:t>
      </w:r>
      <w:r>
        <w:rPr>
          <w:rFonts w:ascii="SimSun" w:hAnsi="SimSun" w:eastAsia="SimSun" w:cs="SimSun"/>
          <w:sz w:val="28"/>
          <w:szCs w:val="28"/>
          <w14:textOutline w14:w="5103" w14:cap="sq" w14:cmpd="sng">
            <w14:solidFill>
              <w14:srgbClr w14:val="000000"/>
            </w14:solidFill>
            <w14:prstDash w14:val="solid"/>
            <w14:bevel/>
          </w14:textOutline>
          <w:spacing w:val="-2"/>
        </w:rPr>
        <w:t>³</w:t>
      </w:r>
      <w:r>
        <w:rPr>
          <w:rFonts w:ascii="SimSun" w:hAnsi="SimSun" w:eastAsia="SimSun" w:cs="SimSun"/>
          <w:sz w:val="28"/>
          <w:szCs w:val="28"/>
          <w:spacing w:val="-103"/>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。两者相比较，无法</w:t>
      </w:r>
      <w:r>
        <w:rPr>
          <w:rFonts w:ascii="SimSun" w:hAnsi="SimSun" w:eastAsia="SimSun" w:cs="SimSun"/>
          <w:sz w:val="28"/>
          <w:szCs w:val="28"/>
          <w14:textOutline w14:w="5103" w14:cap="sq" w14:cmpd="sng">
            <w14:solidFill>
              <w14:srgbClr w14:val="000000"/>
            </w14:solidFill>
            <w14:prstDash w14:val="solid"/>
            <w14:bevel/>
          </w14:textOutline>
          <w:spacing w:val="-3"/>
        </w:rPr>
        <w:t>说明新建的污染处理设施更先进，</w:t>
      </w:r>
    </w:p>
    <w:p>
      <w:pPr>
        <w:ind w:left="26"/>
        <w:spacing w:before="2" w:line="219"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反而显得更落后。</w:t>
      </w:r>
    </w:p>
    <w:p>
      <w:pPr>
        <w:ind w:left="529"/>
        <w:spacing w:before="213" w:line="219" w:lineRule="auto"/>
        <w:rPr>
          <w:rFonts w:ascii="Times New Roman" w:hAnsi="Times New Roman" w:eastAsia="Times New Roman" w:cs="Times New Roman"/>
          <w:sz w:val="24"/>
          <w:szCs w:val="24"/>
        </w:rPr>
      </w:pPr>
      <w:r>
        <w:rPr>
          <w:rFonts w:ascii="SimSun" w:hAnsi="SimSun" w:eastAsia="SimSun" w:cs="SimSun"/>
          <w:sz w:val="24"/>
          <w:szCs w:val="24"/>
          <w:spacing w:val="-4"/>
        </w:rPr>
        <w:t>已修改，见</w:t>
      </w:r>
      <w:r>
        <w:rPr>
          <w:rFonts w:ascii="Times New Roman" w:hAnsi="Times New Roman" w:eastAsia="Times New Roman" w:cs="Times New Roman"/>
          <w:sz w:val="24"/>
          <w:szCs w:val="24"/>
          <w:spacing w:val="-4"/>
        </w:rPr>
        <w:t>P29</w:t>
      </w:r>
      <w:r>
        <w:rPr>
          <w:rFonts w:ascii="SimSun" w:hAnsi="SimSun" w:eastAsia="SimSun" w:cs="SimSun"/>
          <w:sz w:val="24"/>
          <w:szCs w:val="24"/>
          <w:spacing w:val="-4"/>
        </w:rPr>
        <w:t>、</w:t>
      </w:r>
      <w:r>
        <w:rPr>
          <w:rFonts w:ascii="Times New Roman" w:hAnsi="Times New Roman" w:eastAsia="Times New Roman" w:cs="Times New Roman"/>
          <w:sz w:val="24"/>
          <w:szCs w:val="24"/>
          <w:spacing w:val="-4"/>
        </w:rPr>
        <w:t>P38</w:t>
      </w:r>
    </w:p>
    <w:p>
      <w:pPr>
        <w:ind w:left="499"/>
        <w:spacing w:before="214" w:line="502" w:lineRule="exact"/>
        <w:rPr>
          <w:rFonts w:ascii="SimSun" w:hAnsi="SimSun" w:eastAsia="SimSun" w:cs="SimSun"/>
          <w:sz w:val="24"/>
          <w:szCs w:val="24"/>
        </w:rPr>
      </w:pPr>
      <w:r>
        <w:rPr>
          <w:rFonts w:ascii="Times New Roman" w:hAnsi="Times New Roman" w:eastAsia="Times New Roman" w:cs="Times New Roman"/>
          <w:sz w:val="24"/>
          <w:szCs w:val="24"/>
          <w:spacing w:val="-1"/>
          <w:position w:val="19"/>
        </w:rPr>
        <w:t>2.11.6  </w:t>
      </w:r>
      <w:r>
        <w:rPr>
          <w:rFonts w:ascii="SimSun" w:hAnsi="SimSun" w:eastAsia="SimSun" w:cs="SimSun"/>
          <w:sz w:val="24"/>
          <w:szCs w:val="24"/>
          <w:spacing w:val="-1"/>
          <w:position w:val="19"/>
        </w:rPr>
        <w:t>现有工程存在的问题及整改措施</w:t>
      </w:r>
    </w:p>
    <w:p>
      <w:pPr>
        <w:ind w:left="514"/>
        <w:spacing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）现有项目废气处理装置效率低</w:t>
      </w:r>
    </w:p>
    <w:p>
      <w:pPr>
        <w:ind w:left="23" w:firstLine="483"/>
        <w:spacing w:before="211" w:line="385" w:lineRule="auto"/>
        <w:jc w:val="both"/>
        <w:rPr>
          <w:rFonts w:ascii="SimSun" w:hAnsi="SimSun" w:eastAsia="SimSun" w:cs="SimSun"/>
          <w:sz w:val="24"/>
          <w:szCs w:val="24"/>
        </w:rPr>
      </w:pPr>
      <w:r>
        <w:rPr>
          <w:rFonts w:ascii="SimSun" w:hAnsi="SimSun" w:eastAsia="SimSun" w:cs="SimSun"/>
          <w:sz w:val="24"/>
          <w:szCs w:val="24"/>
          <w:spacing w:val="-1"/>
        </w:rPr>
        <w:t>企业现有项目废气采取两级</w:t>
      </w:r>
      <w:r>
        <w:rPr>
          <w:rFonts w:ascii="Times New Roman" w:hAnsi="Times New Roman" w:eastAsia="Times New Roman" w:cs="Times New Roman"/>
          <w:sz w:val="24"/>
          <w:szCs w:val="24"/>
          <w:spacing w:val="-1"/>
        </w:rPr>
        <w:t>UV</w:t>
      </w:r>
      <w:r>
        <w:rPr>
          <w:rFonts w:ascii="SimSun" w:hAnsi="SimSun" w:eastAsia="SimSun" w:cs="SimSun"/>
          <w:sz w:val="24"/>
          <w:szCs w:val="24"/>
          <w:spacing w:val="-1"/>
        </w:rPr>
        <w:t>光氧净化装置。根据《关于加快解决当前挥</w:t>
      </w:r>
      <w:r>
        <w:rPr>
          <w:rFonts w:ascii="SimSun" w:hAnsi="SimSun" w:eastAsia="SimSun" w:cs="SimSun"/>
          <w:sz w:val="24"/>
          <w:szCs w:val="24"/>
          <w:spacing w:val="8"/>
        </w:rPr>
        <w:t xml:space="preserve">  </w:t>
      </w:r>
      <w:r>
        <w:rPr>
          <w:rFonts w:ascii="SimSun" w:hAnsi="SimSun" w:eastAsia="SimSun" w:cs="SimSun"/>
          <w:sz w:val="24"/>
          <w:szCs w:val="24"/>
          <w:spacing w:val="-8"/>
        </w:rPr>
        <w:t>发性有机物治理突出问题的通知》，“新建治理设施或对现有治理设施实施改造，</w:t>
      </w:r>
      <w:r>
        <w:rPr>
          <w:rFonts w:ascii="SimSun" w:hAnsi="SimSun" w:eastAsia="SimSun" w:cs="SimSun"/>
          <w:sz w:val="24"/>
          <w:szCs w:val="24"/>
          <w:spacing w:val="5"/>
        </w:rPr>
        <w:t xml:space="preserve"> </w:t>
      </w:r>
      <w:r>
        <w:rPr>
          <w:rFonts w:ascii="SimSun" w:hAnsi="SimSun" w:eastAsia="SimSun" w:cs="SimSun"/>
          <w:sz w:val="24"/>
          <w:szCs w:val="24"/>
          <w:spacing w:val="-1"/>
        </w:rPr>
        <w:t>应依据排放废气特征、</w:t>
      </w:r>
      <w:r>
        <w:rPr>
          <w:rFonts w:ascii="Times New Roman" w:hAnsi="Times New Roman" w:eastAsia="Times New Roman" w:cs="Times New Roman"/>
          <w:sz w:val="24"/>
          <w:szCs w:val="24"/>
          <w:spacing w:val="-1"/>
        </w:rPr>
        <w:t>VOCs</w:t>
      </w:r>
      <w:r>
        <w:rPr>
          <w:rFonts w:ascii="SimSun" w:hAnsi="SimSun" w:eastAsia="SimSun" w:cs="SimSun"/>
          <w:sz w:val="24"/>
          <w:szCs w:val="24"/>
          <w:spacing w:val="-1"/>
        </w:rPr>
        <w:t>组分及浓度、生产工况等，合理选择治理技术；对 </w:t>
      </w:r>
      <w:r>
        <w:rPr>
          <w:rFonts w:ascii="SimSun" w:hAnsi="SimSun" w:eastAsia="SimSun" w:cs="SimSun"/>
          <w:sz w:val="24"/>
          <w:szCs w:val="24"/>
          <w:spacing w:val="-3"/>
        </w:rPr>
        <w:t>治理难度大、单一治理工艺难以稳定达标的，宜采用多种技术的组合工艺；除恶</w:t>
      </w:r>
      <w:r>
        <w:rPr>
          <w:rFonts w:ascii="SimSun" w:hAnsi="SimSun" w:eastAsia="SimSun" w:cs="SimSun"/>
          <w:sz w:val="24"/>
          <w:szCs w:val="24"/>
          <w:spacing w:val="1"/>
        </w:rPr>
        <w:t xml:space="preserve"> </w:t>
      </w:r>
      <w:r>
        <w:rPr>
          <w:rFonts w:ascii="SimSun" w:hAnsi="SimSun" w:eastAsia="SimSun" w:cs="SimSun"/>
          <w:sz w:val="24"/>
          <w:szCs w:val="24"/>
          <w:spacing w:val="-4"/>
        </w:rPr>
        <w:t>臭异味治理外，一般不使用低温等离子、光催化、光氧化等技术</w:t>
      </w:r>
      <w:r>
        <w:rPr>
          <w:rFonts w:ascii="SimSun" w:hAnsi="SimSun" w:eastAsia="SimSun" w:cs="SimSun"/>
          <w:sz w:val="24"/>
          <w:szCs w:val="24"/>
          <w:spacing w:val="-84"/>
        </w:rPr>
        <w:t xml:space="preserve"> </w:t>
      </w:r>
      <w:r>
        <w:rPr>
          <w:rFonts w:ascii="SimSun" w:hAnsi="SimSun" w:eastAsia="SimSun" w:cs="SimSun"/>
          <w:sz w:val="24"/>
          <w:szCs w:val="24"/>
          <w:spacing w:val="-4"/>
        </w:rPr>
        <w:t>”。企业现有废</w:t>
      </w:r>
      <w:r>
        <w:rPr>
          <w:rFonts w:ascii="SimSun" w:hAnsi="SimSun" w:eastAsia="SimSun" w:cs="SimSun"/>
          <w:sz w:val="24"/>
          <w:szCs w:val="24"/>
        </w:rPr>
        <w:t xml:space="preserve"> </w:t>
      </w:r>
      <w:r>
        <w:rPr>
          <w:rFonts w:ascii="SimSun" w:hAnsi="SimSun" w:eastAsia="SimSun" w:cs="SimSun"/>
          <w:sz w:val="24"/>
          <w:szCs w:val="24"/>
          <w:spacing w:val="-3"/>
        </w:rPr>
        <w:t>气治理装置不符合《关于加快解决当前挥发性有机物治理突出问题的通知》文件</w:t>
      </w:r>
    </w:p>
    <w:p>
      <w:pPr>
        <w:ind w:left="23"/>
        <w:spacing w:line="220" w:lineRule="auto"/>
        <w:rPr>
          <w:rFonts w:ascii="SimSun" w:hAnsi="SimSun" w:eastAsia="SimSun" w:cs="SimSun"/>
          <w:sz w:val="24"/>
          <w:szCs w:val="24"/>
        </w:rPr>
      </w:pPr>
      <w:r>
        <w:rPr>
          <w:rFonts w:ascii="SimSun" w:hAnsi="SimSun" w:eastAsia="SimSun" w:cs="SimSun"/>
          <w:sz w:val="24"/>
          <w:szCs w:val="24"/>
          <w:spacing w:val="-2"/>
        </w:rPr>
        <w:t>相关要求。</w:t>
      </w:r>
    </w:p>
    <w:p>
      <w:pPr>
        <w:ind w:left="23" w:right="61" w:firstLine="480"/>
        <w:spacing w:before="212" w:line="385" w:lineRule="auto"/>
        <w:jc w:val="both"/>
        <w:rPr>
          <w:rFonts w:ascii="SimSun" w:hAnsi="SimSun" w:eastAsia="SimSun" w:cs="SimSun"/>
          <w:sz w:val="24"/>
          <w:szCs w:val="24"/>
        </w:rPr>
      </w:pPr>
      <w:r>
        <w:rPr>
          <w:rFonts w:ascii="SimSun" w:hAnsi="SimSun" w:eastAsia="SimSun" w:cs="SimSun"/>
          <w:sz w:val="24"/>
          <w:szCs w:val="24"/>
          <w:spacing w:val="-3"/>
        </w:rPr>
        <w:t>整改措施：本项目建设完成后，建议企业将现有项目生产过程</w:t>
      </w:r>
      <w:r>
        <w:rPr>
          <w:rFonts w:ascii="SimSun" w:hAnsi="SimSun" w:eastAsia="SimSun" w:cs="SimSun"/>
          <w:sz w:val="24"/>
          <w:szCs w:val="24"/>
          <w:spacing w:val="-4"/>
        </w:rPr>
        <w:t>中产生的废气</w:t>
      </w:r>
      <w:r>
        <w:rPr>
          <w:rFonts w:ascii="SimSun" w:hAnsi="SimSun" w:eastAsia="SimSun" w:cs="SimSun"/>
          <w:sz w:val="24"/>
          <w:szCs w:val="24"/>
        </w:rPr>
        <w:t xml:space="preserve"> </w:t>
      </w:r>
      <w:r>
        <w:rPr>
          <w:rFonts w:ascii="SimSun" w:hAnsi="SimSun" w:eastAsia="SimSun" w:cs="SimSun"/>
          <w:sz w:val="24"/>
          <w:szCs w:val="24"/>
        </w:rPr>
        <w:t>集中收集，通入本项目废气治理装置处理。本项目采</w:t>
      </w:r>
      <w:r>
        <w:rPr>
          <w:rFonts w:ascii="SimSun" w:hAnsi="SimSun" w:eastAsia="SimSun" w:cs="SimSun"/>
          <w:sz w:val="24"/>
          <w:szCs w:val="24"/>
          <w:spacing w:val="-1"/>
        </w:rPr>
        <w:t>用“活性炭吸附</w:t>
      </w:r>
      <w:r>
        <w:rPr>
          <w:rFonts w:ascii="Times New Roman" w:hAnsi="Times New Roman" w:eastAsia="Times New Roman" w:cs="Times New Roman"/>
          <w:sz w:val="24"/>
          <w:szCs w:val="24"/>
          <w:spacing w:val="-1"/>
        </w:rPr>
        <w:t>+</w:t>
      </w:r>
      <w:r>
        <w:rPr>
          <w:rFonts w:ascii="SimSun" w:hAnsi="SimSun" w:eastAsia="SimSun" w:cs="SimSun"/>
          <w:sz w:val="24"/>
          <w:szCs w:val="24"/>
          <w:spacing w:val="-1"/>
        </w:rPr>
        <w:t>催化燃烧</w:t>
      </w:r>
      <w:r>
        <w:rPr>
          <w:rFonts w:ascii="SimSun" w:hAnsi="SimSun" w:eastAsia="SimSun" w:cs="SimSun"/>
          <w:sz w:val="24"/>
          <w:szCs w:val="24"/>
        </w:rPr>
        <w:t xml:space="preserve"> </w:t>
      </w:r>
      <w:r>
        <w:rPr>
          <w:rFonts w:ascii="SimSun" w:hAnsi="SimSun" w:eastAsia="SimSun" w:cs="SimSun"/>
          <w:sz w:val="24"/>
          <w:szCs w:val="24"/>
          <w:spacing w:val="-4"/>
        </w:rPr>
        <w:t>装置</w:t>
      </w:r>
      <w:r>
        <w:rPr>
          <w:rFonts w:ascii="SimSun" w:hAnsi="SimSun" w:eastAsia="SimSun" w:cs="SimSun"/>
          <w:sz w:val="24"/>
          <w:szCs w:val="24"/>
          <w:spacing w:val="-84"/>
        </w:rPr>
        <w:t xml:space="preserve"> </w:t>
      </w:r>
      <w:r>
        <w:rPr>
          <w:rFonts w:ascii="SimSun" w:hAnsi="SimSun" w:eastAsia="SimSun" w:cs="SimSun"/>
          <w:sz w:val="24"/>
          <w:szCs w:val="24"/>
          <w:spacing w:val="-4"/>
        </w:rPr>
        <w:t>”处理，采取的废气治理措施符合《关于加快解决当前挥发性有机物治理突</w:t>
      </w:r>
    </w:p>
    <w:p>
      <w:pPr>
        <w:ind w:left="44"/>
        <w:spacing w:line="219" w:lineRule="auto"/>
        <w:rPr>
          <w:rFonts w:ascii="SimSun" w:hAnsi="SimSun" w:eastAsia="SimSun" w:cs="SimSun"/>
          <w:sz w:val="24"/>
          <w:szCs w:val="24"/>
        </w:rPr>
      </w:pPr>
      <w:r>
        <w:rPr>
          <w:rFonts w:ascii="SimSun" w:hAnsi="SimSun" w:eastAsia="SimSun" w:cs="SimSun"/>
          <w:sz w:val="24"/>
          <w:szCs w:val="24"/>
          <w:spacing w:val="-1"/>
        </w:rPr>
        <w:t>出问题的通知》要求，属于《排污许可证申请与核发技术规范 橡胶和塑料制品</w:t>
      </w:r>
    </w:p>
    <w:p>
      <w:pPr>
        <w:spacing w:line="219" w:lineRule="auto"/>
        <w:sectPr>
          <w:footerReference w:type="default" r:id="rId118"/>
          <w:pgSz w:w="11906" w:h="16839"/>
          <w:pgMar w:top="400" w:right="1738" w:bottom="1211" w:left="1785" w:header="0" w:footer="1049" w:gutter="0"/>
        </w:sectPr>
        <w:rPr>
          <w:rFonts w:ascii="SimSun" w:hAnsi="SimSun" w:eastAsia="SimSun" w:cs="SimSun"/>
          <w:sz w:val="24"/>
          <w:szCs w:val="24"/>
        </w:rPr>
      </w:pPr>
    </w:p>
    <w:p>
      <w:pPr>
        <w:pStyle w:val="BodyText"/>
        <w:spacing w:line="287" w:lineRule="auto"/>
        <w:rPr/>
      </w:pPr>
      <w:r/>
    </w:p>
    <w:p>
      <w:pPr>
        <w:pStyle w:val="BodyText"/>
        <w:spacing w:line="287" w:lineRule="auto"/>
        <w:rPr/>
      </w:pPr>
      <w:r/>
    </w:p>
    <w:p>
      <w:pPr>
        <w:pStyle w:val="BodyText"/>
        <w:spacing w:line="288" w:lineRule="auto"/>
        <w:rPr/>
      </w:pPr>
      <w:r/>
    </w:p>
    <w:p>
      <w:pPr>
        <w:pStyle w:val="BodyText"/>
        <w:spacing w:line="288" w:lineRule="auto"/>
        <w:rPr/>
      </w:pPr>
      <w:r/>
    </w:p>
    <w:p>
      <w:pPr>
        <w:ind w:left="26"/>
        <w:spacing w:before="78" w:line="499" w:lineRule="exact"/>
        <w:rPr>
          <w:rFonts w:ascii="SimSun" w:hAnsi="SimSun" w:eastAsia="SimSun" w:cs="SimSun"/>
          <w:sz w:val="24"/>
          <w:szCs w:val="24"/>
        </w:rPr>
      </w:pPr>
      <w:r>
        <w:rPr>
          <w:rFonts w:ascii="SimSun" w:hAnsi="SimSun" w:eastAsia="SimSun" w:cs="SimSun"/>
          <w:sz w:val="24"/>
          <w:szCs w:val="24"/>
          <w:spacing w:val="-1"/>
          <w:position w:val="19"/>
        </w:rPr>
        <w:t>工业》（</w:t>
      </w:r>
      <w:r>
        <w:rPr>
          <w:rFonts w:ascii="Times New Roman" w:hAnsi="Times New Roman" w:eastAsia="Times New Roman" w:cs="Times New Roman"/>
          <w:sz w:val="24"/>
          <w:szCs w:val="24"/>
          <w:spacing w:val="-1"/>
          <w:position w:val="19"/>
        </w:rPr>
        <w:t>HJ1122-2020</w:t>
      </w:r>
      <w:r>
        <w:rPr>
          <w:rFonts w:ascii="SimSun" w:hAnsi="SimSun" w:eastAsia="SimSun" w:cs="SimSun"/>
          <w:sz w:val="24"/>
          <w:szCs w:val="24"/>
          <w:spacing w:val="-1"/>
          <w:position w:val="19"/>
        </w:rPr>
        <w:t>）可行性技</w:t>
      </w:r>
      <w:r>
        <w:rPr>
          <w:rFonts w:ascii="SimSun" w:hAnsi="SimSun" w:eastAsia="SimSun" w:cs="SimSun"/>
          <w:sz w:val="24"/>
          <w:szCs w:val="24"/>
          <w:spacing w:val="-2"/>
          <w:position w:val="19"/>
        </w:rPr>
        <w:t>术。</w:t>
      </w:r>
    </w:p>
    <w:p>
      <w:pPr>
        <w:ind w:left="501"/>
        <w:spacing w:line="217" w:lineRule="auto"/>
        <w:rPr>
          <w:rFonts w:ascii="SimSun" w:hAnsi="SimSun" w:eastAsia="SimSun" w:cs="SimSun"/>
          <w:sz w:val="24"/>
          <w:szCs w:val="24"/>
        </w:rPr>
      </w:pPr>
      <w:r>
        <w:rPr>
          <w:rFonts w:ascii="SimSun" w:hAnsi="SimSun" w:eastAsia="SimSun" w:cs="SimSun"/>
          <w:sz w:val="24"/>
          <w:szCs w:val="24"/>
          <w:spacing w:val="-1"/>
        </w:rPr>
        <w:t>⑤废气产生及排放量核算</w:t>
      </w:r>
    </w:p>
    <w:p>
      <w:pPr>
        <w:ind w:left="22" w:right="80" w:firstLine="481"/>
        <w:spacing w:before="216" w:line="385" w:lineRule="auto"/>
        <w:jc w:val="both"/>
        <w:rPr>
          <w:rFonts w:ascii="SimSun" w:hAnsi="SimSun" w:eastAsia="SimSun" w:cs="SimSun"/>
          <w:sz w:val="24"/>
          <w:szCs w:val="24"/>
        </w:rPr>
      </w:pPr>
      <w:r>
        <w:rPr>
          <w:rFonts w:ascii="SimSun" w:hAnsi="SimSun" w:eastAsia="SimSun" w:cs="SimSun"/>
          <w:sz w:val="24"/>
          <w:szCs w:val="24"/>
          <w:spacing w:val="-1"/>
        </w:rPr>
        <w:t>有组织废气风量为</w:t>
      </w:r>
      <w:r>
        <w:rPr>
          <w:rFonts w:ascii="Times New Roman" w:hAnsi="Times New Roman" w:eastAsia="Times New Roman" w:cs="Times New Roman"/>
          <w:sz w:val="24"/>
          <w:szCs w:val="24"/>
          <w:spacing w:val="-1"/>
        </w:rPr>
        <w:t>22000Nm</w:t>
      </w:r>
      <w:r>
        <w:rPr>
          <w:rFonts w:ascii="SimSun" w:hAnsi="SimSun" w:eastAsia="SimSun" w:cs="SimSun"/>
          <w:sz w:val="24"/>
          <w:szCs w:val="24"/>
          <w:spacing w:val="-1"/>
        </w:rPr>
        <w:t>³</w:t>
      </w:r>
      <w:r>
        <w:rPr>
          <w:rFonts w:ascii="Times New Roman" w:hAnsi="Times New Roman" w:eastAsia="Times New Roman" w:cs="Times New Roman"/>
          <w:sz w:val="24"/>
          <w:szCs w:val="24"/>
          <w:spacing w:val="-1"/>
        </w:rPr>
        <w:t>/h</w:t>
      </w:r>
      <w:r>
        <w:rPr>
          <w:rFonts w:ascii="SimSun" w:hAnsi="SimSun" w:eastAsia="SimSun" w:cs="SimSun"/>
          <w:sz w:val="24"/>
          <w:szCs w:val="24"/>
          <w:spacing w:val="-1"/>
        </w:rPr>
        <w:t>，有组织非甲烷总烃产</w:t>
      </w:r>
      <w:r>
        <w:rPr>
          <w:rFonts w:ascii="SimSun" w:hAnsi="SimSun" w:eastAsia="SimSun" w:cs="SimSun"/>
          <w:sz w:val="24"/>
          <w:szCs w:val="24"/>
          <w:spacing w:val="-2"/>
        </w:rPr>
        <w:t>生量为</w:t>
      </w:r>
      <w:r>
        <w:rPr>
          <w:rFonts w:ascii="Times New Roman" w:hAnsi="Times New Roman" w:eastAsia="Times New Roman" w:cs="Times New Roman"/>
          <w:sz w:val="24"/>
          <w:szCs w:val="24"/>
          <w:spacing w:val="-2"/>
        </w:rPr>
        <w:t>1t/a</w:t>
      </w:r>
      <w:r>
        <w:rPr>
          <w:rFonts w:ascii="SimSun" w:hAnsi="SimSun" w:eastAsia="SimSun" w:cs="SimSun"/>
          <w:sz w:val="24"/>
          <w:szCs w:val="24"/>
          <w:spacing w:val="-2"/>
        </w:rPr>
        <w:t>，产生速率</w:t>
      </w:r>
      <w:r>
        <w:rPr>
          <w:rFonts w:ascii="SimSun" w:hAnsi="SimSun" w:eastAsia="SimSun" w:cs="SimSun"/>
          <w:sz w:val="24"/>
          <w:szCs w:val="24"/>
        </w:rPr>
        <w:t xml:space="preserve"> </w:t>
      </w:r>
      <w:r>
        <w:rPr>
          <w:rFonts w:ascii="SimSun" w:hAnsi="SimSun" w:eastAsia="SimSun" w:cs="SimSun"/>
          <w:sz w:val="24"/>
          <w:szCs w:val="24"/>
          <w:spacing w:val="-1"/>
        </w:rPr>
        <w:t>为</w:t>
      </w:r>
      <w:r>
        <w:rPr>
          <w:rFonts w:ascii="Times New Roman" w:hAnsi="Times New Roman" w:eastAsia="Times New Roman" w:cs="Times New Roman"/>
          <w:sz w:val="24"/>
          <w:szCs w:val="24"/>
          <w:spacing w:val="-1"/>
        </w:rPr>
        <w:t>0.69kg/h</w:t>
      </w:r>
      <w:r>
        <w:rPr>
          <w:rFonts w:ascii="Times New Roman" w:hAnsi="Times New Roman" w:eastAsia="Times New Roman" w:cs="Times New Roman"/>
          <w:sz w:val="24"/>
          <w:szCs w:val="24"/>
          <w:spacing w:val="-24"/>
        </w:rPr>
        <w:t xml:space="preserve"> </w:t>
      </w:r>
      <w:r>
        <w:rPr>
          <w:rFonts w:ascii="SimSun" w:hAnsi="SimSun" w:eastAsia="SimSun" w:cs="SimSun"/>
          <w:sz w:val="24"/>
          <w:szCs w:val="24"/>
          <w:spacing w:val="-1"/>
        </w:rPr>
        <w:t>，产生浓度为</w:t>
      </w:r>
      <w:r>
        <w:rPr>
          <w:rFonts w:ascii="Times New Roman" w:hAnsi="Times New Roman" w:eastAsia="Times New Roman" w:cs="Times New Roman"/>
          <w:sz w:val="24"/>
          <w:szCs w:val="24"/>
          <w:spacing w:val="-1"/>
        </w:rPr>
        <w:t>31.57mg/Nm</w:t>
      </w:r>
      <w:r>
        <w:rPr>
          <w:rFonts w:ascii="SimSun" w:hAnsi="SimSun" w:eastAsia="SimSun" w:cs="SimSun"/>
          <w:sz w:val="24"/>
          <w:szCs w:val="24"/>
          <w:spacing w:val="-1"/>
        </w:rPr>
        <w:t>³;</w:t>
      </w:r>
      <w:r>
        <w:rPr>
          <w:rFonts w:ascii="SimSun" w:hAnsi="SimSun" w:eastAsia="SimSun" w:cs="SimSun"/>
          <w:sz w:val="24"/>
          <w:szCs w:val="24"/>
          <w:spacing w:val="73"/>
        </w:rPr>
        <w:t xml:space="preserve"> </w:t>
      </w:r>
      <w:r>
        <w:rPr>
          <w:rFonts w:ascii="SimSun" w:hAnsi="SimSun" w:eastAsia="SimSun" w:cs="SimSun"/>
          <w:sz w:val="24"/>
          <w:szCs w:val="24"/>
          <w:spacing w:val="-1"/>
        </w:rPr>
        <w:t>经处理后排放量为</w:t>
      </w:r>
      <w:r>
        <w:rPr>
          <w:rFonts w:ascii="Times New Roman" w:hAnsi="Times New Roman" w:eastAsia="Times New Roman" w:cs="Times New Roman"/>
          <w:sz w:val="24"/>
          <w:szCs w:val="24"/>
          <w:spacing w:val="-1"/>
        </w:rPr>
        <w:t>0.</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1"/>
        </w:rPr>
        <w:t>15t</w:t>
      </w:r>
      <w:r>
        <w:rPr>
          <w:rFonts w:ascii="Times New Roman" w:hAnsi="Times New Roman" w:eastAsia="Times New Roman" w:cs="Times New Roman"/>
          <w:sz w:val="24"/>
          <w:szCs w:val="24"/>
          <w:spacing w:val="-2"/>
        </w:rPr>
        <w:t>/a</w:t>
      </w:r>
      <w:r>
        <w:rPr>
          <w:rFonts w:ascii="Times New Roman" w:hAnsi="Times New Roman" w:eastAsia="Times New Roman" w:cs="Times New Roman"/>
          <w:sz w:val="24"/>
          <w:szCs w:val="24"/>
          <w:spacing w:val="-27"/>
        </w:rPr>
        <w:t xml:space="preserve"> </w:t>
      </w:r>
      <w:r>
        <w:rPr>
          <w:rFonts w:ascii="SimSun" w:hAnsi="SimSun" w:eastAsia="SimSun" w:cs="SimSun"/>
          <w:sz w:val="24"/>
          <w:szCs w:val="24"/>
          <w:spacing w:val="-2"/>
        </w:rPr>
        <w:t>，排放速率为</w:t>
      </w:r>
      <w:r>
        <w:rPr>
          <w:rFonts w:ascii="SimSun" w:hAnsi="SimSun" w:eastAsia="SimSun" w:cs="SimSun"/>
          <w:sz w:val="24"/>
          <w:szCs w:val="24"/>
        </w:rPr>
        <w:t xml:space="preserve"> </w:t>
      </w:r>
      <w:r>
        <w:rPr>
          <w:rFonts w:ascii="Times New Roman" w:hAnsi="Times New Roman" w:eastAsia="Times New Roman" w:cs="Times New Roman"/>
          <w:sz w:val="24"/>
          <w:szCs w:val="24"/>
          <w:spacing w:val="-1"/>
        </w:rPr>
        <w:t>0.</w:t>
      </w:r>
      <w:r>
        <w:rPr>
          <w:rFonts w:ascii="Times New Roman" w:hAnsi="Times New Roman" w:eastAsia="Times New Roman" w:cs="Times New Roman"/>
          <w:sz w:val="24"/>
          <w:szCs w:val="24"/>
          <w:spacing w:val="-31"/>
        </w:rPr>
        <w:t xml:space="preserve"> </w:t>
      </w:r>
      <w:r>
        <w:rPr>
          <w:rFonts w:ascii="Times New Roman" w:hAnsi="Times New Roman" w:eastAsia="Times New Roman" w:cs="Times New Roman"/>
          <w:sz w:val="24"/>
          <w:szCs w:val="24"/>
          <w:spacing w:val="-1"/>
        </w:rPr>
        <w:t>104kg/h</w:t>
      </w:r>
      <w:r>
        <w:rPr>
          <w:rFonts w:ascii="Times New Roman" w:hAnsi="Times New Roman" w:eastAsia="Times New Roman" w:cs="Times New Roman"/>
          <w:sz w:val="24"/>
          <w:szCs w:val="24"/>
          <w:spacing w:val="-27"/>
        </w:rPr>
        <w:t xml:space="preserve"> </w:t>
      </w:r>
      <w:r>
        <w:rPr>
          <w:rFonts w:ascii="SimSun" w:hAnsi="SimSun" w:eastAsia="SimSun" w:cs="SimSun"/>
          <w:sz w:val="24"/>
          <w:szCs w:val="24"/>
          <w:spacing w:val="-1"/>
        </w:rPr>
        <w:t>，排放浓度为</w:t>
      </w:r>
      <w:r>
        <w:rPr>
          <w:rFonts w:ascii="Times New Roman" w:hAnsi="Times New Roman" w:eastAsia="Times New Roman" w:cs="Times New Roman"/>
          <w:sz w:val="24"/>
          <w:szCs w:val="24"/>
          <w:spacing w:val="-1"/>
        </w:rPr>
        <w:t>4.73mg/Nm</w:t>
      </w:r>
      <w:r>
        <w:rPr>
          <w:rFonts w:ascii="SimSun" w:hAnsi="SimSun" w:eastAsia="SimSun" w:cs="SimSun"/>
          <w:sz w:val="24"/>
          <w:szCs w:val="24"/>
          <w:spacing w:val="-1"/>
        </w:rPr>
        <w:t>³</w:t>
      </w:r>
      <w:r>
        <w:rPr>
          <w:rFonts w:ascii="SimSun" w:hAnsi="SimSun" w:eastAsia="SimSun" w:cs="SimSun"/>
          <w:sz w:val="24"/>
          <w:szCs w:val="24"/>
          <w:spacing w:val="-84"/>
        </w:rPr>
        <w:t xml:space="preserve"> </w:t>
      </w:r>
      <w:r>
        <w:rPr>
          <w:rFonts w:ascii="SimSun" w:hAnsi="SimSun" w:eastAsia="SimSun" w:cs="SimSun"/>
          <w:sz w:val="24"/>
          <w:szCs w:val="24"/>
          <w:spacing w:val="-1"/>
        </w:rPr>
        <w:t>。本项目有组织挥发性有机废气排放浓度满</w:t>
      </w:r>
      <w:r>
        <w:rPr>
          <w:rFonts w:ascii="SimSun" w:hAnsi="SimSun" w:eastAsia="SimSun" w:cs="SimSun"/>
          <w:sz w:val="24"/>
          <w:szCs w:val="24"/>
        </w:rPr>
        <w:t xml:space="preserve"> </w:t>
      </w:r>
      <w:r>
        <w:rPr>
          <w:rFonts w:ascii="SimSun" w:hAnsi="SimSun" w:eastAsia="SimSun" w:cs="SimSun"/>
          <w:sz w:val="24"/>
          <w:szCs w:val="24"/>
          <w:spacing w:val="-1"/>
        </w:rPr>
        <w:t>足《合成树脂工业污染物排放标准》（</w:t>
      </w:r>
      <w:r>
        <w:rPr>
          <w:rFonts w:ascii="Times New Roman" w:hAnsi="Times New Roman" w:eastAsia="Times New Roman" w:cs="Times New Roman"/>
          <w:sz w:val="24"/>
          <w:szCs w:val="24"/>
          <w:spacing w:val="-1"/>
        </w:rPr>
        <w:t>GB31572-2015</w:t>
      </w:r>
      <w:r>
        <w:rPr>
          <w:rFonts w:ascii="SimSun" w:hAnsi="SimSun" w:eastAsia="SimSun" w:cs="SimSun"/>
          <w:sz w:val="24"/>
          <w:szCs w:val="24"/>
          <w:spacing w:val="-1"/>
        </w:rPr>
        <w:t>）中表</w:t>
      </w:r>
      <w:r>
        <w:rPr>
          <w:rFonts w:ascii="Times New Roman" w:hAnsi="Times New Roman" w:eastAsia="Times New Roman" w:cs="Times New Roman"/>
          <w:sz w:val="24"/>
          <w:szCs w:val="24"/>
          <w:spacing w:val="-1"/>
        </w:rPr>
        <w:t>5</w:t>
      </w:r>
      <w:r>
        <w:rPr>
          <w:rFonts w:ascii="SimSun" w:hAnsi="SimSun" w:eastAsia="SimSun" w:cs="SimSun"/>
          <w:sz w:val="24"/>
          <w:szCs w:val="24"/>
          <w:spacing w:val="-1"/>
        </w:rPr>
        <w:t>大气污染物特别排</w:t>
      </w:r>
    </w:p>
    <w:p>
      <w:pPr>
        <w:ind w:left="23"/>
        <w:spacing w:line="210" w:lineRule="auto"/>
        <w:rPr>
          <w:rFonts w:ascii="SimSun" w:hAnsi="SimSun" w:eastAsia="SimSun" w:cs="SimSun"/>
          <w:sz w:val="24"/>
          <w:szCs w:val="24"/>
        </w:rPr>
      </w:pPr>
      <w:r>
        <w:rPr>
          <w:rFonts w:ascii="SimSun" w:hAnsi="SimSun" w:eastAsia="SimSun" w:cs="SimSun"/>
          <w:sz w:val="24"/>
          <w:szCs w:val="24"/>
          <w:spacing w:val="-1"/>
        </w:rPr>
        <w:t>放限值要求（浓度</w:t>
      </w:r>
      <w:r>
        <w:rPr>
          <w:rFonts w:ascii="Times New Roman" w:hAnsi="Times New Roman" w:eastAsia="Times New Roman" w:cs="Times New Roman"/>
          <w:sz w:val="24"/>
          <w:szCs w:val="24"/>
          <w:spacing w:val="-1"/>
        </w:rPr>
        <w:t>60mg/m</w:t>
      </w:r>
      <w:r>
        <w:rPr>
          <w:rFonts w:ascii="SimSun" w:hAnsi="SimSun" w:eastAsia="SimSun" w:cs="SimSun"/>
          <w:sz w:val="24"/>
          <w:szCs w:val="24"/>
          <w:spacing w:val="-1"/>
        </w:rPr>
        <w:t>³) 。</w:t>
      </w:r>
    </w:p>
    <w:p>
      <w:pPr>
        <w:pStyle w:val="BodyText"/>
        <w:spacing w:line="385" w:lineRule="auto"/>
        <w:rPr/>
      </w:pPr>
      <w:r/>
    </w:p>
    <w:p>
      <w:pPr>
        <w:ind w:left="26"/>
        <w:spacing w:before="91" w:line="220" w:lineRule="auto"/>
        <w:outlineLvl w:val="0"/>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专家：张涛</w:t>
      </w:r>
    </w:p>
    <w:p>
      <w:pPr>
        <w:ind w:left="32"/>
        <w:spacing w:before="224" w:line="219" w:lineRule="auto"/>
        <w:outlineLvl w:val="0"/>
        <w:rPr>
          <w:rFonts w:ascii="SimSun" w:hAnsi="SimSun" w:eastAsia="SimSun" w:cs="SimSun"/>
          <w:sz w:val="28"/>
          <w:szCs w:val="28"/>
        </w:rPr>
      </w:pPr>
      <w:r>
        <w:rPr>
          <w:rFonts w:ascii="Times New Roman" w:hAnsi="Times New Roman" w:eastAsia="Times New Roman" w:cs="Times New Roman"/>
          <w:sz w:val="28"/>
          <w:szCs w:val="28"/>
          <w:b/>
          <w:bCs/>
          <w:spacing w:val="-1"/>
        </w:rPr>
        <w:t>1</w:t>
      </w:r>
      <w:r>
        <w:rPr>
          <w:rFonts w:ascii="Times New Roman" w:hAnsi="Times New Roman" w:eastAsia="Times New Roman" w:cs="Times New Roman"/>
          <w:sz w:val="28"/>
          <w:szCs w:val="28"/>
          <w:b/>
          <w:bCs/>
          <w:spacing w:val="-30"/>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
        </w:rPr>
        <w:t>、核实并完善报告中项目关于产业政策符合性分析的内容。报告中</w:t>
      </w:r>
    </w:p>
    <w:p>
      <w:pPr>
        <w:ind w:left="26"/>
        <w:spacing w:before="231" w:line="559" w:lineRule="exact"/>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3"/>
          <w:position w:val="21"/>
        </w:rPr>
        <w:t>提出</w:t>
      </w:r>
      <w:r>
        <w:rPr>
          <w:rFonts w:ascii="Times New Roman" w:hAnsi="Times New Roman" w:eastAsia="Times New Roman" w:cs="Times New Roman"/>
          <w:sz w:val="28"/>
          <w:szCs w:val="28"/>
          <w:b/>
          <w:bCs/>
          <w:spacing w:val="-3"/>
          <w:position w:val="21"/>
        </w:rPr>
        <w:t>“</w:t>
      </w:r>
      <w:r>
        <w:rPr>
          <w:rFonts w:ascii="SimSun" w:hAnsi="SimSun" w:eastAsia="SimSun" w:cs="SimSun"/>
          <w:sz w:val="28"/>
          <w:szCs w:val="28"/>
          <w14:textOutline w14:w="5103" w14:cap="sq" w14:cmpd="sng">
            <w14:solidFill>
              <w14:srgbClr w14:val="000000"/>
            </w14:solidFill>
            <w14:prstDash w14:val="solid"/>
            <w14:bevel/>
          </w14:textOutline>
          <w:spacing w:val="-3"/>
          <w:position w:val="21"/>
        </w:rPr>
        <w:t>本项目农用地膜产品厚度为</w:t>
      </w:r>
      <w:r>
        <w:rPr>
          <w:rFonts w:ascii="Times New Roman" w:hAnsi="Times New Roman" w:eastAsia="Times New Roman" w:cs="Times New Roman"/>
          <w:sz w:val="28"/>
          <w:szCs w:val="28"/>
          <w:b/>
          <w:bCs/>
          <w:spacing w:val="-3"/>
          <w:position w:val="21"/>
        </w:rPr>
        <w:t>0.004-0.08mm”</w:t>
      </w:r>
      <w:r>
        <w:rPr>
          <w:rFonts w:ascii="SimSun" w:hAnsi="SimSun" w:eastAsia="SimSun" w:cs="SimSun"/>
          <w:sz w:val="28"/>
          <w:szCs w:val="28"/>
          <w14:textOutline w14:w="5103" w14:cap="sq" w14:cmpd="sng">
            <w14:solidFill>
              <w14:srgbClr w14:val="000000"/>
            </w14:solidFill>
            <w14:prstDash w14:val="solid"/>
            <w14:bevel/>
          </w14:textOutline>
          <w:spacing w:val="-3"/>
          <w:position w:val="21"/>
        </w:rPr>
        <w:t>，结合产业政策的相</w:t>
      </w:r>
    </w:p>
    <w:p>
      <w:pPr>
        <w:ind w:left="25"/>
        <w:spacing w:before="1" w:line="219"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应要求完善产业政策的符合性。</w:t>
      </w:r>
    </w:p>
    <w:p>
      <w:pPr>
        <w:ind w:left="529"/>
        <w:spacing w:before="213" w:line="219" w:lineRule="auto"/>
        <w:rPr>
          <w:rFonts w:ascii="Times New Roman" w:hAnsi="Times New Roman" w:eastAsia="Times New Roman" w:cs="Times New Roman"/>
          <w:sz w:val="24"/>
          <w:szCs w:val="24"/>
        </w:rPr>
      </w:pPr>
      <w:r>
        <w:rPr>
          <w:rFonts w:ascii="SimSun" w:hAnsi="SimSun" w:eastAsia="SimSun" w:cs="SimSun"/>
          <w:sz w:val="24"/>
          <w:szCs w:val="24"/>
          <w:spacing w:val="-5"/>
        </w:rPr>
        <w:t>已修改，见</w:t>
      </w:r>
      <w:r>
        <w:rPr>
          <w:rFonts w:ascii="Times New Roman" w:hAnsi="Times New Roman" w:eastAsia="Times New Roman" w:cs="Times New Roman"/>
          <w:sz w:val="24"/>
          <w:szCs w:val="24"/>
          <w:spacing w:val="-5"/>
        </w:rPr>
        <w:t>P10</w:t>
      </w:r>
    </w:p>
    <w:p>
      <w:pPr>
        <w:ind w:left="514"/>
        <w:spacing w:before="216"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9</w:t>
      </w:r>
      <w:r>
        <w:rPr>
          <w:rFonts w:ascii="SimSun" w:hAnsi="SimSun" w:eastAsia="SimSun" w:cs="SimSun"/>
          <w:sz w:val="24"/>
          <w:szCs w:val="24"/>
          <w:spacing w:val="-2"/>
        </w:rPr>
        <w:t>）产业布局规划符合性</w:t>
      </w:r>
    </w:p>
    <w:p>
      <w:pPr>
        <w:ind w:left="24" w:right="80" w:firstLine="479"/>
        <w:spacing w:before="214" w:line="385" w:lineRule="auto"/>
        <w:rPr>
          <w:rFonts w:ascii="SimSun" w:hAnsi="SimSun" w:eastAsia="SimSun" w:cs="SimSun"/>
          <w:sz w:val="24"/>
          <w:szCs w:val="24"/>
        </w:rPr>
      </w:pPr>
      <w:r>
        <w:rPr>
          <w:rFonts w:ascii="SimSun" w:hAnsi="SimSun" w:eastAsia="SimSun" w:cs="SimSun"/>
          <w:sz w:val="24"/>
          <w:szCs w:val="24"/>
          <w:spacing w:val="-1"/>
        </w:rPr>
        <w:t>根据国家发展和改革委会《产业结构调整指导目录（</w:t>
      </w:r>
      <w:r>
        <w:rPr>
          <w:rFonts w:ascii="Times New Roman" w:hAnsi="Times New Roman" w:eastAsia="Times New Roman" w:cs="Times New Roman"/>
          <w:sz w:val="24"/>
          <w:szCs w:val="24"/>
          <w:spacing w:val="-1"/>
        </w:rPr>
        <w:t>2019</w:t>
      </w:r>
      <w:r>
        <w:rPr>
          <w:rFonts w:ascii="SimSun" w:hAnsi="SimSun" w:eastAsia="SimSun" w:cs="SimSun"/>
          <w:sz w:val="24"/>
          <w:szCs w:val="24"/>
          <w:spacing w:val="-1"/>
        </w:rPr>
        <w:t>年本）》（</w:t>
      </w:r>
      <w:r>
        <w:rPr>
          <w:rFonts w:ascii="Times New Roman" w:hAnsi="Times New Roman" w:eastAsia="Times New Roman" w:cs="Times New Roman"/>
          <w:sz w:val="24"/>
          <w:szCs w:val="24"/>
          <w:spacing w:val="-1"/>
        </w:rPr>
        <w:t>2021   </w:t>
      </w:r>
      <w:r>
        <w:rPr>
          <w:rFonts w:ascii="SimSun" w:hAnsi="SimSun" w:eastAsia="SimSun" w:cs="SimSun"/>
          <w:sz w:val="24"/>
          <w:szCs w:val="24"/>
          <w:spacing w:val="-1"/>
        </w:rPr>
        <w:t>年修订</w:t>
      </w:r>
      <w:r>
        <w:rPr>
          <w:rFonts w:ascii="SimSun" w:hAnsi="SimSun" w:eastAsia="SimSun" w:cs="SimSun"/>
          <w:sz w:val="24"/>
          <w:szCs w:val="24"/>
          <w:spacing w:val="-23"/>
        </w:rPr>
        <w:t>），</w:t>
      </w:r>
      <w:r>
        <w:rPr>
          <w:rFonts w:ascii="SimSun" w:hAnsi="SimSun" w:eastAsia="SimSun" w:cs="SimSun"/>
          <w:sz w:val="24"/>
          <w:szCs w:val="24"/>
          <w:spacing w:val="-1"/>
        </w:rPr>
        <w:t>其中“第三类 淘汰类，二、落后产品</w:t>
      </w:r>
      <w:r>
        <w:rPr>
          <w:rFonts w:ascii="SimSun" w:hAnsi="SimSun" w:eastAsia="SimSun" w:cs="SimSun"/>
          <w:sz w:val="24"/>
          <w:szCs w:val="24"/>
          <w:spacing w:val="-23"/>
        </w:rPr>
        <w:t>，（</w:t>
      </w:r>
      <w:r>
        <w:rPr>
          <w:rFonts w:ascii="SimSun" w:hAnsi="SimSun" w:eastAsia="SimSun" w:cs="SimSun"/>
          <w:sz w:val="24"/>
          <w:szCs w:val="24"/>
          <w:spacing w:val="-1"/>
        </w:rPr>
        <w:t>九）轻工，</w:t>
      </w:r>
      <w:r>
        <w:rPr>
          <w:rFonts w:ascii="Times New Roman" w:hAnsi="Times New Roman" w:eastAsia="Times New Roman" w:cs="Times New Roman"/>
          <w:sz w:val="24"/>
          <w:szCs w:val="24"/>
          <w:spacing w:val="-1"/>
        </w:rPr>
        <w:t>16</w:t>
      </w:r>
      <w:r>
        <w:rPr>
          <w:rFonts w:ascii="Times New Roman" w:hAnsi="Times New Roman" w:eastAsia="Times New Roman" w:cs="Times New Roman"/>
          <w:sz w:val="24"/>
          <w:szCs w:val="24"/>
          <w:spacing w:val="-33"/>
        </w:rPr>
        <w:t xml:space="preserve"> </w:t>
      </w:r>
      <w:r>
        <w:rPr>
          <w:rFonts w:ascii="SimSun" w:hAnsi="SimSun" w:eastAsia="SimSun" w:cs="SimSun"/>
          <w:sz w:val="24"/>
          <w:szCs w:val="24"/>
          <w:spacing w:val="-1"/>
        </w:rPr>
        <w:t>、</w:t>
      </w:r>
      <w:r>
        <w:rPr>
          <w:rFonts w:ascii="Times New Roman" w:hAnsi="Times New Roman" w:eastAsia="Times New Roman" w:cs="Times New Roman"/>
          <w:sz w:val="24"/>
          <w:szCs w:val="24"/>
          <w:spacing w:val="-1"/>
        </w:rPr>
        <w:t>......</w:t>
      </w:r>
      <w:r>
        <w:rPr>
          <w:rFonts w:ascii="SimSun" w:hAnsi="SimSun" w:eastAsia="SimSun" w:cs="SimSun"/>
          <w:sz w:val="24"/>
          <w:szCs w:val="24"/>
          <w:spacing w:val="-2"/>
        </w:rPr>
        <w:t>厚度低</w:t>
      </w:r>
      <w:r>
        <w:rPr>
          <w:rFonts w:ascii="SimSun" w:hAnsi="SimSun" w:eastAsia="SimSun" w:cs="SimSun"/>
          <w:sz w:val="24"/>
          <w:szCs w:val="24"/>
        </w:rPr>
        <w:t xml:space="preserve"> </w:t>
      </w:r>
      <w:r>
        <w:rPr>
          <w:rFonts w:ascii="SimSun" w:hAnsi="SimSun" w:eastAsia="SimSun" w:cs="SimSun"/>
          <w:sz w:val="24"/>
          <w:szCs w:val="24"/>
          <w:spacing w:val="-2"/>
        </w:rPr>
        <w:t>于</w:t>
      </w:r>
      <w:r>
        <w:rPr>
          <w:rFonts w:ascii="Times New Roman" w:hAnsi="Times New Roman" w:eastAsia="Times New Roman" w:cs="Times New Roman"/>
          <w:sz w:val="24"/>
          <w:szCs w:val="24"/>
          <w:spacing w:val="-2"/>
        </w:rPr>
        <w:t>0.01</w:t>
      </w:r>
      <w:r>
        <w:rPr>
          <w:rFonts w:ascii="SimSun" w:hAnsi="SimSun" w:eastAsia="SimSun" w:cs="SimSun"/>
          <w:sz w:val="24"/>
          <w:szCs w:val="24"/>
          <w:spacing w:val="-2"/>
        </w:rPr>
        <w:t>毫米的聚乙烯农用地膜</w:t>
      </w:r>
      <w:r>
        <w:rPr>
          <w:rFonts w:ascii="SimSun" w:hAnsi="SimSun" w:eastAsia="SimSun" w:cs="SimSun"/>
          <w:sz w:val="24"/>
          <w:szCs w:val="24"/>
          <w:spacing w:val="-77"/>
        </w:rPr>
        <w:t xml:space="preserve"> </w:t>
      </w:r>
      <w:r>
        <w:rPr>
          <w:rFonts w:ascii="SimSun" w:hAnsi="SimSun" w:eastAsia="SimSun" w:cs="SimSun"/>
          <w:sz w:val="24"/>
          <w:szCs w:val="24"/>
          <w:spacing w:val="-2"/>
        </w:rPr>
        <w:t>”，本项目产品厚度为</w:t>
      </w:r>
      <w:r>
        <w:rPr>
          <w:rFonts w:ascii="Times New Roman" w:hAnsi="Times New Roman" w:eastAsia="Times New Roman" w:cs="Times New Roman"/>
          <w:sz w:val="24"/>
          <w:szCs w:val="24"/>
          <w:spacing w:val="-2"/>
        </w:rPr>
        <w:t>0.01-0.08mm</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2"/>
        </w:rPr>
        <w:t>，不属于淘汰</w:t>
      </w:r>
    </w:p>
    <w:p>
      <w:pPr>
        <w:ind w:left="23"/>
        <w:spacing w:line="219" w:lineRule="auto"/>
        <w:rPr>
          <w:rFonts w:ascii="SimSun" w:hAnsi="SimSun" w:eastAsia="SimSun" w:cs="SimSun"/>
          <w:sz w:val="24"/>
          <w:szCs w:val="24"/>
        </w:rPr>
      </w:pPr>
      <w:r>
        <w:rPr>
          <w:rFonts w:ascii="SimSun" w:hAnsi="SimSun" w:eastAsia="SimSun" w:cs="SimSun"/>
          <w:sz w:val="24"/>
          <w:szCs w:val="24"/>
        </w:rPr>
        <w:t>类，也不属于其中的限制类和鼓励类，属于允许</w:t>
      </w:r>
      <w:r>
        <w:rPr>
          <w:rFonts w:ascii="SimSun" w:hAnsi="SimSun" w:eastAsia="SimSun" w:cs="SimSun"/>
          <w:sz w:val="24"/>
          <w:szCs w:val="24"/>
          <w:spacing w:val="-1"/>
        </w:rPr>
        <w:t>类；符合相关产业政策。</w:t>
      </w:r>
    </w:p>
    <w:p>
      <w:pPr>
        <w:pStyle w:val="BodyText"/>
        <w:spacing w:line="372" w:lineRule="auto"/>
        <w:rPr/>
      </w:pPr>
      <w:r/>
    </w:p>
    <w:p>
      <w:pPr>
        <w:ind w:left="20"/>
        <w:spacing w:before="92" w:line="219" w:lineRule="auto"/>
        <w:outlineLvl w:val="0"/>
        <w:rPr>
          <w:rFonts w:ascii="SimSun" w:hAnsi="SimSun" w:eastAsia="SimSun" w:cs="SimSun"/>
          <w:sz w:val="28"/>
          <w:szCs w:val="28"/>
        </w:rPr>
      </w:pPr>
      <w:r>
        <w:rPr>
          <w:rFonts w:ascii="Times New Roman" w:hAnsi="Times New Roman" w:eastAsia="Times New Roman" w:cs="Times New Roman"/>
          <w:sz w:val="28"/>
          <w:szCs w:val="28"/>
          <w:b/>
          <w:bCs/>
        </w:rPr>
        <w:t>2</w:t>
      </w:r>
      <w:r>
        <w:rPr>
          <w:rFonts w:ascii="Times New Roman" w:hAnsi="Times New Roman" w:eastAsia="Times New Roman" w:cs="Times New Roman"/>
          <w:sz w:val="28"/>
          <w:szCs w:val="28"/>
          <w:b/>
          <w:bCs/>
          <w:spacing w:val="-41"/>
        </w:rPr>
        <w:t xml:space="preserve"> </w:t>
      </w:r>
      <w:r>
        <w:rPr>
          <w:rFonts w:ascii="SimSun" w:hAnsi="SimSun" w:eastAsia="SimSun" w:cs="SimSun"/>
          <w:sz w:val="28"/>
          <w:szCs w:val="28"/>
          <w14:textOutline w14:w="5103" w14:cap="sq" w14:cmpd="sng">
            <w14:solidFill>
              <w14:srgbClr w14:val="000000"/>
            </w14:solidFill>
            <w14:prstDash w14:val="solid"/>
            <w14:bevel/>
          </w14:textOutline>
        </w:rPr>
        <w:t>、完善项目关于选址合理性分析的内容。报告中</w:t>
      </w:r>
      <w:r>
        <w:rPr>
          <w:rFonts w:ascii="SimSun" w:hAnsi="SimSun" w:eastAsia="SimSun" w:cs="SimSun"/>
          <w:sz w:val="28"/>
          <w:szCs w:val="28"/>
          <w14:textOutline w14:w="5103" w14:cap="sq" w14:cmpd="sng">
            <w14:solidFill>
              <w14:srgbClr w14:val="000000"/>
            </w14:solidFill>
            <w14:prstDash w14:val="solid"/>
            <w14:bevel/>
          </w14:textOutline>
          <w:spacing w:val="-1"/>
        </w:rPr>
        <w:t>提出项目用地为工</w:t>
      </w:r>
    </w:p>
    <w:p>
      <w:pPr>
        <w:ind w:left="23"/>
        <w:spacing w:before="230" w:line="560" w:lineRule="exact"/>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4"/>
          <w:position w:val="21"/>
        </w:rPr>
        <w:t>业用地，应结合企业的土地、规划用地手续等的办理结果完善关于工</w:t>
      </w:r>
    </w:p>
    <w:p>
      <w:pPr>
        <w:ind w:left="23"/>
        <w:spacing w:line="219"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业用地的论据支撑，并补充必要的证明材料。</w:t>
      </w:r>
    </w:p>
    <w:p>
      <w:pPr>
        <w:ind w:left="529"/>
        <w:spacing w:before="214" w:line="219" w:lineRule="auto"/>
        <w:rPr>
          <w:rFonts w:ascii="Times New Roman" w:hAnsi="Times New Roman" w:eastAsia="Times New Roman" w:cs="Times New Roman"/>
          <w:sz w:val="24"/>
          <w:szCs w:val="24"/>
        </w:rPr>
      </w:pPr>
      <w:r>
        <w:rPr>
          <w:rFonts w:ascii="SimSun" w:hAnsi="SimSun" w:eastAsia="SimSun" w:cs="SimSun"/>
          <w:sz w:val="24"/>
          <w:szCs w:val="24"/>
          <w:spacing w:val="-5"/>
        </w:rPr>
        <w:t>已修改，见</w:t>
      </w:r>
      <w:r>
        <w:rPr>
          <w:rFonts w:ascii="Times New Roman" w:hAnsi="Times New Roman" w:eastAsia="Times New Roman" w:cs="Times New Roman"/>
          <w:sz w:val="24"/>
          <w:szCs w:val="24"/>
          <w:spacing w:val="-5"/>
        </w:rPr>
        <w:t>P10</w:t>
      </w:r>
    </w:p>
    <w:p>
      <w:pPr>
        <w:ind w:left="514"/>
        <w:spacing w:before="217" w:line="219"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8</w:t>
      </w:r>
      <w:r>
        <w:rPr>
          <w:rFonts w:ascii="SimSun" w:hAnsi="SimSun" w:eastAsia="SimSun" w:cs="SimSun"/>
          <w:sz w:val="24"/>
          <w:szCs w:val="24"/>
          <w:spacing w:val="-3"/>
        </w:rPr>
        <w:t>）选址符合性</w:t>
      </w:r>
    </w:p>
    <w:p>
      <w:pPr>
        <w:spacing w:before="214" w:line="219" w:lineRule="auto"/>
        <w:jc w:val="right"/>
        <w:rPr>
          <w:rFonts w:ascii="SimSun" w:hAnsi="SimSun" w:eastAsia="SimSun" w:cs="SimSun"/>
          <w:sz w:val="24"/>
          <w:szCs w:val="24"/>
        </w:rPr>
      </w:pPr>
      <w:r>
        <w:rPr>
          <w:rFonts w:ascii="SimSun" w:hAnsi="SimSun" w:eastAsia="SimSun" w:cs="SimSun"/>
          <w:sz w:val="24"/>
          <w:szCs w:val="24"/>
          <w:spacing w:val="-8"/>
        </w:rPr>
        <w:t>本项目为扩建项目，土地类型为建设用地，土地用途为工业用地（见附件）。</w:t>
      </w:r>
    </w:p>
    <w:p>
      <w:pPr>
        <w:ind w:left="24" w:firstLine="480"/>
        <w:spacing w:before="215" w:line="385" w:lineRule="auto"/>
        <w:rPr>
          <w:rFonts w:ascii="SimSun" w:hAnsi="SimSun" w:eastAsia="SimSun" w:cs="SimSun"/>
          <w:sz w:val="24"/>
          <w:szCs w:val="24"/>
        </w:rPr>
      </w:pPr>
      <w:r>
        <w:rPr>
          <w:rFonts w:ascii="SimSun" w:hAnsi="SimSun" w:eastAsia="SimSun" w:cs="SimSun"/>
          <w:sz w:val="24"/>
          <w:szCs w:val="24"/>
          <w:spacing w:val="-4"/>
        </w:rPr>
        <w:t>本项目占地面积为</w:t>
      </w:r>
      <w:r>
        <w:rPr>
          <w:rFonts w:ascii="Times New Roman" w:hAnsi="Times New Roman" w:eastAsia="Times New Roman" w:cs="Times New Roman"/>
          <w:sz w:val="24"/>
          <w:szCs w:val="24"/>
          <w:spacing w:val="-4"/>
        </w:rPr>
        <w:t>200</w:t>
      </w:r>
      <w:r>
        <w:rPr>
          <w:rFonts w:ascii="SimSun" w:hAnsi="SimSun" w:eastAsia="SimSun" w:cs="SimSun"/>
          <w:sz w:val="24"/>
          <w:szCs w:val="24"/>
          <w:spacing w:val="-4"/>
        </w:rPr>
        <w:t>㎡，位于企业附近无重点文物保护单位、风</w:t>
      </w:r>
      <w:r>
        <w:rPr>
          <w:rFonts w:ascii="SimSun" w:hAnsi="SimSun" w:eastAsia="SimSun" w:cs="SimSun"/>
          <w:sz w:val="24"/>
          <w:szCs w:val="24"/>
          <w:spacing w:val="-5"/>
        </w:rPr>
        <w:t>景名胜区、</w:t>
      </w:r>
      <w:r>
        <w:rPr>
          <w:rFonts w:ascii="SimSun" w:hAnsi="SimSun" w:eastAsia="SimSun" w:cs="SimSun"/>
          <w:sz w:val="24"/>
          <w:szCs w:val="24"/>
        </w:rPr>
        <w:t xml:space="preserve"> </w:t>
      </w:r>
      <w:r>
        <w:rPr>
          <w:rFonts w:ascii="SimSun" w:hAnsi="SimSun" w:eastAsia="SimSun" w:cs="SimSun"/>
          <w:sz w:val="24"/>
          <w:szCs w:val="24"/>
          <w:spacing w:val="-3"/>
        </w:rPr>
        <w:t>革命历史古迹、集中式水源地等环境敏感点。项目选址符合环境功能区划。所在</w:t>
      </w:r>
    </w:p>
    <w:p>
      <w:pPr>
        <w:spacing w:line="219" w:lineRule="auto"/>
        <w:jc w:val="right"/>
        <w:rPr>
          <w:rFonts w:ascii="SimSun" w:hAnsi="SimSun" w:eastAsia="SimSun" w:cs="SimSun"/>
          <w:sz w:val="24"/>
          <w:szCs w:val="24"/>
        </w:rPr>
      </w:pPr>
      <w:r>
        <w:rPr>
          <w:rFonts w:ascii="SimSun" w:hAnsi="SimSun" w:eastAsia="SimSun" w:cs="SimSun"/>
          <w:sz w:val="24"/>
          <w:szCs w:val="24"/>
          <w:spacing w:val="-7"/>
        </w:rPr>
        <w:t>地具有良好的区位优势，交通便捷、物流通畅、项目所</w:t>
      </w:r>
      <w:r>
        <w:rPr>
          <w:rFonts w:ascii="SimSun" w:hAnsi="SimSun" w:eastAsia="SimSun" w:cs="SimSun"/>
          <w:sz w:val="24"/>
          <w:szCs w:val="24"/>
          <w:spacing w:val="-8"/>
        </w:rPr>
        <w:t>在地地势平坦，坡度较小。</w:t>
      </w:r>
    </w:p>
    <w:p>
      <w:pPr>
        <w:spacing w:line="219" w:lineRule="auto"/>
        <w:sectPr>
          <w:footerReference w:type="default" r:id="rId119"/>
          <w:pgSz w:w="11906" w:h="16839"/>
          <w:pgMar w:top="400" w:right="1719" w:bottom="1211" w:left="1785" w:header="0" w:footer="1049" w:gutter="0"/>
        </w:sectPr>
        <w:rPr>
          <w:rFonts w:ascii="SimSun" w:hAnsi="SimSun" w:eastAsia="SimSun" w:cs="SimSun"/>
          <w:sz w:val="24"/>
          <w:szCs w:val="24"/>
        </w:rPr>
      </w:pPr>
    </w:p>
    <w:p>
      <w:pPr>
        <w:pStyle w:val="BodyText"/>
        <w:spacing w:line="287" w:lineRule="auto"/>
        <w:rPr/>
      </w:pPr>
      <w:r/>
    </w:p>
    <w:p>
      <w:pPr>
        <w:pStyle w:val="BodyText"/>
        <w:spacing w:line="287" w:lineRule="auto"/>
        <w:rPr/>
      </w:pPr>
      <w:r/>
    </w:p>
    <w:p>
      <w:pPr>
        <w:pStyle w:val="BodyText"/>
        <w:spacing w:line="288" w:lineRule="auto"/>
        <w:rPr/>
      </w:pPr>
      <w:r/>
    </w:p>
    <w:p>
      <w:pPr>
        <w:pStyle w:val="BodyText"/>
        <w:spacing w:line="288" w:lineRule="auto"/>
        <w:rPr/>
      </w:pPr>
      <w:r/>
    </w:p>
    <w:p>
      <w:pPr>
        <w:ind w:left="118"/>
        <w:spacing w:before="78" w:line="499" w:lineRule="exact"/>
        <w:rPr>
          <w:rFonts w:ascii="SimSun" w:hAnsi="SimSun" w:eastAsia="SimSun" w:cs="SimSun"/>
          <w:sz w:val="24"/>
          <w:szCs w:val="24"/>
        </w:rPr>
      </w:pPr>
      <w:r>
        <w:rPr>
          <w:rFonts w:ascii="SimSun" w:hAnsi="SimSun" w:eastAsia="SimSun" w:cs="SimSun"/>
          <w:sz w:val="24"/>
          <w:szCs w:val="24"/>
          <w:spacing w:val="-3"/>
          <w:position w:val="19"/>
        </w:rPr>
        <w:t>本项目施工期按照本环评要求建设环保设施，废气可实现达标排放，对周边环境</w:t>
      </w:r>
    </w:p>
    <w:p>
      <w:pPr>
        <w:ind w:left="117"/>
        <w:spacing w:line="221" w:lineRule="auto"/>
        <w:rPr>
          <w:rFonts w:ascii="SimSun" w:hAnsi="SimSun" w:eastAsia="SimSun" w:cs="SimSun"/>
          <w:sz w:val="24"/>
          <w:szCs w:val="24"/>
        </w:rPr>
      </w:pPr>
      <w:r>
        <w:rPr>
          <w:rFonts w:ascii="SimSun" w:hAnsi="SimSun" w:eastAsia="SimSun" w:cs="SimSun"/>
          <w:sz w:val="24"/>
          <w:szCs w:val="24"/>
          <w:spacing w:val="-2"/>
        </w:rPr>
        <w:t>影响较小。</w:t>
      </w:r>
    </w:p>
    <w:p>
      <w:pPr>
        <w:ind w:left="116" w:right="104" w:firstLine="481"/>
        <w:spacing w:before="211" w:line="385" w:lineRule="auto"/>
        <w:jc w:val="both"/>
        <w:rPr>
          <w:rFonts w:ascii="SimSun" w:hAnsi="SimSun" w:eastAsia="SimSun" w:cs="SimSun"/>
          <w:sz w:val="24"/>
          <w:szCs w:val="24"/>
        </w:rPr>
      </w:pPr>
      <w:r>
        <w:rPr>
          <w:rFonts w:ascii="SimSun" w:hAnsi="SimSun" w:eastAsia="SimSun" w:cs="SimSun"/>
          <w:sz w:val="24"/>
          <w:szCs w:val="24"/>
          <w:spacing w:val="-3"/>
        </w:rPr>
        <w:t>本项目不新增生活污水和生产废水。项目所在区域不属于特殊</w:t>
      </w:r>
      <w:r>
        <w:rPr>
          <w:rFonts w:ascii="SimSun" w:hAnsi="SimSun" w:eastAsia="SimSun" w:cs="SimSun"/>
          <w:sz w:val="24"/>
          <w:szCs w:val="24"/>
          <w:spacing w:val="-4"/>
        </w:rPr>
        <w:t>保护地区、社</w:t>
      </w:r>
      <w:r>
        <w:rPr>
          <w:rFonts w:ascii="SimSun" w:hAnsi="SimSun" w:eastAsia="SimSun" w:cs="SimSun"/>
          <w:sz w:val="24"/>
          <w:szCs w:val="24"/>
        </w:rPr>
        <w:t xml:space="preserve"> </w:t>
      </w:r>
      <w:r>
        <w:rPr>
          <w:rFonts w:ascii="SimSun" w:hAnsi="SimSun" w:eastAsia="SimSun" w:cs="SimSun"/>
          <w:sz w:val="24"/>
          <w:szCs w:val="24"/>
          <w:spacing w:val="-3"/>
        </w:rPr>
        <w:t>会关注区、生活脆弱区和特殊地貌景观区，地区无重点保护生态品种及濒危生物</w:t>
      </w:r>
    </w:p>
    <w:p>
      <w:pPr>
        <w:ind w:left="117"/>
        <w:spacing w:line="218" w:lineRule="auto"/>
        <w:rPr>
          <w:rFonts w:ascii="SimSun" w:hAnsi="SimSun" w:eastAsia="SimSun" w:cs="SimSun"/>
          <w:sz w:val="24"/>
          <w:szCs w:val="24"/>
        </w:rPr>
      </w:pPr>
      <w:r>
        <w:rPr>
          <w:rFonts w:ascii="SimSun" w:hAnsi="SimSun" w:eastAsia="SimSun" w:cs="SimSun"/>
          <w:sz w:val="24"/>
          <w:szCs w:val="24"/>
        </w:rPr>
        <w:t>物种，也无文物古迹等人文景观。因此，从环保角</w:t>
      </w:r>
      <w:r>
        <w:rPr>
          <w:rFonts w:ascii="SimSun" w:hAnsi="SimSun" w:eastAsia="SimSun" w:cs="SimSun"/>
          <w:sz w:val="24"/>
          <w:szCs w:val="24"/>
          <w:spacing w:val="-1"/>
        </w:rPr>
        <w:t>度考虑，项目选址可行。</w:t>
      </w:r>
    </w:p>
    <w:p>
      <w:pPr>
        <w:ind w:left="600"/>
        <w:spacing w:before="215" w:line="501" w:lineRule="exact"/>
        <w:rPr>
          <w:rFonts w:ascii="SimSun" w:hAnsi="SimSun" w:eastAsia="SimSun" w:cs="SimSun"/>
          <w:sz w:val="24"/>
          <w:szCs w:val="24"/>
        </w:rPr>
      </w:pPr>
      <w:r>
        <w:rPr>
          <w:rFonts w:ascii="SimSun" w:hAnsi="SimSun" w:eastAsia="SimSun" w:cs="SimSun"/>
          <w:sz w:val="24"/>
          <w:szCs w:val="24"/>
          <w:spacing w:val="-3"/>
          <w:position w:val="20"/>
        </w:rPr>
        <w:t>综上分析，本项目符合国家产业政策，符合用地总体规划</w:t>
      </w:r>
      <w:r>
        <w:rPr>
          <w:rFonts w:ascii="SimSun" w:hAnsi="SimSun" w:eastAsia="SimSun" w:cs="SimSun"/>
          <w:sz w:val="24"/>
          <w:szCs w:val="24"/>
          <w:spacing w:val="-4"/>
          <w:position w:val="20"/>
        </w:rPr>
        <w:t>，项目周边均为工</w:t>
      </w:r>
    </w:p>
    <w:p>
      <w:pPr>
        <w:ind w:left="116"/>
        <w:spacing w:line="220" w:lineRule="auto"/>
        <w:rPr>
          <w:rFonts w:ascii="SimSun" w:hAnsi="SimSun" w:eastAsia="SimSun" w:cs="SimSun"/>
          <w:sz w:val="24"/>
          <w:szCs w:val="24"/>
        </w:rPr>
      </w:pPr>
      <w:r>
        <w:rPr>
          <w:rFonts w:ascii="SimSun" w:hAnsi="SimSun" w:eastAsia="SimSun" w:cs="SimSun"/>
          <w:sz w:val="24"/>
          <w:szCs w:val="24"/>
          <w:spacing w:val="-1"/>
        </w:rPr>
        <w:t>业企业，项目选址较合理。</w:t>
      </w:r>
    </w:p>
    <w:p>
      <w:pPr>
        <w:pStyle w:val="BodyText"/>
        <w:spacing w:line="344" w:lineRule="auto"/>
        <w:rPr/>
      </w:pPr>
      <w:r/>
    </w:p>
    <w:p>
      <w:pPr>
        <w:pStyle w:val="BodyText"/>
        <w:spacing w:line="345" w:lineRule="auto"/>
        <w:rPr/>
      </w:pPr>
      <w:r/>
    </w:p>
    <w:p>
      <w:pPr>
        <w:ind w:left="112"/>
        <w:spacing w:before="92" w:line="220" w:lineRule="auto"/>
        <w:outlineLvl w:val="0"/>
        <w:rPr>
          <w:rFonts w:ascii="SimSun" w:hAnsi="SimSun" w:eastAsia="SimSun" w:cs="SimSun"/>
          <w:sz w:val="28"/>
          <w:szCs w:val="28"/>
        </w:rPr>
      </w:pPr>
      <w:r>
        <w:rPr>
          <w:rFonts w:ascii="Times New Roman" w:hAnsi="Times New Roman" w:eastAsia="Times New Roman" w:cs="Times New Roman"/>
          <w:sz w:val="28"/>
          <w:szCs w:val="28"/>
          <w:b/>
          <w:bCs/>
        </w:rPr>
        <w:t>3</w:t>
      </w:r>
      <w:r>
        <w:rPr>
          <w:rFonts w:ascii="Times New Roman" w:hAnsi="Times New Roman" w:eastAsia="Times New Roman" w:cs="Times New Roman"/>
          <w:sz w:val="28"/>
          <w:szCs w:val="28"/>
          <w:b/>
          <w:bCs/>
          <w:spacing w:val="-40"/>
        </w:rPr>
        <w:t xml:space="preserve"> </w:t>
      </w:r>
      <w:r>
        <w:rPr>
          <w:rFonts w:ascii="SimSun" w:hAnsi="SimSun" w:eastAsia="SimSun" w:cs="SimSun"/>
          <w:sz w:val="28"/>
          <w:szCs w:val="28"/>
          <w14:textOutline w14:w="5103" w14:cap="sq" w14:cmpd="sng">
            <w14:solidFill>
              <w14:srgbClr w14:val="000000"/>
            </w14:solidFill>
            <w14:prstDash w14:val="solid"/>
            <w14:bevel/>
          </w14:textOutline>
        </w:rPr>
        <w:t>、完善“是否开工建设”的填写内容，按照技术指南</w:t>
      </w:r>
      <w:r>
        <w:rPr>
          <w:rFonts w:ascii="SimSun" w:hAnsi="SimSun" w:eastAsia="SimSun" w:cs="SimSun"/>
          <w:sz w:val="28"/>
          <w:szCs w:val="28"/>
          <w14:textOutline w14:w="5103" w14:cap="sq" w14:cmpd="sng">
            <w14:solidFill>
              <w14:srgbClr w14:val="000000"/>
            </w14:solidFill>
            <w14:prstDash w14:val="solid"/>
            <w14:bevel/>
          </w14:textOutline>
          <w:spacing w:val="-1"/>
        </w:rPr>
        <w:t>“是否开工建</w:t>
      </w:r>
    </w:p>
    <w:p>
      <w:pPr>
        <w:ind w:left="123"/>
        <w:spacing w:before="228" w:line="559" w:lineRule="exact"/>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5"/>
          <w:position w:val="21"/>
        </w:rPr>
        <w:t>设：填写是否开工建设。存在“未批先建</w:t>
      </w:r>
      <w:r>
        <w:rPr>
          <w:rFonts w:ascii="SimSun" w:hAnsi="SimSun" w:eastAsia="SimSun" w:cs="SimSun"/>
          <w:sz w:val="28"/>
          <w:szCs w:val="28"/>
          <w:spacing w:val="-103"/>
          <w:position w:val="2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5"/>
          <w:position w:val="21"/>
        </w:rPr>
        <w:t>”违法行为的，填写已建设</w:t>
      </w:r>
    </w:p>
    <w:p>
      <w:pPr>
        <w:ind w:left="152"/>
        <w:spacing w:before="2" w:line="219"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3"/>
        </w:rPr>
        <w:t>内容、处罚及执行情况</w:t>
      </w:r>
      <w:r>
        <w:rPr>
          <w:rFonts w:ascii="SimSun" w:hAnsi="SimSun" w:eastAsia="SimSun" w:cs="SimSun"/>
          <w:sz w:val="28"/>
          <w:szCs w:val="28"/>
          <w:spacing w:val="-9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3"/>
        </w:rPr>
        <w:t>”的要求，完善填写相应内容。</w:t>
      </w:r>
    </w:p>
    <w:p>
      <w:pPr>
        <w:ind w:left="623"/>
        <w:spacing w:before="213" w:line="219" w:lineRule="auto"/>
        <w:rPr>
          <w:rFonts w:ascii="Times New Roman" w:hAnsi="Times New Roman" w:eastAsia="Times New Roman" w:cs="Times New Roman"/>
          <w:sz w:val="24"/>
          <w:szCs w:val="24"/>
        </w:rPr>
      </w:pPr>
      <w:r>
        <w:rPr>
          <w:rFonts w:ascii="SimSun" w:hAnsi="SimSun" w:eastAsia="SimSun" w:cs="SimSun"/>
          <w:sz w:val="24"/>
          <w:szCs w:val="24"/>
          <w:spacing w:val="-5"/>
        </w:rPr>
        <w:t>已修改，见</w:t>
      </w:r>
      <w:r>
        <w:rPr>
          <w:rFonts w:ascii="Times New Roman" w:hAnsi="Times New Roman" w:eastAsia="Times New Roman" w:cs="Times New Roman"/>
          <w:sz w:val="24"/>
          <w:szCs w:val="24"/>
          <w:spacing w:val="-5"/>
        </w:rPr>
        <w:t>P1</w:t>
      </w:r>
    </w:p>
    <w:p>
      <w:pPr>
        <w:ind w:left="118" w:right="104" w:firstLine="482"/>
        <w:spacing w:before="219" w:line="384" w:lineRule="auto"/>
        <w:rPr>
          <w:rFonts w:ascii="SimSun" w:hAnsi="SimSun" w:eastAsia="SimSun" w:cs="SimSun"/>
          <w:sz w:val="24"/>
          <w:szCs w:val="24"/>
        </w:rPr>
      </w:pPr>
      <w:r>
        <w:rPr>
          <w:rFonts w:ascii="SimSun" w:hAnsi="SimSun" w:eastAsia="SimSun" w:cs="SimSun"/>
          <w:sz w:val="24"/>
          <w:szCs w:val="24"/>
          <w:spacing w:val="-3"/>
        </w:rPr>
        <w:t>是否开工建设：是：</w:t>
      </w:r>
      <w:r>
        <w:rPr>
          <w:rFonts w:ascii="Times New Roman" w:hAnsi="Times New Roman" w:eastAsia="Times New Roman" w:cs="Times New Roman"/>
          <w:sz w:val="24"/>
          <w:szCs w:val="24"/>
          <w:spacing w:val="-3"/>
        </w:rPr>
        <w:t>2015</w:t>
      </w:r>
      <w:r>
        <w:rPr>
          <w:rFonts w:ascii="SimSun" w:hAnsi="SimSun" w:eastAsia="SimSun" w:cs="SimSun"/>
          <w:sz w:val="24"/>
          <w:szCs w:val="24"/>
          <w:spacing w:val="-3"/>
        </w:rPr>
        <w:t>年</w:t>
      </w:r>
      <w:r>
        <w:rPr>
          <w:rFonts w:ascii="Times New Roman" w:hAnsi="Times New Roman" w:eastAsia="Times New Roman" w:cs="Times New Roman"/>
          <w:sz w:val="24"/>
          <w:szCs w:val="24"/>
          <w:spacing w:val="-3"/>
        </w:rPr>
        <w:t>10</w:t>
      </w:r>
      <w:r>
        <w:rPr>
          <w:rFonts w:ascii="SimSun" w:hAnsi="SimSun" w:eastAsia="SimSun" w:cs="SimSun"/>
          <w:sz w:val="24"/>
          <w:szCs w:val="24"/>
          <w:spacing w:val="-3"/>
        </w:rPr>
        <w:t>月</w:t>
      </w:r>
      <w:r>
        <w:rPr>
          <w:rFonts w:ascii="Times New Roman" w:hAnsi="Times New Roman" w:eastAsia="Times New Roman" w:cs="Times New Roman"/>
          <w:sz w:val="24"/>
          <w:szCs w:val="24"/>
          <w:spacing w:val="-3"/>
        </w:rPr>
        <w:t>27</w:t>
      </w:r>
      <w:r>
        <w:rPr>
          <w:rFonts w:ascii="SimSun" w:hAnsi="SimSun" w:eastAsia="SimSun" w:cs="SimSun"/>
          <w:sz w:val="24"/>
          <w:szCs w:val="24"/>
          <w:spacing w:val="-3"/>
        </w:rPr>
        <w:t>日取得《关于呼图壁县丰收塑料制品厂滴</w:t>
      </w:r>
      <w:r>
        <w:rPr>
          <w:rFonts w:ascii="SimSun" w:hAnsi="SimSun" w:eastAsia="SimSun" w:cs="SimSun"/>
          <w:sz w:val="24"/>
          <w:szCs w:val="24"/>
          <w:spacing w:val="3"/>
        </w:rPr>
        <w:t xml:space="preserve"> </w:t>
      </w:r>
      <w:r>
        <w:rPr>
          <w:rFonts w:ascii="SimSun" w:hAnsi="SimSun" w:eastAsia="SimSun" w:cs="SimSun"/>
          <w:sz w:val="24"/>
          <w:szCs w:val="24"/>
          <w:spacing w:val="-2"/>
        </w:rPr>
        <w:t>灌带生产线建设项目环境影响报告表的批复》（呼环评字〔</w:t>
      </w:r>
      <w:r>
        <w:rPr>
          <w:rFonts w:ascii="Times New Roman" w:hAnsi="Times New Roman" w:eastAsia="Times New Roman" w:cs="Times New Roman"/>
          <w:sz w:val="24"/>
          <w:szCs w:val="24"/>
          <w:spacing w:val="-2"/>
        </w:rPr>
        <w:t>2015</w:t>
      </w:r>
      <w:r>
        <w:rPr>
          <w:rFonts w:ascii="SimSun" w:hAnsi="SimSun" w:eastAsia="SimSun" w:cs="SimSun"/>
          <w:sz w:val="24"/>
          <w:szCs w:val="24"/>
          <w:spacing w:val="-2"/>
        </w:rPr>
        <w:t>〕</w:t>
      </w:r>
      <w:r>
        <w:rPr>
          <w:rFonts w:ascii="Times New Roman" w:hAnsi="Times New Roman" w:eastAsia="Times New Roman" w:cs="Times New Roman"/>
          <w:sz w:val="24"/>
          <w:szCs w:val="24"/>
          <w:spacing w:val="-2"/>
        </w:rPr>
        <w:t>59</w:t>
      </w:r>
      <w:r>
        <w:rPr>
          <w:rFonts w:ascii="SimSun" w:hAnsi="SimSun" w:eastAsia="SimSun" w:cs="SimSun"/>
          <w:sz w:val="24"/>
          <w:szCs w:val="24"/>
          <w:spacing w:val="-2"/>
        </w:rPr>
        <w:t>号</w:t>
      </w:r>
      <w:r>
        <w:rPr>
          <w:rFonts w:ascii="SimSun" w:hAnsi="SimSun" w:eastAsia="SimSun" w:cs="SimSun"/>
          <w:sz w:val="24"/>
          <w:szCs w:val="24"/>
          <w:spacing w:val="-15"/>
        </w:rPr>
        <w:t>）；</w:t>
      </w:r>
      <w:r>
        <w:rPr>
          <w:rFonts w:ascii="Times New Roman" w:hAnsi="Times New Roman" w:eastAsia="Times New Roman" w:cs="Times New Roman"/>
          <w:sz w:val="24"/>
          <w:szCs w:val="24"/>
          <w:spacing w:val="-2"/>
        </w:rPr>
        <w:t>2</w:t>
      </w:r>
      <w:r>
        <w:rPr>
          <w:rFonts w:ascii="Times New Roman" w:hAnsi="Times New Roman" w:eastAsia="Times New Roman" w:cs="Times New Roman"/>
          <w:sz w:val="24"/>
          <w:szCs w:val="24"/>
          <w:spacing w:val="-3"/>
        </w:rPr>
        <w:t>016</w:t>
      </w:r>
      <w:r>
        <w:rPr>
          <w:rFonts w:ascii="Times New Roman" w:hAnsi="Times New Roman" w:eastAsia="Times New Roman" w:cs="Times New Roman"/>
          <w:sz w:val="24"/>
          <w:szCs w:val="24"/>
          <w:spacing w:val="1"/>
        </w:rPr>
        <w:t xml:space="preserve"> </w:t>
      </w:r>
      <w:r>
        <w:rPr>
          <w:rFonts w:ascii="SimSun" w:hAnsi="SimSun" w:eastAsia="SimSun" w:cs="SimSun"/>
          <w:sz w:val="24"/>
          <w:szCs w:val="24"/>
        </w:rPr>
        <w:t>年</w:t>
      </w:r>
      <w:r>
        <w:rPr>
          <w:rFonts w:ascii="Times New Roman" w:hAnsi="Times New Roman" w:eastAsia="Times New Roman" w:cs="Times New Roman"/>
          <w:sz w:val="24"/>
          <w:szCs w:val="24"/>
        </w:rPr>
        <w:t>6</w:t>
      </w:r>
      <w:r>
        <w:rPr>
          <w:rFonts w:ascii="SimSun" w:hAnsi="SimSun" w:eastAsia="SimSun" w:cs="SimSun"/>
          <w:sz w:val="24"/>
          <w:szCs w:val="24"/>
        </w:rPr>
        <w:t>月开工建设完成仓库建设；</w:t>
      </w:r>
      <w:r>
        <w:rPr>
          <w:rFonts w:ascii="Times New Roman" w:hAnsi="Times New Roman" w:eastAsia="Times New Roman" w:cs="Times New Roman"/>
          <w:sz w:val="24"/>
          <w:szCs w:val="24"/>
        </w:rPr>
        <w:t>2016</w:t>
      </w:r>
      <w:r>
        <w:rPr>
          <w:rFonts w:ascii="SimSun" w:hAnsi="SimSun" w:eastAsia="SimSun" w:cs="SimSun"/>
          <w:sz w:val="24"/>
          <w:szCs w:val="24"/>
        </w:rPr>
        <w:t>年</w:t>
      </w:r>
      <w:r>
        <w:rPr>
          <w:rFonts w:ascii="Times New Roman" w:hAnsi="Times New Roman" w:eastAsia="Times New Roman" w:cs="Times New Roman"/>
          <w:sz w:val="24"/>
          <w:szCs w:val="24"/>
        </w:rPr>
        <w:t>8</w:t>
      </w:r>
      <w:r>
        <w:rPr>
          <w:rFonts w:ascii="SimSun" w:hAnsi="SimSun" w:eastAsia="SimSun" w:cs="SimSun"/>
          <w:sz w:val="24"/>
          <w:szCs w:val="24"/>
        </w:rPr>
        <w:t>月在已建仓库建设</w:t>
      </w:r>
      <w:r>
        <w:rPr>
          <w:rFonts w:ascii="Times New Roman" w:hAnsi="Times New Roman" w:eastAsia="Times New Roman" w:cs="Times New Roman"/>
          <w:sz w:val="24"/>
          <w:szCs w:val="24"/>
          <w:spacing w:val="-1"/>
        </w:rPr>
        <w:t>2</w:t>
      </w:r>
      <w:r>
        <w:rPr>
          <w:rFonts w:ascii="SimSun" w:hAnsi="SimSun" w:eastAsia="SimSun" w:cs="SimSun"/>
          <w:sz w:val="24"/>
          <w:szCs w:val="24"/>
          <w:spacing w:val="-1"/>
        </w:rPr>
        <w:t>条地膜生产线；</w:t>
      </w:r>
      <w:r>
        <w:rPr>
          <w:rFonts w:ascii="Times New Roman" w:hAnsi="Times New Roman" w:eastAsia="Times New Roman" w:cs="Times New Roman"/>
          <w:sz w:val="24"/>
          <w:szCs w:val="24"/>
          <w:spacing w:val="-1"/>
        </w:rPr>
        <w:t>2023</w:t>
      </w:r>
      <w:r>
        <w:rPr>
          <w:rFonts w:ascii="Times New Roman" w:hAnsi="Times New Roman" w:eastAsia="Times New Roman" w:cs="Times New Roman"/>
          <w:sz w:val="24"/>
          <w:szCs w:val="24"/>
        </w:rPr>
        <w:t xml:space="preserve"> </w:t>
      </w:r>
      <w:r>
        <w:rPr>
          <w:rFonts w:ascii="SimSun" w:hAnsi="SimSun" w:eastAsia="SimSun" w:cs="SimSun"/>
          <w:sz w:val="24"/>
          <w:szCs w:val="24"/>
          <w:spacing w:val="-3"/>
        </w:rPr>
        <w:t>年</w:t>
      </w:r>
      <w:r>
        <w:rPr>
          <w:rFonts w:ascii="Times New Roman" w:hAnsi="Times New Roman" w:eastAsia="Times New Roman" w:cs="Times New Roman"/>
          <w:sz w:val="24"/>
          <w:szCs w:val="24"/>
          <w:spacing w:val="-3"/>
        </w:rPr>
        <w:t>11</w:t>
      </w:r>
      <w:r>
        <w:rPr>
          <w:rFonts w:ascii="SimSun" w:hAnsi="SimSun" w:eastAsia="SimSun" w:cs="SimSun"/>
          <w:sz w:val="24"/>
          <w:szCs w:val="24"/>
          <w:spacing w:val="-3"/>
        </w:rPr>
        <w:t>月</w:t>
      </w:r>
      <w:r>
        <w:rPr>
          <w:rFonts w:ascii="Times New Roman" w:hAnsi="Times New Roman" w:eastAsia="Times New Roman" w:cs="Times New Roman"/>
          <w:sz w:val="24"/>
          <w:szCs w:val="24"/>
          <w:spacing w:val="-3"/>
        </w:rPr>
        <w:t>21</w:t>
      </w:r>
      <w:r>
        <w:rPr>
          <w:rFonts w:ascii="SimSun" w:hAnsi="SimSun" w:eastAsia="SimSun" w:cs="SimSun"/>
          <w:sz w:val="24"/>
          <w:szCs w:val="24"/>
          <w:spacing w:val="-3"/>
        </w:rPr>
        <w:t>日取得昌吉州生态环境局呼图壁县分局出具《关于呼图壁县丰收塑料制</w:t>
      </w:r>
      <w:r>
        <w:rPr>
          <w:rFonts w:ascii="SimSun" w:hAnsi="SimSun" w:eastAsia="SimSun" w:cs="SimSun"/>
          <w:sz w:val="24"/>
          <w:szCs w:val="24"/>
          <w:spacing w:val="6"/>
        </w:rPr>
        <w:t xml:space="preserve"> </w:t>
      </w:r>
      <w:r>
        <w:rPr>
          <w:rFonts w:ascii="SimSun" w:hAnsi="SimSun" w:eastAsia="SimSun" w:cs="SimSun"/>
          <w:sz w:val="24"/>
          <w:szCs w:val="24"/>
          <w:spacing w:val="-3"/>
        </w:rPr>
        <w:t>品厂农用地膜加工项目未批先建处理意见的报告》，文件指出：对该建设项目不</w:t>
      </w:r>
    </w:p>
    <w:p>
      <w:pPr>
        <w:ind w:left="124"/>
        <w:spacing w:before="1" w:line="221" w:lineRule="auto"/>
        <w:rPr>
          <w:rFonts w:ascii="SimSun" w:hAnsi="SimSun" w:eastAsia="SimSun" w:cs="SimSun"/>
          <w:sz w:val="24"/>
          <w:szCs w:val="24"/>
        </w:rPr>
      </w:pPr>
      <w:r>
        <w:rPr>
          <w:rFonts w:ascii="SimSun" w:hAnsi="SimSun" w:eastAsia="SimSun" w:cs="SimSun"/>
          <w:sz w:val="24"/>
          <w:szCs w:val="24"/>
          <w:spacing w:val="-5"/>
        </w:rPr>
        <w:t>予处罚。</w:t>
      </w:r>
    </w:p>
    <w:p>
      <w:pPr>
        <w:pStyle w:val="BodyText"/>
        <w:spacing w:line="373" w:lineRule="auto"/>
        <w:rPr/>
      </w:pPr>
      <w:r/>
    </w:p>
    <w:p>
      <w:pPr>
        <w:ind w:left="115"/>
        <w:spacing w:before="91" w:line="220" w:lineRule="auto"/>
        <w:outlineLvl w:val="0"/>
        <w:rPr>
          <w:rFonts w:ascii="SimSun" w:hAnsi="SimSun" w:eastAsia="SimSun" w:cs="SimSun"/>
          <w:sz w:val="28"/>
          <w:szCs w:val="28"/>
        </w:rPr>
      </w:pPr>
      <w:r>
        <w:rPr>
          <w:rFonts w:ascii="Times New Roman" w:hAnsi="Times New Roman" w:eastAsia="Times New Roman" w:cs="Times New Roman"/>
          <w:sz w:val="28"/>
          <w:szCs w:val="28"/>
          <w:b/>
          <w:bCs/>
        </w:rPr>
        <w:t>4</w:t>
      </w:r>
      <w:r>
        <w:rPr>
          <w:rFonts w:ascii="Times New Roman" w:hAnsi="Times New Roman" w:eastAsia="Times New Roman" w:cs="Times New Roman"/>
          <w:sz w:val="28"/>
          <w:szCs w:val="28"/>
          <w:b/>
          <w:bCs/>
          <w:spacing w:val="-40"/>
        </w:rPr>
        <w:t xml:space="preserve"> </w:t>
      </w:r>
      <w:r>
        <w:rPr>
          <w:rFonts w:ascii="SimSun" w:hAnsi="SimSun" w:eastAsia="SimSun" w:cs="SimSun"/>
          <w:sz w:val="28"/>
          <w:szCs w:val="28"/>
          <w14:textOutline w14:w="5103" w14:cap="sq" w14:cmpd="sng">
            <w14:solidFill>
              <w14:srgbClr w14:val="000000"/>
            </w14:solidFill>
            <w14:prstDash w14:val="solid"/>
            <w14:bevel/>
          </w14:textOutline>
        </w:rPr>
        <w:t>、在完善项目建设性质的基础上，按照技术指南“改</w:t>
      </w:r>
      <w:r>
        <w:rPr>
          <w:rFonts w:ascii="SimSun" w:hAnsi="SimSun" w:eastAsia="SimSun" w:cs="SimSun"/>
          <w:sz w:val="28"/>
          <w:szCs w:val="28"/>
          <w14:textOutline w14:w="5103" w14:cap="sq" w14:cmpd="sng">
            <w14:solidFill>
              <w14:srgbClr w14:val="000000"/>
            </w14:solidFill>
            <w14:prstDash w14:val="solid"/>
            <w14:bevel/>
          </w14:textOutline>
          <w:spacing w:val="-1"/>
        </w:rPr>
        <w:t>建、扩建及技</w:t>
      </w:r>
    </w:p>
    <w:p>
      <w:pPr>
        <w:ind w:left="128"/>
        <w:spacing w:before="225" w:line="559" w:lineRule="exact"/>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5"/>
          <w:position w:val="21"/>
        </w:rPr>
        <w:t>改项目应说明原辅料及产品变化情况</w:t>
      </w:r>
      <w:r>
        <w:rPr>
          <w:rFonts w:ascii="SimSun" w:hAnsi="SimSun" w:eastAsia="SimSun" w:cs="SimSun"/>
          <w:sz w:val="28"/>
          <w:szCs w:val="28"/>
          <w:spacing w:val="-103"/>
          <w:position w:val="2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5"/>
          <w:position w:val="21"/>
        </w:rPr>
        <w:t>”的填写，补充说明原辅</w:t>
      </w:r>
      <w:r>
        <w:rPr>
          <w:rFonts w:ascii="SimSun" w:hAnsi="SimSun" w:eastAsia="SimSun" w:cs="SimSun"/>
          <w:sz w:val="28"/>
          <w:szCs w:val="28"/>
          <w14:textOutline w14:w="5103" w14:cap="sq" w14:cmpd="sng">
            <w14:solidFill>
              <w14:srgbClr w14:val="000000"/>
            </w14:solidFill>
            <w14:prstDash w14:val="solid"/>
            <w14:bevel/>
          </w14:textOutline>
          <w:spacing w:val="-6"/>
          <w:position w:val="21"/>
        </w:rPr>
        <w:t>料及产</w:t>
      </w:r>
    </w:p>
    <w:p>
      <w:pPr>
        <w:ind w:left="142"/>
        <w:spacing w:before="2" w:line="220"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5"/>
        </w:rPr>
        <w:t>品变化情况。</w:t>
      </w:r>
    </w:p>
    <w:p>
      <w:pPr>
        <w:ind w:left="623"/>
        <w:spacing w:before="214" w:line="219" w:lineRule="auto"/>
        <w:rPr>
          <w:rFonts w:ascii="Times New Roman" w:hAnsi="Times New Roman" w:eastAsia="Times New Roman" w:cs="Times New Roman"/>
          <w:sz w:val="24"/>
          <w:szCs w:val="24"/>
        </w:rPr>
      </w:pPr>
      <w:r>
        <w:rPr>
          <w:rFonts w:ascii="SimSun" w:hAnsi="SimSun" w:eastAsia="SimSun" w:cs="SimSun"/>
          <w:sz w:val="24"/>
          <w:szCs w:val="24"/>
          <w:spacing w:val="-6"/>
        </w:rPr>
        <w:t>已修改，见</w:t>
      </w:r>
      <w:r>
        <w:rPr>
          <w:rFonts w:ascii="Times New Roman" w:hAnsi="Times New Roman" w:eastAsia="Times New Roman" w:cs="Times New Roman"/>
          <w:sz w:val="24"/>
          <w:szCs w:val="24"/>
          <w:spacing w:val="-6"/>
        </w:rPr>
        <w:t>P</w:t>
      </w:r>
    </w:p>
    <w:p>
      <w:pPr>
        <w:ind w:left="608"/>
        <w:spacing w:before="214" w:line="499" w:lineRule="exact"/>
        <w:rPr>
          <w:rFonts w:ascii="SimSun" w:hAnsi="SimSun" w:eastAsia="SimSun" w:cs="SimSun"/>
          <w:sz w:val="24"/>
          <w:szCs w:val="24"/>
        </w:rPr>
      </w:pPr>
      <w:r>
        <w:rPr>
          <w:rFonts w:ascii="SimSun" w:hAnsi="SimSun" w:eastAsia="SimSun" w:cs="SimSun"/>
          <w:sz w:val="24"/>
          <w:szCs w:val="24"/>
          <w:spacing w:val="-1"/>
          <w:position w:val="19"/>
        </w:rPr>
        <w:t>（</w:t>
      </w:r>
      <w:r>
        <w:rPr>
          <w:rFonts w:ascii="Times New Roman" w:hAnsi="Times New Roman" w:eastAsia="Times New Roman" w:cs="Times New Roman"/>
          <w:sz w:val="24"/>
          <w:szCs w:val="24"/>
          <w:spacing w:val="-1"/>
          <w:position w:val="19"/>
        </w:rPr>
        <w:t>3</w:t>
      </w:r>
      <w:r>
        <w:rPr>
          <w:rFonts w:ascii="SimSun" w:hAnsi="SimSun" w:eastAsia="SimSun" w:cs="SimSun"/>
          <w:sz w:val="24"/>
          <w:szCs w:val="24"/>
          <w:spacing w:val="-1"/>
          <w:position w:val="19"/>
        </w:rPr>
        <w:t>）本项目建设完成后全厂原料和产品变化情况</w:t>
      </w:r>
    </w:p>
    <w:p>
      <w:pPr>
        <w:ind w:left="598"/>
        <w:spacing w:before="1" w:line="218" w:lineRule="auto"/>
        <w:rPr>
          <w:rFonts w:ascii="SimSun" w:hAnsi="SimSun" w:eastAsia="SimSun" w:cs="SimSun"/>
          <w:sz w:val="24"/>
          <w:szCs w:val="24"/>
        </w:rPr>
      </w:pPr>
      <w:r>
        <w:rPr>
          <w:rFonts w:ascii="SimSun" w:hAnsi="SimSun" w:eastAsia="SimSun" w:cs="SimSun"/>
          <w:sz w:val="24"/>
          <w:szCs w:val="24"/>
          <w:spacing w:val="-1"/>
        </w:rPr>
        <w:t>本项目建设完成后原辅料变化情况见表</w:t>
      </w:r>
      <w:r>
        <w:rPr>
          <w:rFonts w:ascii="Times New Roman" w:hAnsi="Times New Roman" w:eastAsia="Times New Roman" w:cs="Times New Roman"/>
          <w:sz w:val="24"/>
          <w:szCs w:val="24"/>
          <w:spacing w:val="-1"/>
        </w:rPr>
        <w:t>2.4-4</w:t>
      </w:r>
      <w:r>
        <w:rPr>
          <w:rFonts w:ascii="SimSun" w:hAnsi="SimSun" w:eastAsia="SimSun" w:cs="SimSun"/>
          <w:sz w:val="24"/>
          <w:szCs w:val="24"/>
          <w:spacing w:val="-1"/>
        </w:rPr>
        <w:t>。</w:t>
      </w:r>
    </w:p>
    <w:p>
      <w:pPr>
        <w:ind w:left="2998"/>
        <w:spacing w:before="136" w:line="220" w:lineRule="auto"/>
        <w:rPr>
          <w:rFonts w:ascii="SimSun" w:hAnsi="SimSun" w:eastAsia="SimSun" w:cs="SimSun"/>
          <w:sz w:val="24"/>
          <w:szCs w:val="24"/>
        </w:rPr>
      </w:pPr>
      <w:r>
        <w:rPr>
          <w:rFonts w:ascii="SimSun" w:hAnsi="SimSun" w:eastAsia="SimSun" w:cs="SimSun"/>
          <w:sz w:val="24"/>
          <w:szCs w:val="24"/>
          <w:spacing w:val="-1"/>
        </w:rPr>
        <w:t>表</w:t>
      </w:r>
      <w:r>
        <w:rPr>
          <w:rFonts w:ascii="Times New Roman" w:hAnsi="Times New Roman" w:eastAsia="Times New Roman" w:cs="Times New Roman"/>
          <w:sz w:val="24"/>
          <w:szCs w:val="24"/>
          <w:spacing w:val="-1"/>
        </w:rPr>
        <w:t>2.4-4  </w:t>
      </w:r>
      <w:r>
        <w:rPr>
          <w:rFonts w:ascii="SimSun" w:hAnsi="SimSun" w:eastAsia="SimSun" w:cs="SimSun"/>
          <w:sz w:val="24"/>
          <w:szCs w:val="24"/>
          <w:spacing w:val="-1"/>
        </w:rPr>
        <w:t>原辅料变化情况</w:t>
      </w:r>
    </w:p>
    <w:tbl>
      <w:tblPr>
        <w:tblStyle w:val="TableNormal"/>
        <w:tblW w:w="8519"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0"/>
        <w:gridCol w:w="1701"/>
        <w:gridCol w:w="1776"/>
        <w:gridCol w:w="2000"/>
        <w:gridCol w:w="1345"/>
        <w:gridCol w:w="967"/>
      </w:tblGrid>
      <w:tr>
        <w:trPr>
          <w:trHeight w:val="357" w:hRule="atLeast"/>
        </w:trPr>
        <w:tc>
          <w:tcPr>
            <w:tcW w:w="730" w:type="dxa"/>
            <w:vAlign w:val="top"/>
            <w:tcBorders>
              <w:top w:val="single" w:color="000000" w:sz="10" w:space="0"/>
              <w:left w:val="nil"/>
            </w:tcBorders>
          </w:tcPr>
          <w:p>
            <w:pPr>
              <w:pStyle w:val="TableText"/>
              <w:ind w:left="163"/>
              <w:spacing w:before="114" w:line="215" w:lineRule="auto"/>
              <w:rPr>
                <w:sz w:val="20"/>
                <w:szCs w:val="20"/>
              </w:rPr>
            </w:pPr>
            <w:r>
              <w:rPr>
                <w:sz w:val="20"/>
                <w:szCs w:val="20"/>
                <w:spacing w:val="5"/>
              </w:rPr>
              <w:t>序号</w:t>
            </w:r>
          </w:p>
        </w:tc>
        <w:tc>
          <w:tcPr>
            <w:tcW w:w="1701" w:type="dxa"/>
            <w:vAlign w:val="top"/>
            <w:tcBorders>
              <w:top w:val="single" w:color="000000" w:sz="10" w:space="0"/>
            </w:tcBorders>
          </w:tcPr>
          <w:p>
            <w:pPr>
              <w:pStyle w:val="TableText"/>
              <w:ind w:left="336"/>
              <w:spacing w:before="114" w:line="215" w:lineRule="auto"/>
              <w:rPr>
                <w:sz w:val="20"/>
                <w:szCs w:val="20"/>
              </w:rPr>
            </w:pPr>
            <w:r>
              <w:rPr>
                <w:sz w:val="20"/>
                <w:szCs w:val="20"/>
                <w:spacing w:val="7"/>
              </w:rPr>
              <w:t>原辅料名称</w:t>
            </w:r>
          </w:p>
        </w:tc>
        <w:tc>
          <w:tcPr>
            <w:tcW w:w="1776" w:type="dxa"/>
            <w:vAlign w:val="top"/>
            <w:tcBorders>
              <w:top w:val="single" w:color="000000" w:sz="10" w:space="0"/>
            </w:tcBorders>
          </w:tcPr>
          <w:p>
            <w:pPr>
              <w:pStyle w:val="TableText"/>
              <w:ind w:left="264"/>
              <w:spacing w:before="114" w:line="215" w:lineRule="auto"/>
              <w:rPr>
                <w:sz w:val="20"/>
                <w:szCs w:val="20"/>
              </w:rPr>
            </w:pPr>
            <w:r>
              <w:rPr>
                <w:sz w:val="20"/>
                <w:szCs w:val="20"/>
                <w:spacing w:val="7"/>
              </w:rPr>
              <w:t>现有工程用量</w:t>
            </w:r>
          </w:p>
        </w:tc>
        <w:tc>
          <w:tcPr>
            <w:tcW w:w="2000" w:type="dxa"/>
            <w:vAlign w:val="top"/>
            <w:tcBorders>
              <w:top w:val="single" w:color="000000" w:sz="10" w:space="0"/>
            </w:tcBorders>
          </w:tcPr>
          <w:p>
            <w:pPr>
              <w:pStyle w:val="TableText"/>
              <w:ind w:left="270"/>
              <w:spacing w:before="114" w:line="215" w:lineRule="auto"/>
              <w:rPr>
                <w:sz w:val="20"/>
                <w:szCs w:val="20"/>
              </w:rPr>
            </w:pPr>
            <w:r>
              <w:rPr>
                <w:sz w:val="20"/>
                <w:szCs w:val="20"/>
                <w:spacing w:val="8"/>
              </w:rPr>
              <w:t>本项目新增用量</w:t>
            </w:r>
          </w:p>
        </w:tc>
        <w:tc>
          <w:tcPr>
            <w:tcW w:w="1345" w:type="dxa"/>
            <w:vAlign w:val="top"/>
            <w:tcBorders>
              <w:top w:val="single" w:color="000000" w:sz="10" w:space="0"/>
            </w:tcBorders>
          </w:tcPr>
          <w:p>
            <w:pPr>
              <w:pStyle w:val="TableText"/>
              <w:ind w:left="257"/>
              <w:spacing w:before="114" w:line="215" w:lineRule="auto"/>
              <w:rPr>
                <w:sz w:val="20"/>
                <w:szCs w:val="20"/>
              </w:rPr>
            </w:pPr>
            <w:r>
              <w:rPr>
                <w:sz w:val="20"/>
                <w:szCs w:val="20"/>
                <w:spacing w:val="7"/>
              </w:rPr>
              <w:t>全厂总量</w:t>
            </w:r>
          </w:p>
        </w:tc>
        <w:tc>
          <w:tcPr>
            <w:tcW w:w="967" w:type="dxa"/>
            <w:vAlign w:val="top"/>
            <w:tcBorders>
              <w:top w:val="single" w:color="000000" w:sz="10" w:space="0"/>
              <w:right w:val="nil"/>
            </w:tcBorders>
          </w:tcPr>
          <w:p>
            <w:pPr>
              <w:pStyle w:val="TableText"/>
              <w:ind w:left="280"/>
              <w:spacing w:before="114" w:line="215" w:lineRule="auto"/>
              <w:rPr>
                <w:sz w:val="20"/>
                <w:szCs w:val="20"/>
              </w:rPr>
            </w:pPr>
            <w:r>
              <w:rPr>
                <w:sz w:val="20"/>
                <w:szCs w:val="20"/>
                <w:spacing w:val="3"/>
              </w:rPr>
              <w:t>备注</w:t>
            </w:r>
          </w:p>
        </w:tc>
      </w:tr>
      <w:tr>
        <w:trPr>
          <w:trHeight w:val="374" w:hRule="atLeast"/>
        </w:trPr>
        <w:tc>
          <w:tcPr>
            <w:tcW w:w="730" w:type="dxa"/>
            <w:vAlign w:val="top"/>
            <w:tcBorders>
              <w:bottom w:val="single" w:color="000000" w:sz="10" w:space="0"/>
              <w:left w:val="nil"/>
            </w:tcBorders>
          </w:tcPr>
          <w:p>
            <w:pPr>
              <w:ind w:left="336"/>
              <w:spacing w:before="1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01" w:type="dxa"/>
            <w:vAlign w:val="top"/>
            <w:tcBorders>
              <w:bottom w:val="single" w:color="000000" w:sz="10" w:space="0"/>
            </w:tcBorders>
          </w:tcPr>
          <w:p>
            <w:pPr>
              <w:pStyle w:val="TableText"/>
              <w:ind w:left="339"/>
              <w:spacing w:before="121" w:line="224" w:lineRule="auto"/>
              <w:rPr>
                <w:sz w:val="20"/>
                <w:szCs w:val="20"/>
              </w:rPr>
            </w:pPr>
            <w:r>
              <w:rPr>
                <w:sz w:val="20"/>
                <w:szCs w:val="20"/>
                <w:spacing w:val="6"/>
              </w:rPr>
              <w:t>聚乙烯颗粒</w:t>
            </w:r>
          </w:p>
        </w:tc>
        <w:tc>
          <w:tcPr>
            <w:tcW w:w="1776" w:type="dxa"/>
            <w:vAlign w:val="top"/>
            <w:tcBorders>
              <w:bottom w:val="single" w:color="000000" w:sz="10" w:space="0"/>
            </w:tcBorders>
          </w:tcPr>
          <w:p>
            <w:pPr>
              <w:ind w:left="646"/>
              <w:spacing w:before="15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100t/a</w:t>
            </w:r>
          </w:p>
        </w:tc>
        <w:tc>
          <w:tcPr>
            <w:tcW w:w="2000" w:type="dxa"/>
            <w:vAlign w:val="top"/>
            <w:tcBorders>
              <w:bottom w:val="single" w:color="000000" w:sz="10" w:space="0"/>
            </w:tcBorders>
          </w:tcPr>
          <w:p>
            <w:pPr>
              <w:ind w:left="744"/>
              <w:spacing w:before="15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510t/a</w:t>
            </w:r>
          </w:p>
        </w:tc>
        <w:tc>
          <w:tcPr>
            <w:tcW w:w="1345" w:type="dxa"/>
            <w:vAlign w:val="top"/>
            <w:tcBorders>
              <w:bottom w:val="single" w:color="000000" w:sz="10" w:space="0"/>
            </w:tcBorders>
          </w:tcPr>
          <w:p>
            <w:pPr>
              <w:ind w:left="416"/>
              <w:spacing w:before="15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610t/a</w:t>
            </w:r>
          </w:p>
        </w:tc>
        <w:tc>
          <w:tcPr>
            <w:tcW w:w="967" w:type="dxa"/>
            <w:vAlign w:val="top"/>
            <w:tcBorders>
              <w:bottom w:val="single" w:color="000000" w:sz="10" w:space="0"/>
              <w:right w:val="nil"/>
            </w:tcBorders>
          </w:tcPr>
          <w:p>
            <w:pPr>
              <w:ind w:left="452"/>
              <w:spacing w:before="15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bl>
    <w:p>
      <w:pPr>
        <w:pStyle w:val="BodyText"/>
        <w:rPr/>
      </w:pPr>
      <w:r/>
    </w:p>
    <w:p>
      <w:pPr>
        <w:sectPr>
          <w:footerReference w:type="default" r:id="rId120"/>
          <w:pgSz w:w="11906" w:h="16839"/>
          <w:pgMar w:top="400" w:right="1695" w:bottom="1209" w:left="1691" w:header="0" w:footer="1049" w:gutter="0"/>
        </w:sectPr>
        <w:rPr/>
      </w:pPr>
    </w:p>
    <w:p>
      <w:pPr>
        <w:spacing w:before="19"/>
        <w:rPr/>
      </w:pPr>
      <w:r/>
    </w:p>
    <w:p>
      <w:pPr>
        <w:spacing w:before="19"/>
        <w:rPr/>
      </w:pPr>
      <w:r/>
    </w:p>
    <w:p>
      <w:pPr>
        <w:spacing w:before="18"/>
        <w:rPr/>
      </w:pPr>
      <w:r/>
    </w:p>
    <w:p>
      <w:pPr>
        <w:spacing w:before="18"/>
        <w:rPr/>
      </w:pPr>
      <w:r/>
    </w:p>
    <w:tbl>
      <w:tblPr>
        <w:tblStyle w:val="TableNormal"/>
        <w:tblW w:w="8519"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0"/>
        <w:gridCol w:w="1701"/>
        <w:gridCol w:w="1776"/>
        <w:gridCol w:w="2000"/>
        <w:gridCol w:w="1345"/>
        <w:gridCol w:w="967"/>
      </w:tblGrid>
      <w:tr>
        <w:trPr>
          <w:trHeight w:val="363" w:hRule="atLeast"/>
        </w:trPr>
        <w:tc>
          <w:tcPr>
            <w:tcW w:w="730" w:type="dxa"/>
            <w:vAlign w:val="top"/>
            <w:tcBorders>
              <w:top w:val="single" w:color="000000" w:sz="10" w:space="0"/>
              <w:left w:val="nil"/>
            </w:tcBorders>
          </w:tcPr>
          <w:p>
            <w:pPr>
              <w:ind w:left="316"/>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701" w:type="dxa"/>
            <w:vAlign w:val="top"/>
            <w:tcBorders>
              <w:top w:val="single" w:color="000000" w:sz="10" w:space="0"/>
            </w:tcBorders>
          </w:tcPr>
          <w:p>
            <w:pPr>
              <w:pStyle w:val="TableText"/>
              <w:ind w:left="434"/>
              <w:spacing w:before="113" w:line="221" w:lineRule="auto"/>
              <w:rPr>
                <w:sz w:val="20"/>
                <w:szCs w:val="20"/>
              </w:rPr>
            </w:pPr>
            <w:r>
              <w:rPr>
                <w:sz w:val="20"/>
                <w:szCs w:val="20"/>
                <w:spacing w:val="7"/>
              </w:rPr>
              <w:t>抗老化剂</w:t>
            </w:r>
          </w:p>
        </w:tc>
        <w:tc>
          <w:tcPr>
            <w:tcW w:w="1776" w:type="dxa"/>
            <w:vAlign w:val="top"/>
            <w:tcBorders>
              <w:top w:val="single" w:color="000000" w:sz="10" w:space="0"/>
            </w:tcBorders>
          </w:tcPr>
          <w:p>
            <w:pPr>
              <w:ind w:left="737"/>
              <w:spacing w:before="14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5t/a</w:t>
            </w:r>
          </w:p>
        </w:tc>
        <w:tc>
          <w:tcPr>
            <w:tcW w:w="2000" w:type="dxa"/>
            <w:vAlign w:val="top"/>
            <w:tcBorders>
              <w:top w:val="single" w:color="000000" w:sz="10" w:space="0"/>
            </w:tcBorders>
          </w:tcPr>
          <w:p>
            <w:pPr>
              <w:ind w:left="850"/>
              <w:spacing w:before="14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5t/a</w:t>
            </w:r>
          </w:p>
        </w:tc>
        <w:tc>
          <w:tcPr>
            <w:tcW w:w="1345" w:type="dxa"/>
            <w:vAlign w:val="top"/>
            <w:tcBorders>
              <w:top w:val="single" w:color="000000" w:sz="10" w:space="0"/>
            </w:tcBorders>
          </w:tcPr>
          <w:p>
            <w:pPr>
              <w:ind w:left="484"/>
              <w:spacing w:before="14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10t/a</w:t>
            </w:r>
          </w:p>
        </w:tc>
        <w:tc>
          <w:tcPr>
            <w:tcW w:w="967" w:type="dxa"/>
            <w:vAlign w:val="top"/>
            <w:tcBorders>
              <w:top w:val="single" w:color="000000" w:sz="10" w:space="0"/>
              <w:right w:val="nil"/>
            </w:tcBorders>
          </w:tcPr>
          <w:p>
            <w:pPr>
              <w:ind w:left="452"/>
              <w:spacing w:before="14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59" w:hRule="atLeast"/>
        </w:trPr>
        <w:tc>
          <w:tcPr>
            <w:tcW w:w="730" w:type="dxa"/>
            <w:vAlign w:val="top"/>
            <w:tcBorders>
              <w:left w:val="nil"/>
            </w:tcBorders>
          </w:tcPr>
          <w:p>
            <w:pPr>
              <w:ind w:left="320"/>
              <w:spacing w:before="15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701" w:type="dxa"/>
            <w:vAlign w:val="top"/>
          </w:tcPr>
          <w:p>
            <w:pPr>
              <w:pStyle w:val="TableText"/>
              <w:ind w:left="330"/>
              <w:spacing w:before="115" w:line="216" w:lineRule="auto"/>
              <w:rPr>
                <w:sz w:val="20"/>
                <w:szCs w:val="20"/>
              </w:rPr>
            </w:pPr>
            <w:r>
              <w:rPr>
                <w:sz w:val="20"/>
                <w:szCs w:val="20"/>
                <w:spacing w:val="8"/>
              </w:rPr>
              <w:t>废旧滴灌带</w:t>
            </w:r>
          </w:p>
        </w:tc>
        <w:tc>
          <w:tcPr>
            <w:tcW w:w="1776" w:type="dxa"/>
            <w:vAlign w:val="top"/>
          </w:tcPr>
          <w:p>
            <w:pPr>
              <w:ind w:left="630"/>
              <w:spacing w:before="14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600t/a</w:t>
            </w:r>
          </w:p>
        </w:tc>
        <w:tc>
          <w:tcPr>
            <w:tcW w:w="2000" w:type="dxa"/>
            <w:vAlign w:val="top"/>
          </w:tcPr>
          <w:p>
            <w:pPr>
              <w:ind w:left="847"/>
              <w:spacing w:before="14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0t/a</w:t>
            </w:r>
          </w:p>
        </w:tc>
        <w:tc>
          <w:tcPr>
            <w:tcW w:w="1345" w:type="dxa"/>
            <w:vAlign w:val="top"/>
          </w:tcPr>
          <w:p>
            <w:pPr>
              <w:ind w:left="416"/>
              <w:spacing w:before="14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600t/a</w:t>
            </w:r>
          </w:p>
        </w:tc>
        <w:tc>
          <w:tcPr>
            <w:tcW w:w="967" w:type="dxa"/>
            <w:vAlign w:val="top"/>
            <w:tcBorders>
              <w:right w:val="nil"/>
            </w:tcBorders>
          </w:tcPr>
          <w:p>
            <w:pPr>
              <w:ind w:left="452"/>
              <w:spacing w:before="14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59" w:hRule="atLeast"/>
        </w:trPr>
        <w:tc>
          <w:tcPr>
            <w:tcW w:w="730" w:type="dxa"/>
            <w:vAlign w:val="top"/>
            <w:tcBorders>
              <w:left w:val="nil"/>
            </w:tcBorders>
          </w:tcPr>
          <w:p>
            <w:pPr>
              <w:ind w:left="315"/>
              <w:spacing w:before="15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701" w:type="dxa"/>
            <w:vAlign w:val="top"/>
          </w:tcPr>
          <w:p>
            <w:pPr>
              <w:pStyle w:val="TableText"/>
              <w:ind w:left="542"/>
              <w:spacing w:before="120" w:line="211" w:lineRule="auto"/>
              <w:rPr>
                <w:sz w:val="20"/>
                <w:szCs w:val="20"/>
              </w:rPr>
            </w:pPr>
            <w:r>
              <w:rPr>
                <w:sz w:val="20"/>
                <w:szCs w:val="20"/>
                <w:spacing w:val="6"/>
              </w:rPr>
              <w:t>纸芯桶</w:t>
            </w:r>
          </w:p>
        </w:tc>
        <w:tc>
          <w:tcPr>
            <w:tcW w:w="1776" w:type="dxa"/>
            <w:vAlign w:val="top"/>
          </w:tcPr>
          <w:p>
            <w:pPr>
              <w:ind w:left="698"/>
              <w:spacing w:before="15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10t/a</w:t>
            </w:r>
          </w:p>
        </w:tc>
        <w:tc>
          <w:tcPr>
            <w:tcW w:w="2000" w:type="dxa"/>
            <w:vAlign w:val="top"/>
          </w:tcPr>
          <w:p>
            <w:pPr>
              <w:ind w:left="811"/>
              <w:spacing w:before="15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10t/a</w:t>
            </w:r>
          </w:p>
        </w:tc>
        <w:tc>
          <w:tcPr>
            <w:tcW w:w="1345" w:type="dxa"/>
            <w:vAlign w:val="top"/>
          </w:tcPr>
          <w:p>
            <w:pPr>
              <w:ind w:left="464"/>
              <w:spacing w:before="15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20t/a</w:t>
            </w:r>
          </w:p>
        </w:tc>
        <w:tc>
          <w:tcPr>
            <w:tcW w:w="967" w:type="dxa"/>
            <w:vAlign w:val="top"/>
            <w:tcBorders>
              <w:right w:val="nil"/>
            </w:tcBorders>
          </w:tcPr>
          <w:p>
            <w:pPr>
              <w:ind w:left="452"/>
              <w:spacing w:before="15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82" w:hRule="atLeast"/>
        </w:trPr>
        <w:tc>
          <w:tcPr>
            <w:tcW w:w="730" w:type="dxa"/>
            <w:vAlign w:val="top"/>
            <w:tcBorders>
              <w:bottom w:val="single" w:color="000000" w:sz="10" w:space="0"/>
              <w:left w:val="nil"/>
            </w:tcBorders>
          </w:tcPr>
          <w:p>
            <w:pPr>
              <w:ind w:left="322"/>
              <w:spacing w:before="16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701" w:type="dxa"/>
            <w:vAlign w:val="top"/>
            <w:tcBorders>
              <w:bottom w:val="single" w:color="000000" w:sz="10" w:space="0"/>
            </w:tcBorders>
          </w:tcPr>
          <w:p>
            <w:pPr>
              <w:pStyle w:val="TableText"/>
              <w:ind w:left="540"/>
              <w:spacing w:before="128" w:line="225" w:lineRule="auto"/>
              <w:rPr>
                <w:sz w:val="20"/>
                <w:szCs w:val="20"/>
              </w:rPr>
            </w:pPr>
            <w:r>
              <w:rPr>
                <w:sz w:val="20"/>
                <w:szCs w:val="20"/>
                <w:spacing w:val="6"/>
              </w:rPr>
              <w:t>包装袋</w:t>
            </w:r>
          </w:p>
        </w:tc>
        <w:tc>
          <w:tcPr>
            <w:tcW w:w="1776" w:type="dxa"/>
            <w:vAlign w:val="top"/>
            <w:tcBorders>
              <w:bottom w:val="single" w:color="000000" w:sz="10" w:space="0"/>
            </w:tcBorders>
          </w:tcPr>
          <w:p>
            <w:pPr>
              <w:ind w:left="740"/>
              <w:spacing w:before="16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8t/a</w:t>
            </w:r>
          </w:p>
        </w:tc>
        <w:tc>
          <w:tcPr>
            <w:tcW w:w="2000" w:type="dxa"/>
            <w:vAlign w:val="top"/>
            <w:tcBorders>
              <w:bottom w:val="single" w:color="000000" w:sz="10" w:space="0"/>
            </w:tcBorders>
          </w:tcPr>
          <w:p>
            <w:pPr>
              <w:ind w:left="852"/>
              <w:spacing w:before="16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8t/a</w:t>
            </w:r>
          </w:p>
        </w:tc>
        <w:tc>
          <w:tcPr>
            <w:tcW w:w="1345" w:type="dxa"/>
            <w:vAlign w:val="top"/>
            <w:tcBorders>
              <w:bottom w:val="single" w:color="000000" w:sz="10" w:space="0"/>
            </w:tcBorders>
          </w:tcPr>
          <w:p>
            <w:pPr>
              <w:ind w:left="484"/>
              <w:spacing w:before="16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16t/a</w:t>
            </w:r>
          </w:p>
        </w:tc>
        <w:tc>
          <w:tcPr>
            <w:tcW w:w="967" w:type="dxa"/>
            <w:vAlign w:val="top"/>
            <w:tcBorders>
              <w:bottom w:val="single" w:color="000000" w:sz="10" w:space="0"/>
              <w:right w:val="nil"/>
            </w:tcBorders>
          </w:tcPr>
          <w:p>
            <w:pPr>
              <w:ind w:left="452"/>
              <w:spacing w:before="16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bl>
    <w:p>
      <w:pPr>
        <w:ind w:left="598"/>
        <w:spacing w:before="195" w:line="219" w:lineRule="auto"/>
        <w:rPr>
          <w:rFonts w:ascii="SimSun" w:hAnsi="SimSun" w:eastAsia="SimSun" w:cs="SimSun"/>
          <w:sz w:val="24"/>
          <w:szCs w:val="24"/>
        </w:rPr>
      </w:pPr>
      <w:r>
        <w:rPr>
          <w:rFonts w:ascii="SimSun" w:hAnsi="SimSun" w:eastAsia="SimSun" w:cs="SimSun"/>
          <w:sz w:val="24"/>
          <w:szCs w:val="24"/>
          <w:spacing w:val="-1"/>
        </w:rPr>
        <w:t>本项目建设完成后产品变化情况见表</w:t>
      </w:r>
      <w:r>
        <w:rPr>
          <w:rFonts w:ascii="Times New Roman" w:hAnsi="Times New Roman" w:eastAsia="Times New Roman" w:cs="Times New Roman"/>
          <w:sz w:val="24"/>
          <w:szCs w:val="24"/>
          <w:spacing w:val="-1"/>
        </w:rPr>
        <w:t>2.4-5</w:t>
      </w:r>
      <w:r>
        <w:rPr>
          <w:rFonts w:ascii="SimSun" w:hAnsi="SimSun" w:eastAsia="SimSun" w:cs="SimSun"/>
          <w:sz w:val="24"/>
          <w:szCs w:val="24"/>
          <w:spacing w:val="-1"/>
        </w:rPr>
        <w:t>。</w:t>
      </w:r>
    </w:p>
    <w:p>
      <w:pPr>
        <w:ind w:left="2278"/>
        <w:spacing w:before="135" w:line="219" w:lineRule="auto"/>
        <w:rPr>
          <w:rFonts w:ascii="SimSun" w:hAnsi="SimSun" w:eastAsia="SimSun" w:cs="SimSun"/>
          <w:sz w:val="24"/>
          <w:szCs w:val="24"/>
        </w:rPr>
      </w:pPr>
      <w:r>
        <w:rPr>
          <w:rFonts w:ascii="SimSun" w:hAnsi="SimSun" w:eastAsia="SimSun" w:cs="SimSun"/>
          <w:sz w:val="24"/>
          <w:szCs w:val="24"/>
          <w:spacing w:val="-1"/>
        </w:rPr>
        <w:t>表</w:t>
      </w:r>
      <w:r>
        <w:rPr>
          <w:rFonts w:ascii="Times New Roman" w:hAnsi="Times New Roman" w:eastAsia="Times New Roman" w:cs="Times New Roman"/>
          <w:sz w:val="24"/>
          <w:szCs w:val="24"/>
          <w:spacing w:val="-1"/>
        </w:rPr>
        <w:t>2.4-5  </w:t>
      </w:r>
      <w:r>
        <w:rPr>
          <w:rFonts w:ascii="SimSun" w:hAnsi="SimSun" w:eastAsia="SimSun" w:cs="SimSun"/>
          <w:sz w:val="24"/>
          <w:szCs w:val="24"/>
          <w:spacing w:val="-1"/>
        </w:rPr>
        <w:t>本项目建设前后产品变化情况</w:t>
      </w:r>
    </w:p>
    <w:tbl>
      <w:tblPr>
        <w:tblStyle w:val="TableNormal"/>
        <w:tblW w:w="8518"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4"/>
        <w:gridCol w:w="1642"/>
        <w:gridCol w:w="2163"/>
        <w:gridCol w:w="1983"/>
        <w:gridCol w:w="1242"/>
        <w:gridCol w:w="714"/>
      </w:tblGrid>
      <w:tr>
        <w:trPr>
          <w:trHeight w:val="364" w:hRule="atLeast"/>
        </w:trPr>
        <w:tc>
          <w:tcPr>
            <w:tcW w:w="774" w:type="dxa"/>
            <w:vAlign w:val="top"/>
            <w:tcBorders>
              <w:top w:val="single" w:color="000000" w:sz="10" w:space="0"/>
              <w:left w:val="nil"/>
            </w:tcBorders>
          </w:tcPr>
          <w:p>
            <w:pPr>
              <w:pStyle w:val="TableText"/>
              <w:ind w:left="184"/>
              <w:spacing w:before="114" w:line="221" w:lineRule="auto"/>
              <w:rPr>
                <w:sz w:val="20"/>
                <w:szCs w:val="20"/>
              </w:rPr>
            </w:pPr>
            <w:r>
              <w:rPr>
                <w:sz w:val="20"/>
                <w:szCs w:val="20"/>
                <w:spacing w:val="5"/>
              </w:rPr>
              <w:t>序号</w:t>
            </w:r>
          </w:p>
        </w:tc>
        <w:tc>
          <w:tcPr>
            <w:tcW w:w="1642" w:type="dxa"/>
            <w:vAlign w:val="top"/>
            <w:tcBorders>
              <w:top w:val="single" w:color="000000" w:sz="10" w:space="0"/>
            </w:tcBorders>
          </w:tcPr>
          <w:p>
            <w:pPr>
              <w:pStyle w:val="TableText"/>
              <w:ind w:left="407"/>
              <w:spacing w:before="114" w:line="221" w:lineRule="auto"/>
              <w:rPr>
                <w:sz w:val="20"/>
                <w:szCs w:val="20"/>
              </w:rPr>
            </w:pPr>
            <w:r>
              <w:rPr>
                <w:sz w:val="20"/>
                <w:szCs w:val="20"/>
                <w:spacing w:val="7"/>
              </w:rPr>
              <w:t>产品名称</w:t>
            </w:r>
          </w:p>
        </w:tc>
        <w:tc>
          <w:tcPr>
            <w:tcW w:w="2163" w:type="dxa"/>
            <w:vAlign w:val="top"/>
            <w:tcBorders>
              <w:top w:val="single" w:color="000000" w:sz="10" w:space="0"/>
            </w:tcBorders>
          </w:tcPr>
          <w:p>
            <w:pPr>
              <w:pStyle w:val="TableText"/>
              <w:ind w:left="248"/>
              <w:spacing w:before="114" w:line="221" w:lineRule="auto"/>
              <w:rPr>
                <w:sz w:val="20"/>
                <w:szCs w:val="20"/>
              </w:rPr>
            </w:pPr>
            <w:r>
              <w:rPr>
                <w:sz w:val="20"/>
                <w:szCs w:val="20"/>
                <w:spacing w:val="8"/>
              </w:rPr>
              <w:t>现有工程产品产量</w:t>
            </w:r>
          </w:p>
        </w:tc>
        <w:tc>
          <w:tcPr>
            <w:tcW w:w="1983" w:type="dxa"/>
            <w:vAlign w:val="top"/>
            <w:tcBorders>
              <w:top w:val="single" w:color="000000" w:sz="10" w:space="0"/>
            </w:tcBorders>
          </w:tcPr>
          <w:p>
            <w:pPr>
              <w:pStyle w:val="TableText"/>
              <w:ind w:left="263"/>
              <w:spacing w:before="114" w:line="221" w:lineRule="auto"/>
              <w:rPr>
                <w:sz w:val="20"/>
                <w:szCs w:val="20"/>
              </w:rPr>
            </w:pPr>
            <w:r>
              <w:rPr>
                <w:sz w:val="20"/>
                <w:szCs w:val="20"/>
                <w:spacing w:val="8"/>
              </w:rPr>
              <w:t>本项目新增用量</w:t>
            </w:r>
          </w:p>
        </w:tc>
        <w:tc>
          <w:tcPr>
            <w:tcW w:w="1242" w:type="dxa"/>
            <w:vAlign w:val="top"/>
            <w:tcBorders>
              <w:top w:val="single" w:color="000000" w:sz="10" w:space="0"/>
            </w:tcBorders>
          </w:tcPr>
          <w:p>
            <w:pPr>
              <w:pStyle w:val="TableText"/>
              <w:ind w:left="206"/>
              <w:spacing w:before="114" w:line="221" w:lineRule="auto"/>
              <w:rPr>
                <w:sz w:val="20"/>
                <w:szCs w:val="20"/>
              </w:rPr>
            </w:pPr>
            <w:r>
              <w:rPr>
                <w:sz w:val="20"/>
                <w:szCs w:val="20"/>
                <w:spacing w:val="7"/>
              </w:rPr>
              <w:t>全厂总量</w:t>
            </w:r>
          </w:p>
        </w:tc>
        <w:tc>
          <w:tcPr>
            <w:tcW w:w="714" w:type="dxa"/>
            <w:vAlign w:val="top"/>
            <w:tcBorders>
              <w:top w:val="single" w:color="000000" w:sz="10" w:space="0"/>
              <w:right w:val="nil"/>
            </w:tcBorders>
          </w:tcPr>
          <w:p>
            <w:pPr>
              <w:pStyle w:val="TableText"/>
              <w:ind w:left="155"/>
              <w:spacing w:before="114" w:line="221" w:lineRule="auto"/>
              <w:rPr>
                <w:sz w:val="20"/>
                <w:szCs w:val="20"/>
              </w:rPr>
            </w:pPr>
            <w:r>
              <w:rPr>
                <w:sz w:val="20"/>
                <w:szCs w:val="20"/>
                <w:spacing w:val="3"/>
              </w:rPr>
              <w:t>备注</w:t>
            </w:r>
          </w:p>
        </w:tc>
      </w:tr>
      <w:tr>
        <w:trPr>
          <w:trHeight w:val="360" w:hRule="atLeast"/>
        </w:trPr>
        <w:tc>
          <w:tcPr>
            <w:tcW w:w="774" w:type="dxa"/>
            <w:vAlign w:val="top"/>
            <w:tcBorders>
              <w:left w:val="nil"/>
            </w:tcBorders>
          </w:tcPr>
          <w:p>
            <w:pPr>
              <w:ind w:left="358"/>
              <w:spacing w:before="15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42" w:type="dxa"/>
            <w:vAlign w:val="top"/>
          </w:tcPr>
          <w:p>
            <w:pPr>
              <w:pStyle w:val="TableText"/>
              <w:ind w:left="198"/>
              <w:spacing w:before="114" w:line="217" w:lineRule="auto"/>
              <w:rPr>
                <w:sz w:val="20"/>
                <w:szCs w:val="20"/>
              </w:rPr>
            </w:pPr>
            <w:r>
              <w:rPr>
                <w:sz w:val="20"/>
                <w:szCs w:val="20"/>
                <w:spacing w:val="7"/>
              </w:rPr>
              <w:t>再生塑料颗粒</w:t>
            </w:r>
          </w:p>
        </w:tc>
        <w:tc>
          <w:tcPr>
            <w:tcW w:w="2163" w:type="dxa"/>
            <w:vAlign w:val="top"/>
          </w:tcPr>
          <w:p>
            <w:pPr>
              <w:ind w:left="824"/>
              <w:spacing w:before="14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700t/a</w:t>
            </w:r>
          </w:p>
        </w:tc>
        <w:tc>
          <w:tcPr>
            <w:tcW w:w="1983" w:type="dxa"/>
            <w:vAlign w:val="top"/>
          </w:tcPr>
          <w:p>
            <w:pPr>
              <w:ind w:left="838"/>
              <w:spacing w:before="14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0t/a</w:t>
            </w:r>
          </w:p>
        </w:tc>
        <w:tc>
          <w:tcPr>
            <w:tcW w:w="1242" w:type="dxa"/>
            <w:vAlign w:val="top"/>
          </w:tcPr>
          <w:p>
            <w:pPr>
              <w:ind w:left="364"/>
              <w:spacing w:before="14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700t/a</w:t>
            </w:r>
          </w:p>
        </w:tc>
        <w:tc>
          <w:tcPr>
            <w:tcW w:w="714" w:type="dxa"/>
            <w:vAlign w:val="top"/>
            <w:tcBorders>
              <w:right w:val="nil"/>
            </w:tcBorders>
          </w:tcPr>
          <w:p>
            <w:pPr>
              <w:ind w:left="327"/>
              <w:spacing w:before="14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60" w:hRule="atLeast"/>
        </w:trPr>
        <w:tc>
          <w:tcPr>
            <w:tcW w:w="774" w:type="dxa"/>
            <w:vAlign w:val="top"/>
            <w:tcBorders>
              <w:left w:val="nil"/>
            </w:tcBorders>
          </w:tcPr>
          <w:p>
            <w:pPr>
              <w:ind w:left="337"/>
              <w:spacing w:before="1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642" w:type="dxa"/>
            <w:vAlign w:val="top"/>
          </w:tcPr>
          <w:p>
            <w:pPr>
              <w:pStyle w:val="TableText"/>
              <w:ind w:left="512"/>
              <w:spacing w:before="119" w:line="213" w:lineRule="auto"/>
              <w:rPr>
                <w:sz w:val="20"/>
                <w:szCs w:val="20"/>
              </w:rPr>
            </w:pPr>
            <w:r>
              <w:rPr>
                <w:sz w:val="20"/>
                <w:szCs w:val="20"/>
                <w:spacing w:val="6"/>
              </w:rPr>
              <w:t>滴灌带</w:t>
            </w:r>
          </w:p>
        </w:tc>
        <w:tc>
          <w:tcPr>
            <w:tcW w:w="2163" w:type="dxa"/>
            <w:vAlign w:val="top"/>
          </w:tcPr>
          <w:p>
            <w:pPr>
              <w:ind w:left="825"/>
              <w:spacing w:before="15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600t/a</w:t>
            </w:r>
          </w:p>
        </w:tc>
        <w:tc>
          <w:tcPr>
            <w:tcW w:w="1983" w:type="dxa"/>
            <w:vAlign w:val="top"/>
          </w:tcPr>
          <w:p>
            <w:pPr>
              <w:ind w:left="838"/>
              <w:spacing w:before="15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0t/a</w:t>
            </w:r>
          </w:p>
        </w:tc>
        <w:tc>
          <w:tcPr>
            <w:tcW w:w="1242" w:type="dxa"/>
            <w:vAlign w:val="top"/>
          </w:tcPr>
          <w:p>
            <w:pPr>
              <w:ind w:left="366"/>
              <w:spacing w:before="15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600t/a</w:t>
            </w:r>
          </w:p>
        </w:tc>
        <w:tc>
          <w:tcPr>
            <w:tcW w:w="714" w:type="dxa"/>
            <w:vAlign w:val="top"/>
            <w:tcBorders>
              <w:right w:val="nil"/>
            </w:tcBorders>
          </w:tcPr>
          <w:p>
            <w:pPr>
              <w:ind w:left="327"/>
              <w:spacing w:before="15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60" w:hRule="atLeast"/>
        </w:trPr>
        <w:tc>
          <w:tcPr>
            <w:tcW w:w="774" w:type="dxa"/>
            <w:vAlign w:val="top"/>
            <w:tcBorders>
              <w:left w:val="nil"/>
            </w:tcBorders>
          </w:tcPr>
          <w:p>
            <w:pPr>
              <w:ind w:left="342"/>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642" w:type="dxa"/>
            <w:vAlign w:val="top"/>
          </w:tcPr>
          <w:p>
            <w:pPr>
              <w:pStyle w:val="TableText"/>
              <w:ind w:left="489"/>
              <w:spacing w:before="124" w:line="208" w:lineRule="auto"/>
              <w:rPr>
                <w:sz w:val="20"/>
                <w:szCs w:val="20"/>
              </w:rPr>
            </w:pPr>
            <w:r>
              <w:rPr>
                <w:rFonts w:ascii="Times New Roman" w:hAnsi="Times New Roman" w:eastAsia="Times New Roman" w:cs="Times New Roman"/>
                <w:sz w:val="20"/>
                <w:szCs w:val="20"/>
              </w:rPr>
              <w:t>PE</w:t>
            </w:r>
            <w:r>
              <w:rPr>
                <w:sz w:val="20"/>
                <w:szCs w:val="20"/>
                <w:spacing w:val="12"/>
              </w:rPr>
              <w:t>水带</w:t>
            </w:r>
          </w:p>
        </w:tc>
        <w:tc>
          <w:tcPr>
            <w:tcW w:w="2163" w:type="dxa"/>
            <w:vAlign w:val="top"/>
          </w:tcPr>
          <w:p>
            <w:pPr>
              <w:ind w:left="841"/>
              <w:spacing w:before="15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100t/a</w:t>
            </w:r>
          </w:p>
        </w:tc>
        <w:tc>
          <w:tcPr>
            <w:tcW w:w="1983" w:type="dxa"/>
            <w:vAlign w:val="top"/>
          </w:tcPr>
          <w:p>
            <w:pPr>
              <w:ind w:left="838"/>
              <w:spacing w:before="15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0t/a</w:t>
            </w:r>
          </w:p>
        </w:tc>
        <w:tc>
          <w:tcPr>
            <w:tcW w:w="1242" w:type="dxa"/>
            <w:vAlign w:val="top"/>
          </w:tcPr>
          <w:p>
            <w:pPr>
              <w:ind w:left="381"/>
              <w:spacing w:before="15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100t/a</w:t>
            </w:r>
          </w:p>
        </w:tc>
        <w:tc>
          <w:tcPr>
            <w:tcW w:w="714" w:type="dxa"/>
            <w:vAlign w:val="top"/>
            <w:tcBorders>
              <w:right w:val="nil"/>
            </w:tcBorders>
          </w:tcPr>
          <w:p>
            <w:pPr>
              <w:ind w:left="327"/>
              <w:spacing w:before="15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84" w:hRule="atLeast"/>
        </w:trPr>
        <w:tc>
          <w:tcPr>
            <w:tcW w:w="774" w:type="dxa"/>
            <w:vAlign w:val="top"/>
            <w:tcBorders>
              <w:bottom w:val="single" w:color="000000" w:sz="10" w:space="0"/>
              <w:left w:val="nil"/>
            </w:tcBorders>
          </w:tcPr>
          <w:p>
            <w:pPr>
              <w:ind w:left="336"/>
              <w:spacing w:before="16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642" w:type="dxa"/>
            <w:vAlign w:val="top"/>
            <w:tcBorders>
              <w:bottom w:val="single" w:color="000000" w:sz="10" w:space="0"/>
            </w:tcBorders>
          </w:tcPr>
          <w:p>
            <w:pPr>
              <w:pStyle w:val="TableText"/>
              <w:ind w:left="407"/>
              <w:spacing w:before="129" w:line="226" w:lineRule="auto"/>
              <w:rPr>
                <w:sz w:val="20"/>
                <w:szCs w:val="20"/>
              </w:rPr>
            </w:pPr>
            <w:r>
              <w:rPr>
                <w:sz w:val="20"/>
                <w:szCs w:val="20"/>
                <w:spacing w:val="7"/>
              </w:rPr>
              <w:t>农用地膜</w:t>
            </w:r>
          </w:p>
        </w:tc>
        <w:tc>
          <w:tcPr>
            <w:tcW w:w="2163" w:type="dxa"/>
            <w:vAlign w:val="top"/>
            <w:tcBorders>
              <w:bottom w:val="single" w:color="000000" w:sz="10" w:space="0"/>
            </w:tcBorders>
          </w:tcPr>
          <w:p>
            <w:pPr>
              <w:ind w:left="929"/>
              <w:spacing w:before="16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0t/a</w:t>
            </w:r>
          </w:p>
        </w:tc>
        <w:tc>
          <w:tcPr>
            <w:tcW w:w="1983" w:type="dxa"/>
            <w:vAlign w:val="top"/>
            <w:tcBorders>
              <w:bottom w:val="single" w:color="000000" w:sz="10" w:space="0"/>
            </w:tcBorders>
          </w:tcPr>
          <w:p>
            <w:pPr>
              <w:ind w:left="737"/>
              <w:spacing w:before="16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500t/a</w:t>
            </w:r>
          </w:p>
        </w:tc>
        <w:tc>
          <w:tcPr>
            <w:tcW w:w="1242" w:type="dxa"/>
            <w:vAlign w:val="top"/>
            <w:tcBorders>
              <w:bottom w:val="single" w:color="000000" w:sz="10" w:space="0"/>
            </w:tcBorders>
          </w:tcPr>
          <w:p>
            <w:pPr>
              <w:ind w:left="367"/>
              <w:spacing w:before="16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500t/a</w:t>
            </w:r>
          </w:p>
        </w:tc>
        <w:tc>
          <w:tcPr>
            <w:tcW w:w="714" w:type="dxa"/>
            <w:vAlign w:val="top"/>
            <w:tcBorders>
              <w:bottom w:val="single" w:color="000000" w:sz="10" w:space="0"/>
              <w:right w:val="nil"/>
            </w:tcBorders>
          </w:tcPr>
          <w:p>
            <w:pPr>
              <w:ind w:left="327"/>
              <w:spacing w:before="16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bl>
    <w:p>
      <w:pPr>
        <w:pStyle w:val="BodyText"/>
        <w:spacing w:line="336" w:lineRule="auto"/>
        <w:rPr/>
      </w:pPr>
      <w:r/>
    </w:p>
    <w:p>
      <w:pPr>
        <w:pStyle w:val="BodyText"/>
        <w:spacing w:line="337" w:lineRule="auto"/>
        <w:rPr/>
      </w:pPr>
      <w:r/>
    </w:p>
    <w:p>
      <w:pPr>
        <w:ind w:left="117"/>
        <w:spacing w:before="91" w:line="219" w:lineRule="auto"/>
        <w:outlineLvl w:val="0"/>
        <w:rPr>
          <w:rFonts w:ascii="SimSun" w:hAnsi="SimSun" w:eastAsia="SimSun" w:cs="SimSun"/>
          <w:sz w:val="28"/>
          <w:szCs w:val="28"/>
        </w:rPr>
      </w:pPr>
      <w:r>
        <w:rPr>
          <w:rFonts w:ascii="Times New Roman" w:hAnsi="Times New Roman" w:eastAsia="Times New Roman" w:cs="Times New Roman"/>
          <w:sz w:val="28"/>
          <w:szCs w:val="28"/>
          <w:b/>
          <w:bCs/>
          <w:spacing w:val="1"/>
        </w:rPr>
        <w:t>s</w:t>
      </w:r>
      <w:r>
        <w:rPr>
          <w:rFonts w:ascii="Times New Roman" w:hAnsi="Times New Roman" w:eastAsia="Times New Roman" w:cs="Times New Roman"/>
          <w:sz w:val="28"/>
          <w:szCs w:val="28"/>
          <w:b/>
          <w:bCs/>
          <w:spacing w:val="-40"/>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
        </w:rPr>
        <w:t>、结合现有工程挥发性有机物污染治理设施</w:t>
      </w:r>
      <w:r>
        <w:rPr>
          <w:rFonts w:ascii="SimSun" w:hAnsi="SimSun" w:eastAsia="SimSun" w:cs="SimSun"/>
          <w:sz w:val="28"/>
          <w:szCs w:val="28"/>
          <w14:textOutline w14:w="5103" w14:cap="sq" w14:cmpd="sng">
            <w14:solidFill>
              <w14:srgbClr w14:val="000000"/>
            </w14:solidFill>
            <w14:prstDash w14:val="solid"/>
            <w14:bevel/>
          </w14:textOutline>
        </w:rPr>
        <w:t>情况，完善现有工程环</w:t>
      </w:r>
    </w:p>
    <w:p>
      <w:pPr>
        <w:ind w:left="120"/>
        <w:spacing w:before="227" w:line="561" w:lineRule="exact"/>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4"/>
          <w:position w:val="21"/>
        </w:rPr>
        <w:t>境问题的调查及整改措施。结合项目厂区周边分布情况，完善生态环</w:t>
      </w:r>
    </w:p>
    <w:p>
      <w:pPr>
        <w:ind w:left="120"/>
        <w:spacing w:before="2" w:line="219"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境保护目标的调查内容。</w:t>
      </w:r>
    </w:p>
    <w:p>
      <w:pPr>
        <w:ind w:left="623"/>
        <w:spacing w:before="213" w:line="499" w:lineRule="exact"/>
        <w:rPr>
          <w:rFonts w:ascii="Times New Roman" w:hAnsi="Times New Roman" w:eastAsia="Times New Roman" w:cs="Times New Roman"/>
          <w:sz w:val="24"/>
          <w:szCs w:val="24"/>
        </w:rPr>
      </w:pPr>
      <w:r>
        <w:rPr>
          <w:rFonts w:ascii="SimSun" w:hAnsi="SimSun" w:eastAsia="SimSun" w:cs="SimSun"/>
          <w:sz w:val="24"/>
          <w:szCs w:val="24"/>
          <w:spacing w:val="-2"/>
          <w:position w:val="19"/>
        </w:rPr>
        <w:t>已修改，“</w:t>
      </w:r>
      <w:r>
        <w:rPr>
          <w:rFonts w:ascii="SimSun" w:hAnsi="SimSun" w:eastAsia="SimSun" w:cs="SimSun"/>
          <w:sz w:val="24"/>
          <w:szCs w:val="24"/>
          <w14:textOutline w14:w="4358" w14:cap="sq" w14:cmpd="sng">
            <w14:solidFill>
              <w14:srgbClr w14:val="000000"/>
            </w14:solidFill>
            <w14:prstDash w14:val="solid"/>
            <w14:bevel/>
          </w14:textOutline>
          <w:spacing w:val="-2"/>
          <w:position w:val="19"/>
        </w:rPr>
        <w:t>结合现有工程挥发性有机物污染治理设施情况</w:t>
      </w:r>
      <w:r>
        <w:rPr>
          <w:rFonts w:ascii="SimSun" w:hAnsi="SimSun" w:eastAsia="SimSun" w:cs="SimSun"/>
          <w:sz w:val="24"/>
          <w:szCs w:val="24"/>
          <w:spacing w:val="-75"/>
          <w:position w:val="19"/>
        </w:rPr>
        <w:t xml:space="preserve"> </w:t>
      </w:r>
      <w:r>
        <w:rPr>
          <w:rFonts w:ascii="SimSun" w:hAnsi="SimSun" w:eastAsia="SimSun" w:cs="SimSun"/>
          <w:sz w:val="24"/>
          <w:szCs w:val="24"/>
          <w:spacing w:val="-2"/>
          <w:position w:val="19"/>
        </w:rPr>
        <w:t>”修改见</w:t>
      </w:r>
      <w:r>
        <w:rPr>
          <w:rFonts w:ascii="Times New Roman" w:hAnsi="Times New Roman" w:eastAsia="Times New Roman" w:cs="Times New Roman"/>
          <w:sz w:val="24"/>
          <w:szCs w:val="24"/>
          <w:spacing w:val="-2"/>
          <w:position w:val="19"/>
        </w:rPr>
        <w:t>P28</w:t>
      </w:r>
    </w:p>
    <w:p>
      <w:pPr>
        <w:ind w:left="593"/>
        <w:spacing w:line="220" w:lineRule="auto"/>
        <w:rPr>
          <w:rFonts w:ascii="SimSun" w:hAnsi="SimSun" w:eastAsia="SimSun" w:cs="SimSun"/>
          <w:sz w:val="24"/>
          <w:szCs w:val="24"/>
        </w:rPr>
      </w:pPr>
      <w:r>
        <w:rPr>
          <w:rFonts w:ascii="Times New Roman" w:hAnsi="Times New Roman" w:eastAsia="Times New Roman" w:cs="Times New Roman"/>
          <w:sz w:val="24"/>
          <w:szCs w:val="24"/>
          <w:spacing w:val="-1"/>
        </w:rPr>
        <w:t>2.11.4  </w:t>
      </w:r>
      <w:r>
        <w:rPr>
          <w:rFonts w:ascii="SimSun" w:hAnsi="SimSun" w:eastAsia="SimSun" w:cs="SimSun"/>
          <w:sz w:val="24"/>
          <w:szCs w:val="24"/>
          <w:spacing w:val="-1"/>
        </w:rPr>
        <w:t>现有工程废气污染治理设施情况及合规性分析</w:t>
      </w:r>
    </w:p>
    <w:p>
      <w:pPr>
        <w:ind w:left="118" w:right="104" w:firstLine="482"/>
        <w:spacing w:before="218" w:line="384" w:lineRule="auto"/>
        <w:jc w:val="both"/>
        <w:rPr>
          <w:rFonts w:ascii="SimSun" w:hAnsi="SimSun" w:eastAsia="SimSun" w:cs="SimSun"/>
          <w:sz w:val="24"/>
          <w:szCs w:val="24"/>
        </w:rPr>
      </w:pPr>
      <w:r>
        <w:rPr>
          <w:rFonts w:ascii="SimSun" w:hAnsi="SimSun" w:eastAsia="SimSun" w:cs="SimSun"/>
          <w:sz w:val="24"/>
          <w:szCs w:val="24"/>
          <w:spacing w:val="-2"/>
        </w:rPr>
        <w:t>企业现有废气治理设施采取“两级</w:t>
      </w:r>
      <w:r>
        <w:rPr>
          <w:rFonts w:ascii="Times New Roman" w:hAnsi="Times New Roman" w:eastAsia="Times New Roman" w:cs="Times New Roman"/>
          <w:sz w:val="24"/>
          <w:szCs w:val="24"/>
          <w:spacing w:val="-2"/>
        </w:rPr>
        <w:t>UV</w:t>
      </w:r>
      <w:r>
        <w:rPr>
          <w:rFonts w:ascii="SimSun" w:hAnsi="SimSun" w:eastAsia="SimSun" w:cs="SimSun"/>
          <w:sz w:val="24"/>
          <w:szCs w:val="24"/>
          <w:spacing w:val="-2"/>
        </w:rPr>
        <w:t>光氧净化装置</w:t>
      </w:r>
      <w:r>
        <w:rPr>
          <w:rFonts w:ascii="SimSun" w:hAnsi="SimSun" w:eastAsia="SimSun" w:cs="SimSun"/>
          <w:sz w:val="24"/>
          <w:szCs w:val="24"/>
          <w:spacing w:val="-70"/>
        </w:rPr>
        <w:t xml:space="preserve"> </w:t>
      </w:r>
      <w:r>
        <w:rPr>
          <w:rFonts w:ascii="SimSun" w:hAnsi="SimSun" w:eastAsia="SimSun" w:cs="SimSun"/>
          <w:sz w:val="24"/>
          <w:szCs w:val="24"/>
          <w:spacing w:val="-2"/>
        </w:rPr>
        <w:t>”处理，根据《排污许</w:t>
      </w:r>
      <w:r>
        <w:rPr>
          <w:rFonts w:ascii="SimSun" w:hAnsi="SimSun" w:eastAsia="SimSun" w:cs="SimSun"/>
          <w:sz w:val="24"/>
          <w:szCs w:val="24"/>
        </w:rPr>
        <w:t xml:space="preserve"> </w:t>
      </w:r>
      <w:r>
        <w:rPr>
          <w:rFonts w:ascii="SimSun" w:hAnsi="SimSun" w:eastAsia="SimSun" w:cs="SimSun"/>
          <w:sz w:val="24"/>
          <w:szCs w:val="24"/>
          <w:spacing w:val="-2"/>
        </w:rPr>
        <w:t>可证申请与核发技术规范 橡胶和塑料制品工业》（</w:t>
      </w:r>
      <w:r>
        <w:rPr>
          <w:rFonts w:ascii="Times New Roman" w:hAnsi="Times New Roman" w:eastAsia="Times New Roman" w:cs="Times New Roman"/>
          <w:sz w:val="24"/>
          <w:szCs w:val="24"/>
          <w:spacing w:val="-2"/>
        </w:rPr>
        <w:t>HJ1122-2</w:t>
      </w:r>
      <w:r>
        <w:rPr>
          <w:rFonts w:ascii="Times New Roman" w:hAnsi="Times New Roman" w:eastAsia="Times New Roman" w:cs="Times New Roman"/>
          <w:sz w:val="24"/>
          <w:szCs w:val="24"/>
          <w:spacing w:val="-3"/>
        </w:rPr>
        <w:t>020</w:t>
      </w:r>
      <w:r>
        <w:rPr>
          <w:rFonts w:ascii="SimSun" w:hAnsi="SimSun" w:eastAsia="SimSun" w:cs="SimSun"/>
          <w:sz w:val="24"/>
          <w:szCs w:val="24"/>
          <w:spacing w:val="-3"/>
        </w:rPr>
        <w:t>）可行性技术方</w:t>
      </w:r>
      <w:r>
        <w:rPr>
          <w:rFonts w:ascii="SimSun" w:hAnsi="SimSun" w:eastAsia="SimSun" w:cs="SimSun"/>
          <w:sz w:val="24"/>
          <w:szCs w:val="24"/>
        </w:rPr>
        <w:t xml:space="preserve"> </w:t>
      </w:r>
      <w:r>
        <w:rPr>
          <w:rFonts w:ascii="SimSun" w:hAnsi="SimSun" w:eastAsia="SimSun" w:cs="SimSun"/>
          <w:sz w:val="24"/>
          <w:szCs w:val="24"/>
        </w:rPr>
        <w:t>案判断，</w:t>
      </w:r>
      <w:r>
        <w:rPr>
          <w:rFonts w:ascii="Times New Roman" w:hAnsi="Times New Roman" w:eastAsia="Times New Roman" w:cs="Times New Roman"/>
          <w:sz w:val="24"/>
          <w:szCs w:val="24"/>
        </w:rPr>
        <w:t>UV</w:t>
      </w:r>
      <w:r>
        <w:rPr>
          <w:rFonts w:ascii="SimSun" w:hAnsi="SimSun" w:eastAsia="SimSun" w:cs="SimSun"/>
          <w:sz w:val="24"/>
          <w:szCs w:val="24"/>
        </w:rPr>
        <w:t>光氧属于可行性技术方案。根据企业</w:t>
      </w:r>
      <w:r>
        <w:rPr>
          <w:rFonts w:ascii="SimSun" w:hAnsi="SimSun" w:eastAsia="SimSun" w:cs="SimSun"/>
          <w:sz w:val="24"/>
          <w:szCs w:val="24"/>
          <w:spacing w:val="-1"/>
        </w:rPr>
        <w:t>现有项目竣工验收检测数据显</w:t>
      </w:r>
      <w:r>
        <w:rPr>
          <w:rFonts w:ascii="SimSun" w:hAnsi="SimSun" w:eastAsia="SimSun" w:cs="SimSun"/>
          <w:sz w:val="24"/>
          <w:szCs w:val="24"/>
        </w:rPr>
        <w:t xml:space="preserve"> </w:t>
      </w:r>
      <w:r>
        <w:rPr>
          <w:rFonts w:ascii="SimSun" w:hAnsi="SimSun" w:eastAsia="SimSun" w:cs="SimSun"/>
          <w:sz w:val="24"/>
          <w:szCs w:val="24"/>
          <w:spacing w:val="-3"/>
        </w:rPr>
        <w:t>示，经现有废气治理措施净化处理后的废气可满足《合成树脂工业污染物排放标</w:t>
      </w:r>
    </w:p>
    <w:p>
      <w:pPr>
        <w:ind w:left="119"/>
        <w:spacing w:line="219" w:lineRule="auto"/>
        <w:rPr>
          <w:rFonts w:ascii="SimSun" w:hAnsi="SimSun" w:eastAsia="SimSun" w:cs="SimSun"/>
          <w:sz w:val="24"/>
          <w:szCs w:val="24"/>
        </w:rPr>
      </w:pPr>
      <w:r>
        <w:rPr>
          <w:rFonts w:ascii="SimSun" w:hAnsi="SimSun" w:eastAsia="SimSun" w:cs="SimSun"/>
          <w:sz w:val="24"/>
          <w:szCs w:val="24"/>
          <w:spacing w:val="-1"/>
        </w:rPr>
        <w:t>准》（</w:t>
      </w:r>
      <w:r>
        <w:rPr>
          <w:rFonts w:ascii="Times New Roman" w:hAnsi="Times New Roman" w:eastAsia="Times New Roman" w:cs="Times New Roman"/>
          <w:sz w:val="24"/>
          <w:szCs w:val="24"/>
          <w:spacing w:val="-1"/>
        </w:rPr>
        <w:t>GB31572-2015</w:t>
      </w:r>
      <w:r>
        <w:rPr>
          <w:rFonts w:ascii="SimSun" w:hAnsi="SimSun" w:eastAsia="SimSun" w:cs="SimSun"/>
          <w:sz w:val="24"/>
          <w:szCs w:val="24"/>
          <w:spacing w:val="-1"/>
        </w:rPr>
        <w:t>）中表</w:t>
      </w:r>
      <w:r>
        <w:rPr>
          <w:rFonts w:ascii="Times New Roman" w:hAnsi="Times New Roman" w:eastAsia="Times New Roman" w:cs="Times New Roman"/>
          <w:sz w:val="24"/>
          <w:szCs w:val="24"/>
          <w:spacing w:val="-1"/>
        </w:rPr>
        <w:t>5</w:t>
      </w:r>
      <w:r>
        <w:rPr>
          <w:rFonts w:ascii="SimSun" w:hAnsi="SimSun" w:eastAsia="SimSun" w:cs="SimSun"/>
          <w:sz w:val="24"/>
          <w:szCs w:val="24"/>
          <w:spacing w:val="-1"/>
        </w:rPr>
        <w:t>大气污染物特别排放限值。</w:t>
      </w:r>
    </w:p>
    <w:p>
      <w:pPr>
        <w:ind w:left="109" w:right="104" w:firstLine="488"/>
        <w:spacing w:before="214" w:line="385" w:lineRule="auto"/>
        <w:jc w:val="both"/>
        <w:rPr>
          <w:rFonts w:ascii="SimSun" w:hAnsi="SimSun" w:eastAsia="SimSun" w:cs="SimSun"/>
          <w:sz w:val="24"/>
          <w:szCs w:val="24"/>
        </w:rPr>
      </w:pPr>
      <w:r>
        <w:rPr>
          <w:rFonts w:ascii="SimSun" w:hAnsi="SimSun" w:eastAsia="SimSun" w:cs="SimSun"/>
          <w:sz w:val="24"/>
          <w:szCs w:val="24"/>
          <w:spacing w:val="-3"/>
        </w:rPr>
        <w:t>根据《关于加快解决当前挥发性有机物治理突出问题的通知》，</w:t>
      </w:r>
      <w:r>
        <w:rPr>
          <w:rFonts w:ascii="SimSun" w:hAnsi="SimSun" w:eastAsia="SimSun" w:cs="SimSun"/>
          <w:sz w:val="24"/>
          <w:szCs w:val="24"/>
          <w:spacing w:val="-4"/>
        </w:rPr>
        <w:t>不建议使用</w:t>
      </w:r>
      <w:r>
        <w:rPr>
          <w:rFonts w:ascii="SimSun" w:hAnsi="SimSun" w:eastAsia="SimSun" w:cs="SimSun"/>
          <w:sz w:val="24"/>
          <w:szCs w:val="24"/>
        </w:rPr>
        <w:t xml:space="preserve"> </w:t>
      </w:r>
      <w:r>
        <w:rPr>
          <w:rFonts w:ascii="Times New Roman" w:hAnsi="Times New Roman" w:eastAsia="Times New Roman" w:cs="Times New Roman"/>
          <w:sz w:val="24"/>
          <w:szCs w:val="24"/>
          <w:spacing w:val="-6"/>
        </w:rPr>
        <w:t>UV</w:t>
      </w:r>
      <w:r>
        <w:rPr>
          <w:rFonts w:ascii="SimSun" w:hAnsi="SimSun" w:eastAsia="SimSun" w:cs="SimSun"/>
          <w:sz w:val="24"/>
          <w:szCs w:val="24"/>
          <w:spacing w:val="-6"/>
        </w:rPr>
        <w:t>光氧净化装置处理除恶臭气体以外废气。因此，现有废气处理装置不满足《关</w:t>
      </w:r>
    </w:p>
    <w:p>
      <w:pPr>
        <w:ind w:right="11"/>
        <w:spacing w:before="1" w:line="218" w:lineRule="auto"/>
        <w:jc w:val="right"/>
        <w:rPr>
          <w:rFonts w:ascii="SimSun" w:hAnsi="SimSun" w:eastAsia="SimSun" w:cs="SimSun"/>
          <w:sz w:val="24"/>
          <w:szCs w:val="24"/>
        </w:rPr>
      </w:pPr>
      <w:r>
        <w:rPr>
          <w:rFonts w:ascii="SimSun" w:hAnsi="SimSun" w:eastAsia="SimSun" w:cs="SimSun"/>
          <w:sz w:val="24"/>
          <w:szCs w:val="24"/>
        </w:rPr>
        <w:t>于加快解决当前挥发性有机物治理突出问题的</w:t>
      </w:r>
      <w:r>
        <w:rPr>
          <w:rFonts w:ascii="SimSun" w:hAnsi="SimSun" w:eastAsia="SimSun" w:cs="SimSun"/>
          <w:sz w:val="24"/>
          <w:szCs w:val="24"/>
          <w:spacing w:val="-1"/>
        </w:rPr>
        <w:t>通知》相关要求，建议进行整改。</w:t>
      </w:r>
    </w:p>
    <w:p>
      <w:pPr>
        <w:pStyle w:val="BodyText"/>
        <w:spacing w:line="317" w:lineRule="auto"/>
        <w:rPr/>
      </w:pPr>
      <w:r/>
    </w:p>
    <w:p>
      <w:pPr>
        <w:pStyle w:val="BodyText"/>
        <w:spacing w:line="317" w:lineRule="auto"/>
        <w:rPr/>
      </w:pPr>
      <w:r/>
    </w:p>
    <w:p>
      <w:pPr>
        <w:ind w:left="585"/>
        <w:spacing w:before="79" w:line="499" w:lineRule="exact"/>
        <w:rPr>
          <w:rFonts w:ascii="Times New Roman" w:hAnsi="Times New Roman" w:eastAsia="Times New Roman" w:cs="Times New Roman"/>
          <w:sz w:val="24"/>
          <w:szCs w:val="24"/>
        </w:rPr>
      </w:pPr>
      <w:r>
        <w:rPr>
          <w:rFonts w:ascii="SimSun" w:hAnsi="SimSun" w:eastAsia="SimSun" w:cs="SimSun"/>
          <w:sz w:val="24"/>
          <w:szCs w:val="24"/>
          <w:spacing w:val="-1"/>
          <w:position w:val="19"/>
        </w:rPr>
        <w:t>“</w:t>
      </w:r>
      <w:r>
        <w:rPr>
          <w:rFonts w:ascii="SimSun" w:hAnsi="SimSun" w:eastAsia="SimSun" w:cs="SimSun"/>
          <w:sz w:val="24"/>
          <w:szCs w:val="24"/>
          <w14:textOutline w14:w="4358" w14:cap="sq" w14:cmpd="sng">
            <w14:solidFill>
              <w14:srgbClr w14:val="000000"/>
            </w14:solidFill>
            <w14:prstDash w14:val="solid"/>
            <w14:bevel/>
          </w14:textOutline>
          <w:spacing w:val="-1"/>
          <w:position w:val="19"/>
        </w:rPr>
        <w:t>完善现有工程环境问题的调查及整改措施</w:t>
      </w:r>
      <w:r>
        <w:rPr>
          <w:rFonts w:ascii="SimSun" w:hAnsi="SimSun" w:eastAsia="SimSun" w:cs="SimSun"/>
          <w:sz w:val="24"/>
          <w:szCs w:val="24"/>
          <w:spacing w:val="-75"/>
          <w:position w:val="19"/>
        </w:rPr>
        <w:t xml:space="preserve"> </w:t>
      </w:r>
      <w:r>
        <w:rPr>
          <w:rFonts w:ascii="SimSun" w:hAnsi="SimSun" w:eastAsia="SimSun" w:cs="SimSun"/>
          <w:sz w:val="24"/>
          <w:szCs w:val="24"/>
          <w:spacing w:val="-1"/>
          <w:position w:val="19"/>
        </w:rPr>
        <w:t>”修改见</w:t>
      </w:r>
      <w:r>
        <w:rPr>
          <w:rFonts w:ascii="Times New Roman" w:hAnsi="Times New Roman" w:eastAsia="Times New Roman" w:cs="Times New Roman"/>
          <w:sz w:val="24"/>
          <w:szCs w:val="24"/>
          <w:spacing w:val="-1"/>
          <w:position w:val="19"/>
        </w:rPr>
        <w:t>P29</w:t>
      </w:r>
    </w:p>
    <w:p>
      <w:pPr>
        <w:ind w:left="608"/>
        <w:spacing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）现有项目废气处理装置效率低</w:t>
      </w:r>
    </w:p>
    <w:p>
      <w:pPr>
        <w:ind w:left="601"/>
        <w:spacing w:before="214" w:line="219" w:lineRule="auto"/>
        <w:rPr>
          <w:rFonts w:ascii="SimSun" w:hAnsi="SimSun" w:eastAsia="SimSun" w:cs="SimSun"/>
          <w:sz w:val="24"/>
          <w:szCs w:val="24"/>
        </w:rPr>
      </w:pPr>
      <w:r>
        <w:rPr>
          <w:rFonts w:ascii="SimSun" w:hAnsi="SimSun" w:eastAsia="SimSun" w:cs="SimSun"/>
          <w:sz w:val="24"/>
          <w:szCs w:val="24"/>
          <w:spacing w:val="-1"/>
        </w:rPr>
        <w:t>企业现有项目废气采取两级</w:t>
      </w:r>
      <w:r>
        <w:rPr>
          <w:rFonts w:ascii="Times New Roman" w:hAnsi="Times New Roman" w:eastAsia="Times New Roman" w:cs="Times New Roman"/>
          <w:sz w:val="24"/>
          <w:szCs w:val="24"/>
          <w:spacing w:val="-1"/>
        </w:rPr>
        <w:t>UV</w:t>
      </w:r>
      <w:r>
        <w:rPr>
          <w:rFonts w:ascii="SimSun" w:hAnsi="SimSun" w:eastAsia="SimSun" w:cs="SimSun"/>
          <w:sz w:val="24"/>
          <w:szCs w:val="24"/>
          <w:spacing w:val="-1"/>
        </w:rPr>
        <w:t>光氧净化装置。根据《关于加快解决当前挥</w:t>
      </w:r>
    </w:p>
    <w:p>
      <w:pPr>
        <w:spacing w:line="219" w:lineRule="auto"/>
        <w:sectPr>
          <w:footerReference w:type="default" r:id="rId121"/>
          <w:pgSz w:w="11906" w:h="16839"/>
          <w:pgMar w:top="400" w:right="1695" w:bottom="1211" w:left="1691" w:header="0" w:footer="1049" w:gutter="0"/>
        </w:sectPr>
        <w:rPr>
          <w:rFonts w:ascii="SimSun" w:hAnsi="SimSun" w:eastAsia="SimSun" w:cs="SimSun"/>
          <w:sz w:val="24"/>
          <w:szCs w:val="24"/>
        </w:rPr>
      </w:pPr>
    </w:p>
    <w:p>
      <w:pPr>
        <w:pStyle w:val="BodyText"/>
        <w:spacing w:line="288" w:lineRule="auto"/>
        <w:rPr/>
      </w:pPr>
      <w:r/>
    </w:p>
    <w:p>
      <w:pPr>
        <w:pStyle w:val="BodyText"/>
        <w:spacing w:line="288" w:lineRule="auto"/>
        <w:rPr/>
      </w:pPr>
      <w:r/>
    </w:p>
    <w:p>
      <w:pPr>
        <w:pStyle w:val="BodyText"/>
        <w:spacing w:line="288" w:lineRule="auto"/>
        <w:rPr/>
      </w:pPr>
      <w:r/>
    </w:p>
    <w:p>
      <w:pPr>
        <w:pStyle w:val="BodyText"/>
        <w:spacing w:line="288" w:lineRule="auto"/>
        <w:rPr/>
      </w:pPr>
      <w:r/>
    </w:p>
    <w:p>
      <w:pPr>
        <w:ind w:left="115" w:right="43" w:firstLine="3"/>
        <w:spacing w:before="78" w:line="384" w:lineRule="auto"/>
        <w:jc w:val="both"/>
        <w:rPr>
          <w:rFonts w:ascii="SimSun" w:hAnsi="SimSun" w:eastAsia="SimSun" w:cs="SimSun"/>
          <w:sz w:val="24"/>
          <w:szCs w:val="24"/>
        </w:rPr>
      </w:pPr>
      <w:r>
        <w:rPr>
          <w:rFonts w:ascii="SimSun" w:hAnsi="SimSun" w:eastAsia="SimSun" w:cs="SimSun"/>
          <w:sz w:val="24"/>
          <w:szCs w:val="24"/>
          <w:spacing w:val="-8"/>
        </w:rPr>
        <w:t>发性有机物治理突出问题的通知》，“新建治理设施或对现有治理设施实施改造，</w:t>
      </w:r>
      <w:r>
        <w:rPr>
          <w:rFonts w:ascii="SimSun" w:hAnsi="SimSun" w:eastAsia="SimSun" w:cs="SimSun"/>
          <w:sz w:val="24"/>
          <w:szCs w:val="24"/>
          <w:spacing w:val="1"/>
        </w:rPr>
        <w:t xml:space="preserve"> </w:t>
      </w:r>
      <w:r>
        <w:rPr>
          <w:rFonts w:ascii="SimSun" w:hAnsi="SimSun" w:eastAsia="SimSun" w:cs="SimSun"/>
          <w:sz w:val="24"/>
          <w:szCs w:val="24"/>
          <w:spacing w:val="-1"/>
        </w:rPr>
        <w:t>应依据排放废气特征、</w:t>
      </w:r>
      <w:r>
        <w:rPr>
          <w:rFonts w:ascii="Times New Roman" w:hAnsi="Times New Roman" w:eastAsia="Times New Roman" w:cs="Times New Roman"/>
          <w:sz w:val="24"/>
          <w:szCs w:val="24"/>
          <w:spacing w:val="-1"/>
        </w:rPr>
        <w:t>VOCs</w:t>
      </w:r>
      <w:r>
        <w:rPr>
          <w:rFonts w:ascii="SimSun" w:hAnsi="SimSun" w:eastAsia="SimSun" w:cs="SimSun"/>
          <w:sz w:val="24"/>
          <w:szCs w:val="24"/>
          <w:spacing w:val="-1"/>
        </w:rPr>
        <w:t>组分及浓度、生产工况等，合理选择治理技术；对 </w:t>
      </w:r>
      <w:r>
        <w:rPr>
          <w:rFonts w:ascii="SimSun" w:hAnsi="SimSun" w:eastAsia="SimSun" w:cs="SimSun"/>
          <w:sz w:val="24"/>
          <w:szCs w:val="24"/>
          <w:spacing w:val="-3"/>
        </w:rPr>
        <w:t>治理难度大、单一治理工艺难以稳定达标的，宜采用多种技术的组合工艺；除恶</w:t>
      </w:r>
      <w:r>
        <w:rPr>
          <w:rFonts w:ascii="SimSun" w:hAnsi="SimSun" w:eastAsia="SimSun" w:cs="SimSun"/>
          <w:sz w:val="24"/>
          <w:szCs w:val="24"/>
          <w:spacing w:val="1"/>
        </w:rPr>
        <w:t xml:space="preserve"> </w:t>
      </w:r>
      <w:r>
        <w:rPr>
          <w:rFonts w:ascii="SimSun" w:hAnsi="SimSun" w:eastAsia="SimSun" w:cs="SimSun"/>
          <w:sz w:val="24"/>
          <w:szCs w:val="24"/>
          <w:spacing w:val="-4"/>
        </w:rPr>
        <w:t>臭异味治理外，一般不使用低温等离子、光催化、光氧化等技术</w:t>
      </w:r>
      <w:r>
        <w:rPr>
          <w:rFonts w:ascii="SimSun" w:hAnsi="SimSun" w:eastAsia="SimSun" w:cs="SimSun"/>
          <w:sz w:val="24"/>
          <w:szCs w:val="24"/>
          <w:spacing w:val="-84"/>
        </w:rPr>
        <w:t xml:space="preserve"> </w:t>
      </w:r>
      <w:r>
        <w:rPr>
          <w:rFonts w:ascii="SimSun" w:hAnsi="SimSun" w:eastAsia="SimSun" w:cs="SimSun"/>
          <w:sz w:val="24"/>
          <w:szCs w:val="24"/>
          <w:spacing w:val="-4"/>
        </w:rPr>
        <w:t>”。企业现有废</w:t>
      </w:r>
      <w:r>
        <w:rPr>
          <w:rFonts w:ascii="SimSun" w:hAnsi="SimSun" w:eastAsia="SimSun" w:cs="SimSun"/>
          <w:sz w:val="24"/>
          <w:szCs w:val="24"/>
        </w:rPr>
        <w:t xml:space="preserve"> </w:t>
      </w:r>
      <w:r>
        <w:rPr>
          <w:rFonts w:ascii="SimSun" w:hAnsi="SimSun" w:eastAsia="SimSun" w:cs="SimSun"/>
          <w:sz w:val="24"/>
          <w:szCs w:val="24"/>
          <w:spacing w:val="-3"/>
        </w:rPr>
        <w:t>气治理装置不符合《关于加快解决当前挥发性有机物治理突出问题的通知》文件</w:t>
      </w:r>
    </w:p>
    <w:p>
      <w:pPr>
        <w:ind w:left="115"/>
        <w:spacing w:line="220" w:lineRule="auto"/>
        <w:rPr>
          <w:rFonts w:ascii="SimSun" w:hAnsi="SimSun" w:eastAsia="SimSun" w:cs="SimSun"/>
          <w:sz w:val="24"/>
          <w:szCs w:val="24"/>
        </w:rPr>
      </w:pPr>
      <w:r>
        <w:rPr>
          <w:rFonts w:ascii="SimSun" w:hAnsi="SimSun" w:eastAsia="SimSun" w:cs="SimSun"/>
          <w:sz w:val="24"/>
          <w:szCs w:val="24"/>
          <w:spacing w:val="-2"/>
        </w:rPr>
        <w:t>相关要求。</w:t>
      </w:r>
    </w:p>
    <w:p>
      <w:pPr>
        <w:ind w:left="115" w:right="104" w:firstLine="480"/>
        <w:spacing w:before="217" w:line="384" w:lineRule="auto"/>
        <w:rPr>
          <w:rFonts w:ascii="SimSun" w:hAnsi="SimSun" w:eastAsia="SimSun" w:cs="SimSun"/>
          <w:sz w:val="24"/>
          <w:szCs w:val="24"/>
        </w:rPr>
      </w:pPr>
      <w:r>
        <w:rPr>
          <w:rFonts w:ascii="SimSun" w:hAnsi="SimSun" w:eastAsia="SimSun" w:cs="SimSun"/>
          <w:sz w:val="24"/>
          <w:szCs w:val="24"/>
          <w:spacing w:val="-3"/>
        </w:rPr>
        <w:t>整改措施：本项目建设完成后，建议企业将现有项目生产过程</w:t>
      </w:r>
      <w:r>
        <w:rPr>
          <w:rFonts w:ascii="SimSun" w:hAnsi="SimSun" w:eastAsia="SimSun" w:cs="SimSun"/>
          <w:sz w:val="24"/>
          <w:szCs w:val="24"/>
          <w:spacing w:val="-4"/>
        </w:rPr>
        <w:t>中产生的废气</w:t>
      </w:r>
      <w:r>
        <w:rPr>
          <w:rFonts w:ascii="SimSun" w:hAnsi="SimSun" w:eastAsia="SimSun" w:cs="SimSun"/>
          <w:sz w:val="24"/>
          <w:szCs w:val="24"/>
        </w:rPr>
        <w:t xml:space="preserve"> </w:t>
      </w:r>
      <w:r>
        <w:rPr>
          <w:rFonts w:ascii="SimSun" w:hAnsi="SimSun" w:eastAsia="SimSun" w:cs="SimSun"/>
          <w:sz w:val="24"/>
          <w:szCs w:val="24"/>
        </w:rPr>
        <w:t>集中收集，通入本项目废气治理装置处理。本项目采</w:t>
      </w:r>
      <w:r>
        <w:rPr>
          <w:rFonts w:ascii="SimSun" w:hAnsi="SimSun" w:eastAsia="SimSun" w:cs="SimSun"/>
          <w:sz w:val="24"/>
          <w:szCs w:val="24"/>
          <w:spacing w:val="-1"/>
        </w:rPr>
        <w:t>用“活性炭吸附</w:t>
      </w:r>
      <w:r>
        <w:rPr>
          <w:rFonts w:ascii="Times New Roman" w:hAnsi="Times New Roman" w:eastAsia="Times New Roman" w:cs="Times New Roman"/>
          <w:sz w:val="24"/>
          <w:szCs w:val="24"/>
          <w:spacing w:val="-1"/>
        </w:rPr>
        <w:t>+</w:t>
      </w:r>
      <w:r>
        <w:rPr>
          <w:rFonts w:ascii="SimSun" w:hAnsi="SimSun" w:eastAsia="SimSun" w:cs="SimSun"/>
          <w:sz w:val="24"/>
          <w:szCs w:val="24"/>
          <w:spacing w:val="-1"/>
        </w:rPr>
        <w:t>催化燃烧</w:t>
      </w:r>
      <w:r>
        <w:rPr>
          <w:rFonts w:ascii="SimSun" w:hAnsi="SimSun" w:eastAsia="SimSun" w:cs="SimSun"/>
          <w:sz w:val="24"/>
          <w:szCs w:val="24"/>
        </w:rPr>
        <w:t xml:space="preserve"> </w:t>
      </w:r>
      <w:r>
        <w:rPr>
          <w:rFonts w:ascii="SimSun" w:hAnsi="SimSun" w:eastAsia="SimSun" w:cs="SimSun"/>
          <w:sz w:val="24"/>
          <w:szCs w:val="24"/>
          <w:spacing w:val="-4"/>
        </w:rPr>
        <w:t>装置</w:t>
      </w:r>
      <w:r>
        <w:rPr>
          <w:rFonts w:ascii="SimSun" w:hAnsi="SimSun" w:eastAsia="SimSun" w:cs="SimSun"/>
          <w:sz w:val="24"/>
          <w:szCs w:val="24"/>
          <w:spacing w:val="-84"/>
        </w:rPr>
        <w:t xml:space="preserve"> </w:t>
      </w:r>
      <w:r>
        <w:rPr>
          <w:rFonts w:ascii="SimSun" w:hAnsi="SimSun" w:eastAsia="SimSun" w:cs="SimSun"/>
          <w:sz w:val="24"/>
          <w:szCs w:val="24"/>
          <w:spacing w:val="-4"/>
        </w:rPr>
        <w:t>”处理，采取的废气治理措施符合《关于加快解决当前挥发性有机物治理突</w:t>
      </w:r>
      <w:r>
        <w:rPr>
          <w:rFonts w:ascii="SimSun" w:hAnsi="SimSun" w:eastAsia="SimSun" w:cs="SimSun"/>
          <w:sz w:val="24"/>
          <w:szCs w:val="24"/>
        </w:rPr>
        <w:t xml:space="preserve"> </w:t>
      </w:r>
      <w:r>
        <w:rPr>
          <w:rFonts w:ascii="SimSun" w:hAnsi="SimSun" w:eastAsia="SimSun" w:cs="SimSun"/>
          <w:sz w:val="24"/>
          <w:szCs w:val="24"/>
        </w:rPr>
        <w:t>出问题的通知》要求，属于《排污许可证申请与核发技</w:t>
      </w:r>
      <w:r>
        <w:rPr>
          <w:rFonts w:ascii="SimSun" w:hAnsi="SimSun" w:eastAsia="SimSun" w:cs="SimSun"/>
          <w:sz w:val="24"/>
          <w:szCs w:val="24"/>
          <w:spacing w:val="-1"/>
        </w:rPr>
        <w:t>术规范 橡胶和塑料制品</w:t>
      </w:r>
    </w:p>
    <w:p>
      <w:pPr>
        <w:ind w:left="118"/>
        <w:spacing w:line="219" w:lineRule="auto"/>
        <w:rPr>
          <w:rFonts w:ascii="SimSun" w:hAnsi="SimSun" w:eastAsia="SimSun" w:cs="SimSun"/>
          <w:sz w:val="24"/>
          <w:szCs w:val="24"/>
        </w:rPr>
      </w:pPr>
      <w:r>
        <w:rPr>
          <w:rFonts w:ascii="SimSun" w:hAnsi="SimSun" w:eastAsia="SimSun" w:cs="SimSun"/>
          <w:sz w:val="24"/>
          <w:szCs w:val="24"/>
          <w:spacing w:val="-1"/>
        </w:rPr>
        <w:t>工业》（</w:t>
      </w:r>
      <w:r>
        <w:rPr>
          <w:rFonts w:ascii="Times New Roman" w:hAnsi="Times New Roman" w:eastAsia="Times New Roman" w:cs="Times New Roman"/>
          <w:sz w:val="24"/>
          <w:szCs w:val="24"/>
          <w:spacing w:val="-1"/>
        </w:rPr>
        <w:t>HJ1122-2020</w:t>
      </w:r>
      <w:r>
        <w:rPr>
          <w:rFonts w:ascii="SimSun" w:hAnsi="SimSun" w:eastAsia="SimSun" w:cs="SimSun"/>
          <w:sz w:val="24"/>
          <w:szCs w:val="24"/>
          <w:spacing w:val="-1"/>
        </w:rPr>
        <w:t>）可行性技</w:t>
      </w:r>
      <w:r>
        <w:rPr>
          <w:rFonts w:ascii="SimSun" w:hAnsi="SimSun" w:eastAsia="SimSun" w:cs="SimSun"/>
          <w:sz w:val="24"/>
          <w:szCs w:val="24"/>
          <w:spacing w:val="-2"/>
        </w:rPr>
        <w:t>术。</w:t>
      </w:r>
    </w:p>
    <w:p>
      <w:pPr>
        <w:ind w:left="606"/>
        <w:spacing w:before="214"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）危险废物标识牌错误</w:t>
      </w:r>
    </w:p>
    <w:p>
      <w:pPr>
        <w:spacing w:before="217" w:line="499" w:lineRule="exact"/>
        <w:jc w:val="right"/>
        <w:rPr>
          <w:rFonts w:ascii="SimSun" w:hAnsi="SimSun" w:eastAsia="SimSun" w:cs="SimSun"/>
          <w:sz w:val="24"/>
          <w:szCs w:val="24"/>
        </w:rPr>
      </w:pPr>
      <w:r>
        <w:rPr>
          <w:rFonts w:ascii="SimSun" w:hAnsi="SimSun" w:eastAsia="SimSun" w:cs="SimSun"/>
          <w:sz w:val="24"/>
          <w:szCs w:val="24"/>
          <w:spacing w:val="-9"/>
          <w:position w:val="19"/>
        </w:rPr>
        <w:t>企业危险废物标识未按照《危险废物识别标志设施技术规范》（</w:t>
      </w:r>
      <w:r>
        <w:rPr>
          <w:rFonts w:ascii="Times New Roman" w:hAnsi="Times New Roman" w:eastAsia="Times New Roman" w:cs="Times New Roman"/>
          <w:sz w:val="24"/>
          <w:szCs w:val="24"/>
          <w:spacing w:val="-9"/>
          <w:position w:val="19"/>
        </w:rPr>
        <w:t>HJ1276-2022</w:t>
      </w:r>
      <w:r>
        <w:rPr>
          <w:rFonts w:ascii="SimSun" w:hAnsi="SimSun" w:eastAsia="SimSun" w:cs="SimSun"/>
          <w:sz w:val="24"/>
          <w:szCs w:val="24"/>
          <w:spacing w:val="-9"/>
          <w:position w:val="19"/>
        </w:rPr>
        <w:t>）</w:t>
      </w:r>
    </w:p>
    <w:p>
      <w:pPr>
        <w:ind w:left="116"/>
        <w:spacing w:line="219" w:lineRule="auto"/>
        <w:rPr>
          <w:rFonts w:ascii="SimSun" w:hAnsi="SimSun" w:eastAsia="SimSun" w:cs="SimSun"/>
          <w:sz w:val="24"/>
          <w:szCs w:val="24"/>
        </w:rPr>
      </w:pPr>
      <w:r>
        <w:rPr>
          <w:rFonts w:ascii="SimSun" w:hAnsi="SimSun" w:eastAsia="SimSun" w:cs="SimSun"/>
          <w:sz w:val="24"/>
          <w:szCs w:val="24"/>
          <w:spacing w:val="-1"/>
        </w:rPr>
        <w:t>要求进行整改，危险废物标识不满足规范要求。</w:t>
      </w:r>
    </w:p>
    <w:p>
      <w:pPr>
        <w:ind w:left="596"/>
        <w:spacing w:before="215" w:line="501" w:lineRule="exact"/>
        <w:rPr>
          <w:rFonts w:ascii="SimSun" w:hAnsi="SimSun" w:eastAsia="SimSun" w:cs="SimSun"/>
          <w:sz w:val="24"/>
          <w:szCs w:val="24"/>
        </w:rPr>
      </w:pPr>
      <w:r>
        <w:rPr>
          <w:rFonts w:ascii="SimSun" w:hAnsi="SimSun" w:eastAsia="SimSun" w:cs="SimSun"/>
          <w:sz w:val="24"/>
          <w:szCs w:val="24"/>
          <w:spacing w:val="-3"/>
          <w:position w:val="19"/>
        </w:rPr>
        <w:t>整改措施：项目建设过程中，企业对危险废物收集设施设计并</w:t>
      </w:r>
      <w:r>
        <w:rPr>
          <w:rFonts w:ascii="SimSun" w:hAnsi="SimSun" w:eastAsia="SimSun" w:cs="SimSun"/>
          <w:sz w:val="24"/>
          <w:szCs w:val="24"/>
          <w:spacing w:val="-4"/>
          <w:position w:val="19"/>
        </w:rPr>
        <w:t>张贴危险废物</w:t>
      </w:r>
    </w:p>
    <w:p>
      <w:pPr>
        <w:ind w:left="116"/>
        <w:spacing w:line="220" w:lineRule="auto"/>
        <w:rPr>
          <w:rFonts w:ascii="SimSun" w:hAnsi="SimSun" w:eastAsia="SimSun" w:cs="SimSun"/>
          <w:sz w:val="24"/>
          <w:szCs w:val="24"/>
        </w:rPr>
      </w:pPr>
      <w:r>
        <w:rPr>
          <w:rFonts w:ascii="SimSun" w:hAnsi="SimSun" w:eastAsia="SimSun" w:cs="SimSun"/>
          <w:sz w:val="24"/>
          <w:szCs w:val="24"/>
          <w:spacing w:val="-4"/>
        </w:rPr>
        <w:t>标签。</w:t>
      </w:r>
    </w:p>
    <w:p>
      <w:pPr>
        <w:ind w:left="583"/>
        <w:spacing w:before="213" w:line="541" w:lineRule="exact"/>
        <w:rPr>
          <w:rFonts w:ascii="SimSun" w:hAnsi="SimSun" w:eastAsia="SimSun" w:cs="SimSun"/>
          <w:sz w:val="24"/>
          <w:szCs w:val="24"/>
        </w:rPr>
      </w:pPr>
      <w:r>
        <w:rPr>
          <w:rFonts w:ascii="SimSun" w:hAnsi="SimSun" w:eastAsia="SimSun" w:cs="SimSun"/>
          <w:sz w:val="24"/>
          <w:szCs w:val="24"/>
          <w:spacing w:val="-4"/>
          <w:position w:val="23"/>
        </w:rPr>
        <w:t>“</w:t>
      </w:r>
      <w:r>
        <w:rPr>
          <w:rFonts w:ascii="SimSun" w:hAnsi="SimSun" w:eastAsia="SimSun" w:cs="SimSun"/>
          <w:sz w:val="24"/>
          <w:szCs w:val="24"/>
          <w14:textOutline w14:w="4358" w14:cap="sq" w14:cmpd="sng">
            <w14:solidFill>
              <w14:srgbClr w14:val="000000"/>
            </w14:solidFill>
            <w14:prstDash w14:val="solid"/>
            <w14:bevel/>
          </w14:textOutline>
          <w:spacing w:val="-4"/>
          <w:position w:val="23"/>
        </w:rPr>
        <w:t>结合项目厂区周边分布情况，完善生态环境保护目标的调查内容</w:t>
      </w:r>
      <w:r>
        <w:rPr>
          <w:rFonts w:ascii="SimSun" w:hAnsi="SimSun" w:eastAsia="SimSun" w:cs="SimSun"/>
          <w:sz w:val="24"/>
          <w:szCs w:val="24"/>
          <w:spacing w:val="-81"/>
          <w:position w:val="23"/>
        </w:rPr>
        <w:t xml:space="preserve"> </w:t>
      </w:r>
      <w:r>
        <w:rPr>
          <w:rFonts w:ascii="SimSun" w:hAnsi="SimSun" w:eastAsia="SimSun" w:cs="SimSun"/>
          <w:sz w:val="24"/>
          <w:szCs w:val="24"/>
          <w:spacing w:val="-4"/>
          <w:position w:val="23"/>
        </w:rPr>
        <w:t>”修改见</w:t>
      </w:r>
    </w:p>
    <w:p>
      <w:pPr>
        <w:ind w:left="110"/>
        <w:spacing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P35</w:t>
      </w:r>
    </w:p>
    <w:p>
      <w:pPr>
        <w:ind w:left="2879"/>
        <w:spacing w:before="93" w:line="212"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rPr>
        <w:t>表3.7-1</w:t>
      </w:r>
      <w:r>
        <w:rPr>
          <w:rFonts w:ascii="SimSun" w:hAnsi="SimSun" w:eastAsia="SimSun" w:cs="SimSun"/>
          <w:sz w:val="24"/>
          <w:szCs w:val="24"/>
        </w:rPr>
        <w:t xml:space="preserve">  </w:t>
      </w:r>
      <w:r>
        <w:rPr>
          <w:rFonts w:ascii="SimSun" w:hAnsi="SimSun" w:eastAsia="SimSun" w:cs="SimSun"/>
          <w:sz w:val="24"/>
          <w:szCs w:val="24"/>
          <w14:textOutline w14:w="4358" w14:cap="sq" w14:cmpd="sng">
            <w14:solidFill>
              <w14:srgbClr w14:val="000000"/>
            </w14:solidFill>
            <w14:prstDash w14:val="solid"/>
            <w14:bevel/>
          </w14:textOutline>
        </w:rPr>
        <w:t>环境保护目标一览表</w:t>
      </w:r>
    </w:p>
    <w:tbl>
      <w:tblPr>
        <w:tblStyle w:val="TableNormal"/>
        <w:tblW w:w="8516" w:type="dxa"/>
        <w:tblInd w:w="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88"/>
        <w:gridCol w:w="929"/>
        <w:gridCol w:w="1091"/>
        <w:gridCol w:w="750"/>
        <w:gridCol w:w="1002"/>
        <w:gridCol w:w="1298"/>
        <w:gridCol w:w="2958"/>
      </w:tblGrid>
      <w:tr>
        <w:trPr>
          <w:trHeight w:val="570" w:hRule="atLeast"/>
        </w:trPr>
        <w:tc>
          <w:tcPr>
            <w:tcW w:w="488" w:type="dxa"/>
            <w:vAlign w:val="top"/>
            <w:textDirection w:val="tbRlV"/>
            <w:tcBorders>
              <w:top w:val="single" w:color="000000" w:sz="10" w:space="0"/>
              <w:left w:val="nil"/>
            </w:tcBorders>
          </w:tcPr>
          <w:p>
            <w:pPr>
              <w:pStyle w:val="TableText"/>
              <w:ind w:left="45"/>
              <w:spacing w:before="134" w:line="218" w:lineRule="auto"/>
              <w:rPr>
                <w:sz w:val="20"/>
                <w:szCs w:val="20"/>
              </w:rPr>
            </w:pPr>
            <w:r>
              <w:rPr>
                <w:sz w:val="20"/>
                <w:szCs w:val="20"/>
                <w:spacing w:val="8"/>
              </w:rPr>
              <w:t>序</w:t>
            </w:r>
            <w:r>
              <w:rPr>
                <w:sz w:val="20"/>
                <w:szCs w:val="20"/>
                <w:spacing w:val="-38"/>
              </w:rPr>
              <w:t xml:space="preserve"> </w:t>
            </w:r>
            <w:r>
              <w:rPr>
                <w:sz w:val="20"/>
                <w:szCs w:val="20"/>
                <w:spacing w:val="8"/>
              </w:rPr>
              <w:t>号</w:t>
            </w:r>
          </w:p>
        </w:tc>
        <w:tc>
          <w:tcPr>
            <w:tcW w:w="929" w:type="dxa"/>
            <w:vAlign w:val="top"/>
            <w:tcBorders>
              <w:top w:val="single" w:color="000000" w:sz="10" w:space="0"/>
            </w:tcBorders>
          </w:tcPr>
          <w:p>
            <w:pPr>
              <w:pStyle w:val="TableText"/>
              <w:ind w:left="153" w:right="146" w:hanging="2"/>
              <w:spacing w:before="44" w:line="238" w:lineRule="auto"/>
              <w:rPr>
                <w:sz w:val="20"/>
                <w:szCs w:val="20"/>
              </w:rPr>
            </w:pPr>
            <w:r>
              <w:rPr>
                <w:sz w:val="20"/>
                <w:szCs w:val="20"/>
                <w:spacing w:val="6"/>
              </w:rPr>
              <w:t>环境要</w:t>
            </w:r>
            <w:r>
              <w:rPr>
                <w:sz w:val="20"/>
                <w:szCs w:val="20"/>
                <w:spacing w:val="1"/>
              </w:rPr>
              <w:t xml:space="preserve"> </w:t>
            </w:r>
            <w:r>
              <w:rPr>
                <w:sz w:val="20"/>
                <w:szCs w:val="20"/>
                <w:spacing w:val="6"/>
              </w:rPr>
              <w:t>素名称</w:t>
            </w:r>
          </w:p>
        </w:tc>
        <w:tc>
          <w:tcPr>
            <w:tcW w:w="1091" w:type="dxa"/>
            <w:vAlign w:val="top"/>
            <w:tcBorders>
              <w:top w:val="single" w:color="000000" w:sz="10" w:space="0"/>
            </w:tcBorders>
          </w:tcPr>
          <w:p>
            <w:pPr>
              <w:pStyle w:val="TableText"/>
              <w:ind w:left="128"/>
              <w:spacing w:before="179" w:line="228" w:lineRule="auto"/>
              <w:rPr>
                <w:sz w:val="20"/>
                <w:szCs w:val="20"/>
              </w:rPr>
            </w:pPr>
            <w:r>
              <w:rPr>
                <w:sz w:val="20"/>
                <w:szCs w:val="20"/>
                <w:spacing w:val="7"/>
              </w:rPr>
              <w:t>保护对象</w:t>
            </w:r>
          </w:p>
        </w:tc>
        <w:tc>
          <w:tcPr>
            <w:tcW w:w="750" w:type="dxa"/>
            <w:vAlign w:val="top"/>
            <w:tcBorders>
              <w:top w:val="single" w:color="000000" w:sz="10" w:space="0"/>
            </w:tcBorders>
          </w:tcPr>
          <w:p>
            <w:pPr>
              <w:pStyle w:val="TableText"/>
              <w:ind w:left="169"/>
              <w:spacing w:before="45" w:line="271" w:lineRule="exact"/>
              <w:rPr>
                <w:sz w:val="20"/>
                <w:szCs w:val="20"/>
              </w:rPr>
            </w:pPr>
            <w:r>
              <w:rPr>
                <w:sz w:val="20"/>
                <w:szCs w:val="20"/>
                <w:spacing w:val="4"/>
                <w:position w:val="4"/>
              </w:rPr>
              <w:t>保护</w:t>
            </w:r>
          </w:p>
          <w:p>
            <w:pPr>
              <w:pStyle w:val="TableText"/>
              <w:ind w:left="194"/>
              <w:spacing w:line="224" w:lineRule="auto"/>
              <w:rPr>
                <w:sz w:val="20"/>
                <w:szCs w:val="20"/>
              </w:rPr>
            </w:pPr>
            <w:r>
              <w:rPr>
                <w:sz w:val="20"/>
                <w:szCs w:val="20"/>
                <w:spacing w:val="-8"/>
              </w:rPr>
              <w:t>内容</w:t>
            </w:r>
          </w:p>
        </w:tc>
        <w:tc>
          <w:tcPr>
            <w:tcW w:w="1002" w:type="dxa"/>
            <w:vAlign w:val="top"/>
            <w:tcBorders>
              <w:top w:val="single" w:color="000000" w:sz="10" w:space="0"/>
            </w:tcBorders>
          </w:tcPr>
          <w:p>
            <w:pPr>
              <w:pStyle w:val="TableText"/>
              <w:ind w:left="189" w:right="181"/>
              <w:spacing w:before="44" w:line="238" w:lineRule="auto"/>
              <w:rPr>
                <w:sz w:val="20"/>
                <w:szCs w:val="20"/>
              </w:rPr>
            </w:pPr>
            <w:r>
              <w:rPr>
                <w:sz w:val="20"/>
                <w:szCs w:val="20"/>
                <w:spacing w:val="6"/>
              </w:rPr>
              <w:t>相对厂</w:t>
            </w:r>
            <w:r>
              <w:rPr>
                <w:sz w:val="20"/>
                <w:szCs w:val="20"/>
                <w:spacing w:val="1"/>
              </w:rPr>
              <w:t xml:space="preserve"> </w:t>
            </w:r>
            <w:r>
              <w:rPr>
                <w:sz w:val="20"/>
                <w:szCs w:val="20"/>
                <w:spacing w:val="6"/>
              </w:rPr>
              <w:t>址方位</w:t>
            </w:r>
          </w:p>
        </w:tc>
        <w:tc>
          <w:tcPr>
            <w:tcW w:w="1298" w:type="dxa"/>
            <w:vAlign w:val="top"/>
            <w:tcBorders>
              <w:top w:val="single" w:color="000000" w:sz="10" w:space="0"/>
            </w:tcBorders>
          </w:tcPr>
          <w:p>
            <w:pPr>
              <w:pStyle w:val="TableText"/>
              <w:ind w:left="317" w:right="226" w:hanging="86"/>
              <w:spacing w:before="44" w:line="238" w:lineRule="auto"/>
              <w:rPr>
                <w:sz w:val="20"/>
                <w:szCs w:val="20"/>
              </w:rPr>
            </w:pPr>
            <w:r>
              <w:rPr>
                <w:sz w:val="20"/>
                <w:szCs w:val="20"/>
                <w:spacing w:val="7"/>
              </w:rPr>
              <w:t>相对距离</w:t>
            </w:r>
            <w:r>
              <w:rPr>
                <w:sz w:val="20"/>
                <w:szCs w:val="20"/>
              </w:rPr>
              <w:t xml:space="preserve"> </w:t>
            </w:r>
            <w:r>
              <w:rPr>
                <w:sz w:val="20"/>
                <w:szCs w:val="20"/>
                <w:spacing w:val="1"/>
              </w:rPr>
              <w:t>（</w:t>
            </w:r>
            <w:r>
              <w:rPr>
                <w:rFonts w:ascii="Times New Roman" w:hAnsi="Times New Roman" w:eastAsia="Times New Roman" w:cs="Times New Roman"/>
                <w:sz w:val="20"/>
                <w:szCs w:val="20"/>
              </w:rPr>
              <w:t>km</w:t>
            </w:r>
            <w:r>
              <w:rPr>
                <w:sz w:val="20"/>
                <w:szCs w:val="20"/>
                <w:spacing w:val="1"/>
              </w:rPr>
              <w:t>）</w:t>
            </w:r>
          </w:p>
        </w:tc>
        <w:tc>
          <w:tcPr>
            <w:tcW w:w="2958" w:type="dxa"/>
            <w:vAlign w:val="top"/>
            <w:tcBorders>
              <w:top w:val="single" w:color="000000" w:sz="10" w:space="0"/>
              <w:right w:val="nil"/>
            </w:tcBorders>
          </w:tcPr>
          <w:p>
            <w:pPr>
              <w:pStyle w:val="TableText"/>
              <w:ind w:left="1062"/>
              <w:spacing w:before="179" w:line="228" w:lineRule="auto"/>
              <w:rPr>
                <w:sz w:val="20"/>
                <w:szCs w:val="20"/>
              </w:rPr>
            </w:pPr>
            <w:r>
              <w:rPr>
                <w:sz w:val="20"/>
                <w:szCs w:val="20"/>
                <w:spacing w:val="7"/>
              </w:rPr>
              <w:t>执行标准</w:t>
            </w:r>
          </w:p>
        </w:tc>
      </w:tr>
      <w:tr>
        <w:trPr>
          <w:trHeight w:val="817" w:hRule="atLeast"/>
        </w:trPr>
        <w:tc>
          <w:tcPr>
            <w:tcW w:w="488" w:type="dxa"/>
            <w:vAlign w:val="top"/>
            <w:tcBorders>
              <w:left w:val="nil"/>
            </w:tcBorders>
          </w:tcPr>
          <w:p>
            <w:pPr>
              <w:spacing w:line="281" w:lineRule="auto"/>
              <w:rPr>
                <w:rFonts w:ascii="Arial"/>
                <w:sz w:val="21"/>
              </w:rPr>
            </w:pPr>
            <w:r/>
          </w:p>
          <w:p>
            <w:pPr>
              <w:ind w:left="214"/>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29" w:type="dxa"/>
            <w:vAlign w:val="top"/>
          </w:tcPr>
          <w:p>
            <w:pPr>
              <w:pStyle w:val="TableText"/>
              <w:ind w:left="363" w:right="146" w:hanging="212"/>
              <w:spacing w:before="168" w:line="241" w:lineRule="auto"/>
              <w:rPr>
                <w:sz w:val="20"/>
                <w:szCs w:val="20"/>
              </w:rPr>
            </w:pPr>
            <w:r>
              <w:rPr>
                <w:sz w:val="20"/>
                <w:szCs w:val="20"/>
                <w:spacing w:val="6"/>
              </w:rPr>
              <w:t>环境空</w:t>
            </w:r>
            <w:r>
              <w:rPr>
                <w:sz w:val="20"/>
                <w:szCs w:val="20"/>
                <w:spacing w:val="1"/>
              </w:rPr>
              <w:t xml:space="preserve"> </w:t>
            </w:r>
            <w:r>
              <w:rPr>
                <w:sz w:val="20"/>
                <w:szCs w:val="20"/>
              </w:rPr>
              <w:t>气</w:t>
            </w:r>
          </w:p>
        </w:tc>
        <w:tc>
          <w:tcPr>
            <w:tcW w:w="1091" w:type="dxa"/>
            <w:vAlign w:val="top"/>
          </w:tcPr>
          <w:p>
            <w:pPr>
              <w:pStyle w:val="TableText"/>
              <w:ind w:left="138"/>
              <w:spacing w:before="34" w:line="229" w:lineRule="auto"/>
              <w:rPr>
                <w:sz w:val="20"/>
                <w:szCs w:val="20"/>
              </w:rPr>
            </w:pPr>
            <w:r>
              <w:rPr>
                <w:sz w:val="20"/>
                <w:szCs w:val="20"/>
                <w:spacing w:val="4"/>
              </w:rPr>
              <w:t>呼图壁县</w:t>
            </w:r>
          </w:p>
          <w:p>
            <w:pPr>
              <w:pStyle w:val="TableText"/>
              <w:ind w:left="127"/>
              <w:spacing w:before="23" w:line="228" w:lineRule="auto"/>
              <w:rPr>
                <w:sz w:val="20"/>
                <w:szCs w:val="20"/>
              </w:rPr>
            </w:pPr>
            <w:r>
              <w:rPr>
                <w:sz w:val="20"/>
                <w:szCs w:val="20"/>
                <w:spacing w:val="7"/>
              </w:rPr>
              <w:t>种牛场居</w:t>
            </w:r>
          </w:p>
          <w:p>
            <w:pPr>
              <w:pStyle w:val="TableText"/>
              <w:ind w:left="359"/>
              <w:spacing w:before="23" w:line="213" w:lineRule="auto"/>
              <w:rPr>
                <w:sz w:val="20"/>
                <w:szCs w:val="20"/>
              </w:rPr>
            </w:pPr>
            <w:r>
              <w:rPr>
                <w:sz w:val="20"/>
                <w:szCs w:val="20"/>
                <w:spacing w:val="-6"/>
              </w:rPr>
              <w:t>民区</w:t>
            </w:r>
          </w:p>
        </w:tc>
        <w:tc>
          <w:tcPr>
            <w:tcW w:w="750" w:type="dxa"/>
            <w:vAlign w:val="top"/>
          </w:tcPr>
          <w:p>
            <w:pPr>
              <w:pStyle w:val="TableText"/>
              <w:ind w:left="170"/>
              <w:spacing w:before="305" w:line="228" w:lineRule="auto"/>
              <w:rPr>
                <w:sz w:val="20"/>
                <w:szCs w:val="20"/>
              </w:rPr>
            </w:pPr>
            <w:r>
              <w:rPr>
                <w:sz w:val="20"/>
                <w:szCs w:val="20"/>
                <w:spacing w:val="3"/>
              </w:rPr>
              <w:t>居民</w:t>
            </w:r>
          </w:p>
        </w:tc>
        <w:tc>
          <w:tcPr>
            <w:tcW w:w="1002" w:type="dxa"/>
            <w:vAlign w:val="top"/>
          </w:tcPr>
          <w:p>
            <w:pPr>
              <w:pStyle w:val="TableText"/>
              <w:ind w:left="300"/>
              <w:spacing w:before="304" w:line="228" w:lineRule="auto"/>
              <w:rPr>
                <w:sz w:val="20"/>
                <w:szCs w:val="20"/>
              </w:rPr>
            </w:pPr>
            <w:r>
              <w:rPr>
                <w:sz w:val="20"/>
                <w:szCs w:val="20"/>
                <w:spacing w:val="2"/>
              </w:rPr>
              <w:t>西侧</w:t>
            </w:r>
          </w:p>
        </w:tc>
        <w:tc>
          <w:tcPr>
            <w:tcW w:w="1298" w:type="dxa"/>
            <w:vAlign w:val="top"/>
          </w:tcPr>
          <w:p>
            <w:pPr>
              <w:spacing w:line="281" w:lineRule="auto"/>
              <w:rPr>
                <w:rFonts w:ascii="Arial"/>
                <w:sz w:val="21"/>
              </w:rPr>
            </w:pPr>
            <w:r/>
          </w:p>
          <w:p>
            <w:pPr>
              <w:ind w:left="468"/>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0.45</w:t>
            </w:r>
          </w:p>
        </w:tc>
        <w:tc>
          <w:tcPr>
            <w:tcW w:w="2958" w:type="dxa"/>
            <w:vAlign w:val="top"/>
            <w:tcBorders>
              <w:right w:val="nil"/>
            </w:tcBorders>
          </w:tcPr>
          <w:p>
            <w:pPr>
              <w:pStyle w:val="TableText"/>
              <w:ind w:left="438"/>
              <w:spacing w:before="168" w:line="228" w:lineRule="auto"/>
              <w:rPr>
                <w:sz w:val="20"/>
                <w:szCs w:val="20"/>
              </w:rPr>
            </w:pPr>
            <w:r>
              <w:rPr>
                <w:sz w:val="20"/>
                <w:szCs w:val="20"/>
                <w:spacing w:val="7"/>
              </w:rPr>
              <w:t>《环境空气质量标准》</w:t>
            </w:r>
          </w:p>
          <w:p>
            <w:pPr>
              <w:pStyle w:val="TableText"/>
              <w:ind w:left="261"/>
              <w:spacing w:before="26" w:line="228" w:lineRule="auto"/>
              <w:rPr>
                <w:sz w:val="20"/>
                <w:szCs w:val="20"/>
              </w:rPr>
            </w:pPr>
            <w:r>
              <w:rPr>
                <w:sz w:val="20"/>
                <w:szCs w:val="20"/>
                <w:spacing w:val="6"/>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3095-2012</w:t>
            </w:r>
            <w:r>
              <w:rPr>
                <w:sz w:val="20"/>
                <w:szCs w:val="20"/>
                <w:spacing w:val="6"/>
              </w:rPr>
              <w:t>）二级标准</w:t>
            </w:r>
          </w:p>
        </w:tc>
      </w:tr>
      <w:tr>
        <w:trPr>
          <w:trHeight w:val="546" w:hRule="atLeast"/>
        </w:trPr>
        <w:tc>
          <w:tcPr>
            <w:tcW w:w="488" w:type="dxa"/>
            <w:vAlign w:val="top"/>
            <w:tcBorders>
              <w:left w:val="nil"/>
            </w:tcBorders>
          </w:tcPr>
          <w:p>
            <w:pPr>
              <w:ind w:left="194"/>
              <w:spacing w:before="2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29" w:type="dxa"/>
            <w:vAlign w:val="top"/>
          </w:tcPr>
          <w:p>
            <w:pPr>
              <w:pStyle w:val="TableText"/>
              <w:ind w:left="155"/>
              <w:spacing w:before="174" w:line="228" w:lineRule="auto"/>
              <w:rPr>
                <w:sz w:val="20"/>
                <w:szCs w:val="20"/>
              </w:rPr>
            </w:pPr>
            <w:r>
              <w:rPr>
                <w:sz w:val="20"/>
                <w:szCs w:val="20"/>
                <w:spacing w:val="5"/>
              </w:rPr>
              <w:t>声环境</w:t>
            </w:r>
          </w:p>
        </w:tc>
        <w:tc>
          <w:tcPr>
            <w:tcW w:w="4141" w:type="dxa"/>
            <w:vAlign w:val="top"/>
            <w:gridSpan w:val="4"/>
          </w:tcPr>
          <w:p>
            <w:pPr>
              <w:pStyle w:val="TableText"/>
              <w:ind w:left="1341"/>
              <w:spacing w:before="174" w:line="228" w:lineRule="auto"/>
              <w:rPr>
                <w:sz w:val="20"/>
                <w:szCs w:val="20"/>
              </w:rPr>
            </w:pPr>
            <w:r>
              <w:rPr>
                <w:sz w:val="20"/>
                <w:szCs w:val="20"/>
                <w:spacing w:val="8"/>
              </w:rPr>
              <w:t>厂址区域声环境</w:t>
            </w:r>
          </w:p>
        </w:tc>
        <w:tc>
          <w:tcPr>
            <w:tcW w:w="2958" w:type="dxa"/>
            <w:vAlign w:val="top"/>
            <w:tcBorders>
              <w:right w:val="nil"/>
            </w:tcBorders>
          </w:tcPr>
          <w:p>
            <w:pPr>
              <w:pStyle w:val="TableText"/>
              <w:ind w:left="544"/>
              <w:spacing w:before="37" w:line="228" w:lineRule="auto"/>
              <w:rPr>
                <w:sz w:val="20"/>
                <w:szCs w:val="20"/>
              </w:rPr>
            </w:pPr>
            <w:r>
              <w:rPr>
                <w:sz w:val="20"/>
                <w:szCs w:val="20"/>
                <w:spacing w:val="7"/>
              </w:rPr>
              <w:t>《声环境质量标准》</w:t>
            </w:r>
          </w:p>
          <w:p>
            <w:pPr>
              <w:pStyle w:val="TableText"/>
              <w:ind w:left="419"/>
              <w:spacing w:before="25" w:line="208" w:lineRule="auto"/>
              <w:rPr>
                <w:sz w:val="20"/>
                <w:szCs w:val="20"/>
              </w:rPr>
            </w:pPr>
            <w:r>
              <w:rPr>
                <w:sz w:val="20"/>
                <w:szCs w:val="20"/>
                <w:spacing w:val="5"/>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5"/>
              </w:rPr>
              <w:t>3096-2008</w:t>
            </w:r>
            <w:r>
              <w:rPr>
                <w:sz w:val="20"/>
                <w:szCs w:val="20"/>
                <w:spacing w:val="5"/>
              </w:rPr>
              <w:t>）</w:t>
            </w:r>
            <w:r>
              <w:rPr>
                <w:rFonts w:ascii="Times New Roman" w:hAnsi="Times New Roman" w:eastAsia="Times New Roman" w:cs="Times New Roman"/>
                <w:sz w:val="20"/>
                <w:szCs w:val="20"/>
                <w:spacing w:val="5"/>
              </w:rPr>
              <w:t>2</w:t>
            </w:r>
            <w:r>
              <w:rPr>
                <w:sz w:val="20"/>
                <w:szCs w:val="20"/>
                <w:spacing w:val="5"/>
              </w:rPr>
              <w:t>类区</w:t>
            </w:r>
          </w:p>
        </w:tc>
      </w:tr>
      <w:tr>
        <w:trPr>
          <w:trHeight w:val="546" w:hRule="atLeast"/>
        </w:trPr>
        <w:tc>
          <w:tcPr>
            <w:tcW w:w="488" w:type="dxa"/>
            <w:vAlign w:val="top"/>
            <w:tcBorders>
              <w:left w:val="nil"/>
            </w:tcBorders>
          </w:tcPr>
          <w:p>
            <w:pPr>
              <w:ind w:left="198"/>
              <w:spacing w:before="2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929" w:type="dxa"/>
            <w:vAlign w:val="top"/>
          </w:tcPr>
          <w:p>
            <w:pPr>
              <w:pStyle w:val="TableText"/>
              <w:ind w:left="151"/>
              <w:spacing w:before="177" w:line="228" w:lineRule="auto"/>
              <w:rPr>
                <w:sz w:val="20"/>
                <w:szCs w:val="20"/>
              </w:rPr>
            </w:pPr>
            <w:r>
              <w:rPr>
                <w:sz w:val="20"/>
                <w:szCs w:val="20"/>
                <w:spacing w:val="6"/>
              </w:rPr>
              <w:t>地下水</w:t>
            </w:r>
          </w:p>
        </w:tc>
        <w:tc>
          <w:tcPr>
            <w:tcW w:w="4141" w:type="dxa"/>
            <w:vAlign w:val="top"/>
            <w:gridSpan w:val="4"/>
          </w:tcPr>
          <w:p>
            <w:pPr>
              <w:pStyle w:val="TableText"/>
              <w:ind w:left="1341"/>
              <w:spacing w:before="177" w:line="228" w:lineRule="auto"/>
              <w:rPr>
                <w:sz w:val="20"/>
                <w:szCs w:val="20"/>
              </w:rPr>
            </w:pPr>
            <w:r>
              <w:rPr>
                <w:sz w:val="20"/>
                <w:szCs w:val="20"/>
                <w:spacing w:val="8"/>
              </w:rPr>
              <w:t>厂址区域地下水</w:t>
            </w:r>
          </w:p>
        </w:tc>
        <w:tc>
          <w:tcPr>
            <w:tcW w:w="2958" w:type="dxa"/>
            <w:vAlign w:val="top"/>
            <w:tcBorders>
              <w:right w:val="nil"/>
            </w:tcBorders>
          </w:tcPr>
          <w:p>
            <w:pPr>
              <w:pStyle w:val="TableText"/>
              <w:ind w:left="544"/>
              <w:spacing w:before="40" w:line="228" w:lineRule="auto"/>
              <w:rPr>
                <w:sz w:val="20"/>
                <w:szCs w:val="20"/>
              </w:rPr>
            </w:pPr>
            <w:r>
              <w:rPr>
                <w:sz w:val="20"/>
                <w:szCs w:val="20"/>
                <w:spacing w:val="7"/>
              </w:rPr>
              <w:t>《地下水质量标准》</w:t>
            </w:r>
          </w:p>
          <w:p>
            <w:pPr>
              <w:pStyle w:val="TableText"/>
              <w:ind w:left="330"/>
              <w:spacing w:before="26" w:line="205" w:lineRule="auto"/>
              <w:rPr>
                <w:sz w:val="20"/>
                <w:szCs w:val="20"/>
              </w:rPr>
            </w:pPr>
            <w:r>
              <w:rPr>
                <w:sz w:val="20"/>
                <w:szCs w:val="20"/>
                <w:spacing w:val="5"/>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5"/>
              </w:rPr>
              <w:t>/T14848-2017</w:t>
            </w:r>
            <w:r>
              <w:rPr>
                <w:sz w:val="20"/>
                <w:szCs w:val="20"/>
                <w:spacing w:val="5"/>
              </w:rPr>
              <w:t>）</w:t>
            </w:r>
            <w:r>
              <w:rPr>
                <w:rFonts w:ascii="Times New Roman" w:hAnsi="Times New Roman" w:eastAsia="Times New Roman" w:cs="Times New Roman"/>
                <w:sz w:val="20"/>
                <w:szCs w:val="20"/>
                <w:spacing w:val="5"/>
              </w:rPr>
              <w:t>Ⅲ</w:t>
            </w:r>
            <w:r>
              <w:rPr>
                <w:sz w:val="20"/>
                <w:szCs w:val="20"/>
                <w:spacing w:val="5"/>
              </w:rPr>
              <w:t>类</w:t>
            </w:r>
          </w:p>
        </w:tc>
      </w:tr>
      <w:tr>
        <w:trPr>
          <w:trHeight w:val="546" w:hRule="atLeast"/>
        </w:trPr>
        <w:tc>
          <w:tcPr>
            <w:tcW w:w="488" w:type="dxa"/>
            <w:vAlign w:val="top"/>
            <w:tcBorders>
              <w:left w:val="nil"/>
            </w:tcBorders>
          </w:tcPr>
          <w:p>
            <w:pPr>
              <w:ind w:left="193"/>
              <w:spacing w:before="21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929" w:type="dxa"/>
            <w:vAlign w:val="top"/>
          </w:tcPr>
          <w:p>
            <w:pPr>
              <w:pStyle w:val="TableText"/>
              <w:ind w:left="151"/>
              <w:spacing w:before="180" w:line="228" w:lineRule="auto"/>
              <w:rPr>
                <w:sz w:val="20"/>
                <w:szCs w:val="20"/>
              </w:rPr>
            </w:pPr>
            <w:r>
              <w:rPr>
                <w:sz w:val="20"/>
                <w:szCs w:val="20"/>
                <w:spacing w:val="6"/>
              </w:rPr>
              <w:t>地表水</w:t>
            </w:r>
          </w:p>
        </w:tc>
        <w:tc>
          <w:tcPr>
            <w:tcW w:w="4141" w:type="dxa"/>
            <w:vAlign w:val="top"/>
            <w:gridSpan w:val="4"/>
          </w:tcPr>
          <w:p>
            <w:pPr>
              <w:pStyle w:val="TableText"/>
              <w:ind w:left="1341"/>
              <w:spacing w:before="180" w:line="228" w:lineRule="auto"/>
              <w:rPr>
                <w:sz w:val="20"/>
                <w:szCs w:val="20"/>
              </w:rPr>
            </w:pPr>
            <w:r>
              <w:rPr>
                <w:sz w:val="20"/>
                <w:szCs w:val="20"/>
                <w:spacing w:val="8"/>
              </w:rPr>
              <w:t>厂址周边地表水</w:t>
            </w:r>
          </w:p>
        </w:tc>
        <w:tc>
          <w:tcPr>
            <w:tcW w:w="2958" w:type="dxa"/>
            <w:vAlign w:val="top"/>
            <w:tcBorders>
              <w:right w:val="nil"/>
            </w:tcBorders>
          </w:tcPr>
          <w:p>
            <w:pPr>
              <w:pStyle w:val="TableText"/>
              <w:ind w:left="266" w:right="252" w:firstLine="67"/>
              <w:spacing w:before="46" w:line="226" w:lineRule="auto"/>
              <w:rPr>
                <w:sz w:val="20"/>
                <w:szCs w:val="20"/>
              </w:rPr>
            </w:pPr>
            <w:r>
              <w:rPr>
                <w:sz w:val="20"/>
                <w:szCs w:val="20"/>
                <w:spacing w:val="7"/>
              </w:rPr>
              <w:t>《地表水环境质量标准》</w:t>
            </w:r>
            <w:r>
              <w:rPr>
                <w:sz w:val="20"/>
                <w:szCs w:val="20"/>
                <w:spacing w:val="2"/>
              </w:rPr>
              <w:t xml:space="preserve">  </w:t>
            </w:r>
            <w:r>
              <w:rPr>
                <w:sz w:val="20"/>
                <w:szCs w:val="20"/>
                <w:spacing w:val="6"/>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3838-2002</w:t>
            </w:r>
            <w:r>
              <w:rPr>
                <w:sz w:val="20"/>
                <w:szCs w:val="20"/>
                <w:spacing w:val="6"/>
              </w:rPr>
              <w:t>）</w:t>
            </w:r>
            <w:r>
              <w:rPr>
                <w:rFonts w:ascii="Times New Roman" w:hAnsi="Times New Roman" w:eastAsia="Times New Roman" w:cs="Times New Roman"/>
                <w:sz w:val="20"/>
                <w:szCs w:val="20"/>
                <w:spacing w:val="6"/>
              </w:rPr>
              <w:t>Ⅲ</w:t>
            </w:r>
            <w:r>
              <w:rPr>
                <w:sz w:val="20"/>
                <w:szCs w:val="20"/>
                <w:spacing w:val="6"/>
              </w:rPr>
              <w:t>类标准</w:t>
            </w:r>
          </w:p>
        </w:tc>
      </w:tr>
      <w:tr>
        <w:trPr>
          <w:trHeight w:val="838" w:hRule="atLeast"/>
        </w:trPr>
        <w:tc>
          <w:tcPr>
            <w:tcW w:w="488" w:type="dxa"/>
            <w:vAlign w:val="top"/>
            <w:tcBorders>
              <w:bottom w:val="single" w:color="000000" w:sz="10" w:space="0"/>
              <w:left w:val="nil"/>
            </w:tcBorders>
          </w:tcPr>
          <w:p>
            <w:pPr>
              <w:spacing w:line="300" w:lineRule="auto"/>
              <w:rPr>
                <w:rFonts w:ascii="Arial"/>
                <w:sz w:val="21"/>
              </w:rPr>
            </w:pPr>
            <w:r/>
          </w:p>
          <w:p>
            <w:pPr>
              <w:ind w:left="200"/>
              <w:spacing w:before="5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929" w:type="dxa"/>
            <w:vAlign w:val="top"/>
            <w:tcBorders>
              <w:bottom w:val="single" w:color="000000" w:sz="10" w:space="0"/>
            </w:tcBorders>
          </w:tcPr>
          <w:p>
            <w:pPr>
              <w:spacing w:line="253" w:lineRule="auto"/>
              <w:rPr>
                <w:rFonts w:ascii="Arial"/>
                <w:sz w:val="21"/>
              </w:rPr>
            </w:pPr>
            <w:r/>
          </w:p>
          <w:p>
            <w:pPr>
              <w:pStyle w:val="TableText"/>
              <w:ind w:left="258"/>
              <w:spacing w:before="65" w:line="233" w:lineRule="auto"/>
              <w:rPr>
                <w:sz w:val="20"/>
                <w:szCs w:val="20"/>
              </w:rPr>
            </w:pPr>
            <w:r>
              <w:rPr>
                <w:sz w:val="20"/>
                <w:szCs w:val="20"/>
                <w:spacing w:val="3"/>
              </w:rPr>
              <w:t>生态</w:t>
            </w:r>
          </w:p>
        </w:tc>
        <w:tc>
          <w:tcPr>
            <w:tcW w:w="1091" w:type="dxa"/>
            <w:vAlign w:val="top"/>
            <w:tcBorders>
              <w:bottom w:val="single" w:color="000000" w:sz="10" w:space="0"/>
            </w:tcBorders>
          </w:tcPr>
          <w:p>
            <w:pPr>
              <w:spacing w:line="253" w:lineRule="auto"/>
              <w:rPr>
                <w:rFonts w:ascii="Arial"/>
                <w:sz w:val="21"/>
              </w:rPr>
            </w:pPr>
            <w:r/>
          </w:p>
          <w:p>
            <w:pPr>
              <w:pStyle w:val="TableText"/>
              <w:ind w:left="338"/>
              <w:spacing w:before="65" w:line="230" w:lineRule="auto"/>
              <w:rPr>
                <w:sz w:val="20"/>
                <w:szCs w:val="20"/>
              </w:rPr>
            </w:pPr>
            <w:r>
              <w:rPr>
                <w:sz w:val="20"/>
                <w:szCs w:val="20"/>
                <w:spacing w:val="4"/>
              </w:rPr>
              <w:t>农田</w:t>
            </w:r>
          </w:p>
        </w:tc>
        <w:tc>
          <w:tcPr>
            <w:tcW w:w="750" w:type="dxa"/>
            <w:vAlign w:val="top"/>
            <w:tcBorders>
              <w:bottom w:val="single" w:color="000000" w:sz="10" w:space="0"/>
            </w:tcBorders>
          </w:tcPr>
          <w:p>
            <w:pPr>
              <w:spacing w:line="253" w:lineRule="auto"/>
              <w:rPr>
                <w:rFonts w:ascii="Arial"/>
                <w:sz w:val="21"/>
              </w:rPr>
            </w:pPr>
            <w:r/>
          </w:p>
          <w:p>
            <w:pPr>
              <w:pStyle w:val="TableText"/>
              <w:ind w:left="169"/>
              <w:spacing w:before="65" w:line="230" w:lineRule="auto"/>
              <w:rPr>
                <w:sz w:val="20"/>
                <w:szCs w:val="20"/>
              </w:rPr>
            </w:pPr>
            <w:r>
              <w:rPr>
                <w:sz w:val="20"/>
                <w:szCs w:val="20"/>
                <w:spacing w:val="4"/>
              </w:rPr>
              <w:t>农田</w:t>
            </w:r>
          </w:p>
        </w:tc>
        <w:tc>
          <w:tcPr>
            <w:tcW w:w="1002" w:type="dxa"/>
            <w:vAlign w:val="top"/>
            <w:tcBorders>
              <w:bottom w:val="single" w:color="000000" w:sz="10" w:space="0"/>
            </w:tcBorders>
          </w:tcPr>
          <w:p>
            <w:pPr>
              <w:pStyle w:val="TableText"/>
              <w:ind w:left="299" w:right="84" w:hanging="182"/>
              <w:spacing w:before="186" w:line="239" w:lineRule="auto"/>
              <w:rPr>
                <w:sz w:val="20"/>
                <w:szCs w:val="20"/>
              </w:rPr>
            </w:pPr>
            <w:r>
              <w:rPr>
                <w:sz w:val="20"/>
                <w:szCs w:val="20"/>
                <w:spacing w:val="-3"/>
              </w:rPr>
              <w:t>东、南、</w:t>
            </w:r>
            <w:r>
              <w:rPr>
                <w:sz w:val="20"/>
                <w:szCs w:val="20"/>
              </w:rPr>
              <w:t xml:space="preserve"> </w:t>
            </w:r>
            <w:r>
              <w:rPr>
                <w:sz w:val="20"/>
                <w:szCs w:val="20"/>
                <w:spacing w:val="2"/>
              </w:rPr>
              <w:t>西侧</w:t>
            </w:r>
          </w:p>
        </w:tc>
        <w:tc>
          <w:tcPr>
            <w:tcW w:w="1298" w:type="dxa"/>
            <w:vAlign w:val="top"/>
            <w:tcBorders>
              <w:bottom w:val="single" w:color="000000" w:sz="10" w:space="0"/>
            </w:tcBorders>
          </w:tcPr>
          <w:p>
            <w:pPr>
              <w:pStyle w:val="TableText"/>
              <w:ind w:left="152" w:right="194" w:firstLine="4"/>
              <w:spacing w:before="48"/>
              <w:jc w:val="both"/>
              <w:rPr>
                <w:rFonts w:ascii="Times New Roman" w:hAnsi="Times New Roman" w:eastAsia="Times New Roman" w:cs="Times New Roman"/>
                <w:sz w:val="20"/>
                <w:szCs w:val="20"/>
              </w:rPr>
            </w:pPr>
            <w:r>
              <w:rPr>
                <w:sz w:val="20"/>
                <w:szCs w:val="20"/>
                <w:spacing w:val="-4"/>
              </w:rPr>
              <w:t>东侧</w:t>
            </w:r>
            <w:r>
              <w:rPr>
                <w:rFonts w:ascii="Times New Roman" w:hAnsi="Times New Roman" w:eastAsia="Times New Roman" w:cs="Times New Roman"/>
                <w:sz w:val="20"/>
                <w:szCs w:val="20"/>
                <w:spacing w:val="-4"/>
              </w:rPr>
              <w:t>20m</w:t>
            </w:r>
            <w:r>
              <w:rPr>
                <w:sz w:val="20"/>
                <w:szCs w:val="20"/>
                <w:spacing w:val="-4"/>
              </w:rPr>
              <w:t>；</w:t>
            </w:r>
            <w:r>
              <w:rPr>
                <w:sz w:val="20"/>
                <w:szCs w:val="20"/>
                <w:spacing w:val="3"/>
              </w:rPr>
              <w:t xml:space="preserve"> </w:t>
            </w:r>
            <w:r>
              <w:rPr>
                <w:sz w:val="20"/>
                <w:szCs w:val="20"/>
                <w:spacing w:val="-3"/>
              </w:rPr>
              <w:t>南侧</w:t>
            </w:r>
            <w:r>
              <w:rPr>
                <w:rFonts w:ascii="Times New Roman" w:hAnsi="Times New Roman" w:eastAsia="Times New Roman" w:cs="Times New Roman"/>
                <w:sz w:val="20"/>
                <w:szCs w:val="20"/>
                <w:spacing w:val="-3"/>
              </w:rPr>
              <w:t>10m</w:t>
            </w:r>
            <w:r>
              <w:rPr>
                <w:sz w:val="20"/>
                <w:szCs w:val="20"/>
                <w:spacing w:val="-3"/>
              </w:rPr>
              <w:t>；</w:t>
            </w:r>
            <w:r>
              <w:rPr>
                <w:sz w:val="20"/>
                <w:szCs w:val="20"/>
                <w:spacing w:val="2"/>
              </w:rPr>
              <w:t xml:space="preserve"> </w:t>
            </w:r>
            <w:r>
              <w:rPr>
                <w:sz w:val="20"/>
                <w:szCs w:val="20"/>
                <w:spacing w:val="14"/>
              </w:rPr>
              <w:t>西侧</w:t>
            </w:r>
            <w:r>
              <w:rPr>
                <w:rFonts w:ascii="Times New Roman" w:hAnsi="Times New Roman" w:eastAsia="Times New Roman" w:cs="Times New Roman"/>
                <w:sz w:val="20"/>
                <w:szCs w:val="20"/>
                <w:spacing w:val="14"/>
              </w:rPr>
              <w:t>159m</w:t>
            </w:r>
          </w:p>
        </w:tc>
        <w:tc>
          <w:tcPr>
            <w:tcW w:w="2958" w:type="dxa"/>
            <w:vAlign w:val="top"/>
            <w:tcBorders>
              <w:bottom w:val="single" w:color="000000" w:sz="10" w:space="0"/>
              <w:right w:val="nil"/>
            </w:tcBorders>
          </w:tcPr>
          <w:p>
            <w:pPr>
              <w:pStyle w:val="TableText"/>
              <w:ind w:left="174"/>
              <w:spacing w:before="49" w:line="228" w:lineRule="auto"/>
              <w:rPr>
                <w:sz w:val="20"/>
                <w:szCs w:val="20"/>
              </w:rPr>
            </w:pPr>
            <w:r>
              <w:rPr>
                <w:sz w:val="20"/>
                <w:szCs w:val="20"/>
                <w:spacing w:val="8"/>
              </w:rPr>
              <w:t>《土壤环境质量 农用地土壤</w:t>
            </w:r>
          </w:p>
          <w:p>
            <w:pPr>
              <w:pStyle w:val="TableText"/>
              <w:ind w:left="120"/>
              <w:spacing w:before="23" w:line="228" w:lineRule="auto"/>
              <w:rPr>
                <w:sz w:val="20"/>
                <w:szCs w:val="20"/>
              </w:rPr>
            </w:pPr>
            <w:r>
              <w:rPr>
                <w:sz w:val="20"/>
                <w:szCs w:val="20"/>
                <w:spacing w:val="9"/>
              </w:rPr>
              <w:t>污染风险管控标准（试行）》</w:t>
            </w:r>
          </w:p>
          <w:p>
            <w:pPr>
              <w:pStyle w:val="TableText"/>
              <w:ind w:left="525"/>
              <w:spacing w:before="26" w:line="216" w:lineRule="auto"/>
              <w:rPr>
                <w:sz w:val="20"/>
                <w:szCs w:val="20"/>
              </w:rPr>
            </w:pPr>
            <w:r>
              <w:rPr>
                <w:sz w:val="20"/>
                <w:szCs w:val="20"/>
                <w:spacing w:val="4"/>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4"/>
              </w:rPr>
              <w:t>15618-2018</w:t>
            </w:r>
            <w:r>
              <w:rPr>
                <w:sz w:val="20"/>
                <w:szCs w:val="20"/>
                <w:spacing w:val="4"/>
              </w:rPr>
              <w:t>）。</w:t>
            </w:r>
          </w:p>
        </w:tc>
      </w:tr>
    </w:tbl>
    <w:p>
      <w:pPr>
        <w:pStyle w:val="BodyText"/>
        <w:rPr/>
      </w:pPr>
      <w:r/>
    </w:p>
    <w:p>
      <w:pPr>
        <w:sectPr>
          <w:footerReference w:type="default" r:id="rId122"/>
          <w:pgSz w:w="11906" w:h="16839"/>
          <w:pgMar w:top="400" w:right="1695" w:bottom="1209" w:left="1693" w:header="0" w:footer="1049" w:gutter="0"/>
        </w:sectPr>
        <w:rPr/>
      </w:pPr>
    </w:p>
    <w:p>
      <w:pPr>
        <w:pStyle w:val="BodyText"/>
        <w:spacing w:line="287" w:lineRule="auto"/>
        <w:rPr/>
      </w:pPr>
      <w:r/>
    </w:p>
    <w:p>
      <w:pPr>
        <w:pStyle w:val="BodyText"/>
        <w:spacing w:line="287" w:lineRule="auto"/>
        <w:rPr/>
      </w:pPr>
      <w:r/>
    </w:p>
    <w:p>
      <w:pPr>
        <w:pStyle w:val="BodyText"/>
        <w:spacing w:line="288" w:lineRule="auto"/>
        <w:rPr/>
      </w:pPr>
      <w:r/>
    </w:p>
    <w:p>
      <w:pPr>
        <w:pStyle w:val="BodyText"/>
        <w:spacing w:line="288" w:lineRule="auto"/>
        <w:rPr/>
      </w:pPr>
      <w:r/>
    </w:p>
    <w:p>
      <w:pPr>
        <w:ind w:left="116"/>
        <w:spacing w:before="91" w:line="220" w:lineRule="auto"/>
        <w:outlineLvl w:val="0"/>
        <w:rPr>
          <w:rFonts w:ascii="SimSun" w:hAnsi="SimSun" w:eastAsia="SimSun" w:cs="SimSun"/>
          <w:sz w:val="28"/>
          <w:szCs w:val="28"/>
        </w:rPr>
      </w:pPr>
      <w:r>
        <w:rPr>
          <w:rFonts w:ascii="Times New Roman" w:hAnsi="Times New Roman" w:eastAsia="Times New Roman" w:cs="Times New Roman"/>
          <w:sz w:val="28"/>
          <w:szCs w:val="28"/>
          <w:b/>
          <w:bCs/>
          <w:spacing w:val="-1"/>
        </w:rPr>
        <w:t>6</w:t>
      </w:r>
      <w:r>
        <w:rPr>
          <w:rFonts w:ascii="Times New Roman" w:hAnsi="Times New Roman" w:eastAsia="Times New Roman" w:cs="Times New Roman"/>
          <w:sz w:val="28"/>
          <w:szCs w:val="28"/>
          <w:b/>
          <w:bCs/>
          <w:spacing w:val="-22"/>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
        </w:rPr>
        <w:t>、完善废气污染物排放控制标准。结合《合成树脂工业污染物排放</w:t>
      </w:r>
    </w:p>
    <w:p>
      <w:pPr>
        <w:ind w:left="118"/>
        <w:spacing w:before="225" w:line="213"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标准》中的“单位产品非甲烷总烃排放量</w:t>
      </w:r>
      <w:r>
        <w:rPr>
          <w:rFonts w:ascii="SimSun" w:hAnsi="SimSun" w:eastAsia="SimSun" w:cs="SimSun"/>
          <w:sz w:val="28"/>
          <w:szCs w:val="28"/>
          <w:spacing w:val="-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
        </w:rPr>
        <w:t>（</w:t>
      </w:r>
      <w:r>
        <w:rPr>
          <w:rFonts w:ascii="Times New Roman" w:hAnsi="Times New Roman" w:eastAsia="Times New Roman" w:cs="Times New Roman"/>
          <w:sz w:val="28"/>
          <w:szCs w:val="28"/>
          <w:b/>
          <w:bCs/>
          <w:spacing w:val="-1"/>
        </w:rPr>
        <w:t>kg/t  </w:t>
      </w:r>
      <w:r>
        <w:rPr>
          <w:rFonts w:ascii="SimSun" w:hAnsi="SimSun" w:eastAsia="SimSun" w:cs="SimSun"/>
          <w:sz w:val="28"/>
          <w:szCs w:val="28"/>
          <w14:textOutline w14:w="5103" w14:cap="sq" w14:cmpd="sng">
            <w14:solidFill>
              <w14:srgbClr w14:val="000000"/>
            </w14:solidFill>
            <w14:prstDash w14:val="solid"/>
            <w14:bevel/>
          </w14:textOutline>
          <w:spacing w:val="-1"/>
        </w:rPr>
        <w:t>产品）”的限值要</w:t>
      </w:r>
    </w:p>
    <w:p>
      <w:pPr>
        <w:ind w:left="119"/>
        <w:spacing w:before="236" w:line="220"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求完善相应的内容。</w:t>
      </w:r>
    </w:p>
    <w:p>
      <w:pPr>
        <w:ind w:left="621"/>
        <w:spacing w:before="215" w:line="219" w:lineRule="auto"/>
        <w:rPr>
          <w:rFonts w:ascii="Times New Roman" w:hAnsi="Times New Roman" w:eastAsia="Times New Roman" w:cs="Times New Roman"/>
          <w:sz w:val="24"/>
          <w:szCs w:val="24"/>
        </w:rPr>
      </w:pPr>
      <w:r>
        <w:rPr>
          <w:rFonts w:ascii="SimSun" w:hAnsi="SimSun" w:eastAsia="SimSun" w:cs="SimSun"/>
          <w:sz w:val="24"/>
          <w:szCs w:val="24"/>
          <w:spacing w:val="-5"/>
        </w:rPr>
        <w:t>已修改，见</w:t>
      </w:r>
      <w:r>
        <w:rPr>
          <w:rFonts w:ascii="Times New Roman" w:hAnsi="Times New Roman" w:eastAsia="Times New Roman" w:cs="Times New Roman"/>
          <w:sz w:val="24"/>
          <w:szCs w:val="24"/>
          <w:spacing w:val="-5"/>
        </w:rPr>
        <w:t>P35</w:t>
      </w:r>
    </w:p>
    <w:p>
      <w:pPr>
        <w:ind w:left="599"/>
        <w:spacing w:before="214" w:line="220" w:lineRule="auto"/>
        <w:rPr>
          <w:rFonts w:ascii="SimSun" w:hAnsi="SimSun" w:eastAsia="SimSun" w:cs="SimSun"/>
          <w:sz w:val="24"/>
          <w:szCs w:val="24"/>
        </w:rPr>
      </w:pPr>
      <w:r>
        <w:rPr>
          <w:rFonts w:ascii="SimSun" w:hAnsi="SimSun" w:eastAsia="SimSun" w:cs="SimSun"/>
          <w:sz w:val="24"/>
          <w:szCs w:val="24"/>
          <w:spacing w:val="-2"/>
        </w:rPr>
        <w:t>一、大气污染物排放标准</w:t>
      </w:r>
    </w:p>
    <w:p>
      <w:pPr>
        <w:ind w:left="137" w:right="5" w:firstLine="457"/>
        <w:spacing w:before="212" w:line="385" w:lineRule="auto"/>
        <w:rPr>
          <w:rFonts w:ascii="SimSun" w:hAnsi="SimSun" w:eastAsia="SimSun" w:cs="SimSun"/>
          <w:sz w:val="24"/>
          <w:szCs w:val="24"/>
        </w:rPr>
      </w:pPr>
      <w:r>
        <w:rPr>
          <w:rFonts w:ascii="SimSun" w:hAnsi="SimSun" w:eastAsia="SimSun" w:cs="SimSun"/>
          <w:sz w:val="24"/>
          <w:szCs w:val="24"/>
          <w:spacing w:val="-1"/>
        </w:rPr>
        <w:t>运营期有组织废气执行《合成树脂工业污染</w:t>
      </w:r>
      <w:r>
        <w:rPr>
          <w:rFonts w:ascii="SimSun" w:hAnsi="SimSun" w:eastAsia="SimSun" w:cs="SimSun"/>
          <w:sz w:val="24"/>
          <w:szCs w:val="24"/>
          <w:spacing w:val="-2"/>
        </w:rPr>
        <w:t>物排放标准》（</w:t>
      </w:r>
      <w:r>
        <w:rPr>
          <w:rFonts w:ascii="Times New Roman" w:hAnsi="Times New Roman" w:eastAsia="Times New Roman" w:cs="Times New Roman"/>
          <w:sz w:val="24"/>
          <w:szCs w:val="24"/>
          <w:spacing w:val="-2"/>
        </w:rPr>
        <w:t>GB31572-2015</w:t>
      </w:r>
      <w:r>
        <w:rPr>
          <w:rFonts w:ascii="SimSun" w:hAnsi="SimSun" w:eastAsia="SimSun" w:cs="SimSun"/>
          <w:sz w:val="24"/>
          <w:szCs w:val="24"/>
          <w:spacing w:val="-2"/>
        </w:rPr>
        <w:t>）</w:t>
      </w:r>
      <w:r>
        <w:rPr>
          <w:rFonts w:ascii="SimSun" w:hAnsi="SimSun" w:eastAsia="SimSun" w:cs="SimSun"/>
          <w:sz w:val="24"/>
          <w:szCs w:val="24"/>
        </w:rPr>
        <w:t xml:space="preserve"> </w:t>
      </w:r>
      <w:r>
        <w:rPr>
          <w:rFonts w:ascii="SimSun" w:hAnsi="SimSun" w:eastAsia="SimSun" w:cs="SimSun"/>
          <w:sz w:val="24"/>
          <w:szCs w:val="24"/>
          <w:spacing w:val="-4"/>
        </w:rPr>
        <w:t>中表</w:t>
      </w:r>
      <w:r>
        <w:rPr>
          <w:rFonts w:ascii="Times New Roman" w:hAnsi="Times New Roman" w:eastAsia="Times New Roman" w:cs="Times New Roman"/>
          <w:sz w:val="24"/>
          <w:szCs w:val="24"/>
          <w:spacing w:val="-4"/>
        </w:rPr>
        <w:t>5</w:t>
      </w:r>
      <w:r>
        <w:rPr>
          <w:rFonts w:ascii="SimSun" w:hAnsi="SimSun" w:eastAsia="SimSun" w:cs="SimSun"/>
          <w:sz w:val="24"/>
          <w:szCs w:val="24"/>
          <w:spacing w:val="-4"/>
        </w:rPr>
        <w:t>大气污染物特别排放限值。无组织废气执行表</w:t>
      </w:r>
      <w:r>
        <w:rPr>
          <w:rFonts w:ascii="Times New Roman" w:hAnsi="Times New Roman" w:eastAsia="Times New Roman" w:cs="Times New Roman"/>
          <w:sz w:val="24"/>
          <w:szCs w:val="24"/>
          <w:spacing w:val="-4"/>
        </w:rPr>
        <w:t>9</w:t>
      </w:r>
      <w:r>
        <w:rPr>
          <w:rFonts w:ascii="SimSun" w:hAnsi="SimSun" w:eastAsia="SimSun" w:cs="SimSun"/>
          <w:sz w:val="24"/>
          <w:szCs w:val="24"/>
          <w:spacing w:val="-4"/>
        </w:rPr>
        <w:t>企业边界大气污染物浓度限</w:t>
      </w:r>
    </w:p>
    <w:p>
      <w:pPr>
        <w:ind w:left="115"/>
        <w:spacing w:before="1" w:line="218" w:lineRule="auto"/>
        <w:rPr>
          <w:rFonts w:ascii="SimSun" w:hAnsi="SimSun" w:eastAsia="SimSun" w:cs="SimSun"/>
          <w:sz w:val="24"/>
          <w:szCs w:val="24"/>
        </w:rPr>
      </w:pPr>
      <w:r>
        <w:rPr>
          <w:rFonts w:ascii="SimSun" w:hAnsi="SimSun" w:eastAsia="SimSun" w:cs="SimSun"/>
          <w:sz w:val="24"/>
          <w:szCs w:val="24"/>
        </w:rPr>
        <w:t>值要求，厂区内执行《挥发性有机物无组织排放控制标准》（</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1"/>
        </w:rPr>
        <w:t>37822-2019</w:t>
      </w:r>
      <w:r>
        <w:rPr>
          <w:rFonts w:ascii="SimSun" w:hAnsi="SimSun" w:eastAsia="SimSun" w:cs="SimSun"/>
          <w:sz w:val="24"/>
          <w:szCs w:val="24"/>
          <w:spacing w:val="-1"/>
        </w:rPr>
        <w:t>）</w:t>
      </w:r>
    </w:p>
    <w:p>
      <w:pPr>
        <w:ind w:left="114"/>
        <w:spacing w:before="215" w:line="219" w:lineRule="auto"/>
        <w:rPr>
          <w:rFonts w:ascii="SimSun" w:hAnsi="SimSun" w:eastAsia="SimSun" w:cs="SimSun"/>
          <w:sz w:val="24"/>
          <w:szCs w:val="24"/>
        </w:rPr>
      </w:pPr>
      <w:r>
        <w:rPr>
          <w:rFonts w:ascii="SimSun" w:hAnsi="SimSun" w:eastAsia="SimSun" w:cs="SimSun"/>
          <w:sz w:val="24"/>
          <w:szCs w:val="24"/>
          <w:spacing w:val="-3"/>
        </w:rPr>
        <w:t>表</w:t>
      </w:r>
      <w:r>
        <w:rPr>
          <w:rFonts w:ascii="Times New Roman" w:hAnsi="Times New Roman" w:eastAsia="Times New Roman" w:cs="Times New Roman"/>
          <w:sz w:val="24"/>
          <w:szCs w:val="24"/>
          <w:spacing w:val="-3"/>
        </w:rPr>
        <w:t>A.</w:t>
      </w:r>
      <w:r>
        <w:rPr>
          <w:rFonts w:ascii="Times New Roman" w:hAnsi="Times New Roman" w:eastAsia="Times New Roman" w:cs="Times New Roman"/>
          <w:sz w:val="24"/>
          <w:szCs w:val="24"/>
          <w:spacing w:val="-22"/>
        </w:rPr>
        <w:t xml:space="preserve"> </w:t>
      </w:r>
      <w:r>
        <w:rPr>
          <w:rFonts w:ascii="Times New Roman" w:hAnsi="Times New Roman" w:eastAsia="Times New Roman" w:cs="Times New Roman"/>
          <w:sz w:val="24"/>
          <w:szCs w:val="24"/>
          <w:spacing w:val="-3"/>
        </w:rPr>
        <w:t>1</w:t>
      </w:r>
      <w:r>
        <w:rPr>
          <w:rFonts w:ascii="SimSun" w:hAnsi="SimSun" w:eastAsia="SimSun" w:cs="SimSun"/>
          <w:sz w:val="24"/>
          <w:szCs w:val="24"/>
          <w:spacing w:val="-3"/>
        </w:rPr>
        <w:t>特别排放限值。详见下表。</w:t>
      </w:r>
    </w:p>
    <w:p>
      <w:pPr>
        <w:ind w:left="1110"/>
        <w:spacing w:before="136" w:line="219" w:lineRule="auto"/>
        <w:rPr>
          <w:rFonts w:ascii="SimSun" w:hAnsi="SimSun" w:eastAsia="SimSun" w:cs="SimSun"/>
          <w:sz w:val="24"/>
          <w:szCs w:val="24"/>
        </w:rPr>
      </w:pPr>
      <w:r>
        <w:rPr>
          <w:rFonts w:ascii="SimSun" w:hAnsi="SimSun" w:eastAsia="SimSun" w:cs="SimSun"/>
          <w:sz w:val="24"/>
          <w:szCs w:val="24"/>
          <w:spacing w:val="-1"/>
        </w:rPr>
        <w:t>表</w:t>
      </w:r>
      <w:r>
        <w:rPr>
          <w:rFonts w:ascii="Times New Roman" w:hAnsi="Times New Roman" w:eastAsia="Times New Roman" w:cs="Times New Roman"/>
          <w:sz w:val="24"/>
          <w:szCs w:val="24"/>
          <w:spacing w:val="-1"/>
        </w:rPr>
        <w:t>3.8-</w:t>
      </w:r>
      <w:r>
        <w:rPr>
          <w:rFonts w:ascii="Times New Roman" w:hAnsi="Times New Roman" w:eastAsia="Times New Roman" w:cs="Times New Roman"/>
          <w:sz w:val="24"/>
          <w:szCs w:val="24"/>
          <w:spacing w:val="-30"/>
        </w:rPr>
        <w:t xml:space="preserve"> </w:t>
      </w:r>
      <w:r>
        <w:rPr>
          <w:rFonts w:ascii="Times New Roman" w:hAnsi="Times New Roman" w:eastAsia="Times New Roman" w:cs="Times New Roman"/>
          <w:sz w:val="24"/>
          <w:szCs w:val="24"/>
          <w:spacing w:val="-1"/>
        </w:rPr>
        <w:t>1        </w:t>
      </w:r>
      <w:r>
        <w:rPr>
          <w:rFonts w:ascii="SimSun" w:hAnsi="SimSun" w:eastAsia="SimSun" w:cs="SimSun"/>
          <w:sz w:val="24"/>
          <w:szCs w:val="24"/>
          <w:spacing w:val="-1"/>
        </w:rPr>
        <w:t>合成树脂工业污染物排放标准（</w:t>
      </w:r>
      <w:r>
        <w:rPr>
          <w:rFonts w:ascii="Times New Roman" w:hAnsi="Times New Roman" w:eastAsia="Times New Roman" w:cs="Times New Roman"/>
          <w:sz w:val="24"/>
          <w:szCs w:val="24"/>
          <w:spacing w:val="-1"/>
        </w:rPr>
        <w:t>GB31572-2015</w:t>
      </w:r>
      <w:r>
        <w:rPr>
          <w:rFonts w:ascii="SimSun" w:hAnsi="SimSun" w:eastAsia="SimSun" w:cs="SimSun"/>
          <w:sz w:val="24"/>
          <w:szCs w:val="24"/>
          <w:spacing w:val="-1"/>
        </w:rPr>
        <w:t>）</w:t>
      </w:r>
    </w:p>
    <w:tbl>
      <w:tblPr>
        <w:tblStyle w:val="TableNormal"/>
        <w:tblW w:w="8516"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61"/>
        <w:gridCol w:w="2549"/>
        <w:gridCol w:w="1674"/>
        <w:gridCol w:w="3532"/>
      </w:tblGrid>
      <w:tr>
        <w:trPr>
          <w:trHeight w:val="473" w:hRule="atLeast"/>
        </w:trPr>
        <w:tc>
          <w:tcPr>
            <w:tcW w:w="761" w:type="dxa"/>
            <w:vAlign w:val="top"/>
            <w:tcBorders>
              <w:top w:val="single" w:color="000000" w:sz="10" w:space="0"/>
              <w:left w:val="nil"/>
            </w:tcBorders>
          </w:tcPr>
          <w:p>
            <w:pPr>
              <w:pStyle w:val="TableText"/>
              <w:ind w:left="178"/>
              <w:spacing w:before="164" w:line="229" w:lineRule="auto"/>
              <w:rPr>
                <w:sz w:val="20"/>
                <w:szCs w:val="20"/>
              </w:rPr>
            </w:pPr>
            <w:r>
              <w:rPr>
                <w:sz w:val="20"/>
                <w:szCs w:val="20"/>
                <w:spacing w:val="5"/>
              </w:rPr>
              <w:t>序号</w:t>
            </w:r>
          </w:p>
        </w:tc>
        <w:tc>
          <w:tcPr>
            <w:tcW w:w="2549" w:type="dxa"/>
            <w:vAlign w:val="top"/>
            <w:tcBorders>
              <w:top w:val="single" w:color="000000" w:sz="10" w:space="0"/>
            </w:tcBorders>
          </w:tcPr>
          <w:p>
            <w:pPr>
              <w:pStyle w:val="TableText"/>
              <w:ind w:left="756"/>
              <w:spacing w:before="164" w:line="228" w:lineRule="auto"/>
              <w:rPr>
                <w:sz w:val="20"/>
                <w:szCs w:val="20"/>
              </w:rPr>
            </w:pPr>
            <w:r>
              <w:rPr>
                <w:sz w:val="20"/>
                <w:szCs w:val="20"/>
                <w:spacing w:val="7"/>
              </w:rPr>
              <w:t>污染物项目</w:t>
            </w:r>
          </w:p>
        </w:tc>
        <w:tc>
          <w:tcPr>
            <w:tcW w:w="1674" w:type="dxa"/>
            <w:vAlign w:val="top"/>
            <w:tcBorders>
              <w:top w:val="single" w:color="000000" w:sz="10" w:space="0"/>
            </w:tcBorders>
          </w:tcPr>
          <w:p>
            <w:pPr>
              <w:pStyle w:val="TableText"/>
              <w:ind w:left="423"/>
              <w:spacing w:before="164" w:line="228" w:lineRule="auto"/>
              <w:rPr>
                <w:sz w:val="20"/>
                <w:szCs w:val="20"/>
              </w:rPr>
            </w:pPr>
            <w:r>
              <w:rPr>
                <w:sz w:val="20"/>
                <w:szCs w:val="20"/>
                <w:spacing w:val="7"/>
              </w:rPr>
              <w:t>排放限值</w:t>
            </w:r>
          </w:p>
        </w:tc>
        <w:tc>
          <w:tcPr>
            <w:tcW w:w="3532" w:type="dxa"/>
            <w:vAlign w:val="top"/>
            <w:tcBorders>
              <w:top w:val="single" w:color="000000" w:sz="10" w:space="0"/>
              <w:right w:val="nil"/>
            </w:tcBorders>
          </w:tcPr>
          <w:p>
            <w:pPr>
              <w:pStyle w:val="TableText"/>
              <w:ind w:left="512"/>
              <w:spacing w:before="164" w:line="228" w:lineRule="auto"/>
              <w:rPr>
                <w:sz w:val="20"/>
                <w:szCs w:val="20"/>
              </w:rPr>
            </w:pPr>
            <w:r>
              <w:rPr>
                <w:sz w:val="20"/>
                <w:szCs w:val="20"/>
                <w:spacing w:val="8"/>
              </w:rPr>
              <w:t>单位产品非甲烷总烃排放量</w:t>
            </w:r>
          </w:p>
        </w:tc>
      </w:tr>
    </w:tbl>
    <w:p>
      <w:pPr>
        <w:ind w:left="3952"/>
        <w:spacing w:before="162" w:line="228" w:lineRule="auto"/>
        <w:rPr>
          <w:rFonts w:ascii="SimSun" w:hAnsi="SimSun" w:eastAsia="SimSun" w:cs="SimSun"/>
          <w:sz w:val="20"/>
          <w:szCs w:val="20"/>
        </w:rPr>
      </w:pPr>
      <w:r>
        <w:rPr>
          <w:rFonts w:ascii="SimSun" w:hAnsi="SimSun" w:eastAsia="SimSun" w:cs="SimSun"/>
          <w:sz w:val="20"/>
          <w:szCs w:val="20"/>
          <w:spacing w:val="6"/>
        </w:rPr>
        <w:t>有组织</w:t>
      </w:r>
    </w:p>
    <w:p>
      <w:pPr>
        <w:spacing w:line="56" w:lineRule="exact"/>
        <w:rPr/>
      </w:pPr>
      <w:r/>
    </w:p>
    <w:tbl>
      <w:tblPr>
        <w:tblStyle w:val="TableNormal"/>
        <w:tblW w:w="8516"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61"/>
        <w:gridCol w:w="2549"/>
        <w:gridCol w:w="1674"/>
        <w:gridCol w:w="3532"/>
      </w:tblGrid>
      <w:tr>
        <w:trPr>
          <w:trHeight w:val="478" w:hRule="atLeast"/>
        </w:trPr>
        <w:tc>
          <w:tcPr>
            <w:tcW w:w="761" w:type="dxa"/>
            <w:vAlign w:val="top"/>
            <w:tcBorders>
              <w:left w:val="nil"/>
            </w:tcBorders>
          </w:tcPr>
          <w:p>
            <w:pPr>
              <w:ind w:left="351"/>
              <w:spacing w:before="2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549" w:type="dxa"/>
            <w:vAlign w:val="top"/>
          </w:tcPr>
          <w:p>
            <w:pPr>
              <w:pStyle w:val="TableText"/>
              <w:ind w:left="757"/>
              <w:spacing w:before="167" w:line="228" w:lineRule="auto"/>
              <w:rPr>
                <w:sz w:val="20"/>
                <w:szCs w:val="20"/>
              </w:rPr>
            </w:pPr>
            <w:r>
              <w:rPr>
                <w:sz w:val="20"/>
                <w:szCs w:val="20"/>
                <w:spacing w:val="7"/>
              </w:rPr>
              <w:t>非甲烷总烃</w:t>
            </w:r>
          </w:p>
        </w:tc>
        <w:tc>
          <w:tcPr>
            <w:tcW w:w="1674" w:type="dxa"/>
            <w:vAlign w:val="top"/>
          </w:tcPr>
          <w:p>
            <w:pPr>
              <w:pStyle w:val="TableText"/>
              <w:ind w:left="403"/>
              <w:spacing w:before="187" w:line="202" w:lineRule="auto"/>
              <w:rPr>
                <w:sz w:val="20"/>
                <w:szCs w:val="20"/>
              </w:rPr>
            </w:pPr>
            <w:r>
              <w:rPr>
                <w:rFonts w:ascii="Times New Roman" w:hAnsi="Times New Roman" w:eastAsia="Times New Roman" w:cs="Times New Roman"/>
                <w:sz w:val="20"/>
                <w:szCs w:val="20"/>
                <w:spacing w:val="3"/>
              </w:rPr>
              <w:t>100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3"/>
              </w:rPr>
              <w:t>/m</w:t>
            </w:r>
            <w:r>
              <w:rPr>
                <w:sz w:val="20"/>
                <w:szCs w:val="20"/>
                <w:spacing w:val="3"/>
              </w:rPr>
              <w:t>³</w:t>
            </w:r>
          </w:p>
        </w:tc>
        <w:tc>
          <w:tcPr>
            <w:tcW w:w="3532" w:type="dxa"/>
            <w:vAlign w:val="top"/>
            <w:tcBorders>
              <w:right w:val="nil"/>
            </w:tcBorders>
          </w:tcPr>
          <w:p>
            <w:pPr>
              <w:pStyle w:val="TableText"/>
              <w:ind w:left="1266"/>
              <w:spacing w:before="166" w:line="221" w:lineRule="auto"/>
              <w:rPr>
                <w:sz w:val="20"/>
                <w:szCs w:val="20"/>
              </w:rPr>
            </w:pPr>
            <w:r>
              <w:rPr>
                <w:rFonts w:ascii="Times New Roman" w:hAnsi="Times New Roman" w:eastAsia="Times New Roman" w:cs="Times New Roman"/>
                <w:sz w:val="20"/>
                <w:szCs w:val="20"/>
                <w:spacing w:val="5"/>
              </w:rPr>
              <w:t>0.3</w:t>
            </w:r>
            <w:r>
              <w:rPr>
                <w:rFonts w:ascii="Times New Roman" w:hAnsi="Times New Roman" w:eastAsia="Times New Roman" w:cs="Times New Roman"/>
                <w:sz w:val="20"/>
                <w:szCs w:val="20"/>
              </w:rPr>
              <w:t>kg</w:t>
            </w:r>
            <w:r>
              <w:rPr>
                <w:rFonts w:ascii="Times New Roman" w:hAnsi="Times New Roman" w:eastAsia="Times New Roman" w:cs="Times New Roman"/>
                <w:sz w:val="20"/>
                <w:szCs w:val="20"/>
                <w:spacing w:val="5"/>
              </w:rPr>
              <w:t>/t</w:t>
            </w:r>
            <w:r>
              <w:rPr>
                <w:sz w:val="20"/>
                <w:szCs w:val="20"/>
                <w:spacing w:val="5"/>
              </w:rPr>
              <w:t>产品</w:t>
            </w:r>
          </w:p>
        </w:tc>
      </w:tr>
    </w:tbl>
    <w:p>
      <w:pPr>
        <w:ind w:left="3953"/>
        <w:spacing w:before="164" w:line="228" w:lineRule="auto"/>
        <w:rPr>
          <w:rFonts w:ascii="SimSun" w:hAnsi="SimSun" w:eastAsia="SimSun" w:cs="SimSun"/>
          <w:sz w:val="20"/>
          <w:szCs w:val="20"/>
        </w:rPr>
      </w:pPr>
      <w:r>
        <w:rPr>
          <w:rFonts w:ascii="SimSun" w:hAnsi="SimSun" w:eastAsia="SimSun" w:cs="SimSun"/>
          <w:sz w:val="20"/>
          <w:szCs w:val="20"/>
          <w:spacing w:val="6"/>
        </w:rPr>
        <w:t>无组织</w:t>
      </w:r>
    </w:p>
    <w:p>
      <w:pPr>
        <w:spacing w:line="58" w:lineRule="exact"/>
        <w:rPr/>
      </w:pPr>
      <w:r/>
    </w:p>
    <w:tbl>
      <w:tblPr>
        <w:tblStyle w:val="TableNormal"/>
        <w:tblW w:w="8516"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61"/>
        <w:gridCol w:w="2549"/>
        <w:gridCol w:w="1674"/>
        <w:gridCol w:w="3532"/>
      </w:tblGrid>
      <w:tr>
        <w:trPr>
          <w:trHeight w:val="466" w:hRule="atLeast"/>
        </w:trPr>
        <w:tc>
          <w:tcPr>
            <w:tcW w:w="761" w:type="dxa"/>
            <w:vAlign w:val="top"/>
            <w:tcBorders>
              <w:left w:val="nil"/>
            </w:tcBorders>
          </w:tcPr>
          <w:p>
            <w:pPr>
              <w:ind w:left="351"/>
              <w:spacing w:before="2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549" w:type="dxa"/>
            <w:vAlign w:val="top"/>
          </w:tcPr>
          <w:p>
            <w:pPr>
              <w:pStyle w:val="TableText"/>
              <w:ind w:left="337"/>
              <w:spacing w:before="166" w:line="228" w:lineRule="auto"/>
              <w:rPr>
                <w:sz w:val="20"/>
                <w:szCs w:val="20"/>
              </w:rPr>
            </w:pPr>
            <w:r>
              <w:rPr>
                <w:sz w:val="20"/>
                <w:szCs w:val="20"/>
                <w:spacing w:val="7"/>
              </w:rPr>
              <w:t>非甲烷总烃（厂界）</w:t>
            </w:r>
          </w:p>
        </w:tc>
        <w:tc>
          <w:tcPr>
            <w:tcW w:w="1674" w:type="dxa"/>
            <w:vAlign w:val="top"/>
          </w:tcPr>
          <w:p>
            <w:pPr>
              <w:pStyle w:val="TableText"/>
              <w:ind w:left="408"/>
              <w:spacing w:before="187" w:line="202" w:lineRule="auto"/>
              <w:rPr>
                <w:sz w:val="20"/>
                <w:szCs w:val="20"/>
              </w:rPr>
            </w:pPr>
            <w:r>
              <w:rPr>
                <w:rFonts w:ascii="Times New Roman" w:hAnsi="Times New Roman" w:eastAsia="Times New Roman" w:cs="Times New Roman"/>
                <w:sz w:val="20"/>
                <w:szCs w:val="20"/>
                <w:spacing w:val="5"/>
              </w:rPr>
              <w:t>4.0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/m</w:t>
            </w:r>
            <w:r>
              <w:rPr>
                <w:sz w:val="20"/>
                <w:szCs w:val="20"/>
                <w:spacing w:val="5"/>
              </w:rPr>
              <w:t>³</w:t>
            </w:r>
          </w:p>
        </w:tc>
        <w:tc>
          <w:tcPr>
            <w:tcW w:w="3532" w:type="dxa"/>
            <w:vAlign w:val="top"/>
            <w:tcBorders>
              <w:right w:val="nil"/>
            </w:tcBorders>
          </w:tcPr>
          <w:p>
            <w:pPr>
              <w:ind w:left="1734"/>
              <w:spacing w:before="19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485" w:hRule="atLeast"/>
        </w:trPr>
        <w:tc>
          <w:tcPr>
            <w:tcW w:w="761" w:type="dxa"/>
            <w:vAlign w:val="top"/>
            <w:tcBorders>
              <w:left w:val="nil"/>
              <w:bottom w:val="single" w:color="000000" w:sz="10" w:space="0"/>
            </w:tcBorders>
          </w:tcPr>
          <w:p>
            <w:pPr>
              <w:ind w:left="331"/>
              <w:spacing w:before="2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549" w:type="dxa"/>
            <w:vAlign w:val="top"/>
            <w:tcBorders>
              <w:bottom w:val="single" w:color="000000" w:sz="10" w:space="0"/>
            </w:tcBorders>
          </w:tcPr>
          <w:p>
            <w:pPr>
              <w:pStyle w:val="TableText"/>
              <w:ind w:left="232"/>
              <w:spacing w:before="175" w:line="228" w:lineRule="auto"/>
              <w:rPr>
                <w:sz w:val="20"/>
                <w:szCs w:val="20"/>
              </w:rPr>
            </w:pPr>
            <w:r>
              <w:rPr>
                <w:sz w:val="20"/>
                <w:szCs w:val="20"/>
                <w:spacing w:val="7"/>
              </w:rPr>
              <w:t>非甲烷总烃（厂区内）</w:t>
            </w:r>
          </w:p>
        </w:tc>
        <w:tc>
          <w:tcPr>
            <w:tcW w:w="1674" w:type="dxa"/>
            <w:vAlign w:val="top"/>
            <w:tcBorders>
              <w:bottom w:val="single" w:color="000000" w:sz="10" w:space="0"/>
            </w:tcBorders>
          </w:tcPr>
          <w:p>
            <w:pPr>
              <w:pStyle w:val="TableText"/>
              <w:ind w:left="414"/>
              <w:spacing w:before="196" w:line="202" w:lineRule="auto"/>
              <w:rPr>
                <w:sz w:val="20"/>
                <w:szCs w:val="20"/>
              </w:rPr>
            </w:pPr>
            <w:r>
              <w:rPr>
                <w:rFonts w:ascii="Times New Roman" w:hAnsi="Times New Roman" w:eastAsia="Times New Roman" w:cs="Times New Roman"/>
                <w:sz w:val="20"/>
                <w:szCs w:val="20"/>
                <w:spacing w:val="4"/>
              </w:rPr>
              <w:t>6.0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4"/>
              </w:rPr>
              <w:t>/m</w:t>
            </w:r>
            <w:r>
              <w:rPr>
                <w:sz w:val="20"/>
                <w:szCs w:val="20"/>
                <w:spacing w:val="4"/>
              </w:rPr>
              <w:t>³</w:t>
            </w:r>
          </w:p>
        </w:tc>
        <w:tc>
          <w:tcPr>
            <w:tcW w:w="3532" w:type="dxa"/>
            <w:vAlign w:val="top"/>
            <w:tcBorders>
              <w:right w:val="nil"/>
              <w:bottom w:val="single" w:color="000000" w:sz="10" w:space="0"/>
            </w:tcBorders>
          </w:tcPr>
          <w:p>
            <w:pPr>
              <w:ind w:left="1734"/>
              <w:spacing w:before="20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bl>
    <w:p>
      <w:pPr>
        <w:pStyle w:val="BodyText"/>
        <w:spacing w:line="307" w:lineRule="auto"/>
        <w:rPr/>
      </w:pPr>
      <w:r/>
    </w:p>
    <w:p>
      <w:pPr>
        <w:pStyle w:val="BodyText"/>
        <w:spacing w:line="307" w:lineRule="auto"/>
        <w:rPr/>
      </w:pPr>
      <w:r/>
    </w:p>
    <w:p>
      <w:pPr>
        <w:spacing w:before="92" w:line="220" w:lineRule="auto"/>
        <w:outlineLvl w:val="0"/>
        <w:jc w:val="right"/>
        <w:rPr>
          <w:rFonts w:ascii="SimSun" w:hAnsi="SimSun" w:eastAsia="SimSun" w:cs="SimSun"/>
          <w:sz w:val="28"/>
          <w:szCs w:val="28"/>
        </w:rPr>
      </w:pPr>
      <w:r>
        <w:rPr>
          <w:rFonts w:ascii="Times New Roman" w:hAnsi="Times New Roman" w:eastAsia="Times New Roman" w:cs="Times New Roman"/>
          <w:sz w:val="28"/>
          <w:szCs w:val="28"/>
          <w:b/>
          <w:bCs/>
          <w:spacing w:val="-6"/>
        </w:rPr>
        <w:t>7</w:t>
      </w:r>
      <w:r>
        <w:rPr>
          <w:rFonts w:ascii="SimSun" w:hAnsi="SimSun" w:eastAsia="SimSun" w:cs="SimSun"/>
          <w:sz w:val="28"/>
          <w:szCs w:val="28"/>
          <w14:textOutline w14:w="5103" w14:cap="sq" w14:cmpd="sng">
            <w14:solidFill>
              <w14:srgbClr w14:val="000000"/>
            </w14:solidFill>
            <w14:prstDash w14:val="solid"/>
            <w14:bevel/>
          </w14:textOutline>
          <w:spacing w:val="-6"/>
        </w:rPr>
        <w:t>、完善说明废气收集情况，完善废气污染治理设施的可行技术分析，</w:t>
      </w:r>
    </w:p>
    <w:p>
      <w:pPr>
        <w:ind w:left="139" w:right="106" w:hanging="20"/>
        <w:spacing w:before="227" w:line="369"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完善分析所采用的两级活性炭吸附装置净化处理挥发性有机物措施</w:t>
      </w:r>
      <w:r>
        <w:rPr>
          <w:rFonts w:ascii="SimSun" w:hAnsi="SimSun" w:eastAsia="SimSun" w:cs="SimSun"/>
          <w:sz w:val="28"/>
          <w:szCs w:val="28"/>
          <w:spacing w:val="8"/>
        </w:rPr>
        <w:t xml:space="preserve">  </w:t>
      </w:r>
      <w:r>
        <w:rPr>
          <w:rFonts w:ascii="SimSun" w:hAnsi="SimSun" w:eastAsia="SimSun" w:cs="SimSun"/>
          <w:sz w:val="28"/>
          <w:szCs w:val="28"/>
          <w14:textOutline w14:w="5103" w14:cap="sq" w14:cmpd="sng">
            <w14:solidFill>
              <w14:srgbClr w14:val="000000"/>
            </w14:solidFill>
            <w14:prstDash w14:val="solid"/>
            <w14:bevel/>
          </w14:textOutline>
          <w:spacing w:val="-4"/>
        </w:rPr>
        <w:t>的合规性和有效性、稳定达标的可行性，明</w:t>
      </w:r>
      <w:r>
        <w:rPr>
          <w:rFonts w:ascii="SimSun" w:hAnsi="SimSun" w:eastAsia="SimSun" w:cs="SimSun"/>
          <w:sz w:val="28"/>
          <w:szCs w:val="28"/>
          <w14:textOutline w14:w="5103" w14:cap="sq" w14:cmpd="sng">
            <w14:solidFill>
              <w14:srgbClr w14:val="000000"/>
            </w14:solidFill>
            <w14:prstDash w14:val="solid"/>
            <w14:bevel/>
          </w14:textOutline>
          <w:spacing w:val="-5"/>
        </w:rPr>
        <w:t>确活性炭的充填和更换要</w:t>
      </w:r>
    </w:p>
    <w:p>
      <w:pPr>
        <w:ind w:left="119"/>
        <w:spacing w:before="1" w:line="219"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求，完善废气污染物监测计划。</w:t>
      </w:r>
    </w:p>
    <w:p>
      <w:pPr>
        <w:ind w:left="595"/>
        <w:spacing w:before="214" w:line="219" w:lineRule="auto"/>
        <w:rPr>
          <w:rFonts w:ascii="Times New Roman" w:hAnsi="Times New Roman" w:eastAsia="Times New Roman" w:cs="Times New Roman"/>
          <w:sz w:val="24"/>
          <w:szCs w:val="24"/>
        </w:rPr>
      </w:pPr>
      <w:r>
        <w:rPr>
          <w:rFonts w:ascii="SimSun" w:hAnsi="SimSun" w:eastAsia="SimSun" w:cs="SimSun"/>
          <w:sz w:val="24"/>
          <w:szCs w:val="24"/>
          <w:spacing w:val="-2"/>
        </w:rPr>
        <w:t>修改见</w:t>
      </w:r>
      <w:r>
        <w:rPr>
          <w:rFonts w:ascii="Times New Roman" w:hAnsi="Times New Roman" w:eastAsia="Times New Roman" w:cs="Times New Roman"/>
          <w:sz w:val="24"/>
          <w:szCs w:val="24"/>
          <w:spacing w:val="-2"/>
        </w:rPr>
        <w:t>P43</w:t>
      </w:r>
    </w:p>
    <w:p>
      <w:pPr>
        <w:ind w:left="606"/>
        <w:spacing w:before="214"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）符合废气污染防治可行性技术</w:t>
      </w:r>
    </w:p>
    <w:p>
      <w:pPr>
        <w:ind w:left="595"/>
        <w:spacing w:before="217" w:line="219" w:lineRule="auto"/>
        <w:rPr>
          <w:rFonts w:ascii="SimSun" w:hAnsi="SimSun" w:eastAsia="SimSun" w:cs="SimSun"/>
          <w:sz w:val="24"/>
          <w:szCs w:val="24"/>
        </w:rPr>
      </w:pPr>
      <w:r>
        <w:rPr>
          <w:rFonts w:ascii="SimSun" w:hAnsi="SimSun" w:eastAsia="SimSun" w:cs="SimSun"/>
          <w:sz w:val="24"/>
          <w:szCs w:val="24"/>
          <w:spacing w:val="-1"/>
        </w:rPr>
        <w:t>根据《排污许可证申请与核发技术规范 橡胶和塑料制品工业》</w:t>
      </w:r>
    </w:p>
    <w:p>
      <w:pPr>
        <w:ind w:left="114" w:right="106" w:firstLine="12"/>
        <w:spacing w:before="214" w:line="385"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HJ1122-2020</w:t>
      </w:r>
      <w:r>
        <w:rPr>
          <w:rFonts w:ascii="SimSun" w:hAnsi="SimSun" w:eastAsia="SimSun" w:cs="SimSun"/>
          <w:sz w:val="24"/>
          <w:szCs w:val="24"/>
          <w:spacing w:val="-1"/>
        </w:rPr>
        <w:t>）中第二部分塑料制品工业附录</w:t>
      </w:r>
      <w:r>
        <w:rPr>
          <w:rFonts w:ascii="Times New Roman" w:hAnsi="Times New Roman" w:eastAsia="Times New Roman" w:cs="Times New Roman"/>
          <w:sz w:val="24"/>
          <w:szCs w:val="24"/>
          <w:spacing w:val="-1"/>
        </w:rPr>
        <w:t>A</w:t>
      </w:r>
      <w:r>
        <w:rPr>
          <w:rFonts w:ascii="SimSun" w:hAnsi="SimSun" w:eastAsia="SimSun" w:cs="SimSun"/>
          <w:sz w:val="24"/>
          <w:szCs w:val="24"/>
          <w:spacing w:val="-1"/>
        </w:rPr>
        <w:t>中表</w:t>
      </w:r>
      <w:r>
        <w:rPr>
          <w:rFonts w:ascii="Times New Roman" w:hAnsi="Times New Roman" w:eastAsia="Times New Roman" w:cs="Times New Roman"/>
          <w:sz w:val="24"/>
          <w:szCs w:val="24"/>
          <w:spacing w:val="-1"/>
        </w:rPr>
        <w:t>A.2</w:t>
      </w:r>
      <w:r>
        <w:rPr>
          <w:rFonts w:ascii="SimSun" w:hAnsi="SimSun" w:eastAsia="SimSun" w:cs="SimSun"/>
          <w:sz w:val="24"/>
          <w:szCs w:val="24"/>
          <w:spacing w:val="-1"/>
        </w:rPr>
        <w:t>塑料制品工业排污单位</w:t>
      </w:r>
      <w:r>
        <w:rPr>
          <w:rFonts w:ascii="SimSun" w:hAnsi="SimSun" w:eastAsia="SimSun" w:cs="SimSun"/>
          <w:sz w:val="24"/>
          <w:szCs w:val="24"/>
          <w:spacing w:val="10"/>
        </w:rPr>
        <w:t xml:space="preserve"> </w:t>
      </w:r>
      <w:r>
        <w:rPr>
          <w:rFonts w:ascii="SimSun" w:hAnsi="SimSun" w:eastAsia="SimSun" w:cs="SimSun"/>
          <w:sz w:val="24"/>
          <w:szCs w:val="24"/>
        </w:rPr>
        <w:t>废气污染防治可行性技术参考表，塑料薄膜制造类别污</w:t>
      </w:r>
      <w:r>
        <w:rPr>
          <w:rFonts w:ascii="SimSun" w:hAnsi="SimSun" w:eastAsia="SimSun" w:cs="SimSun"/>
          <w:sz w:val="24"/>
          <w:szCs w:val="24"/>
          <w:spacing w:val="-1"/>
        </w:rPr>
        <w:t>染防治设施名称及工艺</w:t>
      </w:r>
    </w:p>
    <w:p>
      <w:pPr>
        <w:ind w:left="116"/>
        <w:spacing w:before="1" w:line="217" w:lineRule="auto"/>
        <w:rPr>
          <w:rFonts w:ascii="SimSun" w:hAnsi="SimSun" w:eastAsia="SimSun" w:cs="SimSun"/>
          <w:sz w:val="24"/>
          <w:szCs w:val="24"/>
        </w:rPr>
      </w:pPr>
      <w:r>
        <w:rPr>
          <w:rFonts w:ascii="SimSun" w:hAnsi="SimSun" w:eastAsia="SimSun" w:cs="SimSun"/>
          <w:sz w:val="24"/>
          <w:szCs w:val="24"/>
          <w:spacing w:val="-1"/>
        </w:rPr>
        <w:t>有：除尘、喷淋、吸附、热力燃烧、催化燃烧、低温等离子体、</w:t>
      </w:r>
      <w:r>
        <w:rPr>
          <w:rFonts w:ascii="Times New Roman" w:hAnsi="Times New Roman" w:eastAsia="Times New Roman" w:cs="Times New Roman"/>
          <w:sz w:val="24"/>
          <w:szCs w:val="24"/>
          <w:spacing w:val="-1"/>
        </w:rPr>
        <w:t>UV</w:t>
      </w:r>
      <w:r>
        <w:rPr>
          <w:rFonts w:ascii="SimSun" w:hAnsi="SimSun" w:eastAsia="SimSun" w:cs="SimSun"/>
          <w:sz w:val="24"/>
          <w:szCs w:val="24"/>
          <w:spacing w:val="-1"/>
        </w:rPr>
        <w:t>光氧催</w:t>
      </w:r>
      <w:r>
        <w:rPr>
          <w:rFonts w:ascii="SimSun" w:hAnsi="SimSun" w:eastAsia="SimSun" w:cs="SimSun"/>
          <w:sz w:val="24"/>
          <w:szCs w:val="24"/>
          <w:spacing w:val="-2"/>
        </w:rPr>
        <w:t>化</w:t>
      </w:r>
      <w:r>
        <w:rPr>
          <w:rFonts w:ascii="Times New Roman" w:hAnsi="Times New Roman" w:eastAsia="Times New Roman" w:cs="Times New Roman"/>
          <w:sz w:val="24"/>
          <w:szCs w:val="24"/>
          <w:spacing w:val="-2"/>
        </w:rPr>
        <w:t>/</w:t>
      </w:r>
      <w:r>
        <w:rPr>
          <w:rFonts w:ascii="SimSun" w:hAnsi="SimSun" w:eastAsia="SimSun" w:cs="SimSun"/>
          <w:sz w:val="24"/>
          <w:szCs w:val="24"/>
          <w:spacing w:val="-2"/>
        </w:rPr>
        <w:t>光</w:t>
      </w:r>
    </w:p>
    <w:p>
      <w:pPr>
        <w:spacing w:line="217" w:lineRule="auto"/>
        <w:sectPr>
          <w:footerReference w:type="default" r:id="rId123"/>
          <w:pgSz w:w="11906" w:h="16839"/>
          <w:pgMar w:top="400" w:right="1695" w:bottom="1211" w:left="1693" w:header="0" w:footer="1049" w:gutter="0"/>
        </w:sectPr>
        <w:rPr>
          <w:rFonts w:ascii="SimSun" w:hAnsi="SimSun" w:eastAsia="SimSun" w:cs="SimSun"/>
          <w:sz w:val="24"/>
          <w:szCs w:val="24"/>
        </w:rPr>
      </w:pPr>
    </w:p>
    <w:p>
      <w:pPr>
        <w:pStyle w:val="BodyText"/>
        <w:spacing w:line="287" w:lineRule="auto"/>
        <w:rPr/>
      </w:pPr>
      <w:r/>
    </w:p>
    <w:p>
      <w:pPr>
        <w:pStyle w:val="BodyText"/>
        <w:spacing w:line="287" w:lineRule="auto"/>
        <w:rPr/>
      </w:pPr>
      <w:r/>
    </w:p>
    <w:p>
      <w:pPr>
        <w:pStyle w:val="BodyText"/>
        <w:spacing w:line="288" w:lineRule="auto"/>
        <w:rPr/>
      </w:pPr>
      <w:r/>
    </w:p>
    <w:p>
      <w:pPr>
        <w:pStyle w:val="BodyText"/>
        <w:spacing w:line="288" w:lineRule="auto"/>
        <w:rPr/>
      </w:pPr>
      <w:r/>
    </w:p>
    <w:p>
      <w:pPr>
        <w:ind w:left="23"/>
        <w:spacing w:before="78" w:line="219" w:lineRule="auto"/>
        <w:rPr>
          <w:rFonts w:ascii="SimSun" w:hAnsi="SimSun" w:eastAsia="SimSun" w:cs="SimSun"/>
          <w:sz w:val="24"/>
          <w:szCs w:val="24"/>
        </w:rPr>
      </w:pPr>
      <w:r>
        <w:rPr>
          <w:rFonts w:ascii="SimSun" w:hAnsi="SimSun" w:eastAsia="SimSun" w:cs="SimSun"/>
          <w:sz w:val="24"/>
          <w:szCs w:val="24"/>
          <w:spacing w:val="-1"/>
        </w:rPr>
        <w:t>催化、生物法、以上组合技术。</w:t>
      </w:r>
    </w:p>
    <w:p>
      <w:pPr>
        <w:ind w:left="504"/>
        <w:spacing w:before="214" w:line="499" w:lineRule="exact"/>
        <w:rPr>
          <w:rFonts w:ascii="SimSun" w:hAnsi="SimSun" w:eastAsia="SimSun" w:cs="SimSun"/>
          <w:sz w:val="24"/>
          <w:szCs w:val="24"/>
        </w:rPr>
      </w:pPr>
      <w:r>
        <w:rPr>
          <w:rFonts w:ascii="SimSun" w:hAnsi="SimSun" w:eastAsia="SimSun" w:cs="SimSun"/>
          <w:sz w:val="24"/>
          <w:szCs w:val="24"/>
          <w:position w:val="19"/>
        </w:rPr>
        <w:t>本项目有组织废气采用活性炭吸附</w:t>
      </w:r>
      <w:r>
        <w:rPr>
          <w:rFonts w:ascii="Times New Roman" w:hAnsi="Times New Roman" w:eastAsia="Times New Roman" w:cs="Times New Roman"/>
          <w:sz w:val="24"/>
          <w:szCs w:val="24"/>
          <w:position w:val="19"/>
        </w:rPr>
        <w:t>+</w:t>
      </w:r>
      <w:r>
        <w:rPr>
          <w:rFonts w:ascii="SimSun" w:hAnsi="SimSun" w:eastAsia="SimSun" w:cs="SimSun"/>
          <w:sz w:val="24"/>
          <w:szCs w:val="24"/>
          <w:position w:val="19"/>
        </w:rPr>
        <w:t>直接催化</w:t>
      </w:r>
      <w:r>
        <w:rPr>
          <w:rFonts w:ascii="SimSun" w:hAnsi="SimSun" w:eastAsia="SimSun" w:cs="SimSun"/>
          <w:sz w:val="24"/>
          <w:szCs w:val="24"/>
          <w:spacing w:val="-1"/>
          <w:position w:val="19"/>
        </w:rPr>
        <w:t>燃烧法装置处理，属于两级组</w:t>
      </w:r>
    </w:p>
    <w:p>
      <w:pPr>
        <w:ind w:left="24"/>
        <w:spacing w:line="219" w:lineRule="auto"/>
        <w:rPr>
          <w:rFonts w:ascii="SimSun" w:hAnsi="SimSun" w:eastAsia="SimSun" w:cs="SimSun"/>
          <w:sz w:val="24"/>
          <w:szCs w:val="24"/>
        </w:rPr>
      </w:pPr>
      <w:r>
        <w:rPr>
          <w:rFonts w:ascii="SimSun" w:hAnsi="SimSun" w:eastAsia="SimSun" w:cs="SimSun"/>
          <w:sz w:val="24"/>
          <w:szCs w:val="24"/>
        </w:rPr>
        <w:t>合技术，属于《排污许可证申请与核发技术规</w:t>
      </w:r>
      <w:r>
        <w:rPr>
          <w:rFonts w:ascii="SimSun" w:hAnsi="SimSun" w:eastAsia="SimSun" w:cs="SimSun"/>
          <w:sz w:val="24"/>
          <w:szCs w:val="24"/>
          <w:spacing w:val="-1"/>
        </w:rPr>
        <w:t>范 橡胶和塑料制品工业》</w:t>
      </w:r>
    </w:p>
    <w:p>
      <w:pPr>
        <w:ind w:left="34"/>
        <w:spacing w:before="216"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HJ1122-2020</w:t>
      </w:r>
      <w:r>
        <w:rPr>
          <w:rFonts w:ascii="SimSun" w:hAnsi="SimSun" w:eastAsia="SimSun" w:cs="SimSun"/>
          <w:sz w:val="24"/>
          <w:szCs w:val="24"/>
          <w:spacing w:val="-2"/>
        </w:rPr>
        <w:t>）可行性技术。</w:t>
      </w:r>
    </w:p>
    <w:p>
      <w:pPr>
        <w:ind w:left="23" w:right="80" w:firstLine="480"/>
        <w:spacing w:before="217" w:line="384" w:lineRule="auto"/>
        <w:rPr>
          <w:rFonts w:ascii="SimSun" w:hAnsi="SimSun" w:eastAsia="SimSun" w:cs="SimSun"/>
          <w:sz w:val="24"/>
          <w:szCs w:val="24"/>
        </w:rPr>
      </w:pPr>
      <w:r>
        <w:rPr>
          <w:rFonts w:ascii="SimSun" w:hAnsi="SimSun" w:eastAsia="SimSun" w:cs="SimSun"/>
          <w:sz w:val="24"/>
          <w:szCs w:val="24"/>
          <w:spacing w:val="-1"/>
        </w:rPr>
        <w:t>本项目使用集气罩收集有机废气，经计算，废气产生量为</w:t>
      </w:r>
      <w:r>
        <w:rPr>
          <w:rFonts w:ascii="Times New Roman" w:hAnsi="Times New Roman" w:eastAsia="Times New Roman" w:cs="Times New Roman"/>
          <w:sz w:val="24"/>
          <w:szCs w:val="24"/>
          <w:spacing w:val="-1"/>
        </w:rPr>
        <w:t>1t/a</w:t>
      </w:r>
      <w:r>
        <w:rPr>
          <w:rFonts w:ascii="Times New Roman" w:hAnsi="Times New Roman" w:eastAsia="Times New Roman" w:cs="Times New Roman"/>
          <w:sz w:val="24"/>
          <w:szCs w:val="24"/>
          <w:spacing w:val="-32"/>
        </w:rPr>
        <w:t xml:space="preserve"> </w:t>
      </w:r>
      <w:r>
        <w:rPr>
          <w:rFonts w:ascii="SimSun" w:hAnsi="SimSun" w:eastAsia="SimSun" w:cs="SimSun"/>
          <w:sz w:val="24"/>
          <w:szCs w:val="24"/>
          <w:spacing w:val="-1"/>
        </w:rPr>
        <w:t>，</w:t>
      </w:r>
      <w:r>
        <w:rPr>
          <w:rFonts w:ascii="SimSun" w:hAnsi="SimSun" w:eastAsia="SimSun" w:cs="SimSun"/>
          <w:sz w:val="24"/>
          <w:szCs w:val="24"/>
          <w:spacing w:val="-2"/>
        </w:rPr>
        <w:t>产生浓度为</w:t>
      </w:r>
      <w:r>
        <w:rPr>
          <w:rFonts w:ascii="SimSun" w:hAnsi="SimSun" w:eastAsia="SimSun" w:cs="SimSun"/>
          <w:sz w:val="24"/>
          <w:szCs w:val="24"/>
        </w:rPr>
        <w:t xml:space="preserve"> </w:t>
      </w:r>
      <w:r>
        <w:rPr>
          <w:rFonts w:ascii="Times New Roman" w:hAnsi="Times New Roman" w:eastAsia="Times New Roman" w:cs="Times New Roman"/>
          <w:sz w:val="24"/>
          <w:szCs w:val="24"/>
          <w:spacing w:val="-3"/>
        </w:rPr>
        <w:t>31.57mg/m</w:t>
      </w:r>
      <w:r>
        <w:rPr>
          <w:rFonts w:ascii="SimSun" w:hAnsi="SimSun" w:eastAsia="SimSun" w:cs="SimSun"/>
          <w:sz w:val="24"/>
          <w:szCs w:val="24"/>
          <w:spacing w:val="-3"/>
        </w:rPr>
        <w:t>³, 在未经处理情况下废气排放浓度可满足《合成树脂工业污染物</w:t>
      </w:r>
      <w:r>
        <w:rPr>
          <w:rFonts w:ascii="SimSun" w:hAnsi="SimSun" w:eastAsia="SimSun" w:cs="SimSun"/>
          <w:sz w:val="24"/>
          <w:szCs w:val="24"/>
          <w:spacing w:val="-4"/>
        </w:rPr>
        <w:t>排放</w:t>
      </w:r>
      <w:r>
        <w:rPr>
          <w:rFonts w:ascii="SimSun" w:hAnsi="SimSun" w:eastAsia="SimSun" w:cs="SimSun"/>
          <w:sz w:val="24"/>
          <w:szCs w:val="24"/>
        </w:rPr>
        <w:t xml:space="preserve"> </w:t>
      </w:r>
      <w:r>
        <w:rPr>
          <w:rFonts w:ascii="SimSun" w:hAnsi="SimSun" w:eastAsia="SimSun" w:cs="SimSun"/>
          <w:sz w:val="24"/>
          <w:szCs w:val="24"/>
          <w:spacing w:val="-4"/>
        </w:rPr>
        <w:t>标准》（</w:t>
      </w:r>
      <w:r>
        <w:rPr>
          <w:rFonts w:ascii="Times New Roman" w:hAnsi="Times New Roman" w:eastAsia="Times New Roman" w:cs="Times New Roman"/>
          <w:sz w:val="24"/>
          <w:szCs w:val="24"/>
          <w:spacing w:val="-4"/>
        </w:rPr>
        <w:t>GB31572-2015</w:t>
      </w:r>
      <w:r>
        <w:rPr>
          <w:rFonts w:ascii="SimSun" w:hAnsi="SimSun" w:eastAsia="SimSun" w:cs="SimSun"/>
          <w:sz w:val="24"/>
          <w:szCs w:val="24"/>
          <w:spacing w:val="-4"/>
        </w:rPr>
        <w:t>）中表</w:t>
      </w:r>
      <w:r>
        <w:rPr>
          <w:rFonts w:ascii="Times New Roman" w:hAnsi="Times New Roman" w:eastAsia="Times New Roman" w:cs="Times New Roman"/>
          <w:sz w:val="24"/>
          <w:szCs w:val="24"/>
          <w:spacing w:val="-4"/>
        </w:rPr>
        <w:t>5</w:t>
      </w:r>
      <w:r>
        <w:rPr>
          <w:rFonts w:ascii="SimSun" w:hAnsi="SimSun" w:eastAsia="SimSun" w:cs="SimSun"/>
          <w:sz w:val="24"/>
          <w:szCs w:val="24"/>
          <w:spacing w:val="-4"/>
        </w:rPr>
        <w:t>大气污染物特别排放限值要求（浓度</w:t>
      </w:r>
      <w:r>
        <w:rPr>
          <w:rFonts w:ascii="Times New Roman" w:hAnsi="Times New Roman" w:eastAsia="Times New Roman" w:cs="Times New Roman"/>
          <w:sz w:val="24"/>
          <w:szCs w:val="24"/>
          <w:spacing w:val="-4"/>
        </w:rPr>
        <w:t>60mg/m</w:t>
      </w:r>
      <w:r>
        <w:rPr>
          <w:rFonts w:ascii="SimSun" w:hAnsi="SimSun" w:eastAsia="SimSun" w:cs="SimSun"/>
          <w:sz w:val="24"/>
          <w:szCs w:val="24"/>
          <w:spacing w:val="-4"/>
        </w:rPr>
        <w:t>³) ,</w:t>
      </w:r>
      <w:r>
        <w:rPr>
          <w:rFonts w:ascii="SimSun" w:hAnsi="SimSun" w:eastAsia="SimSun" w:cs="SimSun"/>
          <w:sz w:val="24"/>
          <w:szCs w:val="24"/>
          <w:spacing w:val="12"/>
        </w:rPr>
        <w:t xml:space="preserve"> </w:t>
      </w:r>
      <w:r>
        <w:rPr>
          <w:rFonts w:ascii="SimSun" w:hAnsi="SimSun" w:eastAsia="SimSun" w:cs="SimSun"/>
          <w:sz w:val="24"/>
          <w:szCs w:val="24"/>
        </w:rPr>
        <w:t>为减少挥发性有机废气对周边环境影响，采取了“活</w:t>
      </w:r>
      <w:r>
        <w:rPr>
          <w:rFonts w:ascii="SimSun" w:hAnsi="SimSun" w:eastAsia="SimSun" w:cs="SimSun"/>
          <w:sz w:val="24"/>
          <w:szCs w:val="24"/>
          <w:spacing w:val="-1"/>
        </w:rPr>
        <w:t>性炭吸附</w:t>
      </w:r>
      <w:r>
        <w:rPr>
          <w:rFonts w:ascii="Times New Roman" w:hAnsi="Times New Roman" w:eastAsia="Times New Roman" w:cs="Times New Roman"/>
          <w:sz w:val="24"/>
          <w:szCs w:val="24"/>
          <w:spacing w:val="-1"/>
        </w:rPr>
        <w:t>+</w:t>
      </w:r>
      <w:r>
        <w:rPr>
          <w:rFonts w:ascii="SimSun" w:hAnsi="SimSun" w:eastAsia="SimSun" w:cs="SimSun"/>
          <w:sz w:val="24"/>
          <w:szCs w:val="24"/>
          <w:spacing w:val="-1"/>
        </w:rPr>
        <w:t>直接催化燃烧法</w:t>
      </w:r>
    </w:p>
    <w:p>
      <w:pPr>
        <w:ind w:left="23"/>
        <w:spacing w:line="219" w:lineRule="auto"/>
        <w:rPr>
          <w:rFonts w:ascii="SimSun" w:hAnsi="SimSun" w:eastAsia="SimSun" w:cs="SimSun"/>
          <w:sz w:val="24"/>
          <w:szCs w:val="24"/>
        </w:rPr>
      </w:pPr>
      <w:r>
        <w:rPr>
          <w:rFonts w:ascii="SimSun" w:hAnsi="SimSun" w:eastAsia="SimSun" w:cs="SimSun"/>
          <w:sz w:val="24"/>
          <w:szCs w:val="24"/>
          <w:spacing w:val="-3"/>
        </w:rPr>
        <w:t>装置</w:t>
      </w:r>
      <w:r>
        <w:rPr>
          <w:rFonts w:ascii="Times New Roman" w:hAnsi="Times New Roman" w:eastAsia="Times New Roman" w:cs="Times New Roman"/>
          <w:sz w:val="24"/>
          <w:szCs w:val="24"/>
          <w:spacing w:val="-3"/>
        </w:rPr>
        <w:t>+15m</w:t>
      </w:r>
      <w:r>
        <w:rPr>
          <w:rFonts w:ascii="SimSun" w:hAnsi="SimSun" w:eastAsia="SimSun" w:cs="SimSun"/>
          <w:sz w:val="24"/>
          <w:szCs w:val="24"/>
          <w:spacing w:val="-3"/>
        </w:rPr>
        <w:t>排气筒</w:t>
      </w:r>
      <w:r>
        <w:rPr>
          <w:rFonts w:ascii="SimSun" w:hAnsi="SimSun" w:eastAsia="SimSun" w:cs="SimSun"/>
          <w:sz w:val="24"/>
          <w:szCs w:val="24"/>
          <w:spacing w:val="-86"/>
        </w:rPr>
        <w:t xml:space="preserve"> </w:t>
      </w:r>
      <w:r>
        <w:rPr>
          <w:rFonts w:ascii="SimSun" w:hAnsi="SimSun" w:eastAsia="SimSun" w:cs="SimSun"/>
          <w:sz w:val="24"/>
          <w:szCs w:val="24"/>
          <w:spacing w:val="-3"/>
        </w:rPr>
        <w:t>”处理措施。</w:t>
      </w:r>
    </w:p>
    <w:p>
      <w:pPr>
        <w:ind w:left="514"/>
        <w:spacing w:before="216"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）活性炭吸附</w:t>
      </w:r>
      <w:r>
        <w:rPr>
          <w:rFonts w:ascii="Times New Roman" w:hAnsi="Times New Roman" w:eastAsia="Times New Roman" w:cs="Times New Roman"/>
          <w:sz w:val="24"/>
          <w:szCs w:val="24"/>
          <w:spacing w:val="-2"/>
        </w:rPr>
        <w:t>+</w:t>
      </w:r>
      <w:r>
        <w:rPr>
          <w:rFonts w:ascii="SimSun" w:hAnsi="SimSun" w:eastAsia="SimSun" w:cs="SimSun"/>
          <w:sz w:val="24"/>
          <w:szCs w:val="24"/>
          <w:spacing w:val="-2"/>
        </w:rPr>
        <w:t>直接催化燃烧法装置优点</w:t>
      </w:r>
    </w:p>
    <w:p>
      <w:pPr>
        <w:ind w:left="16" w:firstLine="487"/>
        <w:spacing w:before="209" w:line="385" w:lineRule="auto"/>
        <w:rPr>
          <w:rFonts w:ascii="SimSun" w:hAnsi="SimSun" w:eastAsia="SimSun" w:cs="SimSun"/>
          <w:sz w:val="24"/>
          <w:szCs w:val="24"/>
        </w:rPr>
      </w:pPr>
      <w:r>
        <w:rPr>
          <w:rFonts w:ascii="SimSun" w:hAnsi="SimSun" w:eastAsia="SimSun" w:cs="SimSun"/>
          <w:sz w:val="24"/>
          <w:szCs w:val="24"/>
          <w:spacing w:val="-5"/>
        </w:rPr>
        <w:t>根据比选，“固定床吸附系统</w:t>
      </w:r>
      <w:r>
        <w:rPr>
          <w:rFonts w:ascii="SimSun" w:hAnsi="SimSun" w:eastAsia="SimSun" w:cs="SimSun"/>
          <w:sz w:val="24"/>
          <w:szCs w:val="24"/>
          <w:spacing w:val="-74"/>
        </w:rPr>
        <w:t xml:space="preserve"> </w:t>
      </w:r>
      <w:r>
        <w:rPr>
          <w:rFonts w:ascii="SimSun" w:hAnsi="SimSun" w:eastAsia="SimSun" w:cs="SimSun"/>
          <w:sz w:val="24"/>
          <w:szCs w:val="24"/>
          <w:spacing w:val="-5"/>
        </w:rPr>
        <w:t>”技术适用于生产和使用溶剂型和水性涂料的 </w:t>
      </w:r>
      <w:r>
        <w:rPr>
          <w:rFonts w:ascii="SimSun" w:hAnsi="SimSun" w:eastAsia="SimSun" w:cs="SimSun"/>
          <w:sz w:val="24"/>
          <w:szCs w:val="24"/>
          <w:spacing w:val="-2"/>
        </w:rPr>
        <w:t>企业；“旋转式（转轮、转筒）吸附系统</w:t>
      </w:r>
      <w:r>
        <w:rPr>
          <w:rFonts w:ascii="SimSun" w:hAnsi="SimSun" w:eastAsia="SimSun" w:cs="SimSun"/>
          <w:sz w:val="24"/>
          <w:szCs w:val="24"/>
          <w:spacing w:val="-88"/>
        </w:rPr>
        <w:t xml:space="preserve"> </w:t>
      </w:r>
      <w:r>
        <w:rPr>
          <w:rFonts w:ascii="SimSun" w:hAnsi="SimSun" w:eastAsia="SimSun" w:cs="SimSun"/>
          <w:sz w:val="24"/>
          <w:szCs w:val="24"/>
          <w:spacing w:val="-2"/>
        </w:rPr>
        <w:t>”技术适用于低浓度(≤</w:t>
      </w:r>
      <w:r>
        <w:rPr>
          <w:rFonts w:ascii="Times New Roman" w:hAnsi="Times New Roman" w:eastAsia="Times New Roman" w:cs="Times New Roman"/>
          <w:sz w:val="24"/>
          <w:szCs w:val="24"/>
          <w:spacing w:val="-2"/>
        </w:rPr>
        <w:t>5000mg/m</w:t>
      </w:r>
      <w:r>
        <w:rPr>
          <w:rFonts w:ascii="SimSun" w:hAnsi="SimSun" w:eastAsia="SimSun" w:cs="SimSun"/>
          <w:sz w:val="24"/>
          <w:szCs w:val="24"/>
          <w:spacing w:val="-2"/>
        </w:rPr>
        <w:t>³</w:t>
      </w:r>
      <w:r>
        <w:rPr>
          <w:rFonts w:ascii="SimSun" w:hAnsi="SimSun" w:eastAsia="SimSun" w:cs="SimSun"/>
          <w:sz w:val="24"/>
          <w:szCs w:val="24"/>
          <w:spacing w:val="-3"/>
        </w:rPr>
        <w:t>)</w:t>
      </w:r>
      <w:r>
        <w:rPr>
          <w:rFonts w:ascii="SimSun" w:hAnsi="SimSun" w:eastAsia="SimSun" w:cs="SimSun"/>
          <w:sz w:val="24"/>
          <w:szCs w:val="24"/>
          <w:spacing w:val="-47"/>
        </w:rPr>
        <w:t xml:space="preserve"> </w:t>
      </w:r>
      <w:r>
        <w:rPr>
          <w:rFonts w:ascii="SimSun" w:hAnsi="SimSun" w:eastAsia="SimSun" w:cs="SimSun"/>
          <w:sz w:val="24"/>
          <w:szCs w:val="24"/>
          <w:spacing w:val="-3"/>
        </w:rPr>
        <w:t>、</w:t>
      </w:r>
      <w:r>
        <w:rPr>
          <w:rFonts w:ascii="SimSun" w:hAnsi="SimSun" w:eastAsia="SimSun" w:cs="SimSun"/>
          <w:sz w:val="24"/>
          <w:szCs w:val="24"/>
        </w:rPr>
        <w:t xml:space="preserve"> </w:t>
      </w:r>
      <w:r>
        <w:rPr>
          <w:rFonts w:ascii="SimSun" w:hAnsi="SimSun" w:eastAsia="SimSun" w:cs="SimSun"/>
          <w:sz w:val="24"/>
          <w:szCs w:val="24"/>
          <w:spacing w:val="2"/>
        </w:rPr>
        <w:t>大风量(≤</w:t>
      </w:r>
      <w:r>
        <w:rPr>
          <w:rFonts w:ascii="Times New Roman" w:hAnsi="Times New Roman" w:eastAsia="Times New Roman" w:cs="Times New Roman"/>
          <w:sz w:val="24"/>
          <w:szCs w:val="24"/>
          <w:spacing w:val="2"/>
        </w:rPr>
        <w:t>100000m</w:t>
      </w:r>
      <w:r>
        <w:rPr>
          <w:rFonts w:ascii="SimSun" w:hAnsi="SimSun" w:eastAsia="SimSun" w:cs="SimSun"/>
          <w:sz w:val="24"/>
          <w:szCs w:val="24"/>
          <w:spacing w:val="2"/>
        </w:rPr>
        <w:t>³</w:t>
      </w:r>
      <w:r>
        <w:rPr>
          <w:rFonts w:ascii="Times New Roman" w:hAnsi="Times New Roman" w:eastAsia="Times New Roman" w:cs="Times New Roman"/>
          <w:sz w:val="24"/>
          <w:szCs w:val="24"/>
          <w:spacing w:val="2"/>
        </w:rPr>
        <w:t>/h</w:t>
      </w:r>
      <w:r>
        <w:rPr>
          <w:rFonts w:ascii="SimSun" w:hAnsi="SimSun" w:eastAsia="SimSun" w:cs="SimSun"/>
          <w:sz w:val="24"/>
          <w:szCs w:val="24"/>
          <w:spacing w:val="2"/>
        </w:rPr>
        <w:t>）的废气处理；“直燃式废气燃烧装置（</w:t>
      </w:r>
      <w:r>
        <w:rPr>
          <w:rFonts w:ascii="Times New Roman" w:hAnsi="Times New Roman" w:eastAsia="Times New Roman" w:cs="Times New Roman"/>
          <w:sz w:val="24"/>
          <w:szCs w:val="24"/>
        </w:rPr>
        <w:t>TO</w:t>
      </w:r>
      <w:r>
        <w:rPr>
          <w:rFonts w:ascii="SimSun" w:hAnsi="SimSun" w:eastAsia="SimSun" w:cs="SimSun"/>
          <w:sz w:val="24"/>
          <w:szCs w:val="24"/>
          <w:spacing w:val="2"/>
        </w:rPr>
        <w:t>）</w:t>
      </w:r>
      <w:r>
        <w:rPr>
          <w:rFonts w:ascii="SimSun" w:hAnsi="SimSun" w:eastAsia="SimSun" w:cs="SimSun"/>
          <w:sz w:val="24"/>
          <w:szCs w:val="24"/>
          <w:spacing w:val="-84"/>
        </w:rPr>
        <w:t xml:space="preserve"> </w:t>
      </w:r>
      <w:r>
        <w:rPr>
          <w:rFonts w:ascii="SimSun" w:hAnsi="SimSun" w:eastAsia="SimSun" w:cs="SimSun"/>
          <w:sz w:val="24"/>
          <w:szCs w:val="24"/>
          <w:spacing w:val="2"/>
        </w:rPr>
        <w:t>”技术适</w:t>
      </w:r>
      <w:r>
        <w:rPr>
          <w:rFonts w:ascii="SimSun" w:hAnsi="SimSun" w:eastAsia="SimSun" w:cs="SimSun"/>
          <w:sz w:val="24"/>
          <w:szCs w:val="24"/>
        </w:rPr>
        <w:t xml:space="preserve">  </w:t>
      </w:r>
      <w:r>
        <w:rPr>
          <w:rFonts w:ascii="SimSun" w:hAnsi="SimSun" w:eastAsia="SimSun" w:cs="SimSun"/>
          <w:sz w:val="24"/>
          <w:szCs w:val="24"/>
        </w:rPr>
        <w:t>用于化工、工业涂装等行业中高浓度</w:t>
      </w:r>
      <w:r>
        <w:rPr>
          <w:rFonts w:ascii="Times New Roman" w:hAnsi="Times New Roman" w:eastAsia="Times New Roman" w:cs="Times New Roman"/>
          <w:sz w:val="24"/>
          <w:szCs w:val="24"/>
        </w:rPr>
        <w:t>VOCs</w:t>
      </w:r>
      <w:r>
        <w:rPr>
          <w:rFonts w:ascii="SimSun" w:hAnsi="SimSun" w:eastAsia="SimSun" w:cs="SimSun"/>
          <w:sz w:val="24"/>
          <w:szCs w:val="24"/>
        </w:rPr>
        <w:t>的治理，对低浓度废气，燃</w:t>
      </w:r>
      <w:r>
        <w:rPr>
          <w:rFonts w:ascii="SimSun" w:hAnsi="SimSun" w:eastAsia="SimSun" w:cs="SimSun"/>
          <w:sz w:val="24"/>
          <w:szCs w:val="24"/>
          <w:spacing w:val="-1"/>
        </w:rPr>
        <w:t>料成本较</w:t>
      </w:r>
      <w:r>
        <w:rPr>
          <w:rFonts w:ascii="SimSun" w:hAnsi="SimSun" w:eastAsia="SimSun" w:cs="SimSun"/>
          <w:sz w:val="24"/>
          <w:szCs w:val="24"/>
        </w:rPr>
        <w:t xml:space="preserve">  </w:t>
      </w:r>
      <w:r>
        <w:rPr>
          <w:rFonts w:ascii="SimSun" w:hAnsi="SimSun" w:eastAsia="SimSun" w:cs="SimSun"/>
          <w:sz w:val="24"/>
          <w:szCs w:val="24"/>
          <w:spacing w:val="-1"/>
        </w:rPr>
        <w:t>高；“活性炭吸附</w:t>
      </w:r>
      <w:r>
        <w:rPr>
          <w:rFonts w:ascii="Times New Roman" w:hAnsi="Times New Roman" w:eastAsia="Times New Roman" w:cs="Times New Roman"/>
          <w:sz w:val="24"/>
          <w:szCs w:val="24"/>
          <w:spacing w:val="-1"/>
        </w:rPr>
        <w:t>+</w:t>
      </w:r>
      <w:r>
        <w:rPr>
          <w:rFonts w:ascii="SimSun" w:hAnsi="SimSun" w:eastAsia="SimSun" w:cs="SimSun"/>
          <w:sz w:val="24"/>
          <w:szCs w:val="24"/>
          <w:spacing w:val="-1"/>
        </w:rPr>
        <w:t>催化燃烧装置（</w:t>
      </w:r>
      <w:r>
        <w:rPr>
          <w:rFonts w:ascii="Times New Roman" w:hAnsi="Times New Roman" w:eastAsia="Times New Roman" w:cs="Times New Roman"/>
          <w:sz w:val="24"/>
          <w:szCs w:val="24"/>
          <w:spacing w:val="-1"/>
        </w:rPr>
        <w:t>CO</w:t>
      </w:r>
      <w:r>
        <w:rPr>
          <w:rFonts w:ascii="SimSun" w:hAnsi="SimSun" w:eastAsia="SimSun" w:cs="SimSun"/>
          <w:sz w:val="24"/>
          <w:szCs w:val="24"/>
          <w:spacing w:val="-1"/>
        </w:rPr>
        <w:t>）</w:t>
      </w:r>
      <w:r>
        <w:rPr>
          <w:rFonts w:ascii="SimSun" w:hAnsi="SimSun" w:eastAsia="SimSun" w:cs="SimSun"/>
          <w:sz w:val="24"/>
          <w:szCs w:val="24"/>
          <w:spacing w:val="-89"/>
        </w:rPr>
        <w:t xml:space="preserve"> </w:t>
      </w:r>
      <w:r>
        <w:rPr>
          <w:rFonts w:ascii="SimSun" w:hAnsi="SimSun" w:eastAsia="SimSun" w:cs="SimSun"/>
          <w:sz w:val="24"/>
          <w:szCs w:val="24"/>
          <w:spacing w:val="-1"/>
        </w:rPr>
        <w:t>”技术适用于中浓度（数</w:t>
      </w:r>
      <w:r>
        <w:rPr>
          <w:rFonts w:ascii="SimSun" w:hAnsi="SimSun" w:eastAsia="SimSun" w:cs="SimSun"/>
          <w:sz w:val="24"/>
          <w:szCs w:val="24"/>
          <w:spacing w:val="-2"/>
        </w:rPr>
        <w:t>千</w:t>
      </w:r>
      <w:r>
        <w:rPr>
          <w:rFonts w:ascii="Times New Roman" w:hAnsi="Times New Roman" w:eastAsia="Times New Roman" w:cs="Times New Roman"/>
          <w:sz w:val="24"/>
          <w:szCs w:val="24"/>
          <w:spacing w:val="-2"/>
        </w:rPr>
        <w:t>ppm</w:t>
      </w:r>
      <w:r>
        <w:rPr>
          <w:rFonts w:ascii="SimSun" w:hAnsi="SimSun" w:eastAsia="SimSun" w:cs="SimSun"/>
          <w:sz w:val="24"/>
          <w:szCs w:val="24"/>
          <w:spacing w:val="-2"/>
        </w:rPr>
        <w:t>范围</w:t>
      </w:r>
      <w:r>
        <w:rPr>
          <w:rFonts w:ascii="SimSun" w:hAnsi="SimSun" w:eastAsia="SimSun" w:cs="SimSun"/>
          <w:sz w:val="24"/>
          <w:szCs w:val="24"/>
          <w:spacing w:val="-60"/>
        </w:rPr>
        <w:t xml:space="preserve"> </w:t>
      </w:r>
      <w:r>
        <w:rPr>
          <w:rFonts w:ascii="SimSun" w:hAnsi="SimSun" w:eastAsia="SimSun" w:cs="SimSun"/>
          <w:sz w:val="24"/>
          <w:szCs w:val="24"/>
          <w:spacing w:val="-2"/>
        </w:rPr>
        <w:t>）</w:t>
      </w:r>
      <w:r>
        <w:rPr>
          <w:rFonts w:ascii="SimSun" w:hAnsi="SimSun" w:eastAsia="SimSun" w:cs="SimSun"/>
          <w:sz w:val="24"/>
          <w:szCs w:val="24"/>
        </w:rPr>
        <w:t xml:space="preserve"> </w:t>
      </w:r>
      <w:r>
        <w:rPr>
          <w:rFonts w:ascii="Times New Roman" w:hAnsi="Times New Roman" w:eastAsia="Times New Roman" w:cs="Times New Roman"/>
          <w:sz w:val="24"/>
          <w:szCs w:val="24"/>
        </w:rPr>
        <w:t>VOCs</w:t>
      </w:r>
      <w:r>
        <w:rPr>
          <w:rFonts w:ascii="SimSun" w:hAnsi="SimSun" w:eastAsia="SimSun" w:cs="SimSun"/>
          <w:sz w:val="24"/>
          <w:szCs w:val="24"/>
        </w:rPr>
        <w:t>的治理，催化剂易阻塞、烧结、中毒、破损及活性衰退；“蓄热</w:t>
      </w:r>
      <w:r>
        <w:rPr>
          <w:rFonts w:ascii="SimSun" w:hAnsi="SimSun" w:eastAsia="SimSun" w:cs="SimSun"/>
          <w:sz w:val="24"/>
          <w:szCs w:val="24"/>
          <w:spacing w:val="-1"/>
        </w:rPr>
        <w:t>热力燃烧</w:t>
      </w:r>
      <w:r>
        <w:rPr>
          <w:rFonts w:ascii="SimSun" w:hAnsi="SimSun" w:eastAsia="SimSun" w:cs="SimSun"/>
          <w:sz w:val="24"/>
          <w:szCs w:val="24"/>
        </w:rPr>
        <w:t xml:space="preserve">  </w:t>
      </w:r>
      <w:r>
        <w:rPr>
          <w:rFonts w:ascii="SimSun" w:hAnsi="SimSun" w:eastAsia="SimSun" w:cs="SimSun"/>
          <w:sz w:val="24"/>
          <w:szCs w:val="24"/>
          <w:spacing w:val="-7"/>
        </w:rPr>
        <w:t>装置（</w:t>
      </w:r>
      <w:r>
        <w:rPr>
          <w:rFonts w:ascii="Times New Roman" w:hAnsi="Times New Roman" w:eastAsia="Times New Roman" w:cs="Times New Roman"/>
          <w:sz w:val="24"/>
          <w:szCs w:val="24"/>
          <w:spacing w:val="-7"/>
        </w:rPr>
        <w:t>RTO</w:t>
      </w:r>
      <w:r>
        <w:rPr>
          <w:rFonts w:ascii="SimSun" w:hAnsi="SimSun" w:eastAsia="SimSun" w:cs="SimSun"/>
          <w:sz w:val="24"/>
          <w:szCs w:val="24"/>
          <w:spacing w:val="-7"/>
        </w:rPr>
        <w:t>）”技术适用于中高浓度、不具有回收价值</w:t>
      </w:r>
      <w:r>
        <w:rPr>
          <w:rFonts w:ascii="Times New Roman" w:hAnsi="Times New Roman" w:eastAsia="Times New Roman" w:cs="Times New Roman"/>
          <w:sz w:val="24"/>
          <w:szCs w:val="24"/>
          <w:spacing w:val="-7"/>
        </w:rPr>
        <w:t>VOCs</w:t>
      </w:r>
      <w:r>
        <w:rPr>
          <w:rFonts w:ascii="SimSun" w:hAnsi="SimSun" w:eastAsia="SimSun" w:cs="SimSun"/>
          <w:sz w:val="24"/>
          <w:szCs w:val="24"/>
          <w:spacing w:val="-7"/>
        </w:rPr>
        <w:t>的治理，低</w:t>
      </w:r>
      <w:r>
        <w:rPr>
          <w:rFonts w:ascii="SimSun" w:hAnsi="SimSun" w:eastAsia="SimSun" w:cs="SimSun"/>
          <w:sz w:val="24"/>
          <w:szCs w:val="24"/>
          <w:spacing w:val="-58"/>
        </w:rPr>
        <w:t xml:space="preserve"> </w:t>
      </w:r>
      <w:r>
        <w:rPr>
          <w:rFonts w:ascii="Times New Roman" w:hAnsi="Times New Roman" w:eastAsia="Times New Roman" w:cs="Times New Roman"/>
          <w:sz w:val="24"/>
          <w:szCs w:val="24"/>
          <w:spacing w:val="-7"/>
        </w:rPr>
        <w:t>VOC</w:t>
      </w:r>
      <w:r>
        <w:rPr>
          <w:rFonts w:ascii="Times New Roman" w:hAnsi="Times New Roman" w:eastAsia="Times New Roman" w:cs="Times New Roman"/>
          <w:sz w:val="24"/>
          <w:szCs w:val="24"/>
          <w:spacing w:val="-8"/>
        </w:rPr>
        <w:t>s  </w:t>
      </w:r>
      <w:r>
        <w:rPr>
          <w:rFonts w:ascii="SimSun" w:hAnsi="SimSun" w:eastAsia="SimSun" w:cs="SimSun"/>
          <w:sz w:val="24"/>
          <w:szCs w:val="24"/>
          <w:spacing w:val="-8"/>
        </w:rPr>
        <w:t>浓 </w:t>
      </w:r>
      <w:r>
        <w:rPr>
          <w:rFonts w:ascii="SimSun" w:hAnsi="SimSun" w:eastAsia="SimSun" w:cs="SimSun"/>
          <w:sz w:val="24"/>
          <w:szCs w:val="24"/>
          <w:spacing w:val="-2"/>
        </w:rPr>
        <w:t>度时燃料费用高；“蓄热活性炭吸附</w:t>
      </w:r>
      <w:r>
        <w:rPr>
          <w:rFonts w:ascii="Times New Roman" w:hAnsi="Times New Roman" w:eastAsia="Times New Roman" w:cs="Times New Roman"/>
          <w:sz w:val="24"/>
          <w:szCs w:val="24"/>
          <w:spacing w:val="-2"/>
        </w:rPr>
        <w:t>+</w:t>
      </w:r>
      <w:r>
        <w:rPr>
          <w:rFonts w:ascii="SimSun" w:hAnsi="SimSun" w:eastAsia="SimSun" w:cs="SimSun"/>
          <w:sz w:val="24"/>
          <w:szCs w:val="24"/>
          <w:spacing w:val="-2"/>
        </w:rPr>
        <w:t>催化燃烧装置装置（</w:t>
      </w:r>
      <w:r>
        <w:rPr>
          <w:rFonts w:ascii="Times New Roman" w:hAnsi="Times New Roman" w:eastAsia="Times New Roman" w:cs="Times New Roman"/>
          <w:sz w:val="24"/>
          <w:szCs w:val="24"/>
          <w:spacing w:val="-2"/>
        </w:rPr>
        <w:t>RCO</w:t>
      </w:r>
      <w:r>
        <w:rPr>
          <w:rFonts w:ascii="SimSun" w:hAnsi="SimSun" w:eastAsia="SimSun" w:cs="SimSun"/>
          <w:sz w:val="24"/>
          <w:szCs w:val="24"/>
          <w:spacing w:val="-2"/>
        </w:rPr>
        <w:t>）</w:t>
      </w:r>
      <w:r>
        <w:rPr>
          <w:rFonts w:ascii="SimSun" w:hAnsi="SimSun" w:eastAsia="SimSun" w:cs="SimSun"/>
          <w:sz w:val="24"/>
          <w:szCs w:val="24"/>
          <w:spacing w:val="-72"/>
        </w:rPr>
        <w:t xml:space="preserve"> </w:t>
      </w:r>
      <w:r>
        <w:rPr>
          <w:rFonts w:ascii="SimSun" w:hAnsi="SimSun" w:eastAsia="SimSun" w:cs="SimSun"/>
          <w:sz w:val="24"/>
          <w:szCs w:val="24"/>
          <w:spacing w:val="-2"/>
        </w:rPr>
        <w:t>”技术适用于 </w:t>
      </w:r>
      <w:r>
        <w:rPr>
          <w:rFonts w:ascii="SimSun" w:hAnsi="SimSun" w:eastAsia="SimSun" w:cs="SimSun"/>
          <w:sz w:val="24"/>
          <w:szCs w:val="24"/>
          <w:spacing w:val="2"/>
        </w:rPr>
        <w:t>中高浓度废气治理；“管壳式冷凝器、板面式冷凝器</w:t>
      </w:r>
      <w:r>
        <w:rPr>
          <w:rFonts w:ascii="SimSun" w:hAnsi="SimSun" w:eastAsia="SimSun" w:cs="SimSun"/>
          <w:sz w:val="24"/>
          <w:szCs w:val="24"/>
          <w:spacing w:val="-72"/>
        </w:rPr>
        <w:t xml:space="preserve"> </w:t>
      </w:r>
      <w:r>
        <w:rPr>
          <w:rFonts w:ascii="SimSun" w:hAnsi="SimSun" w:eastAsia="SimSun" w:cs="SimSun"/>
          <w:sz w:val="24"/>
          <w:szCs w:val="24"/>
          <w:spacing w:val="2"/>
        </w:rPr>
        <w:t>”技术适用于高浓度(≥</w:t>
      </w:r>
      <w:r>
        <w:rPr>
          <w:rFonts w:ascii="SimSun" w:hAnsi="SimSun" w:eastAsia="SimSun" w:cs="SimSun"/>
          <w:sz w:val="24"/>
          <w:szCs w:val="24"/>
        </w:rPr>
        <w:t xml:space="preserve">   </w:t>
      </w:r>
      <w:r>
        <w:rPr>
          <w:rFonts w:ascii="Times New Roman" w:hAnsi="Times New Roman" w:eastAsia="Times New Roman" w:cs="Times New Roman"/>
          <w:sz w:val="24"/>
          <w:szCs w:val="24"/>
          <w:spacing w:val="-5"/>
        </w:rPr>
        <w:t>10000mg/m</w:t>
      </w:r>
      <w:r>
        <w:rPr>
          <w:rFonts w:ascii="SimSun" w:hAnsi="SimSun" w:eastAsia="SimSun" w:cs="SimSun"/>
          <w:sz w:val="24"/>
          <w:szCs w:val="24"/>
          <w:spacing w:val="-5"/>
        </w:rPr>
        <w:t>³)</w:t>
      </w:r>
      <w:r>
        <w:rPr>
          <w:rFonts w:ascii="SimSun" w:hAnsi="SimSun" w:eastAsia="SimSun" w:cs="SimSun"/>
          <w:sz w:val="24"/>
          <w:szCs w:val="24"/>
          <w:spacing w:val="30"/>
        </w:rPr>
        <w:t xml:space="preserve"> </w:t>
      </w:r>
      <w:r>
        <w:rPr>
          <w:rFonts w:ascii="SimSun" w:hAnsi="SimSun" w:eastAsia="SimSun" w:cs="SimSun"/>
          <w:sz w:val="24"/>
          <w:szCs w:val="24"/>
          <w:spacing w:val="-5"/>
        </w:rPr>
        <w:t>,</w:t>
      </w:r>
      <w:r>
        <w:rPr>
          <w:rFonts w:ascii="SimSun" w:hAnsi="SimSun" w:eastAsia="SimSun" w:cs="SimSun"/>
          <w:sz w:val="24"/>
          <w:szCs w:val="24"/>
          <w:spacing w:val="52"/>
        </w:rPr>
        <w:t xml:space="preserve"> </w:t>
      </w:r>
      <w:r>
        <w:rPr>
          <w:rFonts w:ascii="SimSun" w:hAnsi="SimSun" w:eastAsia="SimSun" w:cs="SimSun"/>
          <w:sz w:val="24"/>
          <w:szCs w:val="24"/>
          <w:spacing w:val="-5"/>
        </w:rPr>
        <w:t>净化效率不高；“沸石浓缩转</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5"/>
        </w:rPr>
        <w:t>+TO/ </w:t>
      </w:r>
      <w:r>
        <w:rPr>
          <w:rFonts w:ascii="Times New Roman" w:hAnsi="Times New Roman" w:eastAsia="Times New Roman" w:cs="Times New Roman"/>
          <w:sz w:val="24"/>
          <w:szCs w:val="24"/>
          <w:spacing w:val="-6"/>
        </w:rPr>
        <w:t>RTO</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6"/>
        </w:rPr>
        <w:t>”技术适用于如汽车制 </w:t>
      </w:r>
      <w:r>
        <w:rPr>
          <w:rFonts w:ascii="SimSun" w:hAnsi="SimSun" w:eastAsia="SimSun" w:cs="SimSun"/>
          <w:sz w:val="24"/>
          <w:szCs w:val="24"/>
          <w:spacing w:val="4"/>
        </w:rPr>
        <w:t>造行业企业等产生废气量大(≥</w:t>
      </w:r>
      <w:r>
        <w:rPr>
          <w:rFonts w:ascii="Times New Roman" w:hAnsi="Times New Roman" w:eastAsia="Times New Roman" w:cs="Times New Roman"/>
          <w:sz w:val="24"/>
          <w:szCs w:val="24"/>
          <w:spacing w:val="4"/>
        </w:rPr>
        <w:t>10000</w:t>
      </w:r>
      <w:r>
        <w:rPr>
          <w:rFonts w:ascii="Times New Roman" w:hAnsi="Times New Roman" w:eastAsia="Times New Roman" w:cs="Times New Roman"/>
          <w:sz w:val="24"/>
          <w:szCs w:val="24"/>
          <w:spacing w:val="3"/>
        </w:rPr>
        <w:t>0m</w:t>
      </w:r>
      <w:r>
        <w:rPr>
          <w:rFonts w:ascii="SimSun" w:hAnsi="SimSun" w:eastAsia="SimSun" w:cs="SimSun"/>
          <w:sz w:val="24"/>
          <w:szCs w:val="24"/>
          <w:spacing w:val="3"/>
        </w:rPr>
        <w:t>³</w:t>
      </w:r>
      <w:r>
        <w:rPr>
          <w:rFonts w:ascii="Times New Roman" w:hAnsi="Times New Roman" w:eastAsia="Times New Roman" w:cs="Times New Roman"/>
          <w:sz w:val="24"/>
          <w:szCs w:val="24"/>
          <w:spacing w:val="3"/>
        </w:rPr>
        <w:t>/h</w:t>
      </w:r>
      <w:r>
        <w:rPr>
          <w:rFonts w:ascii="SimSun" w:hAnsi="SimSun" w:eastAsia="SimSun" w:cs="SimSun"/>
          <w:sz w:val="24"/>
          <w:szCs w:val="24"/>
          <w:spacing w:val="3"/>
        </w:rPr>
        <w:t>）且浓度低的企业；</w:t>
      </w:r>
      <w:r>
        <w:rPr>
          <w:rFonts w:ascii="Times New Roman" w:hAnsi="Times New Roman" w:eastAsia="Times New Roman" w:cs="Times New Roman"/>
          <w:sz w:val="24"/>
          <w:szCs w:val="24"/>
          <w:spacing w:val="3"/>
        </w:rPr>
        <w:t>“</w:t>
      </w:r>
      <w:r>
        <w:rPr>
          <w:rFonts w:ascii="SimSun" w:hAnsi="SimSun" w:eastAsia="SimSun" w:cs="SimSun"/>
          <w:sz w:val="24"/>
          <w:szCs w:val="24"/>
          <w:spacing w:val="3"/>
        </w:rPr>
        <w:t>活性炭</w:t>
      </w:r>
      <w:r>
        <w:rPr>
          <w:rFonts w:ascii="Times New Roman" w:hAnsi="Times New Roman" w:eastAsia="Times New Roman" w:cs="Times New Roman"/>
          <w:sz w:val="24"/>
          <w:szCs w:val="24"/>
          <w:spacing w:val="3"/>
        </w:rPr>
        <w:t>+ </w:t>
      </w:r>
      <w:r>
        <w:rPr>
          <w:rFonts w:ascii="Times New Roman" w:hAnsi="Times New Roman" w:eastAsia="Times New Roman" w:cs="Times New Roman"/>
          <w:sz w:val="24"/>
          <w:szCs w:val="24"/>
        </w:rPr>
        <w:t>CO</w:t>
      </w:r>
      <w:r>
        <w:rPr>
          <w:rFonts w:ascii="Times New Roman" w:hAnsi="Times New Roman" w:eastAsia="Times New Roman" w:cs="Times New Roman"/>
          <w:sz w:val="24"/>
          <w:szCs w:val="24"/>
          <w:spacing w:val="3"/>
        </w:rPr>
        <w:t>”   </w:t>
      </w:r>
      <w:r>
        <w:rPr>
          <w:rFonts w:ascii="SimSun" w:hAnsi="SimSun" w:eastAsia="SimSun" w:cs="SimSun"/>
          <w:sz w:val="24"/>
          <w:szCs w:val="24"/>
          <w:spacing w:val="1"/>
        </w:rPr>
        <w:t>技术适用于低浓度(≤</w:t>
      </w:r>
      <w:r>
        <w:rPr>
          <w:rFonts w:ascii="Times New Roman" w:hAnsi="Times New Roman" w:eastAsia="Times New Roman" w:cs="Times New Roman"/>
          <w:sz w:val="24"/>
          <w:szCs w:val="24"/>
          <w:spacing w:val="1"/>
        </w:rPr>
        <w:t>1000</w:t>
      </w:r>
      <w:r>
        <w:rPr>
          <w:rFonts w:ascii="Times New Roman" w:hAnsi="Times New Roman" w:eastAsia="Times New Roman" w:cs="Times New Roman"/>
          <w:sz w:val="24"/>
          <w:szCs w:val="24"/>
        </w:rPr>
        <w:t>mg</w:t>
      </w:r>
      <w:r>
        <w:rPr>
          <w:rFonts w:ascii="Times New Roman" w:hAnsi="Times New Roman" w:eastAsia="Times New Roman" w:cs="Times New Roman"/>
          <w:sz w:val="24"/>
          <w:szCs w:val="24"/>
          <w:spacing w:val="1"/>
        </w:rPr>
        <w:t>/m</w:t>
      </w:r>
      <w:r>
        <w:rPr>
          <w:rFonts w:ascii="SimSun" w:hAnsi="SimSun" w:eastAsia="SimSun" w:cs="SimSun"/>
          <w:sz w:val="24"/>
          <w:szCs w:val="24"/>
          <w:spacing w:val="1"/>
        </w:rPr>
        <w:t>³)</w:t>
      </w:r>
      <w:r>
        <w:rPr>
          <w:rFonts w:ascii="SimSun" w:hAnsi="SimSun" w:eastAsia="SimSun" w:cs="SimSun"/>
          <w:sz w:val="24"/>
          <w:szCs w:val="24"/>
          <w:spacing w:val="42"/>
        </w:rPr>
        <w:t xml:space="preserve"> </w:t>
      </w:r>
      <w:r>
        <w:rPr>
          <w:rFonts w:ascii="SimSun" w:hAnsi="SimSun" w:eastAsia="SimSun" w:cs="SimSun"/>
          <w:sz w:val="24"/>
          <w:szCs w:val="24"/>
          <w:spacing w:val="1"/>
        </w:rPr>
        <w:t>的废气处理，该技术采用电作为热源，一次</w:t>
      </w:r>
    </w:p>
    <w:p>
      <w:pPr>
        <w:ind w:left="26"/>
        <w:spacing w:line="219" w:lineRule="auto"/>
        <w:rPr>
          <w:rFonts w:ascii="SimSun" w:hAnsi="SimSun" w:eastAsia="SimSun" w:cs="SimSun"/>
          <w:sz w:val="24"/>
          <w:szCs w:val="24"/>
        </w:rPr>
      </w:pPr>
      <w:r>
        <w:rPr>
          <w:rFonts w:ascii="SimSun" w:hAnsi="SimSun" w:eastAsia="SimSun" w:cs="SimSun"/>
          <w:sz w:val="24"/>
          <w:szCs w:val="24"/>
          <w:spacing w:val="-1"/>
        </w:rPr>
        <w:t>性投资费用低，能耗低，净化效率高。</w:t>
      </w:r>
    </w:p>
    <w:p>
      <w:pPr>
        <w:ind w:left="29" w:right="80" w:firstLine="473"/>
        <w:spacing w:before="214" w:line="385" w:lineRule="auto"/>
        <w:rPr>
          <w:rFonts w:ascii="SimSun" w:hAnsi="SimSun" w:eastAsia="SimSun" w:cs="SimSun"/>
          <w:sz w:val="24"/>
          <w:szCs w:val="24"/>
        </w:rPr>
      </w:pPr>
      <w:r>
        <w:rPr>
          <w:rFonts w:ascii="SimSun" w:hAnsi="SimSun" w:eastAsia="SimSun" w:cs="SimSun"/>
          <w:sz w:val="24"/>
          <w:szCs w:val="24"/>
          <w:spacing w:val="-3"/>
        </w:rPr>
        <w:t>根据本项目的生产工艺的特点，有机废气的产生浓度较低，温度</w:t>
      </w:r>
      <w:r>
        <w:rPr>
          <w:rFonts w:ascii="SimSun" w:hAnsi="SimSun" w:eastAsia="SimSun" w:cs="SimSun"/>
          <w:sz w:val="24"/>
          <w:szCs w:val="24"/>
          <w:spacing w:val="-4"/>
        </w:rPr>
        <w:t>不高，湿度</w:t>
      </w:r>
      <w:r>
        <w:rPr>
          <w:rFonts w:ascii="SimSun" w:hAnsi="SimSun" w:eastAsia="SimSun" w:cs="SimSun"/>
          <w:sz w:val="24"/>
          <w:szCs w:val="24"/>
        </w:rPr>
        <w:t xml:space="preserve"> </w:t>
      </w:r>
      <w:r>
        <w:rPr>
          <w:rFonts w:ascii="SimSun" w:hAnsi="SimSun" w:eastAsia="SimSun" w:cs="SimSun"/>
          <w:sz w:val="24"/>
          <w:szCs w:val="24"/>
          <w:spacing w:val="-9"/>
        </w:rPr>
        <w:t>小，不含颗粒状。结合本项目特点及常见</w:t>
      </w:r>
      <w:r>
        <w:rPr>
          <w:rFonts w:ascii="Times New Roman" w:hAnsi="Times New Roman" w:eastAsia="Times New Roman" w:cs="Times New Roman"/>
          <w:sz w:val="24"/>
          <w:szCs w:val="24"/>
          <w:spacing w:val="-9"/>
        </w:rPr>
        <w:t>VOCs</w:t>
      </w:r>
      <w:r>
        <w:rPr>
          <w:rFonts w:ascii="SimSun" w:hAnsi="SimSun" w:eastAsia="SimSun" w:cs="SimSun"/>
          <w:sz w:val="24"/>
          <w:szCs w:val="24"/>
          <w:spacing w:val="-9"/>
        </w:rPr>
        <w:t>控制技术的优缺点，本项目采用</w:t>
      </w:r>
      <w:r>
        <w:rPr>
          <w:rFonts w:ascii="Times New Roman" w:hAnsi="Times New Roman" w:eastAsia="Times New Roman" w:cs="Times New Roman"/>
          <w:sz w:val="24"/>
          <w:szCs w:val="24"/>
          <w:spacing w:val="-9"/>
        </w:rPr>
        <w:t>“</w:t>
      </w:r>
      <w:r>
        <w:rPr>
          <w:rFonts w:ascii="SimSun" w:hAnsi="SimSun" w:eastAsia="SimSun" w:cs="SimSun"/>
          <w:sz w:val="24"/>
          <w:szCs w:val="24"/>
          <w:spacing w:val="-9"/>
        </w:rPr>
        <w:t>活</w:t>
      </w:r>
    </w:p>
    <w:p>
      <w:pPr>
        <w:ind w:left="26"/>
        <w:spacing w:before="1" w:line="218" w:lineRule="auto"/>
        <w:rPr>
          <w:rFonts w:ascii="SimSun" w:hAnsi="SimSun" w:eastAsia="SimSun" w:cs="SimSun"/>
          <w:sz w:val="24"/>
          <w:szCs w:val="24"/>
        </w:rPr>
      </w:pPr>
      <w:r>
        <w:rPr>
          <w:rFonts w:ascii="SimSun" w:hAnsi="SimSun" w:eastAsia="SimSun" w:cs="SimSun"/>
          <w:sz w:val="24"/>
          <w:szCs w:val="24"/>
          <w:spacing w:val="-1"/>
        </w:rPr>
        <w:t>性炭吸附</w:t>
      </w:r>
      <w:r>
        <w:rPr>
          <w:rFonts w:ascii="Times New Roman" w:hAnsi="Times New Roman" w:eastAsia="Times New Roman" w:cs="Times New Roman"/>
          <w:sz w:val="24"/>
          <w:szCs w:val="24"/>
          <w:spacing w:val="-1"/>
        </w:rPr>
        <w:t>+</w:t>
      </w:r>
      <w:r>
        <w:rPr>
          <w:rFonts w:ascii="SimSun" w:hAnsi="SimSun" w:eastAsia="SimSun" w:cs="SimSun"/>
          <w:sz w:val="24"/>
          <w:szCs w:val="24"/>
          <w:spacing w:val="-1"/>
        </w:rPr>
        <w:t>催化燃烧装置装置（</w:t>
      </w:r>
      <w:r>
        <w:rPr>
          <w:rFonts w:ascii="Times New Roman" w:hAnsi="Times New Roman" w:eastAsia="Times New Roman" w:cs="Times New Roman"/>
          <w:sz w:val="24"/>
          <w:szCs w:val="24"/>
          <w:spacing w:val="-1"/>
        </w:rPr>
        <w:t>CO</w:t>
      </w:r>
      <w:r>
        <w:rPr>
          <w:rFonts w:ascii="SimSun" w:hAnsi="SimSun" w:eastAsia="SimSun" w:cs="SimSun"/>
          <w:sz w:val="24"/>
          <w:szCs w:val="24"/>
          <w:spacing w:val="-1"/>
        </w:rPr>
        <w:t>）</w:t>
      </w:r>
      <w:r>
        <w:rPr>
          <w:rFonts w:ascii="Times New Roman" w:hAnsi="Times New Roman" w:eastAsia="Times New Roman" w:cs="Times New Roman"/>
          <w:sz w:val="24"/>
          <w:szCs w:val="24"/>
          <w:spacing w:val="-1"/>
        </w:rPr>
        <w:t>”</w:t>
      </w:r>
      <w:r>
        <w:rPr>
          <w:rFonts w:ascii="SimSun" w:hAnsi="SimSun" w:eastAsia="SimSun" w:cs="SimSun"/>
          <w:sz w:val="24"/>
          <w:szCs w:val="24"/>
          <w:spacing w:val="-1"/>
        </w:rPr>
        <w:t>处理有机废气。</w:t>
      </w:r>
    </w:p>
    <w:p>
      <w:pPr>
        <w:ind w:left="514"/>
        <w:spacing w:before="215"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3</w:t>
      </w:r>
      <w:r>
        <w:rPr>
          <w:rFonts w:ascii="SimSun" w:hAnsi="SimSun" w:eastAsia="SimSun" w:cs="SimSun"/>
          <w:sz w:val="24"/>
          <w:szCs w:val="24"/>
          <w:spacing w:val="-2"/>
        </w:rPr>
        <w:t>）废气治理措施原理及特点</w:t>
      </w:r>
    </w:p>
    <w:p>
      <w:pPr>
        <w:spacing w:line="219" w:lineRule="auto"/>
        <w:sectPr>
          <w:footerReference w:type="default" r:id="rId124"/>
          <w:pgSz w:w="11906" w:h="16839"/>
          <w:pgMar w:top="400" w:right="1719" w:bottom="1211" w:left="1785" w:header="0" w:footer="1049" w:gutter="0"/>
        </w:sectPr>
        <w:rPr>
          <w:rFonts w:ascii="SimSun" w:hAnsi="SimSun" w:eastAsia="SimSun" w:cs="SimSun"/>
          <w:sz w:val="24"/>
          <w:szCs w:val="24"/>
        </w:rPr>
      </w:pPr>
    </w:p>
    <w:p>
      <w:pPr>
        <w:pStyle w:val="BodyText"/>
        <w:spacing w:line="287" w:lineRule="auto"/>
        <w:rPr/>
      </w:pPr>
      <w:r/>
    </w:p>
    <w:p>
      <w:pPr>
        <w:pStyle w:val="BodyText"/>
        <w:spacing w:line="287" w:lineRule="auto"/>
        <w:rPr/>
      </w:pPr>
      <w:r/>
    </w:p>
    <w:p>
      <w:pPr>
        <w:pStyle w:val="BodyText"/>
        <w:spacing w:line="288" w:lineRule="auto"/>
        <w:rPr/>
      </w:pPr>
      <w:r/>
    </w:p>
    <w:p>
      <w:pPr>
        <w:pStyle w:val="BodyText"/>
        <w:spacing w:line="288" w:lineRule="auto"/>
        <w:rPr/>
      </w:pPr>
      <w:r/>
    </w:p>
    <w:p>
      <w:pPr>
        <w:ind w:left="496"/>
        <w:spacing w:before="78" w:line="220" w:lineRule="auto"/>
        <w:rPr>
          <w:rFonts w:ascii="SimSun" w:hAnsi="SimSun" w:eastAsia="SimSun" w:cs="SimSun"/>
          <w:sz w:val="24"/>
          <w:szCs w:val="24"/>
        </w:rPr>
      </w:pPr>
      <w:r>
        <w:rPr>
          <w:rFonts w:ascii="Times New Roman" w:hAnsi="Times New Roman" w:eastAsia="Times New Roman" w:cs="Times New Roman"/>
          <w:sz w:val="24"/>
          <w:szCs w:val="24"/>
          <w:spacing w:val="-5"/>
        </w:rPr>
        <w:t>A</w:t>
      </w:r>
      <w:r>
        <w:rPr>
          <w:rFonts w:ascii="Times New Roman" w:hAnsi="Times New Roman" w:eastAsia="Times New Roman" w:cs="Times New Roman"/>
          <w:sz w:val="24"/>
          <w:szCs w:val="24"/>
          <w:spacing w:val="-34"/>
        </w:rPr>
        <w:t xml:space="preserve"> </w:t>
      </w:r>
      <w:r>
        <w:rPr>
          <w:rFonts w:ascii="SimSun" w:hAnsi="SimSun" w:eastAsia="SimSun" w:cs="SimSun"/>
          <w:sz w:val="24"/>
          <w:szCs w:val="24"/>
          <w:spacing w:val="-5"/>
        </w:rPr>
        <w:t>、运行原理</w:t>
      </w:r>
    </w:p>
    <w:p>
      <w:pPr>
        <w:ind w:left="22" w:right="13" w:firstLine="481"/>
        <w:spacing w:before="215" w:line="384" w:lineRule="auto"/>
        <w:rPr>
          <w:rFonts w:ascii="SimSun" w:hAnsi="SimSun" w:eastAsia="SimSun" w:cs="SimSun"/>
          <w:sz w:val="24"/>
          <w:szCs w:val="24"/>
        </w:rPr>
      </w:pPr>
      <w:r>
        <w:rPr>
          <w:rFonts w:ascii="SimSun" w:hAnsi="SimSun" w:eastAsia="SimSun" w:cs="SimSun"/>
          <w:sz w:val="24"/>
          <w:szCs w:val="24"/>
          <w:spacing w:val="-3"/>
        </w:rPr>
        <w:t>本项目采用活性炭吸附</w:t>
      </w:r>
      <w:r>
        <w:rPr>
          <w:rFonts w:ascii="Times New Roman" w:hAnsi="Times New Roman" w:eastAsia="Times New Roman" w:cs="Times New Roman"/>
          <w:sz w:val="24"/>
          <w:szCs w:val="24"/>
          <w:spacing w:val="-3"/>
        </w:rPr>
        <w:t>+</w:t>
      </w:r>
      <w:r>
        <w:rPr>
          <w:rFonts w:ascii="SimSun" w:hAnsi="SimSun" w:eastAsia="SimSun" w:cs="SimSun"/>
          <w:sz w:val="24"/>
          <w:szCs w:val="24"/>
          <w:spacing w:val="-3"/>
        </w:rPr>
        <w:t>催化燃烧装置（</w:t>
      </w:r>
      <w:r>
        <w:rPr>
          <w:rFonts w:ascii="Times New Roman" w:hAnsi="Times New Roman" w:eastAsia="Times New Roman" w:cs="Times New Roman"/>
          <w:sz w:val="24"/>
          <w:szCs w:val="24"/>
          <w:spacing w:val="-3"/>
        </w:rPr>
        <w:t>CO</w:t>
      </w:r>
      <w:r>
        <w:rPr>
          <w:rFonts w:ascii="SimSun" w:hAnsi="SimSun" w:eastAsia="SimSun" w:cs="SimSun"/>
          <w:sz w:val="24"/>
          <w:szCs w:val="24"/>
          <w:spacing w:val="-3"/>
        </w:rPr>
        <w:t>）装置处理挥发性有机废气：根</w:t>
      </w:r>
      <w:r>
        <w:rPr>
          <w:rFonts w:ascii="SimSun" w:hAnsi="SimSun" w:eastAsia="SimSun" w:cs="SimSun"/>
          <w:sz w:val="24"/>
          <w:szCs w:val="24"/>
          <w:spacing w:val="8"/>
        </w:rPr>
        <w:t xml:space="preserve"> </w:t>
      </w:r>
      <w:r>
        <w:rPr>
          <w:rFonts w:ascii="SimSun" w:hAnsi="SimSun" w:eastAsia="SimSun" w:cs="SimSun"/>
          <w:sz w:val="24"/>
          <w:szCs w:val="24"/>
          <w:spacing w:val="-3"/>
        </w:rPr>
        <w:t>据活性炭吸附吸附效率高、催化燃烧装置具有节能效果的原理，采用双气路连续</w:t>
      </w:r>
      <w:r>
        <w:rPr>
          <w:rFonts w:ascii="SimSun" w:hAnsi="SimSun" w:eastAsia="SimSun" w:cs="SimSun"/>
          <w:sz w:val="24"/>
          <w:szCs w:val="24"/>
          <w:spacing w:val="1"/>
        </w:rPr>
        <w:t xml:space="preserve"> </w:t>
      </w:r>
      <w:r>
        <w:rPr>
          <w:rFonts w:ascii="SimSun" w:hAnsi="SimSun" w:eastAsia="SimSun" w:cs="SimSun"/>
          <w:sz w:val="24"/>
          <w:szCs w:val="24"/>
          <w:spacing w:val="-3"/>
        </w:rPr>
        <w:t>工作，一个活性炭吸附</w:t>
      </w:r>
      <w:r>
        <w:rPr>
          <w:rFonts w:ascii="Times New Roman" w:hAnsi="Times New Roman" w:eastAsia="Times New Roman" w:cs="Times New Roman"/>
          <w:sz w:val="24"/>
          <w:szCs w:val="24"/>
          <w:spacing w:val="-3"/>
        </w:rPr>
        <w:t>+</w:t>
      </w:r>
      <w:r>
        <w:rPr>
          <w:rFonts w:ascii="SimSun" w:hAnsi="SimSun" w:eastAsia="SimSun" w:cs="SimSun"/>
          <w:sz w:val="24"/>
          <w:szCs w:val="24"/>
          <w:spacing w:val="-3"/>
        </w:rPr>
        <w:t>催化燃烧装置（</w:t>
      </w:r>
      <w:r>
        <w:rPr>
          <w:rFonts w:ascii="Times New Roman" w:hAnsi="Times New Roman" w:eastAsia="Times New Roman" w:cs="Times New Roman"/>
          <w:sz w:val="24"/>
          <w:szCs w:val="24"/>
          <w:spacing w:val="-3"/>
        </w:rPr>
        <w:t>CO</w:t>
      </w:r>
      <w:r>
        <w:rPr>
          <w:rFonts w:ascii="SimSun" w:hAnsi="SimSun" w:eastAsia="SimSun" w:cs="SimSun"/>
          <w:sz w:val="24"/>
          <w:szCs w:val="24"/>
          <w:spacing w:val="-3"/>
        </w:rPr>
        <w:t>）室，两个吸附床交替使用。先将有</w:t>
      </w:r>
      <w:r>
        <w:rPr>
          <w:rFonts w:ascii="SimSun" w:hAnsi="SimSun" w:eastAsia="SimSun" w:cs="SimSun"/>
          <w:sz w:val="24"/>
          <w:szCs w:val="24"/>
          <w:spacing w:val="16"/>
        </w:rPr>
        <w:t xml:space="preserve"> </w:t>
      </w:r>
      <w:r>
        <w:rPr>
          <w:rFonts w:ascii="SimSun" w:hAnsi="SimSun" w:eastAsia="SimSun" w:cs="SimSun"/>
          <w:sz w:val="24"/>
          <w:szCs w:val="24"/>
          <w:spacing w:val="-3"/>
        </w:rPr>
        <w:t>机废气用活性炭吸附，当活性炭快达到饱和时停止吸附，然后用热气流将有机物</w:t>
      </w:r>
    </w:p>
    <w:p>
      <w:pPr>
        <w:ind w:left="26"/>
        <w:spacing w:line="218" w:lineRule="auto"/>
        <w:rPr>
          <w:rFonts w:ascii="SimSun" w:hAnsi="SimSun" w:eastAsia="SimSun" w:cs="SimSun"/>
          <w:sz w:val="24"/>
          <w:szCs w:val="24"/>
        </w:rPr>
      </w:pPr>
      <w:r>
        <w:rPr>
          <w:rFonts w:ascii="SimSun" w:hAnsi="SimSun" w:eastAsia="SimSun" w:cs="SimSun"/>
          <w:sz w:val="24"/>
          <w:szCs w:val="24"/>
        </w:rPr>
        <w:t>从活性炭上脱附下来使活性炭再生；脱附下</w:t>
      </w:r>
      <w:r>
        <w:rPr>
          <w:rFonts w:ascii="SimSun" w:hAnsi="SimSun" w:eastAsia="SimSun" w:cs="SimSun"/>
          <w:sz w:val="24"/>
          <w:szCs w:val="24"/>
          <w:spacing w:val="-1"/>
        </w:rPr>
        <w:t>来的有机物被送往催化燃烧装置</w:t>
      </w:r>
    </w:p>
    <w:p>
      <w:pPr>
        <w:ind w:left="34"/>
        <w:spacing w:before="216"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CO</w:t>
      </w:r>
      <w:r>
        <w:rPr>
          <w:rFonts w:ascii="SimSun" w:hAnsi="SimSun" w:eastAsia="SimSun" w:cs="SimSun"/>
          <w:sz w:val="24"/>
          <w:szCs w:val="24"/>
          <w:spacing w:val="-2"/>
        </w:rPr>
        <w:t>）成二氧化碳及水蒸气排出。</w:t>
      </w:r>
    </w:p>
    <w:p>
      <w:pPr>
        <w:ind w:right="13"/>
        <w:spacing w:before="215" w:line="500" w:lineRule="exact"/>
        <w:jc w:val="right"/>
        <w:rPr>
          <w:rFonts w:ascii="SimSun" w:hAnsi="SimSun" w:eastAsia="SimSun" w:cs="SimSun"/>
          <w:sz w:val="24"/>
          <w:szCs w:val="24"/>
        </w:rPr>
      </w:pPr>
      <w:r>
        <w:rPr>
          <w:rFonts w:ascii="SimSun" w:hAnsi="SimSun" w:eastAsia="SimSun" w:cs="SimSun"/>
          <w:sz w:val="24"/>
          <w:szCs w:val="24"/>
          <w:spacing w:val="-3"/>
          <w:position w:val="19"/>
        </w:rPr>
        <w:t>活性炭是经过活化处理后的碳，其具备比表面积大，孔</w:t>
      </w:r>
      <w:r>
        <w:rPr>
          <w:rFonts w:ascii="SimSun" w:hAnsi="SimSun" w:eastAsia="SimSun" w:cs="SimSun"/>
          <w:sz w:val="24"/>
          <w:szCs w:val="24"/>
          <w:spacing w:val="-4"/>
          <w:position w:val="19"/>
        </w:rPr>
        <w:t>隙多的特点，使其具</w:t>
      </w:r>
    </w:p>
    <w:p>
      <w:pPr>
        <w:ind w:left="24"/>
        <w:spacing w:line="212" w:lineRule="auto"/>
        <w:rPr>
          <w:rFonts w:ascii="SimSun" w:hAnsi="SimSun" w:eastAsia="SimSun" w:cs="SimSun"/>
          <w:sz w:val="24"/>
          <w:szCs w:val="24"/>
        </w:rPr>
      </w:pPr>
      <w:r>
        <w:rPr>
          <w:rFonts w:ascii="SimSun" w:hAnsi="SimSun" w:eastAsia="SimSun" w:cs="SimSun"/>
          <w:sz w:val="24"/>
          <w:szCs w:val="24"/>
          <w:spacing w:val="-2"/>
        </w:rPr>
        <w:t>有较强吸附能力。颗粒碳比表面积一般可达</w:t>
      </w:r>
      <w:r>
        <w:rPr>
          <w:rFonts w:ascii="Times New Roman" w:hAnsi="Times New Roman" w:eastAsia="Times New Roman" w:cs="Times New Roman"/>
          <w:sz w:val="24"/>
          <w:szCs w:val="24"/>
          <w:spacing w:val="-2"/>
        </w:rPr>
        <w:t>700-</w:t>
      </w:r>
      <w:r>
        <w:rPr>
          <w:rFonts w:ascii="Times New Roman" w:hAnsi="Times New Roman" w:eastAsia="Times New Roman" w:cs="Times New Roman"/>
          <w:sz w:val="24"/>
          <w:szCs w:val="24"/>
          <w:spacing w:val="-23"/>
        </w:rPr>
        <w:t xml:space="preserve"> </w:t>
      </w:r>
      <w:r>
        <w:rPr>
          <w:rFonts w:ascii="Times New Roman" w:hAnsi="Times New Roman" w:eastAsia="Times New Roman" w:cs="Times New Roman"/>
          <w:sz w:val="24"/>
          <w:szCs w:val="24"/>
          <w:spacing w:val="-2"/>
        </w:rPr>
        <w:t>1200</w:t>
      </w:r>
      <w:r>
        <w:rPr>
          <w:rFonts w:ascii="SimSun" w:hAnsi="SimSun" w:eastAsia="SimSun" w:cs="SimSun"/>
          <w:sz w:val="24"/>
          <w:szCs w:val="24"/>
          <w:spacing w:val="-2"/>
        </w:rPr>
        <w:t>㎡</w:t>
      </w:r>
      <w:r>
        <w:rPr>
          <w:rFonts w:ascii="Times New Roman" w:hAnsi="Times New Roman" w:eastAsia="Times New Roman" w:cs="Times New Roman"/>
          <w:sz w:val="24"/>
          <w:szCs w:val="24"/>
          <w:spacing w:val="-2"/>
        </w:rPr>
        <w:t>/g</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2"/>
        </w:rPr>
        <w:t>，其孔径大小范围在</w:t>
      </w:r>
    </w:p>
    <w:p>
      <w:pPr>
        <w:ind w:left="24" w:right="13" w:firstLine="17"/>
        <w:spacing w:before="228" w:line="384" w:lineRule="auto"/>
        <w:rPr>
          <w:rFonts w:ascii="SimSun" w:hAnsi="SimSun" w:eastAsia="SimSun" w:cs="SimSun"/>
          <w:sz w:val="24"/>
          <w:szCs w:val="24"/>
        </w:rPr>
      </w:pPr>
      <w:r>
        <w:rPr>
          <w:rFonts w:ascii="Times New Roman" w:hAnsi="Times New Roman" w:eastAsia="Times New Roman" w:cs="Times New Roman"/>
          <w:sz w:val="24"/>
          <w:szCs w:val="24"/>
          <w:spacing w:val="-1"/>
        </w:rPr>
        <w:t>1.5nm-5um</w:t>
      </w:r>
      <w:r>
        <w:rPr>
          <w:rFonts w:ascii="SimSun" w:hAnsi="SimSun" w:eastAsia="SimSun" w:cs="SimSun"/>
          <w:sz w:val="24"/>
          <w:szCs w:val="24"/>
          <w:spacing w:val="-1"/>
        </w:rPr>
        <w:t>之间。其吸附方式主要通过</w:t>
      </w:r>
      <w:r>
        <w:rPr>
          <w:rFonts w:ascii="Times New Roman" w:hAnsi="Times New Roman" w:eastAsia="Times New Roman" w:cs="Times New Roman"/>
          <w:sz w:val="24"/>
          <w:szCs w:val="24"/>
          <w:spacing w:val="-1"/>
        </w:rPr>
        <w:t>2</w:t>
      </w:r>
      <w:r>
        <w:rPr>
          <w:rFonts w:ascii="SimSun" w:hAnsi="SimSun" w:eastAsia="SimSun" w:cs="SimSun"/>
          <w:sz w:val="24"/>
          <w:szCs w:val="24"/>
          <w:spacing w:val="-1"/>
        </w:rPr>
        <w:t>种途径：一是活性炭与气体分子间的范</w:t>
      </w:r>
      <w:r>
        <w:rPr>
          <w:rFonts w:ascii="SimSun" w:hAnsi="SimSun" w:eastAsia="SimSun" w:cs="SimSun"/>
          <w:sz w:val="24"/>
          <w:szCs w:val="24"/>
          <w:spacing w:val="5"/>
        </w:rPr>
        <w:t xml:space="preserve">  </w:t>
      </w:r>
      <w:r>
        <w:rPr>
          <w:rFonts w:ascii="SimSun" w:hAnsi="SimSun" w:eastAsia="SimSun" w:cs="SimSun"/>
          <w:sz w:val="24"/>
          <w:szCs w:val="24"/>
          <w:spacing w:val="-3"/>
        </w:rPr>
        <w:t>德华力，当气体分子经过活性炭表面，范德华力起主导作用时，气体分子先被吸</w:t>
      </w:r>
      <w:r>
        <w:rPr>
          <w:rFonts w:ascii="SimSun" w:hAnsi="SimSun" w:eastAsia="SimSun" w:cs="SimSun"/>
          <w:sz w:val="24"/>
          <w:szCs w:val="24"/>
        </w:rPr>
        <w:t xml:space="preserve"> </w:t>
      </w:r>
      <w:r>
        <w:rPr>
          <w:rFonts w:ascii="SimSun" w:hAnsi="SimSun" w:eastAsia="SimSun" w:cs="SimSun"/>
          <w:sz w:val="24"/>
          <w:szCs w:val="24"/>
          <w:spacing w:val="-3"/>
        </w:rPr>
        <w:t>附至活性炭外表面，小于活性炭孔径的分子经内部扩散转移至内表面，从而达到</w:t>
      </w:r>
      <w:r>
        <w:rPr>
          <w:rFonts w:ascii="SimSun" w:hAnsi="SimSun" w:eastAsia="SimSun" w:cs="SimSun"/>
          <w:sz w:val="24"/>
          <w:szCs w:val="24"/>
        </w:rPr>
        <w:t xml:space="preserve"> </w:t>
      </w:r>
      <w:r>
        <w:rPr>
          <w:rFonts w:ascii="SimSun" w:hAnsi="SimSun" w:eastAsia="SimSun" w:cs="SimSun"/>
          <w:sz w:val="24"/>
          <w:szCs w:val="24"/>
          <w:spacing w:val="-3"/>
        </w:rPr>
        <w:t>吸附的效果，此为物理吸附；二是吸附质与吸附剂表面原子间的化学键合成，此</w:t>
      </w:r>
      <w:r>
        <w:rPr>
          <w:rFonts w:ascii="SimSun" w:hAnsi="SimSun" w:eastAsia="SimSun" w:cs="SimSun"/>
          <w:sz w:val="24"/>
          <w:szCs w:val="24"/>
        </w:rPr>
        <w:t xml:space="preserve"> </w:t>
      </w:r>
      <w:r>
        <w:rPr>
          <w:rFonts w:ascii="SimSun" w:hAnsi="SimSun" w:eastAsia="SimSun" w:cs="SimSun"/>
          <w:sz w:val="24"/>
          <w:szCs w:val="24"/>
          <w:spacing w:val="-3"/>
        </w:rPr>
        <w:t>为化学吸附。活性炭吸附一般适用于大风量、低浓度、低湿度、低含尘的有机废</w:t>
      </w:r>
    </w:p>
    <w:p>
      <w:pPr>
        <w:ind w:left="24"/>
        <w:spacing w:before="1" w:line="220" w:lineRule="auto"/>
        <w:rPr>
          <w:rFonts w:ascii="SimSun" w:hAnsi="SimSun" w:eastAsia="SimSun" w:cs="SimSun"/>
          <w:sz w:val="24"/>
          <w:szCs w:val="24"/>
        </w:rPr>
      </w:pPr>
      <w:r>
        <w:rPr>
          <w:rFonts w:ascii="SimSun" w:hAnsi="SimSun" w:eastAsia="SimSun" w:cs="SimSun"/>
          <w:sz w:val="24"/>
          <w:szCs w:val="24"/>
          <w:spacing w:val="-6"/>
        </w:rPr>
        <w:t>气。</w:t>
      </w:r>
    </w:p>
    <w:p>
      <w:pPr>
        <w:ind w:left="25" w:right="13" w:firstLine="493"/>
        <w:spacing w:before="217" w:line="384" w:lineRule="auto"/>
        <w:rPr>
          <w:rFonts w:ascii="SimSun" w:hAnsi="SimSun" w:eastAsia="SimSun" w:cs="SimSun"/>
          <w:sz w:val="24"/>
          <w:szCs w:val="24"/>
        </w:rPr>
      </w:pPr>
      <w:r>
        <w:rPr>
          <w:rFonts w:ascii="SimSun" w:hAnsi="SimSun" w:eastAsia="SimSun" w:cs="SimSun"/>
          <w:sz w:val="24"/>
          <w:szCs w:val="24"/>
          <w:spacing w:val="-3"/>
        </w:rPr>
        <w:t>当有机废气的浓度达到</w:t>
      </w:r>
      <w:r>
        <w:rPr>
          <w:rFonts w:ascii="Times New Roman" w:hAnsi="Times New Roman" w:eastAsia="Times New Roman" w:cs="Times New Roman"/>
          <w:sz w:val="24"/>
          <w:szCs w:val="24"/>
          <w:spacing w:val="-3"/>
        </w:rPr>
        <w:t>2000PPm</w:t>
      </w:r>
      <w:r>
        <w:rPr>
          <w:rFonts w:ascii="SimSun" w:hAnsi="SimSun" w:eastAsia="SimSun" w:cs="SimSun"/>
          <w:sz w:val="24"/>
          <w:szCs w:val="24"/>
          <w:spacing w:val="-3"/>
        </w:rPr>
        <w:t>以上时，有机废气在催化床可维持自燃，不</w:t>
      </w:r>
      <w:r>
        <w:rPr>
          <w:rFonts w:ascii="SimSun" w:hAnsi="SimSun" w:eastAsia="SimSun" w:cs="SimSun"/>
          <w:sz w:val="24"/>
          <w:szCs w:val="24"/>
          <w:spacing w:val="15"/>
        </w:rPr>
        <w:t xml:space="preserve"> </w:t>
      </w:r>
      <w:r>
        <w:rPr>
          <w:rFonts w:ascii="SimSun" w:hAnsi="SimSun" w:eastAsia="SimSun" w:cs="SimSun"/>
          <w:sz w:val="24"/>
          <w:szCs w:val="24"/>
          <w:spacing w:val="-3"/>
        </w:rPr>
        <w:t>用外加热。燃烧后的尾气一部分排入大气，大部分被送往吸附床，用于活性炭再</w:t>
      </w:r>
      <w:r>
        <w:rPr>
          <w:rFonts w:ascii="SimSun" w:hAnsi="SimSun" w:eastAsia="SimSun" w:cs="SimSun"/>
          <w:sz w:val="24"/>
          <w:szCs w:val="24"/>
        </w:rPr>
        <w:t xml:space="preserve"> </w:t>
      </w:r>
      <w:r>
        <w:rPr>
          <w:rFonts w:ascii="SimSun" w:hAnsi="SimSun" w:eastAsia="SimSun" w:cs="SimSun"/>
          <w:sz w:val="24"/>
          <w:szCs w:val="24"/>
          <w:spacing w:val="-3"/>
        </w:rPr>
        <w:t>生。这样可满足燃烧和吸附所需的热能，达到节能的目的。再生后的可进入下次</w:t>
      </w:r>
      <w:r>
        <w:rPr>
          <w:rFonts w:ascii="SimSun" w:hAnsi="SimSun" w:eastAsia="SimSun" w:cs="SimSun"/>
          <w:sz w:val="24"/>
          <w:szCs w:val="24"/>
        </w:rPr>
        <w:t xml:space="preserve"> </w:t>
      </w:r>
      <w:r>
        <w:rPr>
          <w:rFonts w:ascii="SimSun" w:hAnsi="SimSun" w:eastAsia="SimSun" w:cs="SimSun"/>
          <w:sz w:val="24"/>
          <w:szCs w:val="24"/>
          <w:spacing w:val="-3"/>
        </w:rPr>
        <w:t>吸附；在脱附时，净化操作可用另一个吸附床进行，既适合于连续操作，也适合</w:t>
      </w:r>
    </w:p>
    <w:p>
      <w:pPr>
        <w:ind w:left="27"/>
        <w:spacing w:line="219" w:lineRule="auto"/>
        <w:rPr>
          <w:rFonts w:ascii="SimSun" w:hAnsi="SimSun" w:eastAsia="SimSun" w:cs="SimSun"/>
          <w:sz w:val="24"/>
          <w:szCs w:val="24"/>
        </w:rPr>
      </w:pPr>
      <w:r>
        <w:rPr>
          <w:rFonts w:ascii="SimSun" w:hAnsi="SimSun" w:eastAsia="SimSun" w:cs="SimSun"/>
          <w:sz w:val="24"/>
          <w:szCs w:val="24"/>
          <w:spacing w:val="-3"/>
        </w:rPr>
        <w:t>于间断操作。</w:t>
      </w:r>
    </w:p>
    <w:p>
      <w:pPr>
        <w:ind w:right="13"/>
        <w:spacing w:before="214" w:line="456" w:lineRule="exact"/>
        <w:jc w:val="right"/>
        <w:rPr>
          <w:rFonts w:ascii="SimSun" w:hAnsi="SimSun" w:eastAsia="SimSun" w:cs="SimSun"/>
          <w:sz w:val="24"/>
          <w:szCs w:val="24"/>
        </w:rPr>
      </w:pPr>
      <w:r>
        <w:rPr>
          <w:rFonts w:ascii="SimSun" w:hAnsi="SimSun" w:eastAsia="SimSun" w:cs="SimSun"/>
          <w:sz w:val="24"/>
          <w:szCs w:val="24"/>
          <w:spacing w:val="-2"/>
          <w:position w:val="16"/>
        </w:rPr>
        <w:t>活性炭吸附箱截面积为</w:t>
      </w:r>
      <w:r>
        <w:rPr>
          <w:rFonts w:ascii="Times New Roman" w:hAnsi="Times New Roman" w:eastAsia="Times New Roman" w:cs="Times New Roman"/>
          <w:sz w:val="24"/>
          <w:szCs w:val="24"/>
          <w:spacing w:val="-2"/>
          <w:position w:val="16"/>
        </w:rPr>
        <w:t>4.84</w:t>
      </w:r>
      <w:r>
        <w:rPr>
          <w:rFonts w:ascii="SimSun" w:hAnsi="SimSun" w:eastAsia="SimSun" w:cs="SimSun"/>
          <w:sz w:val="24"/>
          <w:szCs w:val="24"/>
          <w:spacing w:val="-2"/>
          <w:position w:val="16"/>
        </w:rPr>
        <w:t>㎡，装填高度</w:t>
      </w:r>
      <w:r>
        <w:rPr>
          <w:rFonts w:ascii="Times New Roman" w:hAnsi="Times New Roman" w:eastAsia="Times New Roman" w:cs="Times New Roman"/>
          <w:sz w:val="24"/>
          <w:szCs w:val="24"/>
          <w:spacing w:val="-2"/>
          <w:position w:val="16"/>
        </w:rPr>
        <w:t>800mm</w:t>
      </w:r>
      <w:r>
        <w:rPr>
          <w:rFonts w:ascii="SimSun" w:hAnsi="SimSun" w:eastAsia="SimSun" w:cs="SimSun"/>
          <w:sz w:val="24"/>
          <w:szCs w:val="24"/>
          <w:spacing w:val="-2"/>
          <w:position w:val="16"/>
        </w:rPr>
        <w:t>，单个活性炭吸附箱活性炭</w:t>
      </w:r>
    </w:p>
    <w:p>
      <w:pPr>
        <w:ind w:left="23"/>
        <w:spacing w:line="323" w:lineRule="exact"/>
        <w:rPr>
          <w:rFonts w:ascii="SimSun" w:hAnsi="SimSun" w:eastAsia="SimSun" w:cs="SimSun"/>
          <w:sz w:val="24"/>
          <w:szCs w:val="24"/>
        </w:rPr>
      </w:pPr>
      <w:r>
        <w:rPr>
          <w:rFonts w:ascii="SimSun" w:hAnsi="SimSun" w:eastAsia="SimSun" w:cs="SimSun"/>
          <w:sz w:val="24"/>
          <w:szCs w:val="24"/>
          <w:spacing w:val="-1"/>
          <w:position w:val="1"/>
        </w:rPr>
        <w:t>装填量为</w:t>
      </w:r>
      <w:r>
        <w:rPr>
          <w:rFonts w:ascii="Times New Roman" w:hAnsi="Times New Roman" w:eastAsia="Times New Roman" w:cs="Times New Roman"/>
          <w:sz w:val="24"/>
          <w:szCs w:val="24"/>
          <w:spacing w:val="-1"/>
          <w:position w:val="1"/>
        </w:rPr>
        <w:t>4.84×0.8=3.872m</w:t>
      </w:r>
      <w:r>
        <w:rPr>
          <w:rFonts w:ascii="SimSun" w:hAnsi="SimSun" w:eastAsia="SimSun" w:cs="SimSun"/>
          <w:sz w:val="24"/>
          <w:szCs w:val="24"/>
          <w:spacing w:val="-1"/>
          <w:position w:val="1"/>
        </w:rPr>
        <w:t>³。</w:t>
      </w:r>
    </w:p>
    <w:p>
      <w:pPr>
        <w:ind w:left="509"/>
        <w:spacing w:before="222" w:line="499" w:lineRule="exact"/>
        <w:rPr>
          <w:rFonts w:ascii="SimSun" w:hAnsi="SimSun" w:eastAsia="SimSun" w:cs="SimSun"/>
          <w:sz w:val="24"/>
          <w:szCs w:val="24"/>
        </w:rPr>
      </w:pPr>
      <w:r>
        <w:rPr>
          <w:rFonts w:ascii="SimSun" w:hAnsi="SimSun" w:eastAsia="SimSun" w:cs="SimSun"/>
          <w:sz w:val="24"/>
          <w:szCs w:val="24"/>
          <w:spacing w:val="-1"/>
          <w:position w:val="19"/>
        </w:rPr>
        <w:t>结合实验室测试和工程经验数据，蜂窝活性炭动态吸附量按</w:t>
      </w:r>
      <w:r>
        <w:rPr>
          <w:rFonts w:ascii="Times New Roman" w:hAnsi="Times New Roman" w:eastAsia="Times New Roman" w:cs="Times New Roman"/>
          <w:sz w:val="24"/>
          <w:szCs w:val="24"/>
          <w:spacing w:val="-1"/>
          <w:position w:val="19"/>
        </w:rPr>
        <w:t>4%</w:t>
      </w:r>
      <w:r>
        <w:rPr>
          <w:rFonts w:ascii="SimSun" w:hAnsi="SimSun" w:eastAsia="SimSun" w:cs="SimSun"/>
          <w:sz w:val="24"/>
          <w:szCs w:val="24"/>
          <w:spacing w:val="-1"/>
          <w:position w:val="19"/>
        </w:rPr>
        <w:t>设计，蜂窝</w:t>
      </w:r>
    </w:p>
    <w:p>
      <w:pPr>
        <w:ind w:left="27"/>
        <w:spacing w:before="1" w:line="212" w:lineRule="auto"/>
        <w:rPr>
          <w:rFonts w:ascii="SimSun" w:hAnsi="SimSun" w:eastAsia="SimSun" w:cs="SimSun"/>
          <w:sz w:val="24"/>
          <w:szCs w:val="24"/>
        </w:rPr>
      </w:pPr>
      <w:r>
        <w:rPr>
          <w:rFonts w:ascii="SimSun" w:hAnsi="SimSun" w:eastAsia="SimSun" w:cs="SimSun"/>
          <w:sz w:val="24"/>
          <w:szCs w:val="24"/>
          <w:spacing w:val="-2"/>
        </w:rPr>
        <w:t>活性炭密度</w:t>
      </w:r>
      <w:r>
        <w:rPr>
          <w:rFonts w:ascii="Times New Roman" w:hAnsi="Times New Roman" w:eastAsia="Times New Roman" w:cs="Times New Roman"/>
          <w:sz w:val="24"/>
          <w:szCs w:val="24"/>
          <w:spacing w:val="-2"/>
        </w:rPr>
        <w:t>450kg/m</w:t>
      </w:r>
      <w:r>
        <w:rPr>
          <w:rFonts w:ascii="SimSun" w:hAnsi="SimSun" w:eastAsia="SimSun" w:cs="SimSun"/>
          <w:sz w:val="24"/>
          <w:szCs w:val="24"/>
          <w:spacing w:val="-2"/>
        </w:rPr>
        <w:t>³,</w:t>
      </w:r>
      <w:r>
        <w:rPr>
          <w:rFonts w:ascii="SimSun" w:hAnsi="SimSun" w:eastAsia="SimSun" w:cs="SimSun"/>
          <w:sz w:val="24"/>
          <w:szCs w:val="24"/>
          <w:spacing w:val="73"/>
        </w:rPr>
        <w:t xml:space="preserve"> </w:t>
      </w:r>
      <w:r>
        <w:rPr>
          <w:rFonts w:ascii="SimSun" w:hAnsi="SimSun" w:eastAsia="SimSun" w:cs="SimSun"/>
          <w:sz w:val="24"/>
          <w:szCs w:val="24"/>
          <w:spacing w:val="-2"/>
        </w:rPr>
        <w:t>单个活性炭吸附箱活性炭重量为</w:t>
      </w:r>
      <w:r>
        <w:rPr>
          <w:rFonts w:ascii="Times New Roman" w:hAnsi="Times New Roman" w:eastAsia="Times New Roman" w:cs="Times New Roman"/>
          <w:sz w:val="24"/>
          <w:szCs w:val="24"/>
          <w:spacing w:val="-2"/>
        </w:rPr>
        <w:t>450kg/m</w:t>
      </w:r>
      <w:r>
        <w:rPr>
          <w:rFonts w:ascii="SimSun" w:hAnsi="SimSun" w:eastAsia="SimSun" w:cs="SimSun"/>
          <w:sz w:val="24"/>
          <w:szCs w:val="24"/>
          <w:spacing w:val="-2"/>
        </w:rPr>
        <w:t>³</w:t>
      </w:r>
      <w:r>
        <w:rPr>
          <w:rFonts w:ascii="Times New Roman" w:hAnsi="Times New Roman" w:eastAsia="Times New Roman" w:cs="Times New Roman"/>
          <w:sz w:val="24"/>
          <w:szCs w:val="24"/>
          <w:spacing w:val="-2"/>
        </w:rPr>
        <w:t>×3.872m</w:t>
      </w:r>
      <w:r>
        <w:rPr>
          <w:rFonts w:ascii="SimSun" w:hAnsi="SimSun" w:eastAsia="SimSun" w:cs="SimSun"/>
          <w:sz w:val="24"/>
          <w:szCs w:val="24"/>
          <w:spacing w:val="-2"/>
        </w:rPr>
        <w:t>³</w:t>
      </w:r>
    </w:p>
    <w:p>
      <w:pPr>
        <w:ind w:left="18"/>
        <w:spacing w:before="180" w:line="323" w:lineRule="exact"/>
        <w:rPr>
          <w:rFonts w:ascii="SimSun" w:hAnsi="SimSun" w:eastAsia="SimSun" w:cs="SimSun"/>
          <w:sz w:val="24"/>
          <w:szCs w:val="24"/>
        </w:rPr>
      </w:pPr>
      <w:r>
        <w:rPr>
          <w:rFonts w:ascii="Times New Roman" w:hAnsi="Times New Roman" w:eastAsia="Times New Roman" w:cs="Times New Roman"/>
          <w:sz w:val="24"/>
          <w:szCs w:val="24"/>
          <w:spacing w:val="-2"/>
          <w:position w:val="2"/>
        </w:rPr>
        <w:t>=</w:t>
      </w:r>
      <w:r>
        <w:rPr>
          <w:rFonts w:ascii="Times New Roman" w:hAnsi="Times New Roman" w:eastAsia="Times New Roman" w:cs="Times New Roman"/>
          <w:sz w:val="24"/>
          <w:szCs w:val="24"/>
          <w:spacing w:val="-28"/>
          <w:position w:val="2"/>
        </w:rPr>
        <w:t xml:space="preserve"> </w:t>
      </w:r>
      <w:r>
        <w:rPr>
          <w:rFonts w:ascii="Times New Roman" w:hAnsi="Times New Roman" w:eastAsia="Times New Roman" w:cs="Times New Roman"/>
          <w:sz w:val="24"/>
          <w:szCs w:val="24"/>
          <w:spacing w:val="-2"/>
          <w:position w:val="2"/>
        </w:rPr>
        <w:t>1754.4kg</w:t>
      </w:r>
      <w:r>
        <w:rPr>
          <w:rFonts w:ascii="Times New Roman" w:hAnsi="Times New Roman" w:eastAsia="Times New Roman" w:cs="Times New Roman"/>
          <w:sz w:val="24"/>
          <w:szCs w:val="24"/>
          <w:spacing w:val="-31"/>
          <w:position w:val="2"/>
        </w:rPr>
        <w:t xml:space="preserve"> </w:t>
      </w:r>
      <w:r>
        <w:rPr>
          <w:rFonts w:ascii="SimSun" w:hAnsi="SimSun" w:eastAsia="SimSun" w:cs="SimSun"/>
          <w:sz w:val="24"/>
          <w:szCs w:val="24"/>
          <w:spacing w:val="-2"/>
          <w:position w:val="2"/>
        </w:rPr>
        <w:t>，达到动态吸附饱和，单个床体可以吸附的</w:t>
      </w:r>
      <w:r>
        <w:rPr>
          <w:rFonts w:ascii="Times New Roman" w:hAnsi="Times New Roman" w:eastAsia="Times New Roman" w:cs="Times New Roman"/>
          <w:sz w:val="24"/>
          <w:szCs w:val="24"/>
          <w:spacing w:val="-2"/>
          <w:position w:val="2"/>
        </w:rPr>
        <w:t>VOCs</w:t>
      </w:r>
      <w:r>
        <w:rPr>
          <w:rFonts w:ascii="SimSun" w:hAnsi="SimSun" w:eastAsia="SimSun" w:cs="SimSun"/>
          <w:sz w:val="24"/>
          <w:szCs w:val="24"/>
          <w:spacing w:val="-2"/>
          <w:position w:val="2"/>
        </w:rPr>
        <w:t>量为</w:t>
      </w:r>
    </w:p>
    <w:p>
      <w:pPr>
        <w:ind w:left="18"/>
        <w:spacing w:before="178" w:line="500" w:lineRule="exact"/>
        <w:rPr>
          <w:rFonts w:ascii="SimSun" w:hAnsi="SimSun" w:eastAsia="SimSun" w:cs="SimSun"/>
          <w:sz w:val="24"/>
          <w:szCs w:val="24"/>
        </w:rPr>
      </w:pPr>
      <w:r>
        <w:rPr>
          <w:rFonts w:ascii="Times New Roman" w:hAnsi="Times New Roman" w:eastAsia="Times New Roman" w:cs="Times New Roman"/>
          <w:sz w:val="24"/>
          <w:szCs w:val="24"/>
          <w:spacing w:val="-2"/>
          <w:position w:val="17"/>
        </w:rPr>
        <w:t>=4%×</w:t>
      </w:r>
      <w:r>
        <w:rPr>
          <w:rFonts w:ascii="Times New Roman" w:hAnsi="Times New Roman" w:eastAsia="Times New Roman" w:cs="Times New Roman"/>
          <w:sz w:val="24"/>
          <w:szCs w:val="24"/>
          <w:spacing w:val="-32"/>
          <w:position w:val="17"/>
        </w:rPr>
        <w:t xml:space="preserve"> </w:t>
      </w:r>
      <w:r>
        <w:rPr>
          <w:rFonts w:ascii="Times New Roman" w:hAnsi="Times New Roman" w:eastAsia="Times New Roman" w:cs="Times New Roman"/>
          <w:sz w:val="24"/>
          <w:szCs w:val="24"/>
          <w:spacing w:val="-2"/>
          <w:position w:val="17"/>
        </w:rPr>
        <w:t>1742.4kg=70kg</w:t>
      </w:r>
      <w:r>
        <w:rPr>
          <w:rFonts w:ascii="Times New Roman" w:hAnsi="Times New Roman" w:eastAsia="Times New Roman" w:cs="Times New Roman"/>
          <w:sz w:val="24"/>
          <w:szCs w:val="24"/>
          <w:spacing w:val="-27"/>
          <w:position w:val="17"/>
        </w:rPr>
        <w:t xml:space="preserve"> </w:t>
      </w:r>
      <w:r>
        <w:rPr>
          <w:rFonts w:ascii="SimSun" w:hAnsi="SimSun" w:eastAsia="SimSun" w:cs="SimSun"/>
          <w:sz w:val="24"/>
          <w:szCs w:val="24"/>
          <w:spacing w:val="-2"/>
          <w:position w:val="17"/>
        </w:rPr>
        <w:t>。吸附达到动态吸附饱和时间</w:t>
      </w:r>
      <w:r>
        <w:rPr>
          <w:rFonts w:ascii="Times New Roman" w:hAnsi="Times New Roman" w:eastAsia="Times New Roman" w:cs="Times New Roman"/>
          <w:sz w:val="24"/>
          <w:szCs w:val="24"/>
          <w:spacing w:val="-2"/>
          <w:position w:val="17"/>
        </w:rPr>
        <w:t>=70×</w:t>
      </w:r>
      <w:r>
        <w:rPr>
          <w:rFonts w:ascii="Times New Roman" w:hAnsi="Times New Roman" w:eastAsia="Times New Roman" w:cs="Times New Roman"/>
          <w:sz w:val="24"/>
          <w:szCs w:val="24"/>
          <w:spacing w:val="-33"/>
          <w:position w:val="17"/>
        </w:rPr>
        <w:t xml:space="preserve"> </w:t>
      </w:r>
      <w:r>
        <w:rPr>
          <w:rFonts w:ascii="Times New Roman" w:hAnsi="Times New Roman" w:eastAsia="Times New Roman" w:cs="Times New Roman"/>
          <w:sz w:val="24"/>
          <w:szCs w:val="24"/>
          <w:spacing w:val="-2"/>
          <w:position w:val="17"/>
        </w:rPr>
        <w:t>106</w:t>
      </w:r>
      <w:r>
        <w:rPr>
          <w:rFonts w:ascii="SimSun" w:hAnsi="SimSun" w:eastAsia="SimSun" w:cs="SimSun"/>
          <w:sz w:val="24"/>
          <w:szCs w:val="24"/>
          <w:spacing w:val="-2"/>
          <w:position w:val="17"/>
        </w:rPr>
        <w:t>÷</w:t>
      </w:r>
      <w:r>
        <w:rPr>
          <w:rFonts w:ascii="Times New Roman" w:hAnsi="Times New Roman" w:eastAsia="Times New Roman" w:cs="Times New Roman"/>
          <w:sz w:val="24"/>
          <w:szCs w:val="24"/>
          <w:spacing w:val="-2"/>
          <w:position w:val="17"/>
        </w:rPr>
        <w:t>200</w:t>
      </w:r>
      <w:r>
        <w:rPr>
          <w:rFonts w:ascii="Times New Roman" w:hAnsi="Times New Roman" w:eastAsia="Times New Roman" w:cs="Times New Roman"/>
          <w:sz w:val="24"/>
          <w:szCs w:val="24"/>
          <w:spacing w:val="-3"/>
          <w:position w:val="17"/>
        </w:rPr>
        <w:t>00m</w:t>
      </w:r>
      <w:r>
        <w:rPr>
          <w:rFonts w:ascii="SimSun" w:hAnsi="SimSun" w:eastAsia="SimSun" w:cs="SimSun"/>
          <w:sz w:val="24"/>
          <w:szCs w:val="24"/>
          <w:spacing w:val="-3"/>
          <w:position w:val="17"/>
        </w:rPr>
        <w:t>³</w:t>
      </w:r>
    </w:p>
    <w:p>
      <w:pPr>
        <w:ind w:left="14"/>
        <w:spacing w:line="322"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position w:val="2"/>
        </w:rPr>
        <w:t>/h×60=58.33h</w:t>
      </w:r>
    </w:p>
    <w:p>
      <w:pPr>
        <w:spacing w:line="322" w:lineRule="exact"/>
        <w:sectPr>
          <w:footerReference w:type="default" r:id="rId125"/>
          <w:pgSz w:w="11906" w:h="16839"/>
          <w:pgMar w:top="400" w:right="1785" w:bottom="1211" w:left="1785" w:header="0" w:footer="1049" w:gutter="0"/>
        </w:sectPr>
        <w:rPr>
          <w:rFonts w:ascii="Times New Roman" w:hAnsi="Times New Roman" w:eastAsia="Times New Roman" w:cs="Times New Roman"/>
          <w:sz w:val="24"/>
          <w:szCs w:val="24"/>
        </w:rPr>
      </w:pPr>
    </w:p>
    <w:p>
      <w:pPr>
        <w:pStyle w:val="BodyText"/>
        <w:spacing w:line="287" w:lineRule="auto"/>
        <w:rPr/>
      </w:pPr>
      <w:r/>
    </w:p>
    <w:p>
      <w:pPr>
        <w:pStyle w:val="BodyText"/>
        <w:spacing w:line="287" w:lineRule="auto"/>
        <w:rPr/>
      </w:pPr>
      <w:r/>
    </w:p>
    <w:p>
      <w:pPr>
        <w:pStyle w:val="BodyText"/>
        <w:spacing w:line="288" w:lineRule="auto"/>
        <w:rPr/>
      </w:pPr>
      <w:r/>
    </w:p>
    <w:p>
      <w:pPr>
        <w:pStyle w:val="BodyText"/>
        <w:spacing w:line="288" w:lineRule="auto"/>
        <w:rPr/>
      </w:pPr>
      <w:r/>
    </w:p>
    <w:p>
      <w:pPr>
        <w:ind w:left="507"/>
        <w:spacing w:before="78" w:line="499" w:lineRule="exact"/>
        <w:rPr>
          <w:rFonts w:ascii="SimSun" w:hAnsi="SimSun" w:eastAsia="SimSun" w:cs="SimSun"/>
          <w:sz w:val="24"/>
          <w:szCs w:val="24"/>
        </w:rPr>
      </w:pPr>
      <w:r>
        <w:rPr>
          <w:rFonts w:ascii="SimSun" w:hAnsi="SimSun" w:eastAsia="SimSun" w:cs="SimSun"/>
          <w:sz w:val="24"/>
          <w:szCs w:val="24"/>
          <w:spacing w:val="-1"/>
          <w:position w:val="19"/>
        </w:rPr>
        <w:t>活性炭吸附床在吸附</w:t>
      </w:r>
      <w:r>
        <w:rPr>
          <w:rFonts w:ascii="Times New Roman" w:hAnsi="Times New Roman" w:eastAsia="Times New Roman" w:cs="Times New Roman"/>
          <w:sz w:val="24"/>
          <w:szCs w:val="24"/>
          <w:spacing w:val="-1"/>
          <w:position w:val="19"/>
        </w:rPr>
        <w:t>58.33h</w:t>
      </w:r>
      <w:r>
        <w:rPr>
          <w:rFonts w:ascii="SimSun" w:hAnsi="SimSun" w:eastAsia="SimSun" w:cs="SimSun"/>
          <w:sz w:val="24"/>
          <w:szCs w:val="24"/>
          <w:spacing w:val="-1"/>
          <w:position w:val="19"/>
        </w:rPr>
        <w:t>后即达到蜂窝活性炭</w:t>
      </w:r>
      <w:r>
        <w:rPr>
          <w:rFonts w:ascii="SimSun" w:hAnsi="SimSun" w:eastAsia="SimSun" w:cs="SimSun"/>
          <w:sz w:val="24"/>
          <w:szCs w:val="24"/>
          <w:spacing w:val="-2"/>
          <w:position w:val="19"/>
        </w:rPr>
        <w:t>的动态饱和时间。蜂窝活性</w:t>
      </w:r>
    </w:p>
    <w:p>
      <w:pPr>
        <w:ind w:left="27"/>
        <w:spacing w:line="218" w:lineRule="auto"/>
        <w:rPr>
          <w:rFonts w:ascii="SimSun" w:hAnsi="SimSun" w:eastAsia="SimSun" w:cs="SimSun"/>
          <w:sz w:val="24"/>
          <w:szCs w:val="24"/>
        </w:rPr>
      </w:pPr>
      <w:r>
        <w:rPr>
          <w:rFonts w:ascii="SimSun" w:hAnsi="SimSun" w:eastAsia="SimSun" w:cs="SimSun"/>
          <w:sz w:val="24"/>
          <w:szCs w:val="24"/>
        </w:rPr>
        <w:t>炭更换周期为</w:t>
      </w:r>
      <w:r>
        <w:rPr>
          <w:rFonts w:ascii="Times New Roman" w:hAnsi="Times New Roman" w:eastAsia="Times New Roman" w:cs="Times New Roman"/>
          <w:sz w:val="24"/>
          <w:szCs w:val="24"/>
        </w:rPr>
        <w:t>2-2.5</w:t>
      </w:r>
      <w:r>
        <w:rPr>
          <w:rFonts w:ascii="SimSun" w:hAnsi="SimSun" w:eastAsia="SimSun" w:cs="SimSun"/>
          <w:sz w:val="24"/>
          <w:szCs w:val="24"/>
        </w:rPr>
        <w:t>年，贵金属催化剂更换</w:t>
      </w:r>
      <w:r>
        <w:rPr>
          <w:rFonts w:ascii="SimSun" w:hAnsi="SimSun" w:eastAsia="SimSun" w:cs="SimSun"/>
          <w:sz w:val="24"/>
          <w:szCs w:val="24"/>
          <w:spacing w:val="-1"/>
        </w:rPr>
        <w:t>周期为</w:t>
      </w:r>
      <w:r>
        <w:rPr>
          <w:rFonts w:ascii="Times New Roman" w:hAnsi="Times New Roman" w:eastAsia="Times New Roman" w:cs="Times New Roman"/>
          <w:sz w:val="24"/>
          <w:szCs w:val="24"/>
          <w:spacing w:val="-1"/>
        </w:rPr>
        <w:t>2</w:t>
      </w:r>
      <w:r>
        <w:rPr>
          <w:rFonts w:ascii="SimSun" w:hAnsi="SimSun" w:eastAsia="SimSun" w:cs="SimSun"/>
          <w:sz w:val="24"/>
          <w:szCs w:val="24"/>
          <w:spacing w:val="-1"/>
        </w:rPr>
        <w:t>年左右或</w:t>
      </w:r>
      <w:r>
        <w:rPr>
          <w:rFonts w:ascii="Times New Roman" w:hAnsi="Times New Roman" w:eastAsia="Times New Roman" w:cs="Times New Roman"/>
          <w:sz w:val="24"/>
          <w:szCs w:val="24"/>
          <w:spacing w:val="-1"/>
        </w:rPr>
        <w:t>8000</w:t>
      </w:r>
      <w:r>
        <w:rPr>
          <w:rFonts w:ascii="SimSun" w:hAnsi="SimSun" w:eastAsia="SimSun" w:cs="SimSun"/>
          <w:sz w:val="24"/>
          <w:szCs w:val="24"/>
          <w:spacing w:val="-1"/>
        </w:rPr>
        <w:t>小时。</w:t>
      </w:r>
    </w:p>
    <w:p>
      <w:pPr>
        <w:ind w:left="21" w:right="57" w:firstLine="491"/>
        <w:spacing w:before="211" w:line="385" w:lineRule="auto"/>
        <w:rPr>
          <w:rFonts w:ascii="SimSun" w:hAnsi="SimSun" w:eastAsia="SimSun" w:cs="SimSun"/>
          <w:sz w:val="24"/>
          <w:szCs w:val="24"/>
        </w:rPr>
      </w:pPr>
      <w:r>
        <w:rPr>
          <w:rFonts w:ascii="SimSun" w:hAnsi="SimSun" w:eastAsia="SimSun" w:cs="SimSun"/>
          <w:sz w:val="24"/>
          <w:szCs w:val="24"/>
          <w:spacing w:val="-1"/>
        </w:rPr>
        <w:t>吸附</w:t>
      </w:r>
      <w:r>
        <w:rPr>
          <w:rFonts w:ascii="Times New Roman" w:hAnsi="Times New Roman" w:eastAsia="Times New Roman" w:cs="Times New Roman"/>
          <w:sz w:val="24"/>
          <w:szCs w:val="24"/>
          <w:spacing w:val="-1"/>
        </w:rPr>
        <w:t>-</w:t>
      </w:r>
      <w:r>
        <w:rPr>
          <w:rFonts w:ascii="SimSun" w:hAnsi="SimSun" w:eastAsia="SimSun" w:cs="SimSun"/>
          <w:sz w:val="24"/>
          <w:szCs w:val="24"/>
          <w:spacing w:val="-1"/>
        </w:rPr>
        <w:t>活性炭吸附</w:t>
      </w:r>
      <w:r>
        <w:rPr>
          <w:rFonts w:ascii="Times New Roman" w:hAnsi="Times New Roman" w:eastAsia="Times New Roman" w:cs="Times New Roman"/>
          <w:sz w:val="24"/>
          <w:szCs w:val="24"/>
          <w:spacing w:val="-1"/>
        </w:rPr>
        <w:t>+</w:t>
      </w:r>
      <w:r>
        <w:rPr>
          <w:rFonts w:ascii="SimSun" w:hAnsi="SimSun" w:eastAsia="SimSun" w:cs="SimSun"/>
          <w:sz w:val="24"/>
          <w:szCs w:val="24"/>
          <w:spacing w:val="-1"/>
        </w:rPr>
        <w:t>催化燃烧装置（</w:t>
      </w:r>
      <w:r>
        <w:rPr>
          <w:rFonts w:ascii="Times New Roman" w:hAnsi="Times New Roman" w:eastAsia="Times New Roman" w:cs="Times New Roman"/>
          <w:sz w:val="24"/>
          <w:szCs w:val="24"/>
          <w:spacing w:val="-1"/>
        </w:rPr>
        <w:t>CO</w:t>
      </w:r>
      <w:r>
        <w:rPr>
          <w:rFonts w:ascii="SimSun" w:hAnsi="SimSun" w:eastAsia="SimSun" w:cs="SimSun"/>
          <w:sz w:val="24"/>
          <w:szCs w:val="24"/>
          <w:spacing w:val="-1"/>
        </w:rPr>
        <w:t>）设备设计原理先进、用材独特，性</w:t>
      </w:r>
      <w:r>
        <w:rPr>
          <w:rFonts w:ascii="SimSun" w:hAnsi="SimSun" w:eastAsia="SimSun" w:cs="SimSun"/>
          <w:sz w:val="24"/>
          <w:szCs w:val="24"/>
          <w:spacing w:val="6"/>
        </w:rPr>
        <w:t xml:space="preserve">  </w:t>
      </w:r>
      <w:r>
        <w:rPr>
          <w:rFonts w:ascii="SimSun" w:hAnsi="SimSun" w:eastAsia="SimSun" w:cs="SimSun"/>
          <w:sz w:val="24"/>
          <w:szCs w:val="24"/>
          <w:spacing w:val="-3"/>
        </w:rPr>
        <w:t>能稳定，结构简便，安全可靠，节能省力，无二次污染。设备占地面积小，重量</w:t>
      </w:r>
      <w:r>
        <w:rPr>
          <w:rFonts w:ascii="SimSun" w:hAnsi="SimSun" w:eastAsia="SimSun" w:cs="SimSun"/>
          <w:sz w:val="24"/>
          <w:szCs w:val="24"/>
          <w:spacing w:val="2"/>
        </w:rPr>
        <w:t xml:space="preserve"> </w:t>
      </w:r>
      <w:r>
        <w:rPr>
          <w:rFonts w:ascii="SimSun" w:hAnsi="SimSun" w:eastAsia="SimSun" w:cs="SimSun"/>
          <w:sz w:val="24"/>
          <w:szCs w:val="24"/>
          <w:spacing w:val="-3"/>
        </w:rPr>
        <w:t>轻。吸附床采用抽屉式结构，装填方便，便于更换。采用新型的活性炭吸附材料</w:t>
      </w:r>
      <w:r>
        <w:rPr>
          <w:rFonts w:ascii="SimSun" w:hAnsi="SimSun" w:eastAsia="SimSun" w:cs="SimSun"/>
          <w:sz w:val="24"/>
          <w:szCs w:val="24"/>
          <w:spacing w:val="2"/>
        </w:rPr>
        <w:t xml:space="preserve"> </w:t>
      </w:r>
      <w:r>
        <w:rPr>
          <w:rFonts w:ascii="Times New Roman" w:hAnsi="Times New Roman" w:eastAsia="Times New Roman" w:cs="Times New Roman"/>
          <w:sz w:val="24"/>
          <w:szCs w:val="24"/>
        </w:rPr>
        <w:t>-</w:t>
      </w:r>
      <w:r>
        <w:rPr>
          <w:rFonts w:ascii="SimSun" w:hAnsi="SimSun" w:eastAsia="SimSun" w:cs="SimSun"/>
          <w:sz w:val="24"/>
          <w:szCs w:val="24"/>
        </w:rPr>
        <w:t>蜂窝状块形活性炭，活性炭吸附</w:t>
      </w:r>
      <w:r>
        <w:rPr>
          <w:rFonts w:ascii="Times New Roman" w:hAnsi="Times New Roman" w:eastAsia="Times New Roman" w:cs="Times New Roman"/>
          <w:sz w:val="24"/>
          <w:szCs w:val="24"/>
        </w:rPr>
        <w:t>+</w:t>
      </w:r>
      <w:r>
        <w:rPr>
          <w:rFonts w:ascii="SimSun" w:hAnsi="SimSun" w:eastAsia="SimSun" w:cs="SimSun"/>
          <w:sz w:val="24"/>
          <w:szCs w:val="24"/>
        </w:rPr>
        <w:t>催化燃烧装置（</w:t>
      </w:r>
      <w:r>
        <w:rPr>
          <w:rFonts w:ascii="Times New Roman" w:hAnsi="Times New Roman" w:eastAsia="Times New Roman" w:cs="Times New Roman"/>
          <w:sz w:val="24"/>
          <w:szCs w:val="24"/>
        </w:rPr>
        <w:t>CO</w:t>
      </w:r>
      <w:r>
        <w:rPr>
          <w:rFonts w:ascii="SimSun" w:hAnsi="SimSun" w:eastAsia="SimSun" w:cs="SimSun"/>
          <w:sz w:val="24"/>
          <w:szCs w:val="24"/>
        </w:rPr>
        <w:t>）</w:t>
      </w:r>
      <w:r>
        <w:rPr>
          <w:rFonts w:ascii="SimSun" w:hAnsi="SimSun" w:eastAsia="SimSun" w:cs="SimSun"/>
          <w:sz w:val="24"/>
          <w:szCs w:val="24"/>
          <w:spacing w:val="-1"/>
        </w:rPr>
        <w:t>室采用蜂窝陶瓷状为载</w:t>
      </w:r>
      <w:r>
        <w:rPr>
          <w:rFonts w:ascii="SimSun" w:hAnsi="SimSun" w:eastAsia="SimSun" w:cs="SimSun"/>
          <w:sz w:val="24"/>
          <w:szCs w:val="24"/>
        </w:rPr>
        <w:t xml:space="preserve">  </w:t>
      </w:r>
      <w:r>
        <w:rPr>
          <w:rFonts w:ascii="SimSun" w:hAnsi="SimSun" w:eastAsia="SimSun" w:cs="SimSun"/>
          <w:sz w:val="24"/>
          <w:szCs w:val="24"/>
          <w:spacing w:val="-2"/>
        </w:rPr>
        <w:t>体的贵金属催化剂，阻力小，活性高。当有机蒸气浓度达到</w:t>
      </w:r>
      <w:r>
        <w:rPr>
          <w:rFonts w:ascii="Times New Roman" w:hAnsi="Times New Roman" w:eastAsia="Times New Roman" w:cs="Times New Roman"/>
          <w:sz w:val="24"/>
          <w:szCs w:val="24"/>
          <w:spacing w:val="-2"/>
        </w:rPr>
        <w:t>2000PPm</w:t>
      </w:r>
      <w:r>
        <w:rPr>
          <w:rFonts w:ascii="SimSun" w:hAnsi="SimSun" w:eastAsia="SimSun" w:cs="SimSun"/>
          <w:sz w:val="24"/>
          <w:szCs w:val="24"/>
          <w:spacing w:val="-2"/>
        </w:rPr>
        <w:t>以上时，可</w:t>
      </w:r>
      <w:r>
        <w:rPr>
          <w:rFonts w:ascii="SimSun" w:hAnsi="SimSun" w:eastAsia="SimSun" w:cs="SimSun"/>
          <w:sz w:val="24"/>
          <w:szCs w:val="24"/>
        </w:rPr>
        <w:t xml:space="preserve"> </w:t>
      </w:r>
      <w:r>
        <w:rPr>
          <w:rFonts w:ascii="SimSun" w:hAnsi="SimSun" w:eastAsia="SimSun" w:cs="SimSun"/>
          <w:sz w:val="24"/>
          <w:szCs w:val="24"/>
          <w:spacing w:val="-3"/>
        </w:rPr>
        <w:t>维持自燃。耗电量小，由于床层阻力小，用低压风机就可以工作，不但耗电少而</w:t>
      </w:r>
      <w:r>
        <w:rPr>
          <w:rFonts w:ascii="SimSun" w:hAnsi="SimSun" w:eastAsia="SimSun" w:cs="SimSun"/>
          <w:sz w:val="24"/>
          <w:szCs w:val="24"/>
          <w:spacing w:val="2"/>
        </w:rPr>
        <w:t xml:space="preserve"> </w:t>
      </w:r>
      <w:r>
        <w:rPr>
          <w:rFonts w:ascii="SimSun" w:hAnsi="SimSun" w:eastAsia="SimSun" w:cs="SimSun"/>
          <w:sz w:val="24"/>
          <w:szCs w:val="24"/>
          <w:spacing w:val="-3"/>
        </w:rPr>
        <w:t>且噪音低。活性炭吸附</w:t>
      </w:r>
      <w:r>
        <w:rPr>
          <w:rFonts w:ascii="Times New Roman" w:hAnsi="Times New Roman" w:eastAsia="Times New Roman" w:cs="Times New Roman"/>
          <w:sz w:val="24"/>
          <w:szCs w:val="24"/>
          <w:spacing w:val="-3"/>
        </w:rPr>
        <w:t>+</w:t>
      </w:r>
      <w:r>
        <w:rPr>
          <w:rFonts w:ascii="SimSun" w:hAnsi="SimSun" w:eastAsia="SimSun" w:cs="SimSun"/>
          <w:sz w:val="24"/>
          <w:szCs w:val="24"/>
          <w:spacing w:val="-3"/>
        </w:rPr>
        <w:t>催化燃烧装置（</w:t>
      </w:r>
      <w:r>
        <w:rPr>
          <w:rFonts w:ascii="Times New Roman" w:hAnsi="Times New Roman" w:eastAsia="Times New Roman" w:cs="Times New Roman"/>
          <w:sz w:val="24"/>
          <w:szCs w:val="24"/>
          <w:spacing w:val="-3"/>
        </w:rPr>
        <w:t>CO</w:t>
      </w:r>
      <w:r>
        <w:rPr>
          <w:rFonts w:ascii="SimSun" w:hAnsi="SimSun" w:eastAsia="SimSun" w:cs="SimSun"/>
          <w:sz w:val="24"/>
          <w:szCs w:val="24"/>
          <w:spacing w:val="-3"/>
        </w:rPr>
        <w:t>）时，需电加热启动。有机物在催化</w:t>
      </w:r>
      <w:r>
        <w:rPr>
          <w:rFonts w:ascii="SimSun" w:hAnsi="SimSun" w:eastAsia="SimSun" w:cs="SimSun"/>
          <w:sz w:val="24"/>
          <w:szCs w:val="24"/>
          <w:spacing w:val="17"/>
        </w:rPr>
        <w:t xml:space="preserve"> </w:t>
      </w:r>
      <w:r>
        <w:rPr>
          <w:rFonts w:ascii="SimSun" w:hAnsi="SimSun" w:eastAsia="SimSun" w:cs="SimSun"/>
          <w:sz w:val="24"/>
          <w:szCs w:val="24"/>
          <w:spacing w:val="-3"/>
        </w:rPr>
        <w:t>床活性炭吸附</w:t>
      </w:r>
      <w:r>
        <w:rPr>
          <w:rFonts w:ascii="Times New Roman" w:hAnsi="Times New Roman" w:eastAsia="Times New Roman" w:cs="Times New Roman"/>
          <w:sz w:val="24"/>
          <w:szCs w:val="24"/>
          <w:spacing w:val="-3"/>
        </w:rPr>
        <w:t>+</w:t>
      </w:r>
      <w:r>
        <w:rPr>
          <w:rFonts w:ascii="SimSun" w:hAnsi="SimSun" w:eastAsia="SimSun" w:cs="SimSun"/>
          <w:sz w:val="24"/>
          <w:szCs w:val="24"/>
          <w:spacing w:val="-3"/>
        </w:rPr>
        <w:t>催化燃烧装置（</w:t>
      </w:r>
      <w:r>
        <w:rPr>
          <w:rFonts w:ascii="Times New Roman" w:hAnsi="Times New Roman" w:eastAsia="Times New Roman" w:cs="Times New Roman"/>
          <w:sz w:val="24"/>
          <w:szCs w:val="24"/>
          <w:spacing w:val="-3"/>
        </w:rPr>
        <w:t>CO</w:t>
      </w:r>
      <w:r>
        <w:rPr>
          <w:rFonts w:ascii="SimSun" w:hAnsi="SimSun" w:eastAsia="SimSun" w:cs="SimSun"/>
          <w:sz w:val="24"/>
          <w:szCs w:val="24"/>
          <w:spacing w:val="-3"/>
        </w:rPr>
        <w:t>）开始后，其燃烧热可足以维持其反应所需的</w:t>
      </w:r>
      <w:r>
        <w:rPr>
          <w:rFonts w:ascii="SimSun" w:hAnsi="SimSun" w:eastAsia="SimSun" w:cs="SimSun"/>
          <w:sz w:val="24"/>
          <w:szCs w:val="24"/>
          <w:spacing w:val="14"/>
        </w:rPr>
        <w:t xml:space="preserve"> </w:t>
      </w:r>
      <w:r>
        <w:rPr>
          <w:rFonts w:ascii="SimSun" w:hAnsi="SimSun" w:eastAsia="SimSun" w:cs="SimSun"/>
          <w:sz w:val="24"/>
          <w:szCs w:val="24"/>
        </w:rPr>
        <w:t>温度，此时电加热停止，启动电加热时间大约为</w:t>
      </w:r>
      <w:r>
        <w:rPr>
          <w:rFonts w:ascii="Times New Roman" w:hAnsi="Times New Roman" w:eastAsia="Times New Roman" w:cs="Times New Roman"/>
          <w:sz w:val="24"/>
          <w:szCs w:val="24"/>
        </w:rPr>
        <w:t>1</w:t>
      </w:r>
      <w:r>
        <w:rPr>
          <w:rFonts w:ascii="SimSun" w:hAnsi="SimSun" w:eastAsia="SimSun" w:cs="SimSun"/>
          <w:sz w:val="24"/>
          <w:szCs w:val="24"/>
        </w:rPr>
        <w:t>小时左右</w:t>
      </w:r>
      <w:r>
        <w:rPr>
          <w:rFonts w:ascii="SimSun" w:hAnsi="SimSun" w:eastAsia="SimSun" w:cs="SimSun"/>
          <w:sz w:val="24"/>
          <w:szCs w:val="24"/>
          <w:spacing w:val="-1"/>
        </w:rPr>
        <w:t>。吸附有机物废气的</w:t>
      </w:r>
      <w:r>
        <w:rPr>
          <w:rFonts w:ascii="SimSun" w:hAnsi="SimSun" w:eastAsia="SimSun" w:cs="SimSun"/>
          <w:sz w:val="24"/>
          <w:szCs w:val="24"/>
        </w:rPr>
        <w:t xml:space="preserve"> </w:t>
      </w:r>
      <w:r>
        <w:rPr>
          <w:rFonts w:ascii="SimSun" w:hAnsi="SimSun" w:eastAsia="SimSun" w:cs="SimSun"/>
          <w:sz w:val="24"/>
          <w:szCs w:val="24"/>
          <w:spacing w:val="-2"/>
        </w:rPr>
        <w:t>活性炭床，用活性炭吸附</w:t>
      </w:r>
      <w:r>
        <w:rPr>
          <w:rFonts w:ascii="Times New Roman" w:hAnsi="Times New Roman" w:eastAsia="Times New Roman" w:cs="Times New Roman"/>
          <w:sz w:val="24"/>
          <w:szCs w:val="24"/>
          <w:spacing w:val="-2"/>
        </w:rPr>
        <w:t>+</w:t>
      </w:r>
      <w:r>
        <w:rPr>
          <w:rFonts w:ascii="SimSun" w:hAnsi="SimSun" w:eastAsia="SimSun" w:cs="SimSun"/>
          <w:sz w:val="24"/>
          <w:szCs w:val="24"/>
          <w:spacing w:val="-2"/>
        </w:rPr>
        <w:t>催化燃烧装置（</w:t>
      </w:r>
      <w:r>
        <w:rPr>
          <w:rFonts w:ascii="Times New Roman" w:hAnsi="Times New Roman" w:eastAsia="Times New Roman" w:cs="Times New Roman"/>
          <w:sz w:val="24"/>
          <w:szCs w:val="24"/>
          <w:spacing w:val="-2"/>
        </w:rPr>
        <w:t>CO</w:t>
      </w:r>
      <w:r>
        <w:rPr>
          <w:rFonts w:ascii="SimSun" w:hAnsi="SimSun" w:eastAsia="SimSun" w:cs="SimSun"/>
          <w:sz w:val="24"/>
          <w:szCs w:val="24"/>
          <w:spacing w:val="-2"/>
        </w:rPr>
        <w:t>）进行废气脱附，不需外部能量，</w:t>
      </w:r>
    </w:p>
    <w:p>
      <w:pPr>
        <w:ind w:left="23"/>
        <w:spacing w:line="219" w:lineRule="auto"/>
        <w:rPr>
          <w:rFonts w:ascii="SimSun" w:hAnsi="SimSun" w:eastAsia="SimSun" w:cs="SimSun"/>
          <w:sz w:val="24"/>
          <w:szCs w:val="24"/>
        </w:rPr>
      </w:pPr>
      <w:r>
        <w:rPr>
          <w:rFonts w:ascii="SimSun" w:hAnsi="SimSun" w:eastAsia="SimSun" w:cs="SimSun"/>
          <w:sz w:val="24"/>
          <w:szCs w:val="24"/>
          <w:spacing w:val="-1"/>
        </w:rPr>
        <w:t>运行费用低，节能效果显著。</w:t>
      </w:r>
    </w:p>
    <w:p>
      <w:pPr>
        <w:ind w:left="498"/>
        <w:spacing w:before="215" w:line="219" w:lineRule="auto"/>
        <w:rPr>
          <w:rFonts w:ascii="SimSun" w:hAnsi="SimSun" w:eastAsia="SimSun" w:cs="SimSun"/>
          <w:sz w:val="24"/>
          <w:szCs w:val="24"/>
        </w:rPr>
      </w:pPr>
      <w:r>
        <w:rPr>
          <w:rFonts w:ascii="Times New Roman" w:hAnsi="Times New Roman" w:eastAsia="Times New Roman" w:cs="Times New Roman"/>
          <w:sz w:val="24"/>
          <w:szCs w:val="24"/>
          <w:spacing w:val="-6"/>
        </w:rPr>
        <w:t>B</w:t>
      </w:r>
      <w:r>
        <w:rPr>
          <w:rFonts w:ascii="Times New Roman" w:hAnsi="Times New Roman" w:eastAsia="Times New Roman" w:cs="Times New Roman"/>
          <w:sz w:val="24"/>
          <w:szCs w:val="24"/>
          <w:spacing w:val="-29"/>
        </w:rPr>
        <w:t xml:space="preserve"> </w:t>
      </w:r>
      <w:r>
        <w:rPr>
          <w:rFonts w:ascii="SimSun" w:hAnsi="SimSun" w:eastAsia="SimSun" w:cs="SimSun"/>
          <w:sz w:val="24"/>
          <w:szCs w:val="24"/>
          <w:spacing w:val="-6"/>
        </w:rPr>
        <w:t>、技术特点</w:t>
      </w:r>
    </w:p>
    <w:p>
      <w:pPr>
        <w:ind w:left="23" w:firstLine="480"/>
        <w:spacing w:before="213" w:line="385" w:lineRule="auto"/>
        <w:rPr>
          <w:rFonts w:ascii="SimSun" w:hAnsi="SimSun" w:eastAsia="SimSun" w:cs="SimSun"/>
          <w:sz w:val="24"/>
          <w:szCs w:val="24"/>
        </w:rPr>
      </w:pPr>
      <w:r>
        <w:rPr>
          <w:rFonts w:ascii="SimSun" w:hAnsi="SimSun" w:eastAsia="SimSun" w:cs="SimSun"/>
          <w:sz w:val="24"/>
          <w:szCs w:val="24"/>
          <w:spacing w:val="3"/>
        </w:rPr>
        <w:t>适应范围：适用于低浓度(≤</w:t>
      </w:r>
      <w:r>
        <w:rPr>
          <w:rFonts w:ascii="Times New Roman" w:hAnsi="Times New Roman" w:eastAsia="Times New Roman" w:cs="Times New Roman"/>
          <w:sz w:val="24"/>
          <w:szCs w:val="24"/>
          <w:spacing w:val="3"/>
        </w:rPr>
        <w:t>1000-</w:t>
      </w:r>
      <w:r>
        <w:rPr>
          <w:rFonts w:ascii="Times New Roman" w:hAnsi="Times New Roman" w:eastAsia="Times New Roman" w:cs="Times New Roman"/>
          <w:sz w:val="24"/>
          <w:szCs w:val="24"/>
        </w:rPr>
        <w:t>mg</w:t>
      </w:r>
      <w:r>
        <w:rPr>
          <w:rFonts w:ascii="Times New Roman" w:hAnsi="Times New Roman" w:eastAsia="Times New Roman" w:cs="Times New Roman"/>
          <w:sz w:val="24"/>
          <w:szCs w:val="24"/>
          <w:spacing w:val="3"/>
        </w:rPr>
        <w:t>/</w:t>
      </w:r>
      <w:r>
        <w:rPr>
          <w:rFonts w:ascii="Times New Roman" w:hAnsi="Times New Roman" w:eastAsia="Times New Roman" w:cs="Times New Roman"/>
          <w:sz w:val="24"/>
          <w:szCs w:val="24"/>
          <w:spacing w:val="2"/>
        </w:rPr>
        <w:t>m</w:t>
      </w:r>
      <w:r>
        <w:rPr>
          <w:rFonts w:ascii="SimSun" w:hAnsi="SimSun" w:eastAsia="SimSun" w:cs="SimSun"/>
          <w:sz w:val="24"/>
          <w:szCs w:val="24"/>
          <w:spacing w:val="2"/>
        </w:rPr>
        <w:t>³)</w:t>
      </w:r>
      <w:r>
        <w:rPr>
          <w:rFonts w:ascii="SimSun" w:hAnsi="SimSun" w:eastAsia="SimSun" w:cs="SimSun"/>
          <w:sz w:val="24"/>
          <w:szCs w:val="24"/>
          <w:spacing w:val="45"/>
        </w:rPr>
        <w:t xml:space="preserve"> </w:t>
      </w:r>
      <w:r>
        <w:rPr>
          <w:rFonts w:ascii="SimSun" w:hAnsi="SimSun" w:eastAsia="SimSun" w:cs="SimSun"/>
          <w:sz w:val="24"/>
          <w:szCs w:val="24"/>
          <w:spacing w:val="2"/>
        </w:rPr>
        <w:t>的废气处理；不适合高浓度、</w:t>
      </w:r>
      <w:r>
        <w:rPr>
          <w:rFonts w:ascii="SimSun" w:hAnsi="SimSun" w:eastAsia="SimSun" w:cs="SimSun"/>
          <w:sz w:val="24"/>
          <w:szCs w:val="24"/>
        </w:rPr>
        <w:t xml:space="preserve">  </w:t>
      </w:r>
      <w:r>
        <w:rPr>
          <w:rFonts w:ascii="SimSun" w:hAnsi="SimSun" w:eastAsia="SimSun" w:cs="SimSun"/>
          <w:sz w:val="24"/>
          <w:szCs w:val="24"/>
          <w:spacing w:val="-7"/>
        </w:rPr>
        <w:t>含颗粒物状、湿度大的废气；不适合处理含高沸点物质</w:t>
      </w:r>
      <w:r>
        <w:rPr>
          <w:rFonts w:ascii="SimSun" w:hAnsi="SimSun" w:eastAsia="SimSun" w:cs="SimSun"/>
          <w:sz w:val="24"/>
          <w:szCs w:val="24"/>
          <w:spacing w:val="-8"/>
        </w:rPr>
        <w:t>、硫化物、卤素、重金属、</w:t>
      </w:r>
    </w:p>
    <w:p>
      <w:pPr>
        <w:ind w:left="27"/>
        <w:spacing w:before="1" w:line="220" w:lineRule="auto"/>
        <w:rPr>
          <w:rFonts w:ascii="SimSun" w:hAnsi="SimSun" w:eastAsia="SimSun" w:cs="SimSun"/>
          <w:sz w:val="24"/>
          <w:szCs w:val="24"/>
        </w:rPr>
      </w:pPr>
      <w:r>
        <w:rPr>
          <w:rFonts w:ascii="SimSun" w:hAnsi="SimSun" w:eastAsia="SimSun" w:cs="SimSun"/>
          <w:sz w:val="24"/>
          <w:szCs w:val="24"/>
          <w:spacing w:val="-2"/>
        </w:rPr>
        <w:t>油雾、强酸或碱性的废气。</w:t>
      </w:r>
    </w:p>
    <w:p>
      <w:pPr>
        <w:ind w:left="23" w:right="80" w:firstLine="486"/>
        <w:spacing w:before="212" w:line="385" w:lineRule="auto"/>
        <w:rPr>
          <w:rFonts w:ascii="SimSun" w:hAnsi="SimSun" w:eastAsia="SimSun" w:cs="SimSun"/>
          <w:sz w:val="24"/>
          <w:szCs w:val="24"/>
        </w:rPr>
      </w:pPr>
      <w:r>
        <w:rPr>
          <w:rFonts w:ascii="SimSun" w:hAnsi="SimSun" w:eastAsia="SimSun" w:cs="SimSun"/>
          <w:sz w:val="24"/>
          <w:szCs w:val="24"/>
          <w:spacing w:val="-1"/>
        </w:rPr>
        <w:t>高效去除率：能高效去除挥发性有机物（</w:t>
      </w:r>
      <w:r>
        <w:rPr>
          <w:rFonts w:ascii="Times New Roman" w:hAnsi="Times New Roman" w:eastAsia="Times New Roman" w:cs="Times New Roman"/>
          <w:sz w:val="24"/>
          <w:szCs w:val="24"/>
          <w:spacing w:val="-1"/>
        </w:rPr>
        <w:t>VOCs</w:t>
      </w:r>
      <w:r>
        <w:rPr>
          <w:rFonts w:ascii="SimSun" w:hAnsi="SimSun" w:eastAsia="SimSun" w:cs="SimSun"/>
          <w:sz w:val="24"/>
          <w:szCs w:val="24"/>
          <w:spacing w:val="-1"/>
        </w:rPr>
        <w:t>）及硫化氢、氨气等无机物</w:t>
      </w:r>
      <w:r>
        <w:rPr>
          <w:rFonts w:ascii="SimSun" w:hAnsi="SimSun" w:eastAsia="SimSun" w:cs="SimSun"/>
          <w:sz w:val="24"/>
          <w:szCs w:val="24"/>
          <w:spacing w:val="17"/>
        </w:rPr>
        <w:t xml:space="preserve"> </w:t>
      </w:r>
      <w:r>
        <w:rPr>
          <w:rFonts w:ascii="SimSun" w:hAnsi="SimSun" w:eastAsia="SimSun" w:cs="SimSun"/>
          <w:sz w:val="24"/>
          <w:szCs w:val="24"/>
          <w:spacing w:val="-3"/>
        </w:rPr>
        <w:t>类污染物，采用“活性炭吸附</w:t>
      </w:r>
      <w:r>
        <w:rPr>
          <w:rFonts w:ascii="Times New Roman" w:hAnsi="Times New Roman" w:eastAsia="Times New Roman" w:cs="Times New Roman"/>
          <w:sz w:val="24"/>
          <w:szCs w:val="24"/>
          <w:spacing w:val="-3"/>
        </w:rPr>
        <w:t>+</w:t>
      </w:r>
      <w:r>
        <w:rPr>
          <w:rFonts w:ascii="SimSun" w:hAnsi="SimSun" w:eastAsia="SimSun" w:cs="SimSun"/>
          <w:sz w:val="24"/>
          <w:szCs w:val="24"/>
          <w:spacing w:val="-3"/>
        </w:rPr>
        <w:t>催化燃烧装置装置（</w:t>
      </w:r>
      <w:r>
        <w:rPr>
          <w:rFonts w:ascii="Times New Roman" w:hAnsi="Times New Roman" w:eastAsia="Times New Roman" w:cs="Times New Roman"/>
          <w:sz w:val="24"/>
          <w:szCs w:val="24"/>
          <w:spacing w:val="-3"/>
        </w:rPr>
        <w:t>CO</w:t>
      </w:r>
      <w:r>
        <w:rPr>
          <w:rFonts w:ascii="SimSun" w:hAnsi="SimSun" w:eastAsia="SimSun" w:cs="SimSun"/>
          <w:sz w:val="24"/>
          <w:szCs w:val="24"/>
          <w:spacing w:val="-3"/>
        </w:rPr>
        <w:t>）”后熔融挤出生产工序</w:t>
      </w:r>
    </w:p>
    <w:p>
      <w:pPr>
        <w:ind w:left="24"/>
        <w:spacing w:before="1" w:line="218" w:lineRule="auto"/>
        <w:rPr>
          <w:rFonts w:ascii="Times New Roman" w:hAnsi="Times New Roman" w:eastAsia="Times New Roman" w:cs="Times New Roman"/>
          <w:sz w:val="24"/>
          <w:szCs w:val="24"/>
        </w:rPr>
      </w:pPr>
      <w:r>
        <w:rPr>
          <w:rFonts w:ascii="SimSun" w:hAnsi="SimSun" w:eastAsia="SimSun" w:cs="SimSun"/>
          <w:sz w:val="24"/>
          <w:szCs w:val="24"/>
        </w:rPr>
        <w:t>有机废气排放浓度及速率可满足《合成树脂工</w:t>
      </w:r>
      <w:r>
        <w:rPr>
          <w:rFonts w:ascii="SimSun" w:hAnsi="SimSun" w:eastAsia="SimSun" w:cs="SimSun"/>
          <w:sz w:val="24"/>
          <w:szCs w:val="24"/>
          <w:spacing w:val="-1"/>
        </w:rPr>
        <w:t>业污染物排放标准》（</w:t>
      </w:r>
      <w:r>
        <w:rPr>
          <w:rFonts w:ascii="Times New Roman" w:hAnsi="Times New Roman" w:eastAsia="Times New Roman" w:cs="Times New Roman"/>
          <w:sz w:val="24"/>
          <w:szCs w:val="24"/>
          <w:spacing w:val="-1"/>
        </w:rPr>
        <w:t>GB</w:t>
      </w:r>
    </w:p>
    <w:p>
      <w:pPr>
        <w:ind w:left="23"/>
        <w:spacing w:before="215" w:line="212" w:lineRule="auto"/>
        <w:rPr>
          <w:rFonts w:ascii="SimSun" w:hAnsi="SimSun" w:eastAsia="SimSun" w:cs="SimSun"/>
          <w:sz w:val="24"/>
          <w:szCs w:val="24"/>
        </w:rPr>
      </w:pPr>
      <w:r>
        <w:rPr>
          <w:rFonts w:ascii="Times New Roman" w:hAnsi="Times New Roman" w:eastAsia="Times New Roman" w:cs="Times New Roman"/>
          <w:sz w:val="24"/>
          <w:szCs w:val="24"/>
        </w:rPr>
        <w:t>31572-2015</w:t>
      </w:r>
      <w:r>
        <w:rPr>
          <w:rFonts w:ascii="SimSun" w:hAnsi="SimSun" w:eastAsia="SimSun" w:cs="SimSun"/>
          <w:sz w:val="24"/>
          <w:szCs w:val="24"/>
        </w:rPr>
        <w:t>）中表</w:t>
      </w:r>
      <w:r>
        <w:rPr>
          <w:rFonts w:ascii="Times New Roman" w:hAnsi="Times New Roman" w:eastAsia="Times New Roman" w:cs="Times New Roman"/>
          <w:sz w:val="24"/>
          <w:szCs w:val="24"/>
        </w:rPr>
        <w:t>5</w:t>
      </w:r>
      <w:r>
        <w:rPr>
          <w:rFonts w:ascii="SimSun" w:hAnsi="SimSun" w:eastAsia="SimSun" w:cs="SimSun"/>
          <w:sz w:val="24"/>
          <w:szCs w:val="24"/>
        </w:rPr>
        <w:t>大气污染物特别排放限值中非甲</w:t>
      </w:r>
      <w:r>
        <w:rPr>
          <w:rFonts w:ascii="SimSun" w:hAnsi="SimSun" w:eastAsia="SimSun" w:cs="SimSun"/>
          <w:sz w:val="24"/>
          <w:szCs w:val="24"/>
          <w:spacing w:val="-1"/>
        </w:rPr>
        <w:t>烷总烃</w:t>
      </w:r>
      <w:r>
        <w:rPr>
          <w:rFonts w:ascii="Times New Roman" w:hAnsi="Times New Roman" w:eastAsia="Times New Roman" w:cs="Times New Roman"/>
          <w:sz w:val="24"/>
          <w:szCs w:val="24"/>
          <w:spacing w:val="-1"/>
        </w:rPr>
        <w:t>60mg/m</w:t>
      </w:r>
      <w:r>
        <w:rPr>
          <w:rFonts w:ascii="SimSun" w:hAnsi="SimSun" w:eastAsia="SimSun" w:cs="SimSun"/>
          <w:sz w:val="24"/>
          <w:szCs w:val="24"/>
          <w:spacing w:val="-1"/>
        </w:rPr>
        <w:t>³要求。</w:t>
      </w:r>
    </w:p>
    <w:p>
      <w:pPr>
        <w:ind w:left="503"/>
        <w:spacing w:before="226" w:line="219" w:lineRule="auto"/>
        <w:rPr>
          <w:rFonts w:ascii="SimSun" w:hAnsi="SimSun" w:eastAsia="SimSun" w:cs="SimSun"/>
          <w:sz w:val="24"/>
          <w:szCs w:val="24"/>
        </w:rPr>
      </w:pPr>
      <w:r>
        <w:rPr>
          <w:rFonts w:ascii="SimSun" w:hAnsi="SimSun" w:eastAsia="SimSun" w:cs="SimSun"/>
          <w:sz w:val="24"/>
          <w:szCs w:val="24"/>
          <w:spacing w:val="-1"/>
        </w:rPr>
        <w:t>运行成本：一次性投资费用低；能耗低。</w:t>
      </w:r>
    </w:p>
    <w:p>
      <w:pPr>
        <w:ind w:left="509"/>
        <w:spacing w:before="214" w:line="219" w:lineRule="auto"/>
        <w:rPr>
          <w:rFonts w:ascii="SimSun" w:hAnsi="SimSun" w:eastAsia="SimSun" w:cs="SimSun"/>
          <w:sz w:val="24"/>
          <w:szCs w:val="24"/>
        </w:rPr>
      </w:pPr>
      <w:r>
        <w:rPr>
          <w:rFonts w:ascii="SimSun" w:hAnsi="SimSun" w:eastAsia="SimSun" w:cs="SimSun"/>
          <w:sz w:val="24"/>
          <w:szCs w:val="24"/>
          <w:spacing w:val="-1"/>
        </w:rPr>
        <w:t>总之，活性炭吸附</w:t>
      </w:r>
      <w:r>
        <w:rPr>
          <w:rFonts w:ascii="Times New Roman" w:hAnsi="Times New Roman" w:eastAsia="Times New Roman" w:cs="Times New Roman"/>
          <w:sz w:val="24"/>
          <w:szCs w:val="24"/>
          <w:spacing w:val="-1"/>
        </w:rPr>
        <w:t>+</w:t>
      </w:r>
      <w:r>
        <w:rPr>
          <w:rFonts w:ascii="SimSun" w:hAnsi="SimSun" w:eastAsia="SimSun" w:cs="SimSun"/>
          <w:sz w:val="24"/>
          <w:szCs w:val="24"/>
          <w:spacing w:val="-1"/>
        </w:rPr>
        <w:t>直接催化燃烧法装置能有效去除挥发性有机废气</w:t>
      </w:r>
    </w:p>
    <w:p>
      <w:pPr>
        <w:ind w:left="34"/>
        <w:spacing w:before="215" w:line="21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VOCs</w:t>
      </w:r>
      <w:r>
        <w:rPr>
          <w:rFonts w:ascii="SimSun" w:hAnsi="SimSun" w:eastAsia="SimSun" w:cs="SimSun"/>
          <w:sz w:val="24"/>
          <w:szCs w:val="24"/>
          <w:spacing w:val="7"/>
        </w:rPr>
        <w:t>），</w:t>
      </w:r>
      <w:r>
        <w:rPr>
          <w:rFonts w:ascii="SimSun" w:hAnsi="SimSun" w:eastAsia="SimSun" w:cs="SimSun"/>
          <w:sz w:val="24"/>
          <w:szCs w:val="24"/>
          <w:spacing w:val="-1"/>
        </w:rPr>
        <w:t>处理后的有机废气排放达到《合成树脂工业污染物</w:t>
      </w:r>
      <w:r>
        <w:rPr>
          <w:rFonts w:ascii="SimSun" w:hAnsi="SimSun" w:eastAsia="SimSun" w:cs="SimSun"/>
          <w:sz w:val="24"/>
          <w:szCs w:val="24"/>
          <w:spacing w:val="-2"/>
        </w:rPr>
        <w:t>排放标准》</w:t>
      </w:r>
    </w:p>
    <w:p>
      <w:pPr>
        <w:ind w:left="24" w:right="173" w:firstLine="10"/>
        <w:spacing w:before="217" w:line="384"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GB31572-2015</w:t>
      </w:r>
      <w:r>
        <w:rPr>
          <w:rFonts w:ascii="SimSun" w:hAnsi="SimSun" w:eastAsia="SimSun" w:cs="SimSun"/>
          <w:sz w:val="24"/>
          <w:szCs w:val="24"/>
          <w:spacing w:val="-1"/>
        </w:rPr>
        <w:t>）中表</w:t>
      </w:r>
      <w:r>
        <w:rPr>
          <w:rFonts w:ascii="Times New Roman" w:hAnsi="Times New Roman" w:eastAsia="Times New Roman" w:cs="Times New Roman"/>
          <w:sz w:val="24"/>
          <w:szCs w:val="24"/>
          <w:spacing w:val="-1"/>
        </w:rPr>
        <w:t>5</w:t>
      </w:r>
      <w:r>
        <w:rPr>
          <w:rFonts w:ascii="SimSun" w:hAnsi="SimSun" w:eastAsia="SimSun" w:cs="SimSun"/>
          <w:sz w:val="24"/>
          <w:szCs w:val="24"/>
          <w:spacing w:val="-1"/>
        </w:rPr>
        <w:t>大气污染物特别排放限值。厂界废气执行表</w:t>
      </w:r>
      <w:r>
        <w:rPr>
          <w:rFonts w:ascii="Times New Roman" w:hAnsi="Times New Roman" w:eastAsia="Times New Roman" w:cs="Times New Roman"/>
          <w:sz w:val="24"/>
          <w:szCs w:val="24"/>
          <w:spacing w:val="-1"/>
        </w:rPr>
        <w:t>9</w:t>
      </w:r>
      <w:r>
        <w:rPr>
          <w:rFonts w:ascii="SimSun" w:hAnsi="SimSun" w:eastAsia="SimSun" w:cs="SimSun"/>
          <w:sz w:val="24"/>
          <w:szCs w:val="24"/>
          <w:spacing w:val="-1"/>
        </w:rPr>
        <w:t>废气排放</w:t>
      </w:r>
      <w:r>
        <w:rPr>
          <w:rFonts w:ascii="SimSun" w:hAnsi="SimSun" w:eastAsia="SimSun" w:cs="SimSun"/>
          <w:sz w:val="24"/>
          <w:szCs w:val="24"/>
          <w:spacing w:val="18"/>
        </w:rPr>
        <w:t xml:space="preserve"> </w:t>
      </w:r>
      <w:r>
        <w:rPr>
          <w:rFonts w:ascii="SimSun" w:hAnsi="SimSun" w:eastAsia="SimSun" w:cs="SimSun"/>
          <w:sz w:val="24"/>
          <w:szCs w:val="24"/>
        </w:rPr>
        <w:t>标准。厂区内执行《挥发性有机物无组织排放控制标准》（</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1"/>
        </w:rPr>
        <w:t>37822-2019</w:t>
      </w:r>
      <w:r>
        <w:rPr>
          <w:rFonts w:ascii="SimSun" w:hAnsi="SimSun" w:eastAsia="SimSun" w:cs="SimSun"/>
          <w:sz w:val="24"/>
          <w:szCs w:val="24"/>
          <w:spacing w:val="-1"/>
        </w:rPr>
        <w:t>）相</w:t>
      </w:r>
    </w:p>
    <w:p>
      <w:pPr>
        <w:ind w:left="27"/>
        <w:spacing w:before="1" w:line="218" w:lineRule="auto"/>
        <w:rPr>
          <w:rFonts w:ascii="SimSun" w:hAnsi="SimSun" w:eastAsia="SimSun" w:cs="SimSun"/>
          <w:sz w:val="24"/>
          <w:szCs w:val="24"/>
        </w:rPr>
      </w:pPr>
      <w:r>
        <w:rPr>
          <w:rFonts w:ascii="SimSun" w:hAnsi="SimSun" w:eastAsia="SimSun" w:cs="SimSun"/>
          <w:sz w:val="24"/>
          <w:szCs w:val="24"/>
          <w:spacing w:val="-1"/>
        </w:rPr>
        <w:t>关要求。本项目处理工艺合理可行。</w:t>
      </w:r>
    </w:p>
    <w:p>
      <w:pPr>
        <w:spacing w:line="218" w:lineRule="auto"/>
        <w:sectPr>
          <w:footerReference w:type="default" r:id="rId126"/>
          <w:pgSz w:w="11906" w:h="16839"/>
          <w:pgMar w:top="400" w:right="1719" w:bottom="1211" w:left="1785" w:header="0" w:footer="1049" w:gutter="0"/>
        </w:sectPr>
        <w:rPr>
          <w:rFonts w:ascii="SimSun" w:hAnsi="SimSun" w:eastAsia="SimSun" w:cs="SimSun"/>
          <w:sz w:val="24"/>
          <w:szCs w:val="24"/>
        </w:rPr>
      </w:pPr>
    </w:p>
    <w:p>
      <w:pPr>
        <w:pStyle w:val="BodyText"/>
        <w:spacing w:line="287" w:lineRule="auto"/>
        <w:rPr/>
      </w:pPr>
      <w:r/>
    </w:p>
    <w:p>
      <w:pPr>
        <w:pStyle w:val="BodyText"/>
        <w:spacing w:line="287" w:lineRule="auto"/>
        <w:rPr/>
      </w:pPr>
      <w:r/>
    </w:p>
    <w:p>
      <w:pPr>
        <w:pStyle w:val="BodyText"/>
        <w:spacing w:line="288" w:lineRule="auto"/>
        <w:rPr/>
      </w:pPr>
      <w:r/>
    </w:p>
    <w:p>
      <w:pPr>
        <w:pStyle w:val="BodyText"/>
        <w:spacing w:line="288" w:lineRule="auto"/>
        <w:rPr/>
      </w:pPr>
      <w:r/>
    </w:p>
    <w:p>
      <w:pPr>
        <w:ind w:left="589"/>
        <w:spacing w:before="78" w:line="221" w:lineRule="auto"/>
        <w:rPr>
          <w:rFonts w:ascii="SimSun" w:hAnsi="SimSun" w:eastAsia="SimSun" w:cs="SimSun"/>
          <w:sz w:val="24"/>
          <w:szCs w:val="24"/>
        </w:rPr>
      </w:pPr>
      <w:hyperlink w:history="true" r:id="rId39">
        <w:r>
          <w:rPr>
            <w:rFonts w:ascii="Times New Roman" w:hAnsi="Times New Roman" w:eastAsia="Times New Roman" w:cs="Times New Roman"/>
            <w:sz w:val="24"/>
            <w:szCs w:val="24"/>
            <w:spacing w:val="-1"/>
          </w:rPr>
          <w:t>4.2.1.6</w:t>
        </w:r>
      </w:hyperlink>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1"/>
        </w:rPr>
        <w:t>监测计划</w:t>
      </w:r>
    </w:p>
    <w:p>
      <w:pPr>
        <w:ind w:left="117" w:right="104" w:firstLine="479"/>
        <w:spacing w:before="210" w:line="385" w:lineRule="auto"/>
        <w:rPr>
          <w:rFonts w:ascii="SimSun" w:hAnsi="SimSun" w:eastAsia="SimSun" w:cs="SimSun"/>
          <w:sz w:val="24"/>
          <w:szCs w:val="24"/>
        </w:rPr>
      </w:pPr>
      <w:r>
        <w:rPr>
          <w:rFonts w:ascii="SimSun" w:hAnsi="SimSun" w:eastAsia="SimSun" w:cs="SimSun"/>
          <w:sz w:val="24"/>
          <w:szCs w:val="24"/>
          <w:spacing w:val="-3"/>
        </w:rPr>
        <w:t>本项目常规废气监测可委托监测，委托监测单位应具有相应资</w:t>
      </w:r>
      <w:r>
        <w:rPr>
          <w:rFonts w:ascii="SimSun" w:hAnsi="SimSun" w:eastAsia="SimSun" w:cs="SimSun"/>
          <w:sz w:val="24"/>
          <w:szCs w:val="24"/>
          <w:spacing w:val="-4"/>
        </w:rPr>
        <w:t>质。根据《排</w:t>
      </w:r>
      <w:r>
        <w:rPr>
          <w:rFonts w:ascii="SimSun" w:hAnsi="SimSun" w:eastAsia="SimSun" w:cs="SimSun"/>
          <w:sz w:val="24"/>
          <w:szCs w:val="24"/>
        </w:rPr>
        <w:t xml:space="preserve"> </w:t>
      </w:r>
      <w:r>
        <w:rPr>
          <w:rFonts w:ascii="SimSun" w:hAnsi="SimSun" w:eastAsia="SimSun" w:cs="SimSun"/>
          <w:sz w:val="24"/>
          <w:szCs w:val="24"/>
          <w:spacing w:val="-1"/>
        </w:rPr>
        <w:t>污许可证申领与核发技术规范 总则》（</w:t>
      </w:r>
      <w:r>
        <w:rPr>
          <w:rFonts w:ascii="Times New Roman" w:hAnsi="Times New Roman" w:eastAsia="Times New Roman" w:cs="Times New Roman"/>
          <w:sz w:val="24"/>
          <w:szCs w:val="24"/>
          <w:spacing w:val="-1"/>
        </w:rPr>
        <w:t>HJ 942-2018</w:t>
      </w:r>
      <w:r>
        <w:rPr>
          <w:rFonts w:ascii="SimSun" w:hAnsi="SimSun" w:eastAsia="SimSun" w:cs="SimSun"/>
          <w:sz w:val="24"/>
          <w:szCs w:val="24"/>
          <w:spacing w:val="-1"/>
        </w:rPr>
        <w:t>）、《排污单位自行监测技</w:t>
      </w:r>
      <w:r>
        <w:rPr>
          <w:rFonts w:ascii="SimSun" w:hAnsi="SimSun" w:eastAsia="SimSun" w:cs="SimSun"/>
          <w:sz w:val="24"/>
          <w:szCs w:val="24"/>
          <w:spacing w:val="8"/>
        </w:rPr>
        <w:t xml:space="preserve"> </w:t>
      </w:r>
      <w:r>
        <w:rPr>
          <w:rFonts w:ascii="SimSun" w:hAnsi="SimSun" w:eastAsia="SimSun" w:cs="SimSun"/>
          <w:sz w:val="24"/>
          <w:szCs w:val="24"/>
          <w:spacing w:val="-2"/>
        </w:rPr>
        <w:t>术指南 橡胶和塑料制品》（</w:t>
      </w:r>
      <w:r>
        <w:rPr>
          <w:rFonts w:ascii="Times New Roman" w:hAnsi="Times New Roman" w:eastAsia="Times New Roman" w:cs="Times New Roman"/>
          <w:sz w:val="24"/>
          <w:szCs w:val="24"/>
          <w:spacing w:val="-2"/>
        </w:rPr>
        <w:t>HJ1207-2021</w:t>
      </w:r>
      <w:r>
        <w:rPr>
          <w:rFonts w:ascii="SimSun" w:hAnsi="SimSun" w:eastAsia="SimSun" w:cs="SimSun"/>
          <w:sz w:val="24"/>
          <w:szCs w:val="24"/>
          <w:spacing w:val="-2"/>
        </w:rPr>
        <w:t>）、《排污许</w:t>
      </w:r>
      <w:r>
        <w:rPr>
          <w:rFonts w:ascii="SimSun" w:hAnsi="SimSun" w:eastAsia="SimSun" w:cs="SimSun"/>
          <w:sz w:val="24"/>
          <w:szCs w:val="24"/>
          <w:spacing w:val="-3"/>
        </w:rPr>
        <w:t>可证申领与核发技术规范</w:t>
      </w:r>
    </w:p>
    <w:p>
      <w:pPr>
        <w:ind w:left="114"/>
        <w:spacing w:line="218" w:lineRule="auto"/>
        <w:rPr>
          <w:rFonts w:ascii="SimSun" w:hAnsi="SimSun" w:eastAsia="SimSun" w:cs="SimSun"/>
          <w:sz w:val="24"/>
          <w:szCs w:val="24"/>
        </w:rPr>
      </w:pPr>
      <w:r>
        <w:rPr>
          <w:rFonts w:ascii="SimSun" w:hAnsi="SimSun" w:eastAsia="SimSun" w:cs="SimSun"/>
          <w:sz w:val="24"/>
          <w:szCs w:val="24"/>
          <w:spacing w:val="-1"/>
        </w:rPr>
        <w:t>橡胶和塑料制品》（</w:t>
      </w:r>
      <w:r>
        <w:rPr>
          <w:rFonts w:ascii="Times New Roman" w:hAnsi="Times New Roman" w:eastAsia="Times New Roman" w:cs="Times New Roman"/>
          <w:sz w:val="24"/>
          <w:szCs w:val="24"/>
          <w:spacing w:val="-1"/>
        </w:rPr>
        <w:t>HJ1122-2020</w:t>
      </w:r>
      <w:r>
        <w:rPr>
          <w:rFonts w:ascii="SimSun" w:hAnsi="SimSun" w:eastAsia="SimSun" w:cs="SimSun"/>
          <w:sz w:val="24"/>
          <w:szCs w:val="24"/>
          <w:spacing w:val="-1"/>
        </w:rPr>
        <w:t>）和《挥发性有机物无组织排放控制标准》</w:t>
      </w:r>
    </w:p>
    <w:p>
      <w:pPr>
        <w:ind w:left="126"/>
        <w:spacing w:before="214" w:line="232"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GB37822-2019</w:t>
      </w:r>
      <w:r>
        <w:rPr>
          <w:rFonts w:ascii="SimSun" w:hAnsi="SimSun" w:eastAsia="SimSun" w:cs="SimSun"/>
          <w:sz w:val="24"/>
          <w:szCs w:val="24"/>
          <w:spacing w:val="-2"/>
        </w:rPr>
        <w:t>）。</w:t>
      </w:r>
    </w:p>
    <w:p>
      <w:pPr>
        <w:ind w:left="2816"/>
        <w:spacing w:before="119" w:line="219" w:lineRule="auto"/>
        <w:rPr>
          <w:rFonts w:ascii="SimSun" w:hAnsi="SimSun" w:eastAsia="SimSun" w:cs="SimSun"/>
          <w:sz w:val="24"/>
          <w:szCs w:val="24"/>
        </w:rPr>
      </w:pPr>
      <w:r>
        <w:rPr>
          <w:rFonts w:ascii="SimSun" w:hAnsi="SimSun" w:eastAsia="SimSun" w:cs="SimSun"/>
          <w:sz w:val="24"/>
          <w:szCs w:val="24"/>
          <w:spacing w:val="-1"/>
        </w:rPr>
        <w:t>表</w:t>
      </w:r>
      <w:r>
        <w:rPr>
          <w:rFonts w:ascii="Times New Roman" w:hAnsi="Times New Roman" w:eastAsia="Times New Roman" w:cs="Times New Roman"/>
          <w:sz w:val="24"/>
          <w:szCs w:val="24"/>
          <w:spacing w:val="-1"/>
        </w:rPr>
        <w:t>4.2-9    </w:t>
      </w:r>
      <w:r>
        <w:rPr>
          <w:rFonts w:ascii="SimSun" w:hAnsi="SimSun" w:eastAsia="SimSun" w:cs="SimSun"/>
          <w:sz w:val="24"/>
          <w:szCs w:val="24"/>
          <w:spacing w:val="-1"/>
        </w:rPr>
        <w:t>环境监测计划内容</w:t>
      </w:r>
    </w:p>
    <w:p>
      <w:pPr>
        <w:spacing w:line="14" w:lineRule="auto"/>
        <w:rPr>
          <w:rFonts w:ascii="Arial"/>
          <w:sz w:val="2"/>
        </w:rPr>
      </w:pPr>
      <w:r>
        <w:rPr>
          <w:rFonts w:ascii="Arial"/>
          <w:sz w:val="2"/>
        </w:rPr>
      </w:r>
    </w:p>
    <w:tbl>
      <w:tblPr>
        <w:tblStyle w:val="TableNormal"/>
        <w:tblW w:w="8516"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14"/>
        <w:gridCol w:w="1816"/>
        <w:gridCol w:w="1138"/>
        <w:gridCol w:w="1438"/>
        <w:gridCol w:w="3310"/>
      </w:tblGrid>
      <w:tr>
        <w:trPr>
          <w:trHeight w:val="725" w:hRule="atLeast"/>
        </w:trPr>
        <w:tc>
          <w:tcPr>
            <w:tcW w:w="814" w:type="dxa"/>
            <w:vAlign w:val="top"/>
            <w:tcBorders>
              <w:top w:val="single" w:color="000000" w:sz="10" w:space="0"/>
              <w:left w:val="nil"/>
            </w:tcBorders>
          </w:tcPr>
          <w:p>
            <w:pPr>
              <w:pStyle w:val="TableText"/>
              <w:ind w:left="205"/>
              <w:spacing w:before="114" w:line="360" w:lineRule="exact"/>
              <w:rPr>
                <w:sz w:val="20"/>
                <w:szCs w:val="20"/>
              </w:rPr>
            </w:pPr>
            <w:r>
              <w:rPr>
                <w:sz w:val="20"/>
                <w:szCs w:val="20"/>
                <w:spacing w:val="4"/>
                <w:position w:val="11"/>
              </w:rPr>
              <w:t>环境</w:t>
            </w:r>
          </w:p>
          <w:p>
            <w:pPr>
              <w:pStyle w:val="TableText"/>
              <w:ind w:left="206"/>
              <w:spacing w:line="222" w:lineRule="auto"/>
              <w:rPr>
                <w:sz w:val="20"/>
                <w:szCs w:val="20"/>
              </w:rPr>
            </w:pPr>
            <w:r>
              <w:rPr>
                <w:sz w:val="20"/>
                <w:szCs w:val="20"/>
                <w:spacing w:val="4"/>
              </w:rPr>
              <w:t>要素</w:t>
            </w:r>
          </w:p>
        </w:tc>
        <w:tc>
          <w:tcPr>
            <w:tcW w:w="1816" w:type="dxa"/>
            <w:vAlign w:val="top"/>
            <w:tcBorders>
              <w:top w:val="single" w:color="000000" w:sz="10" w:space="0"/>
            </w:tcBorders>
          </w:tcPr>
          <w:p>
            <w:pPr>
              <w:pStyle w:val="TableText"/>
              <w:ind w:left="599"/>
              <w:spacing w:before="294" w:line="229" w:lineRule="auto"/>
              <w:rPr>
                <w:sz w:val="20"/>
                <w:szCs w:val="20"/>
              </w:rPr>
            </w:pPr>
            <w:r>
              <w:rPr>
                <w:sz w:val="20"/>
                <w:szCs w:val="20"/>
                <w:spacing w:val="6"/>
              </w:rPr>
              <w:t>监测点</w:t>
            </w:r>
          </w:p>
        </w:tc>
        <w:tc>
          <w:tcPr>
            <w:tcW w:w="1138" w:type="dxa"/>
            <w:vAlign w:val="top"/>
            <w:tcBorders>
              <w:top w:val="single" w:color="000000" w:sz="10" w:space="0"/>
            </w:tcBorders>
          </w:tcPr>
          <w:p>
            <w:pPr>
              <w:pStyle w:val="TableText"/>
              <w:ind w:left="156"/>
              <w:spacing w:before="294" w:line="228" w:lineRule="auto"/>
              <w:rPr>
                <w:sz w:val="20"/>
                <w:szCs w:val="20"/>
              </w:rPr>
            </w:pPr>
            <w:r>
              <w:rPr>
                <w:sz w:val="20"/>
                <w:szCs w:val="20"/>
                <w:spacing w:val="7"/>
              </w:rPr>
              <w:t>监测因子</w:t>
            </w:r>
          </w:p>
        </w:tc>
        <w:tc>
          <w:tcPr>
            <w:tcW w:w="1438" w:type="dxa"/>
            <w:vAlign w:val="top"/>
            <w:tcBorders>
              <w:top w:val="single" w:color="000000" w:sz="10" w:space="0"/>
            </w:tcBorders>
          </w:tcPr>
          <w:p>
            <w:pPr>
              <w:pStyle w:val="TableText"/>
              <w:ind w:left="304"/>
              <w:spacing w:before="293" w:line="228" w:lineRule="auto"/>
              <w:rPr>
                <w:sz w:val="20"/>
                <w:szCs w:val="20"/>
              </w:rPr>
            </w:pPr>
            <w:r>
              <w:rPr>
                <w:sz w:val="20"/>
                <w:szCs w:val="20"/>
                <w:spacing w:val="7"/>
              </w:rPr>
              <w:t>监测频次</w:t>
            </w:r>
          </w:p>
        </w:tc>
        <w:tc>
          <w:tcPr>
            <w:tcW w:w="3310" w:type="dxa"/>
            <w:vAlign w:val="top"/>
            <w:tcBorders>
              <w:top w:val="single" w:color="000000" w:sz="10" w:space="0"/>
              <w:right w:val="nil"/>
            </w:tcBorders>
          </w:tcPr>
          <w:p>
            <w:pPr>
              <w:pStyle w:val="TableText"/>
              <w:ind w:left="1241"/>
              <w:spacing w:before="293" w:line="228" w:lineRule="auto"/>
              <w:rPr>
                <w:sz w:val="20"/>
                <w:szCs w:val="20"/>
              </w:rPr>
            </w:pPr>
            <w:r>
              <w:rPr>
                <w:sz w:val="20"/>
                <w:szCs w:val="20"/>
                <w:spacing w:val="7"/>
              </w:rPr>
              <w:t>执行标准</w:t>
            </w:r>
          </w:p>
        </w:tc>
      </w:tr>
      <w:tr>
        <w:trPr>
          <w:trHeight w:val="1078" w:hRule="atLeast"/>
        </w:trPr>
        <w:tc>
          <w:tcPr>
            <w:tcW w:w="814" w:type="dxa"/>
            <w:vAlign w:val="top"/>
            <w:tcBorders>
              <w:left w:val="nil"/>
            </w:tcBorders>
          </w:tcPr>
          <w:p>
            <w:pPr>
              <w:pStyle w:val="TableText"/>
              <w:ind w:left="206"/>
              <w:spacing w:before="294" w:line="228" w:lineRule="auto"/>
              <w:rPr>
                <w:sz w:val="20"/>
                <w:szCs w:val="20"/>
              </w:rPr>
            </w:pPr>
            <w:r>
              <w:rPr>
                <w:sz w:val="20"/>
                <w:szCs w:val="20"/>
                <w:spacing w:val="4"/>
              </w:rPr>
              <w:t>有组</w:t>
            </w:r>
          </w:p>
          <w:p>
            <w:pPr>
              <w:pStyle w:val="TableText"/>
              <w:ind w:left="314"/>
              <w:spacing w:before="112" w:line="232" w:lineRule="auto"/>
              <w:rPr>
                <w:sz w:val="20"/>
                <w:szCs w:val="20"/>
              </w:rPr>
            </w:pPr>
            <w:r>
              <w:rPr>
                <w:sz w:val="20"/>
                <w:szCs w:val="20"/>
              </w:rPr>
              <w:t>织</w:t>
            </w:r>
          </w:p>
        </w:tc>
        <w:tc>
          <w:tcPr>
            <w:tcW w:w="1816" w:type="dxa"/>
            <w:vAlign w:val="top"/>
          </w:tcPr>
          <w:p>
            <w:pPr>
              <w:spacing w:line="406" w:lineRule="auto"/>
              <w:rPr>
                <w:rFonts w:ascii="Arial"/>
                <w:sz w:val="21"/>
              </w:rPr>
            </w:pPr>
            <w:r/>
          </w:p>
          <w:p>
            <w:pPr>
              <w:pStyle w:val="TableText"/>
              <w:ind w:left="598"/>
              <w:spacing w:before="65" w:line="229" w:lineRule="auto"/>
              <w:rPr>
                <w:sz w:val="20"/>
                <w:szCs w:val="20"/>
              </w:rPr>
            </w:pPr>
            <w:r>
              <w:rPr>
                <w:sz w:val="20"/>
                <w:szCs w:val="20"/>
                <w:spacing w:val="6"/>
              </w:rPr>
              <w:t>排放口</w:t>
            </w:r>
          </w:p>
        </w:tc>
        <w:tc>
          <w:tcPr>
            <w:tcW w:w="1138" w:type="dxa"/>
            <w:vAlign w:val="top"/>
          </w:tcPr>
          <w:p>
            <w:pPr>
              <w:pStyle w:val="TableText"/>
              <w:ind w:left="469" w:right="148" w:hanging="311"/>
              <w:spacing w:before="294" w:line="280" w:lineRule="auto"/>
              <w:rPr>
                <w:sz w:val="20"/>
                <w:szCs w:val="20"/>
              </w:rPr>
            </w:pPr>
            <w:r>
              <w:rPr>
                <w:sz w:val="20"/>
                <w:szCs w:val="20"/>
                <w:spacing w:val="6"/>
              </w:rPr>
              <w:t>非甲烷总</w:t>
            </w:r>
            <w:r>
              <w:rPr>
                <w:sz w:val="20"/>
                <w:szCs w:val="20"/>
                <w:spacing w:val="1"/>
              </w:rPr>
              <w:t xml:space="preserve"> </w:t>
            </w:r>
            <w:r>
              <w:rPr>
                <w:sz w:val="20"/>
                <w:szCs w:val="20"/>
              </w:rPr>
              <w:t>烃</w:t>
            </w:r>
          </w:p>
        </w:tc>
        <w:tc>
          <w:tcPr>
            <w:tcW w:w="1438" w:type="dxa"/>
            <w:vAlign w:val="top"/>
          </w:tcPr>
          <w:p>
            <w:pPr>
              <w:pStyle w:val="TableText"/>
              <w:ind w:left="466" w:right="112" w:hanging="334"/>
              <w:spacing w:before="293" w:line="280" w:lineRule="auto"/>
              <w:rPr>
                <w:sz w:val="20"/>
                <w:szCs w:val="20"/>
              </w:rPr>
            </w:pPr>
            <w:r>
              <w:rPr>
                <w:rFonts w:ascii="Times New Roman" w:hAnsi="Times New Roman" w:eastAsia="Times New Roman" w:cs="Times New Roman"/>
                <w:sz w:val="20"/>
                <w:szCs w:val="20"/>
                <w:spacing w:val="4"/>
              </w:rPr>
              <w:t>1</w:t>
            </w:r>
            <w:r>
              <w:rPr>
                <w:sz w:val="20"/>
                <w:szCs w:val="20"/>
                <w:spacing w:val="4"/>
              </w:rPr>
              <w:t>次</w:t>
            </w:r>
            <w:r>
              <w:rPr>
                <w:rFonts w:ascii="Times New Roman" w:hAnsi="Times New Roman" w:eastAsia="Times New Roman" w:cs="Times New Roman"/>
                <w:sz w:val="20"/>
                <w:szCs w:val="20"/>
                <w:spacing w:val="4"/>
              </w:rPr>
              <w:t>/</w:t>
            </w:r>
            <w:r>
              <w:rPr>
                <w:sz w:val="20"/>
                <w:szCs w:val="20"/>
                <w:spacing w:val="4"/>
              </w:rPr>
              <w:t>半年，每</w:t>
            </w:r>
            <w:r>
              <w:rPr>
                <w:sz w:val="20"/>
                <w:szCs w:val="20"/>
                <w:spacing w:val="3"/>
              </w:rPr>
              <w:t xml:space="preserve"> </w:t>
            </w:r>
            <w:r>
              <w:rPr>
                <w:sz w:val="20"/>
                <w:szCs w:val="20"/>
                <w:spacing w:val="3"/>
              </w:rPr>
              <w:t>次</w:t>
            </w:r>
            <w:r>
              <w:rPr>
                <w:rFonts w:ascii="Times New Roman" w:hAnsi="Times New Roman" w:eastAsia="Times New Roman" w:cs="Times New Roman"/>
                <w:sz w:val="20"/>
                <w:szCs w:val="20"/>
                <w:spacing w:val="3"/>
              </w:rPr>
              <w:t>1</w:t>
            </w:r>
            <w:r>
              <w:rPr>
                <w:sz w:val="20"/>
                <w:szCs w:val="20"/>
                <w:spacing w:val="3"/>
              </w:rPr>
              <w:t>天</w:t>
            </w:r>
          </w:p>
        </w:tc>
        <w:tc>
          <w:tcPr>
            <w:tcW w:w="3310" w:type="dxa"/>
            <w:vAlign w:val="top"/>
            <w:tcBorders>
              <w:right w:val="nil"/>
            </w:tcBorders>
          </w:tcPr>
          <w:p>
            <w:pPr>
              <w:pStyle w:val="TableText"/>
              <w:ind w:left="118"/>
              <w:spacing w:before="113" w:line="228" w:lineRule="auto"/>
              <w:rPr>
                <w:sz w:val="20"/>
                <w:szCs w:val="20"/>
              </w:rPr>
            </w:pPr>
            <w:r>
              <w:rPr>
                <w:sz w:val="20"/>
                <w:szCs w:val="20"/>
                <w:spacing w:val="8"/>
              </w:rPr>
              <w:t>《合成树脂工业污染物排放标准》</w:t>
            </w:r>
          </w:p>
          <w:p>
            <w:pPr>
              <w:pStyle w:val="TableText"/>
              <w:ind w:left="123"/>
              <w:spacing w:before="113" w:line="228" w:lineRule="auto"/>
              <w:rPr>
                <w:sz w:val="20"/>
                <w:szCs w:val="20"/>
              </w:rPr>
            </w:pPr>
            <w:r>
              <w:rPr>
                <w:sz w:val="20"/>
                <w:szCs w:val="20"/>
                <w:spacing w:val="1"/>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1"/>
              </w:rPr>
              <w:t>31572-2015</w:t>
            </w:r>
            <w:r>
              <w:rPr>
                <w:sz w:val="20"/>
                <w:szCs w:val="20"/>
                <w:spacing w:val="1"/>
              </w:rPr>
              <w:t>）中大气污染物特</w:t>
            </w:r>
          </w:p>
          <w:p>
            <w:pPr>
              <w:pStyle w:val="TableText"/>
              <w:ind w:left="1138"/>
              <w:spacing w:before="113" w:line="216" w:lineRule="auto"/>
              <w:rPr>
                <w:sz w:val="20"/>
                <w:szCs w:val="20"/>
              </w:rPr>
            </w:pPr>
            <w:r>
              <w:rPr>
                <w:sz w:val="20"/>
                <w:szCs w:val="20"/>
                <w:spacing w:val="7"/>
              </w:rPr>
              <w:t>别排放限值</w:t>
            </w:r>
          </w:p>
        </w:tc>
      </w:tr>
      <w:tr>
        <w:trPr>
          <w:trHeight w:val="1077" w:hRule="atLeast"/>
        </w:trPr>
        <w:tc>
          <w:tcPr>
            <w:tcW w:w="814" w:type="dxa"/>
            <w:vAlign w:val="top"/>
            <w:vMerge w:val="restart"/>
            <w:tcBorders>
              <w:bottom w:val="nil"/>
              <w:left w:val="nil"/>
            </w:tcBorders>
          </w:tcPr>
          <w:p>
            <w:pPr>
              <w:spacing w:line="316" w:lineRule="auto"/>
              <w:rPr>
                <w:rFonts w:ascii="Arial"/>
                <w:sz w:val="21"/>
              </w:rPr>
            </w:pPr>
            <w:r/>
          </w:p>
          <w:p>
            <w:pPr>
              <w:spacing w:line="316" w:lineRule="auto"/>
              <w:rPr>
                <w:rFonts w:ascii="Arial"/>
                <w:sz w:val="21"/>
              </w:rPr>
            </w:pPr>
            <w:r/>
          </w:p>
          <w:p>
            <w:pPr>
              <w:pStyle w:val="TableText"/>
              <w:ind w:left="207"/>
              <w:spacing w:before="65" w:line="228" w:lineRule="auto"/>
              <w:rPr>
                <w:sz w:val="20"/>
                <w:szCs w:val="20"/>
              </w:rPr>
            </w:pPr>
            <w:r>
              <w:rPr>
                <w:sz w:val="20"/>
                <w:szCs w:val="20"/>
                <w:spacing w:val="3"/>
              </w:rPr>
              <w:t>无组</w:t>
            </w:r>
          </w:p>
          <w:p>
            <w:pPr>
              <w:pStyle w:val="TableText"/>
              <w:ind w:left="314"/>
              <w:spacing w:before="112" w:line="232" w:lineRule="auto"/>
              <w:rPr>
                <w:sz w:val="20"/>
                <w:szCs w:val="20"/>
              </w:rPr>
            </w:pPr>
            <w:r>
              <w:rPr>
                <w:sz w:val="20"/>
                <w:szCs w:val="20"/>
              </w:rPr>
              <w:t>织</w:t>
            </w:r>
          </w:p>
        </w:tc>
        <w:tc>
          <w:tcPr>
            <w:tcW w:w="1816" w:type="dxa"/>
            <w:vAlign w:val="top"/>
          </w:tcPr>
          <w:p>
            <w:pPr>
              <w:pStyle w:val="TableText"/>
              <w:ind w:left="116"/>
              <w:spacing w:before="120" w:line="228" w:lineRule="auto"/>
              <w:rPr>
                <w:sz w:val="20"/>
                <w:szCs w:val="20"/>
              </w:rPr>
            </w:pPr>
            <w:r>
              <w:rPr>
                <w:sz w:val="20"/>
                <w:szCs w:val="20"/>
                <w:spacing w:val="-2"/>
              </w:rPr>
              <w:t>厂区边界（上风向</w:t>
            </w:r>
          </w:p>
          <w:p>
            <w:pPr>
              <w:pStyle w:val="TableText"/>
              <w:ind w:left="597" w:right="170" w:hanging="403"/>
              <w:spacing w:before="112" w:line="271" w:lineRule="auto"/>
              <w:rPr>
                <w:sz w:val="20"/>
                <w:szCs w:val="20"/>
              </w:rPr>
            </w:pPr>
            <w:r>
              <w:rPr>
                <w:rFonts w:ascii="Times New Roman" w:hAnsi="Times New Roman" w:eastAsia="Times New Roman" w:cs="Times New Roman"/>
                <w:sz w:val="20"/>
                <w:szCs w:val="20"/>
                <w:spacing w:val="5"/>
              </w:rPr>
              <w:t>1</w:t>
            </w:r>
            <w:r>
              <w:rPr>
                <w:sz w:val="20"/>
                <w:szCs w:val="20"/>
                <w:spacing w:val="5"/>
              </w:rPr>
              <w:t>个点，下风向</w:t>
            </w:r>
            <w:r>
              <w:rPr>
                <w:rFonts w:ascii="Times New Roman" w:hAnsi="Times New Roman" w:eastAsia="Times New Roman" w:cs="Times New Roman"/>
                <w:sz w:val="20"/>
                <w:szCs w:val="20"/>
                <w:spacing w:val="5"/>
              </w:rPr>
              <w:t>3</w:t>
            </w:r>
            <w:r>
              <w:rPr>
                <w:rFonts w:ascii="Times New Roman" w:hAnsi="Times New Roman" w:eastAsia="Times New Roman" w:cs="Times New Roman"/>
                <w:sz w:val="20"/>
                <w:szCs w:val="20"/>
                <w:spacing w:val="4"/>
              </w:rPr>
              <w:t xml:space="preserve"> </w:t>
            </w:r>
            <w:r>
              <w:rPr>
                <w:sz w:val="20"/>
                <w:szCs w:val="20"/>
                <w:spacing w:val="3"/>
              </w:rPr>
              <w:t>个点）</w:t>
            </w:r>
          </w:p>
        </w:tc>
        <w:tc>
          <w:tcPr>
            <w:tcW w:w="1138" w:type="dxa"/>
            <w:vAlign w:val="top"/>
            <w:vMerge w:val="restart"/>
            <w:tcBorders>
              <w:bottom w:val="nil"/>
            </w:tcBorders>
          </w:tcPr>
          <w:p>
            <w:pPr>
              <w:spacing w:line="316" w:lineRule="auto"/>
              <w:rPr>
                <w:rFonts w:ascii="Arial"/>
                <w:sz w:val="21"/>
              </w:rPr>
            </w:pPr>
            <w:r/>
          </w:p>
          <w:p>
            <w:pPr>
              <w:spacing w:line="316" w:lineRule="auto"/>
              <w:rPr>
                <w:rFonts w:ascii="Arial"/>
                <w:sz w:val="21"/>
              </w:rPr>
            </w:pPr>
            <w:r/>
          </w:p>
          <w:p>
            <w:pPr>
              <w:pStyle w:val="TableText"/>
              <w:ind w:left="469" w:right="148" w:hanging="311"/>
              <w:spacing w:before="65" w:line="280" w:lineRule="auto"/>
              <w:rPr>
                <w:sz w:val="20"/>
                <w:szCs w:val="20"/>
              </w:rPr>
            </w:pPr>
            <w:r>
              <w:rPr>
                <w:sz w:val="20"/>
                <w:szCs w:val="20"/>
                <w:spacing w:val="6"/>
              </w:rPr>
              <w:t>非甲烷总</w:t>
            </w:r>
            <w:r>
              <w:rPr>
                <w:sz w:val="20"/>
                <w:szCs w:val="20"/>
                <w:spacing w:val="1"/>
              </w:rPr>
              <w:t xml:space="preserve"> </w:t>
            </w:r>
            <w:r>
              <w:rPr>
                <w:sz w:val="20"/>
                <w:szCs w:val="20"/>
              </w:rPr>
              <w:t>烃</w:t>
            </w:r>
          </w:p>
        </w:tc>
        <w:tc>
          <w:tcPr>
            <w:tcW w:w="1438" w:type="dxa"/>
            <w:vAlign w:val="top"/>
            <w:vMerge w:val="restart"/>
            <w:tcBorders>
              <w:bottom w:val="nil"/>
            </w:tcBorders>
          </w:tcPr>
          <w:p>
            <w:pPr>
              <w:spacing w:line="316" w:lineRule="auto"/>
              <w:rPr>
                <w:rFonts w:ascii="Arial"/>
                <w:sz w:val="21"/>
              </w:rPr>
            </w:pPr>
            <w:r/>
          </w:p>
          <w:p>
            <w:pPr>
              <w:spacing w:line="316" w:lineRule="auto"/>
              <w:rPr>
                <w:rFonts w:ascii="Arial"/>
                <w:sz w:val="21"/>
              </w:rPr>
            </w:pPr>
            <w:r/>
          </w:p>
          <w:p>
            <w:pPr>
              <w:pStyle w:val="TableText"/>
              <w:ind w:left="624" w:right="106" w:hanging="494"/>
              <w:spacing w:before="65" w:line="280" w:lineRule="auto"/>
              <w:rPr>
                <w:sz w:val="20"/>
                <w:szCs w:val="20"/>
              </w:rPr>
            </w:pPr>
            <w:r>
              <w:rPr>
                <w:rFonts w:ascii="Times New Roman" w:hAnsi="Times New Roman" w:eastAsia="Times New Roman" w:cs="Times New Roman"/>
                <w:sz w:val="20"/>
                <w:szCs w:val="20"/>
                <w:spacing w:val="-8"/>
              </w:rPr>
              <w:t>1</w:t>
            </w:r>
            <w:r>
              <w:rPr>
                <w:sz w:val="20"/>
                <w:szCs w:val="20"/>
                <w:spacing w:val="-8"/>
              </w:rPr>
              <w:t>次</w:t>
            </w:r>
            <w:r>
              <w:rPr>
                <w:rFonts w:ascii="Times New Roman" w:hAnsi="Times New Roman" w:eastAsia="Times New Roman" w:cs="Times New Roman"/>
                <w:sz w:val="20"/>
                <w:szCs w:val="20"/>
                <w:spacing w:val="-8"/>
              </w:rPr>
              <w:t>/</w:t>
            </w:r>
            <w:r>
              <w:rPr>
                <w:sz w:val="20"/>
                <w:szCs w:val="20"/>
                <w:spacing w:val="-8"/>
              </w:rPr>
              <w:t>年，每次</w:t>
            </w: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3"/>
              </w:rPr>
              <w:t xml:space="preserve"> </w:t>
            </w:r>
            <w:r>
              <w:rPr>
                <w:sz w:val="20"/>
                <w:szCs w:val="20"/>
              </w:rPr>
              <w:t>天</w:t>
            </w:r>
          </w:p>
        </w:tc>
        <w:tc>
          <w:tcPr>
            <w:tcW w:w="3310" w:type="dxa"/>
            <w:vAlign w:val="top"/>
            <w:tcBorders>
              <w:right w:val="nil"/>
            </w:tcBorders>
          </w:tcPr>
          <w:p>
            <w:pPr>
              <w:pStyle w:val="TableText"/>
              <w:ind w:left="175" w:right="65" w:hanging="57"/>
              <w:spacing w:before="300" w:line="280" w:lineRule="auto"/>
              <w:rPr>
                <w:sz w:val="20"/>
                <w:szCs w:val="20"/>
              </w:rPr>
            </w:pPr>
            <w:r>
              <w:rPr>
                <w:sz w:val="20"/>
                <w:szCs w:val="20"/>
                <w:spacing w:val="8"/>
              </w:rPr>
              <w:t>《合成树脂工业污染物排放标准》</w:t>
            </w:r>
            <w:r>
              <w:rPr>
                <w:sz w:val="20"/>
                <w:szCs w:val="20"/>
                <w:spacing w:val="1"/>
              </w:rPr>
              <w:t xml:space="preserve"> </w:t>
            </w:r>
            <w:r>
              <w:rPr>
                <w:sz w:val="20"/>
                <w:szCs w:val="20"/>
                <w:spacing w:val="6"/>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31572-2015</w:t>
            </w:r>
            <w:r>
              <w:rPr>
                <w:sz w:val="20"/>
                <w:szCs w:val="20"/>
                <w:spacing w:val="6"/>
              </w:rPr>
              <w:t>）排放限值要求</w:t>
            </w:r>
          </w:p>
        </w:tc>
      </w:tr>
      <w:tr>
        <w:trPr>
          <w:trHeight w:val="813" w:hRule="atLeast"/>
        </w:trPr>
        <w:tc>
          <w:tcPr>
            <w:tcW w:w="814" w:type="dxa"/>
            <w:vAlign w:val="top"/>
            <w:vMerge w:val="continue"/>
            <w:tcBorders>
              <w:bottom w:val="single" w:color="000000" w:sz="10" w:space="0"/>
              <w:left w:val="nil"/>
              <w:top w:val="nil"/>
            </w:tcBorders>
          </w:tcPr>
          <w:p>
            <w:pPr>
              <w:rPr>
                <w:rFonts w:ascii="Arial"/>
                <w:sz w:val="21"/>
              </w:rPr>
            </w:pPr>
            <w:r/>
          </w:p>
        </w:tc>
        <w:tc>
          <w:tcPr>
            <w:tcW w:w="1816" w:type="dxa"/>
            <w:vAlign w:val="top"/>
            <w:tcBorders>
              <w:bottom w:val="single" w:color="000000" w:sz="10" w:space="0"/>
            </w:tcBorders>
          </w:tcPr>
          <w:p>
            <w:pPr>
              <w:pStyle w:val="TableText"/>
              <w:ind w:left="474" w:right="142" w:hanging="318"/>
              <w:spacing w:before="164" w:line="280" w:lineRule="auto"/>
              <w:rPr>
                <w:rFonts w:ascii="Times New Roman" w:hAnsi="Times New Roman" w:eastAsia="Times New Roman" w:cs="Times New Roman"/>
                <w:sz w:val="20"/>
                <w:szCs w:val="20"/>
              </w:rPr>
            </w:pPr>
            <w:r>
              <w:rPr>
                <w:sz w:val="20"/>
                <w:szCs w:val="20"/>
                <w:spacing w:val="7"/>
              </w:rPr>
              <w:t>下风向、厂房门</w:t>
            </w: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rPr>
              <w:t xml:space="preserve"> </w:t>
            </w:r>
            <w:r>
              <w:rPr>
                <w:sz w:val="20"/>
                <w:szCs w:val="20"/>
                <w:spacing w:val="4"/>
              </w:rPr>
              <w:t>窗口外</w:t>
            </w:r>
            <w:r>
              <w:rPr>
                <w:rFonts w:ascii="Times New Roman" w:hAnsi="Times New Roman" w:eastAsia="Times New Roman" w:cs="Times New Roman"/>
                <w:sz w:val="20"/>
                <w:szCs w:val="20"/>
                <w:spacing w:val="4"/>
              </w:rPr>
              <w:t>1m</w:t>
            </w:r>
          </w:p>
        </w:tc>
        <w:tc>
          <w:tcPr>
            <w:tcW w:w="1138" w:type="dxa"/>
            <w:vAlign w:val="top"/>
            <w:vMerge w:val="continue"/>
            <w:tcBorders>
              <w:bottom w:val="single" w:color="000000" w:sz="10" w:space="0"/>
              <w:top w:val="nil"/>
            </w:tcBorders>
          </w:tcPr>
          <w:p>
            <w:pPr>
              <w:rPr>
                <w:rFonts w:ascii="Arial"/>
                <w:sz w:val="21"/>
              </w:rPr>
            </w:pPr>
            <w:r/>
          </w:p>
        </w:tc>
        <w:tc>
          <w:tcPr>
            <w:tcW w:w="1438" w:type="dxa"/>
            <w:vAlign w:val="top"/>
            <w:vMerge w:val="continue"/>
            <w:tcBorders>
              <w:bottom w:val="single" w:color="000000" w:sz="10" w:space="0"/>
              <w:top w:val="nil"/>
            </w:tcBorders>
          </w:tcPr>
          <w:p>
            <w:pPr>
              <w:rPr>
                <w:rFonts w:ascii="Arial"/>
                <w:sz w:val="21"/>
              </w:rPr>
            </w:pPr>
            <w:r/>
          </w:p>
        </w:tc>
        <w:tc>
          <w:tcPr>
            <w:tcW w:w="3310" w:type="dxa"/>
            <w:vAlign w:val="top"/>
            <w:tcBorders>
              <w:bottom w:val="single" w:color="000000" w:sz="10" w:space="0"/>
              <w:right w:val="nil"/>
            </w:tcBorders>
          </w:tcPr>
          <w:p>
            <w:pPr>
              <w:pStyle w:val="TableText"/>
              <w:ind w:left="483" w:right="187" w:hanging="288"/>
              <w:spacing w:before="164" w:line="280" w:lineRule="auto"/>
              <w:rPr>
                <w:sz w:val="20"/>
                <w:szCs w:val="20"/>
              </w:rPr>
            </w:pPr>
            <w:r>
              <w:rPr>
                <w:sz w:val="20"/>
                <w:szCs w:val="20"/>
                <w:spacing w:val="8"/>
              </w:rPr>
              <w:t>《挥发性有机物无组织排放控制</w:t>
            </w:r>
            <w:r>
              <w:rPr>
                <w:sz w:val="20"/>
                <w:szCs w:val="20"/>
                <w:spacing w:val="11"/>
              </w:rPr>
              <w:t xml:space="preserve"> </w:t>
            </w:r>
            <w:r>
              <w:rPr>
                <w:sz w:val="20"/>
                <w:szCs w:val="20"/>
                <w:spacing w:val="6"/>
              </w:rPr>
              <w:t>标准》（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37822-2019</w:t>
            </w:r>
            <w:r>
              <w:rPr>
                <w:sz w:val="20"/>
                <w:szCs w:val="20"/>
                <w:spacing w:val="6"/>
              </w:rPr>
              <w:t>）</w:t>
            </w:r>
          </w:p>
        </w:tc>
      </w:tr>
    </w:tbl>
    <w:p>
      <w:pPr>
        <w:pStyle w:val="BodyText"/>
        <w:rPr/>
      </w:pPr>
      <w:r/>
    </w:p>
    <w:p>
      <w:pPr>
        <w:sectPr>
          <w:footerReference w:type="default" r:id="rId127"/>
          <w:pgSz w:w="11906" w:h="16839"/>
          <w:pgMar w:top="400" w:right="1695" w:bottom="1211" w:left="1693" w:header="0" w:footer="1049" w:gutter="0"/>
        </w:sectPr>
        <w:rPr/>
      </w:pPr>
    </w:p>
    <w:p>
      <w:pPr>
        <w:pStyle w:val="BodyText"/>
        <w:spacing w:line="245" w:lineRule="auto"/>
        <w:rPr/>
      </w:pPr>
      <w:r/>
    </w:p>
    <w:p>
      <w:pPr>
        <w:pStyle w:val="BodyText"/>
        <w:spacing w:line="245" w:lineRule="auto"/>
        <w:rPr/>
      </w:pPr>
      <w:r/>
    </w:p>
    <w:p>
      <w:pPr>
        <w:pStyle w:val="BodyText"/>
        <w:spacing w:line="246" w:lineRule="auto"/>
        <w:rPr/>
      </w:pPr>
      <w:r/>
    </w:p>
    <w:p>
      <w:pPr>
        <w:pStyle w:val="BodyText"/>
        <w:spacing w:line="246" w:lineRule="auto"/>
        <w:rPr/>
      </w:pPr>
      <w:r/>
    </w:p>
    <w:sdt>
      <w:sdtPr>
        <w:rPr>
          <w:rFonts w:ascii="SimSun" w:hAnsi="SimSun" w:eastAsia="SimSun" w:cs="SimSun"/>
          <w:sz w:val="31"/>
          <w:szCs w:val="31"/>
        </w:rPr>
        <w:docPartObj>
          <w:docPartGallery w:val="Table of Contents"/>
          <w:docPartUnique/>
        </w:docPartObj>
      </w:sdtPr>
      <w:sdtEndPr>
        <w:rPr>
          <w:rFonts w:ascii="Times New Roman" w:hAnsi="Times New Roman" w:eastAsia="Times New Roman" w:cs="Times New Roman"/>
          <w:sz w:val="24"/>
          <w:szCs w:val="24"/>
        </w:rPr>
      </w:sdtEndPr>
      <w:sdtContent>
        <w:p>
          <w:pPr>
            <w:ind w:left="3917"/>
            <w:spacing w:before="100" w:line="218" w:lineRule="auto"/>
            <w:rPr>
              <w:rFonts w:ascii="SimSun" w:hAnsi="SimSun" w:eastAsia="SimSun" w:cs="SimSun"/>
              <w:sz w:val="31"/>
              <w:szCs w:val="31"/>
            </w:rPr>
          </w:pPr>
          <w:r>
            <w:rPr>
              <w:rFonts w:ascii="SimSun" w:hAnsi="SimSun" w:eastAsia="SimSun" w:cs="SimSun"/>
              <w:sz w:val="31"/>
              <w:szCs w:val="31"/>
              <w14:textOutline w14:w="5793" w14:cap="sq" w14:cmpd="sng">
                <w14:solidFill>
                  <w14:srgbClr w14:val="000000"/>
                </w14:solidFill>
                <w14:prstDash w14:val="solid"/>
                <w14:bevel/>
              </w14:textOutline>
              <w:spacing w:val="-27"/>
            </w:rPr>
            <w:t>目录</w:t>
          </w:r>
        </w:p>
        <w:p>
          <w:pPr>
            <w:ind w:left="27"/>
            <w:spacing w:before="196" w:line="184" w:lineRule="auto"/>
            <w:tabs>
              <w:tab w:val="right" w:leader="dot" w:pos="8320"/>
            </w:tabs>
            <w:rPr>
              <w:rFonts w:ascii="Times New Roman" w:hAnsi="Times New Roman" w:eastAsia="Times New Roman" w:cs="Times New Roman"/>
              <w:sz w:val="24"/>
              <w:szCs w:val="24"/>
            </w:rPr>
          </w:pPr>
          <w:r>
            <w:rPr>
              <w:rFonts w:ascii="SimSun" w:hAnsi="SimSun" w:eastAsia="SimSun" w:cs="SimSun"/>
              <w:sz w:val="24"/>
              <w:szCs w:val="24"/>
              <w:spacing w:val="-2"/>
            </w:rPr>
            <w:t>一、建设项目基本情况</w:t>
          </w:r>
          <w:r>
            <w:rPr>
              <w:rFonts w:ascii="SimSun" w:hAnsi="SimSun" w:eastAsia="SimSun" w:cs="SimSun"/>
              <w:sz w:val="24"/>
              <w:szCs w:val="24"/>
            </w:rPr>
            <w:tab/>
          </w:r>
          <w:r>
            <w:rPr>
              <w:rFonts w:ascii="Times New Roman" w:hAnsi="Times New Roman" w:eastAsia="Times New Roman" w:cs="Times New Roman"/>
              <w:sz w:val="24"/>
              <w:szCs w:val="24"/>
              <w:spacing w:val="56"/>
              <w:w w:val="102"/>
            </w:rPr>
            <w:t>1</w:t>
          </w:r>
        </w:p>
        <w:p>
          <w:pPr>
            <w:ind w:left="27"/>
            <w:spacing w:before="259" w:line="184" w:lineRule="auto"/>
            <w:tabs>
              <w:tab w:val="right" w:leader="dot" w:pos="8320"/>
            </w:tabs>
            <w:rPr>
              <w:rFonts w:ascii="Times New Roman" w:hAnsi="Times New Roman" w:eastAsia="Times New Roman" w:cs="Times New Roman"/>
              <w:sz w:val="24"/>
              <w:szCs w:val="24"/>
            </w:rPr>
          </w:pPr>
          <w:r>
            <w:rPr>
              <w:rFonts w:ascii="SimSun" w:hAnsi="SimSun" w:eastAsia="SimSun" w:cs="SimSun"/>
              <w:sz w:val="24"/>
              <w:szCs w:val="24"/>
              <w:spacing w:val="-2"/>
            </w:rPr>
            <w:t>二、建设项目工程分析</w:t>
          </w:r>
          <w:r>
            <w:rPr>
              <w:rFonts w:ascii="SimSun" w:hAnsi="SimSun" w:eastAsia="SimSun" w:cs="SimSun"/>
              <w:sz w:val="24"/>
              <w:szCs w:val="24"/>
            </w:rPr>
            <w:tab/>
          </w:r>
          <w:r>
            <w:rPr>
              <w:rFonts w:ascii="Times New Roman" w:hAnsi="Times New Roman" w:eastAsia="Times New Roman" w:cs="Times New Roman"/>
              <w:sz w:val="24"/>
              <w:szCs w:val="24"/>
              <w:spacing w:val="29"/>
            </w:rPr>
            <w:t>18</w:t>
          </w:r>
        </w:p>
        <w:p>
          <w:pPr>
            <w:ind w:left="23"/>
            <w:spacing w:before="260" w:line="184" w:lineRule="auto"/>
            <w:tabs>
              <w:tab w:val="right" w:leader="dot" w:pos="8320"/>
            </w:tabs>
            <w:rPr>
              <w:rFonts w:ascii="Times New Roman" w:hAnsi="Times New Roman" w:eastAsia="Times New Roman" w:cs="Times New Roman"/>
              <w:sz w:val="24"/>
              <w:szCs w:val="24"/>
            </w:rPr>
          </w:pPr>
          <w:r>
            <w:rPr>
              <w:rFonts w:ascii="SimSun" w:hAnsi="SimSun" w:eastAsia="SimSun" w:cs="SimSun"/>
              <w:sz w:val="24"/>
              <w:szCs w:val="24"/>
              <w:spacing w:val="-1"/>
            </w:rPr>
            <w:t>三、 区域环境质量现状、环境保护目标及评价标准</w:t>
          </w:r>
          <w:r>
            <w:rPr>
              <w:rFonts w:ascii="SimSun" w:hAnsi="SimSun" w:eastAsia="SimSun" w:cs="SimSun"/>
              <w:sz w:val="24"/>
              <w:szCs w:val="24"/>
            </w:rPr>
            <w:tab/>
          </w:r>
          <w:r>
            <w:rPr>
              <w:rFonts w:ascii="Times New Roman" w:hAnsi="Times New Roman" w:eastAsia="Times New Roman" w:cs="Times New Roman"/>
              <w:sz w:val="24"/>
              <w:szCs w:val="24"/>
              <w:spacing w:val="29"/>
            </w:rPr>
            <w:t>33</w:t>
          </w:r>
        </w:p>
        <w:p>
          <w:pPr>
            <w:ind w:left="46"/>
            <w:spacing w:before="262" w:line="184" w:lineRule="auto"/>
            <w:tabs>
              <w:tab w:val="right" w:leader="dot" w:pos="8320"/>
            </w:tabs>
            <w:rPr>
              <w:rFonts w:ascii="Times New Roman" w:hAnsi="Times New Roman" w:eastAsia="Times New Roman" w:cs="Times New Roman"/>
              <w:sz w:val="24"/>
              <w:szCs w:val="24"/>
            </w:rPr>
          </w:pPr>
          <w:r>
            <w:rPr>
              <w:rFonts w:ascii="SimSun" w:hAnsi="SimSun" w:eastAsia="SimSun" w:cs="SimSun"/>
              <w:sz w:val="24"/>
              <w:szCs w:val="24"/>
              <w:spacing w:val="-3"/>
            </w:rPr>
            <w:t>四、主要环境影响和保护措施</w:t>
          </w:r>
          <w:r>
            <w:rPr>
              <w:rFonts w:ascii="SimSun" w:hAnsi="SimSun" w:eastAsia="SimSun" w:cs="SimSun"/>
              <w:sz w:val="24"/>
              <w:szCs w:val="24"/>
            </w:rPr>
            <w:tab/>
          </w:r>
          <w:r>
            <w:rPr>
              <w:rFonts w:ascii="Times New Roman" w:hAnsi="Times New Roman" w:eastAsia="Times New Roman" w:cs="Times New Roman"/>
              <w:sz w:val="24"/>
              <w:szCs w:val="24"/>
              <w:spacing w:val="29"/>
            </w:rPr>
            <w:t>37</w:t>
          </w:r>
        </w:p>
        <w:p>
          <w:pPr>
            <w:ind w:left="27"/>
            <w:spacing w:before="260" w:line="184" w:lineRule="auto"/>
            <w:tabs>
              <w:tab w:val="right" w:leader="dot" w:pos="8320"/>
            </w:tabs>
            <w:rPr>
              <w:rFonts w:ascii="Times New Roman" w:hAnsi="Times New Roman" w:eastAsia="Times New Roman" w:cs="Times New Roman"/>
              <w:sz w:val="24"/>
              <w:szCs w:val="24"/>
            </w:rPr>
          </w:pPr>
          <w:r>
            <w:rPr>
              <w:rFonts w:ascii="SimSun" w:hAnsi="SimSun" w:eastAsia="SimSun" w:cs="SimSun"/>
              <w:sz w:val="24"/>
              <w:szCs w:val="24"/>
              <w:spacing w:val="-1"/>
            </w:rPr>
            <w:t>五、环境保护措施监督检查清单</w:t>
          </w:r>
          <w:r>
            <w:rPr>
              <w:rFonts w:ascii="SimSun" w:hAnsi="SimSun" w:eastAsia="SimSun" w:cs="SimSun"/>
              <w:sz w:val="24"/>
              <w:szCs w:val="24"/>
            </w:rPr>
            <w:tab/>
          </w:r>
          <w:r>
            <w:rPr>
              <w:rFonts w:ascii="Times New Roman" w:hAnsi="Times New Roman" w:eastAsia="Times New Roman" w:cs="Times New Roman"/>
              <w:sz w:val="24"/>
              <w:szCs w:val="24"/>
              <w:spacing w:val="29"/>
            </w:rPr>
            <w:t>65</w:t>
          </w:r>
        </w:p>
        <w:p>
          <w:pPr>
            <w:ind w:left="25"/>
            <w:spacing w:before="260" w:line="184" w:lineRule="auto"/>
            <w:tabs>
              <w:tab w:val="right" w:leader="dot" w:pos="8320"/>
            </w:tabs>
            <w:rPr>
              <w:rFonts w:ascii="Times New Roman" w:hAnsi="Times New Roman" w:eastAsia="Times New Roman" w:cs="Times New Roman"/>
              <w:sz w:val="24"/>
              <w:szCs w:val="24"/>
            </w:rPr>
          </w:pPr>
          <w:r>
            <w:rPr>
              <w:rFonts w:ascii="SimSun" w:hAnsi="SimSun" w:eastAsia="SimSun" w:cs="SimSun"/>
              <w:sz w:val="24"/>
              <w:szCs w:val="24"/>
              <w:spacing w:val="-3"/>
            </w:rPr>
            <w:t>六、结论</w:t>
          </w:r>
          <w:r>
            <w:rPr>
              <w:rFonts w:ascii="SimSun" w:hAnsi="SimSun" w:eastAsia="SimSun" w:cs="SimSun"/>
              <w:sz w:val="24"/>
              <w:szCs w:val="24"/>
            </w:rPr>
            <w:tab/>
          </w:r>
          <w:r>
            <w:rPr>
              <w:rFonts w:ascii="Times New Roman" w:hAnsi="Times New Roman" w:eastAsia="Times New Roman" w:cs="Times New Roman"/>
              <w:sz w:val="24"/>
              <w:szCs w:val="24"/>
              <w:spacing w:val="29"/>
            </w:rPr>
            <w:t>69</w:t>
          </w:r>
        </w:p>
        <w:p>
          <w:pPr>
            <w:ind w:left="42"/>
            <w:spacing w:before="262" w:line="219" w:lineRule="auto"/>
            <w:tabs>
              <w:tab w:val="right" w:leader="dot" w:pos="8320"/>
            </w:tabs>
            <w:rPr>
              <w:rFonts w:ascii="Times New Roman" w:hAnsi="Times New Roman" w:eastAsia="Times New Roman" w:cs="Times New Roman"/>
              <w:sz w:val="24"/>
              <w:szCs w:val="24"/>
            </w:rPr>
          </w:pPr>
          <w:r>
            <w:rPr>
              <w:rFonts w:ascii="SimSun" w:hAnsi="SimSun" w:eastAsia="SimSun" w:cs="SimSun"/>
              <w:sz w:val="24"/>
              <w:szCs w:val="24"/>
              <w:spacing w:val="-15"/>
            </w:rPr>
            <w:t>附表</w:t>
          </w:r>
          <w:r>
            <w:rPr>
              <w:rFonts w:ascii="SimSun" w:hAnsi="SimSun" w:eastAsia="SimSun" w:cs="SimSun"/>
              <w:sz w:val="24"/>
              <w:szCs w:val="24"/>
            </w:rPr>
            <w:tab/>
          </w:r>
          <w:r>
            <w:rPr>
              <w:rFonts w:ascii="Times New Roman" w:hAnsi="Times New Roman" w:eastAsia="Times New Roman" w:cs="Times New Roman"/>
              <w:sz w:val="24"/>
              <w:szCs w:val="24"/>
              <w:spacing w:val="29"/>
            </w:rPr>
            <w:t>70</w:t>
          </w:r>
        </w:p>
      </w:sdtContent>
    </w:sdt>
    <w:p>
      <w:pPr>
        <w:spacing w:line="219" w:lineRule="auto"/>
        <w:sectPr>
          <w:footerReference w:type="default" r:id="rId16"/>
          <w:pgSz w:w="11906" w:h="16839"/>
          <w:pgMar w:top="400" w:right="1785" w:bottom="400" w:left="1785" w:header="0" w:footer="0" w:gutter="0"/>
        </w:sectPr>
        <w:rPr>
          <w:rFonts w:ascii="Times New Roman" w:hAnsi="Times New Roman" w:eastAsia="Times New Roman" w:cs="Times New Roman"/>
          <w:sz w:val="24"/>
          <w:szCs w:val="24"/>
        </w:rPr>
      </w:pPr>
    </w:p>
    <w:p>
      <w:pPr>
        <w:pStyle w:val="BodyText"/>
        <w:spacing w:line="287" w:lineRule="auto"/>
        <w:rPr/>
      </w:pPr>
      <w:r/>
    </w:p>
    <w:p>
      <w:pPr>
        <w:pStyle w:val="BodyText"/>
        <w:spacing w:line="287" w:lineRule="auto"/>
        <w:rPr/>
      </w:pPr>
      <w:r/>
    </w:p>
    <w:p>
      <w:pPr>
        <w:pStyle w:val="BodyText"/>
        <w:spacing w:line="288" w:lineRule="auto"/>
        <w:rPr/>
      </w:pPr>
      <w:r/>
    </w:p>
    <w:p>
      <w:pPr>
        <w:pStyle w:val="BodyText"/>
        <w:spacing w:line="288" w:lineRule="auto"/>
        <w:rPr/>
      </w:pPr>
      <w:r/>
    </w:p>
    <w:p>
      <w:pPr>
        <w:ind w:left="2876"/>
        <w:spacing w:before="91" w:line="219" w:lineRule="auto"/>
        <w:outlineLvl w:val="0"/>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一、建设项目基本情况</w:t>
      </w:r>
    </w:p>
    <w:p>
      <w:pPr>
        <w:spacing w:line="19" w:lineRule="exact"/>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32"/>
        <w:gridCol w:w="1797"/>
        <w:gridCol w:w="1898"/>
        <w:gridCol w:w="3099"/>
      </w:tblGrid>
      <w:tr>
        <w:trPr>
          <w:trHeight w:val="415" w:hRule="atLeast"/>
        </w:trPr>
        <w:tc>
          <w:tcPr>
            <w:tcW w:w="1732" w:type="dxa"/>
            <w:vAlign w:val="top"/>
          </w:tcPr>
          <w:p>
            <w:pPr>
              <w:pStyle w:val="TableText"/>
              <w:ind w:left="156"/>
              <w:spacing w:before="120" w:line="219" w:lineRule="auto"/>
              <w:rPr/>
            </w:pPr>
            <w:r>
              <w:rPr>
                <w:spacing w:val="-3"/>
              </w:rPr>
              <w:t>建设项目名称</w:t>
            </w:r>
          </w:p>
        </w:tc>
        <w:tc>
          <w:tcPr>
            <w:tcW w:w="6794" w:type="dxa"/>
            <w:vAlign w:val="top"/>
            <w:gridSpan w:val="3"/>
          </w:tcPr>
          <w:p>
            <w:pPr>
              <w:pStyle w:val="TableText"/>
              <w:ind w:left="1134"/>
              <w:spacing w:before="120" w:line="219" w:lineRule="auto"/>
              <w:rPr/>
            </w:pPr>
            <w:r>
              <w:rPr>
                <w:spacing w:val="-2"/>
              </w:rPr>
              <w:t>呼图壁县丰收塑料制品厂农用地膜加工项目</w:t>
            </w:r>
          </w:p>
        </w:tc>
      </w:tr>
      <w:tr>
        <w:trPr>
          <w:trHeight w:val="505" w:hRule="atLeast"/>
        </w:trPr>
        <w:tc>
          <w:tcPr>
            <w:tcW w:w="1732" w:type="dxa"/>
            <w:vAlign w:val="top"/>
          </w:tcPr>
          <w:p>
            <w:pPr>
              <w:pStyle w:val="TableText"/>
              <w:ind w:left="397"/>
              <w:spacing w:before="195" w:line="219" w:lineRule="auto"/>
              <w:rPr/>
            </w:pPr>
            <w:r>
              <w:rPr>
                <w:spacing w:val="-4"/>
              </w:rPr>
              <w:t>项目代码</w:t>
            </w:r>
          </w:p>
        </w:tc>
        <w:tc>
          <w:tcPr>
            <w:tcW w:w="6794" w:type="dxa"/>
            <w:vAlign w:val="top"/>
            <w:gridSpan w:val="3"/>
          </w:tcPr>
          <w:p>
            <w:pPr>
              <w:pStyle w:val="TableText"/>
              <w:ind w:left="3340"/>
              <w:spacing w:before="195" w:line="224" w:lineRule="auto"/>
              <w:rPr/>
            </w:pPr>
            <w:r>
              <w:rPr/>
              <w:t>/</w:t>
            </w:r>
          </w:p>
        </w:tc>
      </w:tr>
      <w:tr>
        <w:trPr>
          <w:trHeight w:val="505" w:hRule="atLeast"/>
        </w:trPr>
        <w:tc>
          <w:tcPr>
            <w:tcW w:w="1732" w:type="dxa"/>
            <w:vAlign w:val="top"/>
          </w:tcPr>
          <w:p>
            <w:pPr>
              <w:pStyle w:val="TableText"/>
              <w:ind w:left="156"/>
              <w:spacing w:before="195" w:line="220" w:lineRule="auto"/>
              <w:rPr/>
            </w:pPr>
            <w:r>
              <w:rPr>
                <w:spacing w:val="-3"/>
              </w:rPr>
              <w:t>建设单位联系</w:t>
            </w:r>
          </w:p>
        </w:tc>
        <w:tc>
          <w:tcPr>
            <w:tcW w:w="1797" w:type="dxa"/>
            <w:vAlign w:val="top"/>
          </w:tcPr>
          <w:p>
            <w:pPr>
              <w:pStyle w:val="TableText"/>
              <w:ind w:left="547"/>
              <w:spacing w:before="196" w:line="219" w:lineRule="auto"/>
              <w:rPr/>
            </w:pPr>
            <w:r>
              <w:rPr>
                <w:spacing w:val="-4"/>
              </w:rPr>
              <w:t>杨兴德</w:t>
            </w:r>
          </w:p>
        </w:tc>
        <w:tc>
          <w:tcPr>
            <w:tcW w:w="1898" w:type="dxa"/>
            <w:vAlign w:val="top"/>
          </w:tcPr>
          <w:p>
            <w:pPr>
              <w:pStyle w:val="TableText"/>
              <w:ind w:left="477"/>
              <w:spacing w:before="195" w:line="221" w:lineRule="auto"/>
              <w:rPr/>
            </w:pPr>
            <w:r>
              <w:rPr>
                <w:spacing w:val="-3"/>
              </w:rPr>
              <w:t>联系方式</w:t>
            </w:r>
          </w:p>
        </w:tc>
        <w:tc>
          <w:tcPr>
            <w:tcW w:w="3099" w:type="dxa"/>
            <w:vAlign w:val="top"/>
          </w:tcPr>
          <w:p>
            <w:pPr>
              <w:pStyle w:val="TableText"/>
              <w:ind w:left="914"/>
              <w:spacing w:before="196" w:line="230" w:lineRule="auto"/>
              <w:rPr/>
            </w:pPr>
            <w:r>
              <w:rPr>
                <w:spacing w:val="-3"/>
              </w:rPr>
              <w:t>181****6588</w:t>
            </w:r>
          </w:p>
        </w:tc>
      </w:tr>
      <w:tr>
        <w:trPr>
          <w:trHeight w:val="505" w:hRule="atLeast"/>
        </w:trPr>
        <w:tc>
          <w:tcPr>
            <w:tcW w:w="1732" w:type="dxa"/>
            <w:vAlign w:val="top"/>
          </w:tcPr>
          <w:p>
            <w:pPr>
              <w:pStyle w:val="TableText"/>
              <w:ind w:left="396"/>
              <w:spacing w:before="194" w:line="221" w:lineRule="auto"/>
              <w:rPr/>
            </w:pPr>
            <w:r>
              <w:rPr>
                <w:spacing w:val="-4"/>
              </w:rPr>
              <w:t>建设地点</w:t>
            </w:r>
          </w:p>
        </w:tc>
        <w:tc>
          <w:tcPr>
            <w:tcW w:w="6794" w:type="dxa"/>
            <w:vAlign w:val="top"/>
            <w:gridSpan w:val="3"/>
          </w:tcPr>
          <w:p>
            <w:pPr>
              <w:pStyle w:val="TableText"/>
              <w:ind w:left="162"/>
              <w:spacing w:before="194" w:line="219" w:lineRule="auto"/>
              <w:rPr/>
            </w:pPr>
            <w:r>
              <w:rPr>
                <w:u w:val="single" w:color="auto"/>
                <w:spacing w:val="-1"/>
              </w:rPr>
              <w:t>新疆维吾尔自治区昌吉回族自治州呼图壁县种牛场良种队以东</w:t>
            </w:r>
          </w:p>
        </w:tc>
      </w:tr>
      <w:tr>
        <w:trPr>
          <w:trHeight w:val="505" w:hRule="atLeast"/>
        </w:trPr>
        <w:tc>
          <w:tcPr>
            <w:tcW w:w="1732" w:type="dxa"/>
            <w:vAlign w:val="top"/>
          </w:tcPr>
          <w:p>
            <w:pPr>
              <w:pStyle w:val="TableText"/>
              <w:ind w:left="393"/>
              <w:spacing w:before="195" w:line="220" w:lineRule="auto"/>
              <w:rPr/>
            </w:pPr>
            <w:r>
              <w:rPr>
                <w:spacing w:val="-3"/>
              </w:rPr>
              <w:t>地理坐标</w:t>
            </w:r>
          </w:p>
        </w:tc>
        <w:tc>
          <w:tcPr>
            <w:tcW w:w="6794" w:type="dxa"/>
            <w:vAlign w:val="top"/>
            <w:gridSpan w:val="3"/>
          </w:tcPr>
          <w:p>
            <w:pPr>
              <w:pStyle w:val="TableText"/>
              <w:ind w:left="652"/>
              <w:spacing w:before="195" w:line="220" w:lineRule="auto"/>
              <w:rPr/>
            </w:pPr>
            <w:r>
              <w:rPr>
                <w:spacing w:val="-1"/>
              </w:rPr>
              <w:t>（经度</w:t>
            </w:r>
            <w:r>
              <w:rPr>
                <w:u w:val="single" w:color="auto"/>
                <w:spacing w:val="-1"/>
              </w:rPr>
              <w:t>86</w:t>
            </w:r>
            <w:r>
              <w:rPr>
                <w:spacing w:val="-1"/>
              </w:rPr>
              <w:t>度</w:t>
            </w:r>
            <w:r>
              <w:rPr>
                <w:u w:val="single" w:color="auto"/>
                <w:spacing w:val="-1"/>
              </w:rPr>
              <w:t>56</w:t>
            </w:r>
            <w:r>
              <w:rPr>
                <w:spacing w:val="-1"/>
              </w:rPr>
              <w:t>分</w:t>
            </w:r>
            <w:r>
              <w:rPr>
                <w:u w:val="single" w:color="auto"/>
                <w:spacing w:val="-1"/>
              </w:rPr>
              <w:t>40.065</w:t>
            </w:r>
            <w:r>
              <w:rPr>
                <w:spacing w:val="-1"/>
              </w:rPr>
              <w:t>秒，纬度44度</w:t>
            </w:r>
            <w:r>
              <w:rPr>
                <w:u w:val="single" w:color="auto"/>
                <w:spacing w:val="-1"/>
              </w:rPr>
              <w:t>11</w:t>
            </w:r>
            <w:r>
              <w:rPr>
                <w:spacing w:val="-1"/>
              </w:rPr>
              <w:t>分</w:t>
            </w:r>
            <w:r>
              <w:rPr>
                <w:u w:val="single" w:color="auto"/>
                <w:spacing w:val="-1"/>
              </w:rPr>
              <w:t>48.725</w:t>
            </w:r>
            <w:r>
              <w:rPr>
                <w:spacing w:val="-1"/>
              </w:rPr>
              <w:t>秒）</w:t>
            </w:r>
          </w:p>
        </w:tc>
      </w:tr>
      <w:tr>
        <w:trPr>
          <w:trHeight w:val="1444" w:hRule="atLeast"/>
        </w:trPr>
        <w:tc>
          <w:tcPr>
            <w:tcW w:w="1732" w:type="dxa"/>
            <w:vAlign w:val="top"/>
          </w:tcPr>
          <w:p>
            <w:pPr>
              <w:spacing w:line="361" w:lineRule="auto"/>
              <w:rPr>
                <w:rFonts w:ascii="Arial"/>
                <w:sz w:val="21"/>
              </w:rPr>
            </w:pPr>
            <w:r/>
          </w:p>
          <w:p>
            <w:pPr>
              <w:pStyle w:val="TableText"/>
              <w:ind w:left="632" w:right="143" w:hanging="456"/>
              <w:spacing w:before="78" w:line="248" w:lineRule="auto"/>
              <w:rPr/>
            </w:pPr>
            <w:r>
              <w:rPr>
                <w:spacing w:val="-6"/>
              </w:rPr>
              <w:t>国民经济行业</w:t>
            </w:r>
            <w:r>
              <w:rPr>
                <w:spacing w:val="2"/>
              </w:rPr>
              <w:t xml:space="preserve"> </w:t>
            </w:r>
            <w:r>
              <w:rPr>
                <w:spacing w:val="-5"/>
              </w:rPr>
              <w:t>类别</w:t>
            </w:r>
          </w:p>
        </w:tc>
        <w:tc>
          <w:tcPr>
            <w:tcW w:w="1797" w:type="dxa"/>
            <w:vAlign w:val="top"/>
          </w:tcPr>
          <w:p>
            <w:pPr>
              <w:spacing w:line="362" w:lineRule="auto"/>
              <w:rPr>
                <w:rFonts w:ascii="Arial"/>
                <w:sz w:val="21"/>
              </w:rPr>
            </w:pPr>
            <w:r/>
          </w:p>
          <w:p>
            <w:pPr>
              <w:pStyle w:val="TableText"/>
              <w:ind w:left="543" w:right="176" w:hanging="360"/>
              <w:spacing w:before="78" w:line="248" w:lineRule="auto"/>
              <w:rPr/>
            </w:pPr>
            <w:r>
              <w:rPr>
                <w:spacing w:val="-3"/>
              </w:rPr>
              <w:t>C2921</w:t>
            </w:r>
            <w:r>
              <w:rPr>
                <w:spacing w:val="15"/>
              </w:rPr>
              <w:t xml:space="preserve"> </w:t>
            </w:r>
            <w:r>
              <w:rPr>
                <w:spacing w:val="-3"/>
              </w:rPr>
              <w:t>塑料薄</w:t>
            </w:r>
            <w:r>
              <w:rPr/>
              <w:t xml:space="preserve"> </w:t>
            </w:r>
            <w:r>
              <w:rPr>
                <w:spacing w:val="-3"/>
              </w:rPr>
              <w:t>膜制造</w:t>
            </w:r>
          </w:p>
        </w:tc>
        <w:tc>
          <w:tcPr>
            <w:tcW w:w="1898" w:type="dxa"/>
            <w:vAlign w:val="top"/>
          </w:tcPr>
          <w:p>
            <w:pPr>
              <w:spacing w:line="362" w:lineRule="auto"/>
              <w:rPr>
                <w:rFonts w:ascii="Arial"/>
                <w:sz w:val="21"/>
              </w:rPr>
            </w:pPr>
            <w:r/>
          </w:p>
          <w:p>
            <w:pPr>
              <w:pStyle w:val="TableText"/>
              <w:ind w:left="839" w:right="106" w:hanging="720"/>
              <w:spacing w:before="78" w:line="248" w:lineRule="auto"/>
              <w:rPr/>
            </w:pPr>
            <w:r>
              <w:rPr>
                <w:spacing w:val="-2"/>
              </w:rPr>
              <w:t>建设项目行业类</w:t>
            </w:r>
            <w:r>
              <w:rPr/>
              <w:t xml:space="preserve"> </w:t>
            </w:r>
            <w:r>
              <w:rPr/>
              <w:t>别</w:t>
            </w:r>
          </w:p>
        </w:tc>
        <w:tc>
          <w:tcPr>
            <w:tcW w:w="3099" w:type="dxa"/>
            <w:vAlign w:val="top"/>
          </w:tcPr>
          <w:p>
            <w:pPr>
              <w:pStyle w:val="TableText"/>
              <w:ind w:left="116" w:right="106" w:firstLine="3"/>
              <w:spacing w:before="82" w:line="260" w:lineRule="auto"/>
              <w:rPr/>
            </w:pPr>
            <w:r>
              <w:rPr>
                <w:spacing w:val="-2"/>
              </w:rPr>
              <w:t>二十六、橡胶和塑料制品业</w:t>
            </w:r>
            <w:r>
              <w:rPr>
                <w:spacing w:val="9"/>
              </w:rPr>
              <w:t xml:space="preserve"> </w:t>
            </w:r>
            <w:r>
              <w:rPr>
                <w:spacing w:val="-1"/>
              </w:rPr>
              <w:t>29，53、塑料制品业 292，</w:t>
            </w:r>
            <w:r>
              <w:rPr>
                <w:spacing w:val="5"/>
              </w:rPr>
              <w:t xml:space="preserve"> </w:t>
            </w:r>
            <w:r>
              <w:rPr>
                <w:spacing w:val="-1"/>
              </w:rPr>
              <w:t>其他（年用非溶剂型低VOCs</w:t>
            </w:r>
            <w:r>
              <w:rPr>
                <w:spacing w:val="3"/>
              </w:rPr>
              <w:t xml:space="preserve"> </w:t>
            </w:r>
            <w:r>
              <w:rPr>
                <w:spacing w:val="-1"/>
              </w:rPr>
              <w:t>含量涂料10吨以下的除外）</w:t>
            </w:r>
          </w:p>
        </w:tc>
      </w:tr>
      <w:tr>
        <w:trPr>
          <w:trHeight w:val="1444" w:hRule="atLeast"/>
        </w:trPr>
        <w:tc>
          <w:tcPr>
            <w:tcW w:w="1732" w:type="dxa"/>
            <w:vAlign w:val="top"/>
          </w:tcPr>
          <w:p>
            <w:pPr>
              <w:spacing w:line="271" w:lineRule="auto"/>
              <w:rPr>
                <w:rFonts w:ascii="Arial"/>
                <w:sz w:val="21"/>
              </w:rPr>
            </w:pPr>
            <w:r/>
          </w:p>
          <w:p>
            <w:pPr>
              <w:spacing w:line="272" w:lineRule="auto"/>
              <w:rPr>
                <w:rFonts w:ascii="Arial"/>
                <w:sz w:val="21"/>
              </w:rPr>
            </w:pPr>
            <w:r/>
          </w:p>
          <w:p>
            <w:pPr>
              <w:pStyle w:val="TableText"/>
              <w:ind w:left="396"/>
              <w:spacing w:before="78" w:line="220" w:lineRule="auto"/>
              <w:rPr/>
            </w:pPr>
            <w:r>
              <w:rPr>
                <w:spacing w:val="-4"/>
              </w:rPr>
              <w:t>建设性质</w:t>
            </w:r>
          </w:p>
        </w:tc>
        <w:tc>
          <w:tcPr>
            <w:tcW w:w="1797" w:type="dxa"/>
            <w:vAlign w:val="top"/>
          </w:tcPr>
          <w:p>
            <w:pPr>
              <w:pStyle w:val="TableText"/>
              <w:ind w:left="123"/>
              <w:spacing w:before="84" w:line="360" w:lineRule="exact"/>
              <w:rPr/>
            </w:pPr>
            <w:r>
              <w:rPr>
                <w:position w:val="3"/>
              </w:rPr>
              <w:drawing>
                <wp:inline distT="0" distB="0" distL="0" distR="0">
                  <wp:extent cx="110185" cy="160477"/>
                  <wp:effectExtent l="0" t="0" r="0" b="0"/>
                  <wp:docPr id="116" name="IM 116"/>
                  <wp:cNvGraphicFramePr/>
                  <a:graphic>
                    <a:graphicData uri="http://schemas.openxmlformats.org/drawingml/2006/picture">
                      <pic:pic>
                        <pic:nvPicPr>
                          <pic:cNvPr id="116" name="IM 116"/>
                          <pic:cNvPicPr/>
                        </pic:nvPicPr>
                        <pic:blipFill>
                          <a:blip r:embed="rId129"/>
                          <a:stretch>
                            <a:fillRect/>
                          </a:stretch>
                        </pic:blipFill>
                        <pic:spPr>
                          <a:xfrm rot="0">
                            <a:off x="0" y="0"/>
                            <a:ext cx="110185" cy="160477"/>
                          </a:xfrm>
                          <a:prstGeom prst="rect">
                            <a:avLst/>
                          </a:prstGeom>
                        </pic:spPr>
                      </pic:pic>
                    </a:graphicData>
                  </a:graphic>
                </wp:inline>
              </w:drawing>
            </w:r>
            <w:r>
              <w:rPr>
                <w:spacing w:val="9"/>
                <w:position w:val="7"/>
              </w:rPr>
              <w:t>新建</w:t>
            </w:r>
          </w:p>
          <w:p>
            <w:pPr>
              <w:pStyle w:val="TableText"/>
              <w:ind w:left="123"/>
              <w:spacing w:line="218" w:lineRule="auto"/>
              <w:rPr/>
            </w:pPr>
            <w:r>
              <w:rPr>
                <w:position w:val="-4"/>
              </w:rPr>
              <w:drawing>
                <wp:inline distT="0" distB="0" distL="0" distR="0">
                  <wp:extent cx="110185" cy="160477"/>
                  <wp:effectExtent l="0" t="0" r="0" b="0"/>
                  <wp:docPr id="118" name="IM 118"/>
                  <wp:cNvGraphicFramePr/>
                  <a:graphic>
                    <a:graphicData uri="http://schemas.openxmlformats.org/drawingml/2006/picture">
                      <pic:pic>
                        <pic:nvPicPr>
                          <pic:cNvPr id="118" name="IM 118"/>
                          <pic:cNvPicPr/>
                        </pic:nvPicPr>
                        <pic:blipFill>
                          <a:blip r:embed="rId130"/>
                          <a:stretch>
                            <a:fillRect/>
                          </a:stretch>
                        </pic:blipFill>
                        <pic:spPr>
                          <a:xfrm rot="0">
                            <a:off x="0" y="0"/>
                            <a:ext cx="110185" cy="160477"/>
                          </a:xfrm>
                          <a:prstGeom prst="rect">
                            <a:avLst/>
                          </a:prstGeom>
                        </pic:spPr>
                      </pic:pic>
                    </a:graphicData>
                  </a:graphic>
                </wp:inline>
              </w:drawing>
            </w:r>
            <w:r>
              <w:rPr>
                <w:spacing w:val="9"/>
              </w:rPr>
              <w:t>改建</w:t>
            </w:r>
          </w:p>
          <w:p>
            <w:pPr>
              <w:pStyle w:val="TableText"/>
              <w:ind w:left="123"/>
              <w:spacing w:before="76" w:line="190" w:lineRule="auto"/>
              <w:rPr/>
            </w:pPr>
            <w:r>
              <w:rPr>
                <w:rFonts w:ascii="Microsoft YaHei" w:hAnsi="Microsoft YaHei" w:eastAsia="Microsoft YaHei" w:cs="Microsoft YaHei"/>
                <w:spacing w:val="-16"/>
              </w:rPr>
              <w:t>区</w:t>
            </w:r>
            <w:r>
              <w:rPr>
                <w:spacing w:val="-16"/>
              </w:rPr>
              <w:t>扩建</w:t>
            </w:r>
          </w:p>
          <w:p>
            <w:pPr>
              <w:pStyle w:val="TableText"/>
              <w:ind w:left="123"/>
              <w:spacing w:before="33" w:line="207" w:lineRule="auto"/>
              <w:rPr/>
            </w:pPr>
            <w:r>
              <w:rPr>
                <w:position w:val="-4"/>
              </w:rPr>
              <w:drawing>
                <wp:inline distT="0" distB="0" distL="0" distR="0">
                  <wp:extent cx="110185" cy="160477"/>
                  <wp:effectExtent l="0" t="0" r="0" b="0"/>
                  <wp:docPr id="120" name="IM 120"/>
                  <wp:cNvGraphicFramePr/>
                  <a:graphic>
                    <a:graphicData uri="http://schemas.openxmlformats.org/drawingml/2006/picture">
                      <pic:pic>
                        <pic:nvPicPr>
                          <pic:cNvPr id="120" name="IM 120"/>
                          <pic:cNvPicPr/>
                        </pic:nvPicPr>
                        <pic:blipFill>
                          <a:blip r:embed="rId131"/>
                          <a:stretch>
                            <a:fillRect/>
                          </a:stretch>
                        </pic:blipFill>
                        <pic:spPr>
                          <a:xfrm rot="0">
                            <a:off x="0" y="0"/>
                            <a:ext cx="110185" cy="160477"/>
                          </a:xfrm>
                          <a:prstGeom prst="rect">
                            <a:avLst/>
                          </a:prstGeom>
                        </pic:spPr>
                      </pic:pic>
                    </a:graphicData>
                  </a:graphic>
                </wp:inline>
              </w:drawing>
            </w:r>
            <w:r>
              <w:rPr>
                <w:spacing w:val="4"/>
              </w:rPr>
              <w:t>技术改造</w:t>
            </w:r>
          </w:p>
        </w:tc>
        <w:tc>
          <w:tcPr>
            <w:tcW w:w="1898" w:type="dxa"/>
            <w:vAlign w:val="top"/>
          </w:tcPr>
          <w:p>
            <w:pPr>
              <w:spacing w:line="365" w:lineRule="auto"/>
              <w:rPr>
                <w:rFonts w:ascii="Arial"/>
                <w:sz w:val="21"/>
              </w:rPr>
            </w:pPr>
            <w:r/>
          </w:p>
          <w:p>
            <w:pPr>
              <w:pStyle w:val="TableText"/>
              <w:ind w:left="839" w:right="106" w:hanging="720"/>
              <w:spacing w:before="78" w:line="249" w:lineRule="auto"/>
              <w:rPr/>
            </w:pPr>
            <w:r>
              <w:rPr>
                <w:spacing w:val="-2"/>
              </w:rPr>
              <w:t>建设项目申报情</w:t>
            </w:r>
            <w:r>
              <w:rPr/>
              <w:t xml:space="preserve"> </w:t>
            </w:r>
            <w:r>
              <w:rPr/>
              <w:t>形</w:t>
            </w:r>
          </w:p>
        </w:tc>
        <w:tc>
          <w:tcPr>
            <w:tcW w:w="3099" w:type="dxa"/>
            <w:vAlign w:val="top"/>
          </w:tcPr>
          <w:p>
            <w:pPr>
              <w:pStyle w:val="TableText"/>
              <w:ind w:left="127"/>
              <w:spacing w:before="84" w:line="190" w:lineRule="auto"/>
              <w:rPr/>
            </w:pPr>
            <w:r>
              <w:rPr>
                <w:rFonts w:ascii="Microsoft YaHei" w:hAnsi="Microsoft YaHei" w:eastAsia="Microsoft YaHei" w:cs="Microsoft YaHei"/>
                <w:spacing w:val="-7"/>
              </w:rPr>
              <w:t>区</w:t>
            </w:r>
            <w:r>
              <w:rPr>
                <w:spacing w:val="-7"/>
              </w:rPr>
              <w:t>首次申报项目</w:t>
            </w:r>
          </w:p>
          <w:p>
            <w:pPr>
              <w:pStyle w:val="TableText"/>
              <w:ind w:left="127" w:right="133"/>
              <w:spacing w:before="33" w:line="248" w:lineRule="auto"/>
              <w:rPr/>
            </w:pPr>
            <w:r>
              <w:rPr>
                <w:position w:val="-4"/>
              </w:rPr>
              <w:drawing>
                <wp:inline distT="0" distB="0" distL="0" distR="0">
                  <wp:extent cx="110185" cy="160477"/>
                  <wp:effectExtent l="0" t="0" r="0" b="0"/>
                  <wp:docPr id="122" name="IM 122"/>
                  <wp:cNvGraphicFramePr/>
                  <a:graphic>
                    <a:graphicData uri="http://schemas.openxmlformats.org/drawingml/2006/picture">
                      <pic:pic>
                        <pic:nvPicPr>
                          <pic:cNvPr id="122" name="IM 122"/>
                          <pic:cNvPicPr/>
                        </pic:nvPicPr>
                        <pic:blipFill>
                          <a:blip r:embed="rId132"/>
                          <a:stretch>
                            <a:fillRect/>
                          </a:stretch>
                        </pic:blipFill>
                        <pic:spPr>
                          <a:xfrm rot="0">
                            <a:off x="0" y="0"/>
                            <a:ext cx="110185" cy="160477"/>
                          </a:xfrm>
                          <a:prstGeom prst="rect">
                            <a:avLst/>
                          </a:prstGeom>
                        </pic:spPr>
                      </pic:pic>
                    </a:graphicData>
                  </a:graphic>
                </wp:inline>
              </w:drawing>
            </w:r>
            <w:r>
              <w:rPr>
                <w:spacing w:val="1"/>
              </w:rPr>
              <w:t>不予批准后再次申报项目</w:t>
            </w:r>
            <w:r>
              <w:rPr>
                <w:spacing w:val="7"/>
              </w:rPr>
              <w:t xml:space="preserve"> </w:t>
            </w:r>
            <w:r>
              <w:rPr>
                <w:position w:val="-4"/>
              </w:rPr>
              <w:drawing>
                <wp:inline distT="0" distB="0" distL="0" distR="0">
                  <wp:extent cx="110185" cy="160477"/>
                  <wp:effectExtent l="0" t="0" r="0" b="0"/>
                  <wp:docPr id="124" name="IM 124"/>
                  <wp:cNvGraphicFramePr/>
                  <a:graphic>
                    <a:graphicData uri="http://schemas.openxmlformats.org/drawingml/2006/picture">
                      <pic:pic>
                        <pic:nvPicPr>
                          <pic:cNvPr id="124" name="IM 124"/>
                          <pic:cNvPicPr/>
                        </pic:nvPicPr>
                        <pic:blipFill>
                          <a:blip r:embed="rId133"/>
                          <a:stretch>
                            <a:fillRect/>
                          </a:stretch>
                        </pic:blipFill>
                        <pic:spPr>
                          <a:xfrm rot="0">
                            <a:off x="0" y="0"/>
                            <a:ext cx="110185" cy="160477"/>
                          </a:xfrm>
                          <a:prstGeom prst="rect">
                            <a:avLst/>
                          </a:prstGeom>
                        </pic:spPr>
                      </pic:pic>
                    </a:graphicData>
                  </a:graphic>
                </wp:inline>
              </w:drawing>
            </w:r>
            <w:r>
              <w:rPr>
                <w:spacing w:val="2"/>
              </w:rPr>
              <w:t>超五年重新审核项目</w:t>
            </w:r>
          </w:p>
          <w:p>
            <w:pPr>
              <w:pStyle w:val="TableText"/>
              <w:ind w:left="127"/>
              <w:spacing w:before="76" w:line="207" w:lineRule="auto"/>
              <w:rPr/>
            </w:pPr>
            <w:r>
              <w:rPr>
                <w:position w:val="-4"/>
              </w:rPr>
              <w:drawing>
                <wp:inline distT="0" distB="0" distL="0" distR="0">
                  <wp:extent cx="110185" cy="160477"/>
                  <wp:effectExtent l="0" t="0" r="0" b="0"/>
                  <wp:docPr id="126" name="IM 126"/>
                  <wp:cNvGraphicFramePr/>
                  <a:graphic>
                    <a:graphicData uri="http://schemas.openxmlformats.org/drawingml/2006/picture">
                      <pic:pic>
                        <pic:nvPicPr>
                          <pic:cNvPr id="126" name="IM 126"/>
                          <pic:cNvPicPr/>
                        </pic:nvPicPr>
                        <pic:blipFill>
                          <a:blip r:embed="rId134"/>
                          <a:stretch>
                            <a:fillRect/>
                          </a:stretch>
                        </pic:blipFill>
                        <pic:spPr>
                          <a:xfrm rot="0">
                            <a:off x="0" y="0"/>
                            <a:ext cx="110185" cy="160477"/>
                          </a:xfrm>
                          <a:prstGeom prst="rect">
                            <a:avLst/>
                          </a:prstGeom>
                        </pic:spPr>
                      </pic:pic>
                    </a:graphicData>
                  </a:graphic>
                </wp:inline>
              </w:drawing>
            </w:r>
            <w:r>
              <w:rPr>
                <w:spacing w:val="1"/>
              </w:rPr>
              <w:t>重大变动重新报批项目</w:t>
            </w:r>
          </w:p>
        </w:tc>
      </w:tr>
      <w:tr>
        <w:trPr>
          <w:trHeight w:val="1084" w:hRule="atLeast"/>
        </w:trPr>
        <w:tc>
          <w:tcPr>
            <w:tcW w:w="1732" w:type="dxa"/>
            <w:vAlign w:val="top"/>
          </w:tcPr>
          <w:p>
            <w:pPr>
              <w:pStyle w:val="TableText"/>
              <w:ind w:left="157"/>
              <w:spacing w:before="85" w:line="220" w:lineRule="auto"/>
              <w:rPr/>
            </w:pPr>
            <w:r>
              <w:rPr>
                <w:spacing w:val="-3"/>
              </w:rPr>
              <w:t>项目审批（核</w:t>
            </w:r>
          </w:p>
          <w:p>
            <w:pPr>
              <w:pStyle w:val="TableText"/>
              <w:ind w:left="155"/>
              <w:spacing w:before="74" w:line="219" w:lineRule="auto"/>
              <w:rPr/>
            </w:pPr>
            <w:r>
              <w:rPr>
                <w:spacing w:val="-2"/>
              </w:rPr>
              <w:t>准/</w:t>
            </w:r>
            <w:r>
              <w:rPr>
                <w:spacing w:val="12"/>
              </w:rPr>
              <w:t xml:space="preserve"> </w:t>
            </w:r>
            <w:r>
              <w:rPr>
                <w:spacing w:val="-2"/>
              </w:rPr>
              <w:t>备案）部</w:t>
            </w:r>
          </w:p>
          <w:p>
            <w:pPr>
              <w:pStyle w:val="TableText"/>
              <w:ind w:left="300"/>
              <w:spacing w:before="74" w:line="207" w:lineRule="auto"/>
              <w:rPr/>
            </w:pPr>
            <w:r>
              <w:rPr>
                <w:spacing w:val="-8"/>
              </w:rPr>
              <w:t>门（选填）</w:t>
            </w:r>
          </w:p>
        </w:tc>
        <w:tc>
          <w:tcPr>
            <w:tcW w:w="1797" w:type="dxa"/>
            <w:vAlign w:val="top"/>
          </w:tcPr>
          <w:p>
            <w:pPr>
              <w:spacing w:line="365" w:lineRule="auto"/>
              <w:rPr>
                <w:rFonts w:ascii="Arial"/>
                <w:sz w:val="21"/>
              </w:rPr>
            </w:pPr>
            <w:r/>
          </w:p>
          <w:p>
            <w:pPr>
              <w:pStyle w:val="TableText"/>
              <w:ind w:left="844"/>
              <w:spacing w:before="78" w:line="224" w:lineRule="auto"/>
              <w:rPr/>
            </w:pPr>
            <w:r>
              <w:rPr/>
              <w:t>/</w:t>
            </w:r>
          </w:p>
        </w:tc>
        <w:tc>
          <w:tcPr>
            <w:tcW w:w="1898" w:type="dxa"/>
            <w:vAlign w:val="top"/>
          </w:tcPr>
          <w:p>
            <w:pPr>
              <w:pStyle w:val="TableText"/>
              <w:ind w:left="120"/>
              <w:spacing w:before="85" w:line="220" w:lineRule="auto"/>
              <w:rPr/>
            </w:pPr>
            <w:r>
              <w:rPr>
                <w:spacing w:val="-17"/>
              </w:rPr>
              <w:t>项目审批（核准/</w:t>
            </w:r>
          </w:p>
          <w:p>
            <w:pPr>
              <w:pStyle w:val="TableText"/>
              <w:ind w:left="718" w:right="106" w:hanging="599"/>
              <w:spacing w:before="73" w:line="242" w:lineRule="auto"/>
              <w:rPr/>
            </w:pPr>
            <w:r>
              <w:rPr>
                <w:spacing w:val="-2"/>
              </w:rPr>
              <w:t>备案）文号（选</w:t>
            </w:r>
            <w:r>
              <w:rPr/>
              <w:t xml:space="preserve"> </w:t>
            </w:r>
            <w:r>
              <w:rPr>
                <w:spacing w:val="-6"/>
              </w:rPr>
              <w:t>填）</w:t>
            </w:r>
          </w:p>
        </w:tc>
        <w:tc>
          <w:tcPr>
            <w:tcW w:w="3099" w:type="dxa"/>
            <w:vAlign w:val="top"/>
          </w:tcPr>
          <w:p>
            <w:pPr>
              <w:spacing w:line="365" w:lineRule="auto"/>
              <w:rPr>
                <w:rFonts w:ascii="Arial"/>
                <w:sz w:val="21"/>
              </w:rPr>
            </w:pPr>
            <w:r/>
          </w:p>
          <w:p>
            <w:pPr>
              <w:pStyle w:val="TableText"/>
              <w:ind w:left="1495"/>
              <w:spacing w:before="78" w:line="224" w:lineRule="auto"/>
              <w:rPr/>
            </w:pPr>
            <w:r>
              <w:rPr/>
              <w:t>/</w:t>
            </w:r>
          </w:p>
        </w:tc>
      </w:tr>
      <w:tr>
        <w:trPr>
          <w:trHeight w:val="365" w:hRule="atLeast"/>
        </w:trPr>
        <w:tc>
          <w:tcPr>
            <w:tcW w:w="1732" w:type="dxa"/>
            <w:vAlign w:val="top"/>
          </w:tcPr>
          <w:p>
            <w:pPr>
              <w:pStyle w:val="TableText"/>
              <w:spacing w:before="85" w:line="207" w:lineRule="auto"/>
              <w:jc w:val="right"/>
              <w:rPr/>
            </w:pPr>
            <w:r>
              <w:rPr>
                <w:spacing w:val="-13"/>
              </w:rPr>
              <w:t>总投资（万元）</w:t>
            </w:r>
          </w:p>
        </w:tc>
        <w:tc>
          <w:tcPr>
            <w:tcW w:w="1797" w:type="dxa"/>
            <w:vAlign w:val="top"/>
          </w:tcPr>
          <w:p>
            <w:pPr>
              <w:pStyle w:val="TableText"/>
              <w:ind w:left="789"/>
              <w:spacing w:before="123" w:line="178" w:lineRule="auto"/>
              <w:rPr/>
            </w:pPr>
            <w:r>
              <w:rPr>
                <w:spacing w:val="-8"/>
              </w:rPr>
              <w:t>50</w:t>
            </w:r>
          </w:p>
        </w:tc>
        <w:tc>
          <w:tcPr>
            <w:tcW w:w="1898" w:type="dxa"/>
            <w:vAlign w:val="top"/>
          </w:tcPr>
          <w:p>
            <w:pPr>
              <w:pStyle w:val="TableText"/>
              <w:spacing w:before="85" w:line="207" w:lineRule="auto"/>
              <w:jc w:val="right"/>
              <w:rPr/>
            </w:pPr>
            <w:r>
              <w:rPr>
                <w:spacing w:val="-19"/>
              </w:rPr>
              <w:t>环保投资（万元）</w:t>
            </w:r>
          </w:p>
        </w:tc>
        <w:tc>
          <w:tcPr>
            <w:tcW w:w="3099" w:type="dxa"/>
            <w:vAlign w:val="top"/>
          </w:tcPr>
          <w:p>
            <w:pPr>
              <w:pStyle w:val="TableText"/>
              <w:ind w:left="1454"/>
              <w:spacing w:before="123" w:line="178" w:lineRule="auto"/>
              <w:rPr/>
            </w:pPr>
            <w:r>
              <w:rPr>
                <w:spacing w:val="-14"/>
              </w:rPr>
              <w:t>13</w:t>
            </w:r>
          </w:p>
        </w:tc>
      </w:tr>
      <w:tr>
        <w:trPr>
          <w:trHeight w:val="725" w:hRule="atLeast"/>
        </w:trPr>
        <w:tc>
          <w:tcPr>
            <w:tcW w:w="1732" w:type="dxa"/>
            <w:vAlign w:val="top"/>
          </w:tcPr>
          <w:p>
            <w:pPr>
              <w:pStyle w:val="TableText"/>
              <w:ind w:left="153"/>
              <w:spacing w:before="85" w:line="220" w:lineRule="auto"/>
              <w:rPr/>
            </w:pPr>
            <w:r>
              <w:rPr>
                <w:spacing w:val="-2"/>
              </w:rPr>
              <w:t>环保投资占比</w:t>
            </w:r>
          </w:p>
          <w:p>
            <w:pPr>
              <w:pStyle w:val="TableText"/>
              <w:ind w:left="584"/>
              <w:spacing w:before="74" w:line="207" w:lineRule="auto"/>
              <w:rPr/>
            </w:pPr>
            <w:r>
              <w:rPr>
                <w:spacing w:val="-7"/>
              </w:rPr>
              <w:t>（%）</w:t>
            </w:r>
          </w:p>
        </w:tc>
        <w:tc>
          <w:tcPr>
            <w:tcW w:w="1797" w:type="dxa"/>
            <w:vAlign w:val="top"/>
          </w:tcPr>
          <w:p>
            <w:pPr>
              <w:pStyle w:val="TableText"/>
              <w:ind w:left="668"/>
              <w:spacing w:before="265"/>
              <w:rPr/>
            </w:pPr>
            <w:r>
              <w:rPr>
                <w:spacing w:val="25"/>
              </w:rPr>
              <w:t>26%</w:t>
            </w:r>
          </w:p>
        </w:tc>
        <w:tc>
          <w:tcPr>
            <w:tcW w:w="1898" w:type="dxa"/>
            <w:vAlign w:val="top"/>
          </w:tcPr>
          <w:p>
            <w:pPr>
              <w:pStyle w:val="TableText"/>
              <w:ind w:left="475"/>
              <w:spacing w:before="265" w:line="220" w:lineRule="auto"/>
              <w:rPr/>
            </w:pPr>
            <w:r>
              <w:rPr>
                <w:spacing w:val="-3"/>
              </w:rPr>
              <w:t>施工工期</w:t>
            </w:r>
          </w:p>
        </w:tc>
        <w:tc>
          <w:tcPr>
            <w:tcW w:w="3099" w:type="dxa"/>
            <w:vAlign w:val="top"/>
          </w:tcPr>
          <w:p>
            <w:pPr>
              <w:pStyle w:val="TableText"/>
              <w:ind w:left="895"/>
              <w:spacing w:before="266" w:line="219" w:lineRule="auto"/>
              <w:rPr/>
            </w:pPr>
            <w:r>
              <w:rPr>
                <w:spacing w:val="-2"/>
              </w:rPr>
              <w:t>/已建设完成</w:t>
            </w:r>
          </w:p>
        </w:tc>
      </w:tr>
      <w:tr>
        <w:trPr>
          <w:trHeight w:val="5765" w:hRule="atLeast"/>
        </w:trPr>
        <w:tc>
          <w:tcPr>
            <w:tcW w:w="1732"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157"/>
              <w:spacing w:before="78" w:line="220" w:lineRule="auto"/>
              <w:rPr/>
            </w:pPr>
            <w:r>
              <w:rPr>
                <w:spacing w:val="-3"/>
              </w:rPr>
              <w:t>是否开工建设</w:t>
            </w:r>
          </w:p>
        </w:tc>
        <w:tc>
          <w:tcPr>
            <w:tcW w:w="1797" w:type="dxa"/>
            <w:vAlign w:val="top"/>
          </w:tcPr>
          <w:p>
            <w:pPr>
              <w:pStyle w:val="TableText"/>
              <w:ind w:left="687"/>
              <w:spacing w:before="85" w:line="218" w:lineRule="auto"/>
              <w:rPr/>
            </w:pPr>
            <w:r>
              <w:rPr>
                <w:position w:val="-4"/>
              </w:rPr>
              <w:drawing>
                <wp:inline distT="0" distB="0" distL="0" distR="0">
                  <wp:extent cx="110185" cy="160477"/>
                  <wp:effectExtent l="0" t="0" r="0" b="0"/>
                  <wp:docPr id="128" name="IM 128"/>
                  <wp:cNvGraphicFramePr/>
                  <a:graphic>
                    <a:graphicData uri="http://schemas.openxmlformats.org/drawingml/2006/picture">
                      <pic:pic>
                        <pic:nvPicPr>
                          <pic:cNvPr id="128" name="IM 128"/>
                          <pic:cNvPicPr/>
                        </pic:nvPicPr>
                        <pic:blipFill>
                          <a:blip r:embed="rId135"/>
                          <a:stretch>
                            <a:fillRect/>
                          </a:stretch>
                        </pic:blipFill>
                        <pic:spPr>
                          <a:xfrm rot="0">
                            <a:off x="0" y="0"/>
                            <a:ext cx="110185" cy="160477"/>
                          </a:xfrm>
                          <a:prstGeom prst="rect">
                            <a:avLst/>
                          </a:prstGeom>
                        </pic:spPr>
                      </pic:pic>
                    </a:graphicData>
                  </a:graphic>
                </wp:inline>
              </w:drawing>
            </w:r>
            <w:r>
              <w:rPr>
                <w:spacing w:val="19"/>
              </w:rPr>
              <w:t>否</w:t>
            </w:r>
          </w:p>
          <w:p>
            <w:pPr>
              <w:pStyle w:val="TableText"/>
              <w:ind w:left="112" w:right="104" w:firstLine="11"/>
              <w:spacing w:before="77" w:line="265" w:lineRule="auto"/>
              <w:rPr/>
            </w:pPr>
            <w:r>
              <w:rPr>
                <w:rFonts w:ascii="Microsoft YaHei" w:hAnsi="Microsoft YaHei" w:eastAsia="Microsoft YaHei" w:cs="Microsoft YaHei"/>
                <w:spacing w:val="-12"/>
              </w:rPr>
              <w:t>区</w:t>
            </w:r>
            <w:r>
              <w:rPr>
                <w:spacing w:val="-12"/>
              </w:rPr>
              <w:t>是：2015年10</w:t>
            </w:r>
            <w:r>
              <w:rPr>
                <w:spacing w:val="2"/>
              </w:rPr>
              <w:t xml:space="preserve"> </w:t>
            </w:r>
            <w:r>
              <w:rPr>
                <w:spacing w:val="-14"/>
              </w:rPr>
              <w:t>月27日取得《关</w:t>
            </w:r>
            <w:r>
              <w:rPr>
                <w:spacing w:val="6"/>
              </w:rPr>
              <w:t xml:space="preserve"> </w:t>
            </w:r>
            <w:r>
              <w:rPr>
                <w:spacing w:val="10"/>
              </w:rPr>
              <w:t>于呼图壁县丰</w:t>
            </w:r>
            <w:r>
              <w:rPr>
                <w:spacing w:val="2"/>
              </w:rPr>
              <w:t xml:space="preserve"> </w:t>
            </w:r>
            <w:r>
              <w:rPr>
                <w:spacing w:val="10"/>
              </w:rPr>
              <w:t>收塑料制品厂</w:t>
            </w:r>
            <w:r>
              <w:rPr>
                <w:spacing w:val="2"/>
              </w:rPr>
              <w:t xml:space="preserve"> </w:t>
            </w:r>
            <w:r>
              <w:rPr>
                <w:spacing w:val="10"/>
              </w:rPr>
              <w:t>滴灌带生产线</w:t>
            </w:r>
            <w:r>
              <w:rPr>
                <w:spacing w:val="2"/>
              </w:rPr>
              <w:t xml:space="preserve"> </w:t>
            </w:r>
            <w:r>
              <w:rPr>
                <w:spacing w:val="10"/>
              </w:rPr>
              <w:t>建设项目环境</w:t>
            </w:r>
            <w:r>
              <w:rPr>
                <w:spacing w:val="2"/>
              </w:rPr>
              <w:t xml:space="preserve"> </w:t>
            </w:r>
            <w:r>
              <w:rPr>
                <w:spacing w:val="10"/>
              </w:rPr>
              <w:t>影响报告表的</w:t>
            </w:r>
            <w:r>
              <w:rPr>
                <w:spacing w:val="2"/>
              </w:rPr>
              <w:t xml:space="preserve"> </w:t>
            </w:r>
            <w:r>
              <w:rPr>
                <w:spacing w:val="-15"/>
              </w:rPr>
              <w:t>批复》（呼环评</w:t>
            </w:r>
            <w:r>
              <w:rPr/>
              <w:t xml:space="preserve"> </w:t>
            </w:r>
            <w:r>
              <w:rPr>
                <w:spacing w:val="7"/>
              </w:rPr>
              <w:t>字〔2015〕59</w:t>
            </w:r>
            <w:r>
              <w:rPr/>
              <w:t xml:space="preserve"> </w:t>
            </w:r>
            <w:r>
              <w:rPr>
                <w:spacing w:val="-2"/>
              </w:rPr>
              <w:t>号</w:t>
            </w:r>
            <w:r>
              <w:rPr>
                <w:spacing w:val="8"/>
              </w:rPr>
              <w:t>）；</w:t>
            </w:r>
            <w:r>
              <w:rPr>
                <w:spacing w:val="-2"/>
              </w:rPr>
              <w:t>2016年6</w:t>
            </w:r>
            <w:r>
              <w:rPr/>
              <w:t xml:space="preserve"> </w:t>
            </w:r>
            <w:r>
              <w:rPr>
                <w:spacing w:val="10"/>
              </w:rPr>
              <w:t>月开工建设完</w:t>
            </w:r>
            <w:r>
              <w:rPr>
                <w:spacing w:val="2"/>
              </w:rPr>
              <w:t xml:space="preserve"> </w:t>
            </w:r>
            <w:r>
              <w:rPr>
                <w:spacing w:val="10"/>
              </w:rPr>
              <w:t>成仓库建设；</w:t>
            </w:r>
          </w:p>
          <w:p>
            <w:pPr>
              <w:pStyle w:val="TableText"/>
              <w:ind w:left="128" w:right="116"/>
              <w:spacing w:before="74" w:line="254" w:lineRule="auto"/>
              <w:rPr/>
            </w:pPr>
            <w:r>
              <w:rPr>
                <w:spacing w:val="-2"/>
              </w:rPr>
              <w:t>2016年8月在已</w:t>
            </w:r>
            <w:r>
              <w:rPr>
                <w:spacing w:val="4"/>
              </w:rPr>
              <w:t xml:space="preserve"> </w:t>
            </w:r>
            <w:r>
              <w:rPr>
                <w:spacing w:val="-2"/>
              </w:rPr>
              <w:t>建仓库建设2条</w:t>
            </w:r>
            <w:r>
              <w:rPr/>
              <w:t xml:space="preserve"> </w:t>
            </w:r>
            <w:r>
              <w:rPr>
                <w:spacing w:val="7"/>
              </w:rPr>
              <w:t>地膜生产线；</w:t>
            </w:r>
          </w:p>
        </w:tc>
        <w:tc>
          <w:tcPr>
            <w:tcW w:w="1898"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476" w:right="106" w:hanging="358"/>
              <w:spacing w:before="79" w:line="248" w:lineRule="auto"/>
              <w:rPr/>
            </w:pPr>
            <w:r>
              <w:rPr>
                <w:spacing w:val="-2"/>
              </w:rPr>
              <w:t>用地（用海）面</w:t>
            </w:r>
            <w:r>
              <w:rPr>
                <w:spacing w:val="1"/>
              </w:rPr>
              <w:t xml:space="preserve"> </w:t>
            </w:r>
            <w:r>
              <w:rPr>
                <w:spacing w:val="-7"/>
              </w:rPr>
              <w:t>积（㎡）</w:t>
            </w:r>
          </w:p>
        </w:tc>
        <w:tc>
          <w:tcPr>
            <w:tcW w:w="3099"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1498"/>
              <w:spacing w:before="78" w:line="183" w:lineRule="auto"/>
              <w:rPr/>
            </w:pPr>
            <w:r>
              <w:rPr/>
              <w:t>0</w:t>
            </w:r>
          </w:p>
        </w:tc>
      </w:tr>
    </w:tbl>
    <w:p>
      <w:pPr>
        <w:pStyle w:val="BodyText"/>
        <w:rPr/>
      </w:pPr>
      <w:r/>
    </w:p>
    <w:p>
      <w:pPr>
        <w:sectPr>
          <w:footerReference w:type="default" r:id="rId128"/>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32"/>
        <w:gridCol w:w="1797"/>
        <w:gridCol w:w="1898"/>
        <w:gridCol w:w="3099"/>
      </w:tblGrid>
      <w:tr>
        <w:trPr>
          <w:trHeight w:val="4328" w:hRule="atLeast"/>
        </w:trPr>
        <w:tc>
          <w:tcPr>
            <w:tcW w:w="1732" w:type="dxa"/>
            <w:vAlign w:val="top"/>
          </w:tcPr>
          <w:p>
            <w:pPr>
              <w:rPr>
                <w:rFonts w:ascii="Arial"/>
                <w:sz w:val="21"/>
              </w:rPr>
            </w:pPr>
            <w:r/>
          </w:p>
        </w:tc>
        <w:tc>
          <w:tcPr>
            <w:tcW w:w="1797" w:type="dxa"/>
            <w:vAlign w:val="top"/>
          </w:tcPr>
          <w:p>
            <w:pPr>
              <w:pStyle w:val="TableText"/>
              <w:ind w:left="116" w:right="48" w:firstLine="72"/>
              <w:spacing w:before="90" w:line="271" w:lineRule="auto"/>
              <w:jc w:val="both"/>
              <w:rPr/>
            </w:pPr>
            <w:r>
              <w:rPr>
                <w:spacing w:val="-2"/>
              </w:rPr>
              <w:t>2023年11月21</w:t>
            </w:r>
            <w:r>
              <w:rPr>
                <w:spacing w:val="3"/>
              </w:rPr>
              <w:t xml:space="preserve">  </w:t>
            </w:r>
            <w:r>
              <w:rPr>
                <w:spacing w:val="9"/>
              </w:rPr>
              <w:t>日取得昌吉州</w:t>
            </w:r>
            <w:r>
              <w:rPr>
                <w:spacing w:val="2"/>
              </w:rPr>
              <w:t xml:space="preserve">  </w:t>
            </w:r>
            <w:r>
              <w:rPr>
                <w:spacing w:val="9"/>
              </w:rPr>
              <w:t>生态环境局呼</w:t>
            </w:r>
            <w:r>
              <w:rPr>
                <w:spacing w:val="2"/>
              </w:rPr>
              <w:t xml:space="preserve">  </w:t>
            </w:r>
            <w:r>
              <w:rPr>
                <w:spacing w:val="9"/>
              </w:rPr>
              <w:t>图壁县分局出</w:t>
            </w:r>
            <w:r>
              <w:rPr>
                <w:spacing w:val="2"/>
              </w:rPr>
              <w:t xml:space="preserve">  </w:t>
            </w:r>
            <w:r>
              <w:rPr>
                <w:spacing w:val="-16"/>
              </w:rPr>
              <w:t>具《关于呼图壁</w:t>
            </w:r>
            <w:r>
              <w:rPr>
                <w:spacing w:val="2"/>
              </w:rPr>
              <w:t xml:space="preserve"> </w:t>
            </w:r>
            <w:r>
              <w:rPr>
                <w:spacing w:val="9"/>
              </w:rPr>
              <w:t>县丰收塑料制</w:t>
            </w:r>
            <w:r>
              <w:rPr>
                <w:spacing w:val="2"/>
              </w:rPr>
              <w:t xml:space="preserve">  </w:t>
            </w:r>
            <w:r>
              <w:rPr>
                <w:spacing w:val="9"/>
              </w:rPr>
              <w:t>品厂农用地膜</w:t>
            </w:r>
            <w:r>
              <w:rPr>
                <w:spacing w:val="2"/>
              </w:rPr>
              <w:t xml:space="preserve">  </w:t>
            </w:r>
            <w:r>
              <w:rPr>
                <w:spacing w:val="9"/>
              </w:rPr>
              <w:t>加工项目未批</w:t>
            </w:r>
            <w:r>
              <w:rPr>
                <w:spacing w:val="2"/>
              </w:rPr>
              <w:t xml:space="preserve">  </w:t>
            </w:r>
            <w:r>
              <w:rPr>
                <w:spacing w:val="9"/>
              </w:rPr>
              <w:t>先建处理意见</w:t>
            </w:r>
            <w:r>
              <w:rPr>
                <w:spacing w:val="2"/>
              </w:rPr>
              <w:t xml:space="preserve">  </w:t>
            </w:r>
            <w:r>
              <w:rPr>
                <w:spacing w:val="-16"/>
              </w:rPr>
              <w:t>的报告》，文件</w:t>
            </w:r>
            <w:r>
              <w:rPr>
                <w:spacing w:val="2"/>
              </w:rPr>
              <w:t xml:space="preserve"> </w:t>
            </w:r>
            <w:r>
              <w:rPr>
                <w:spacing w:val="-16"/>
              </w:rPr>
              <w:t>指出：对该建设</w:t>
            </w:r>
            <w:r>
              <w:rPr>
                <w:spacing w:val="2"/>
              </w:rPr>
              <w:t xml:space="preserve"> </w:t>
            </w:r>
            <w:r>
              <w:rPr>
                <w:spacing w:val="-8"/>
              </w:rPr>
              <w:t>项目不予处罚。</w:t>
            </w:r>
          </w:p>
        </w:tc>
        <w:tc>
          <w:tcPr>
            <w:tcW w:w="1898" w:type="dxa"/>
            <w:vAlign w:val="top"/>
          </w:tcPr>
          <w:p>
            <w:pPr>
              <w:rPr>
                <w:rFonts w:ascii="Arial"/>
                <w:sz w:val="21"/>
              </w:rPr>
            </w:pPr>
            <w:r/>
          </w:p>
        </w:tc>
        <w:tc>
          <w:tcPr>
            <w:tcW w:w="3099" w:type="dxa"/>
            <w:vAlign w:val="top"/>
          </w:tcPr>
          <w:p>
            <w:pPr>
              <w:rPr>
                <w:rFonts w:ascii="Arial"/>
                <w:sz w:val="21"/>
              </w:rPr>
            </w:pPr>
            <w:r/>
          </w:p>
        </w:tc>
      </w:tr>
      <w:tr>
        <w:trPr>
          <w:trHeight w:val="725" w:hRule="atLeast"/>
        </w:trPr>
        <w:tc>
          <w:tcPr>
            <w:tcW w:w="1732" w:type="dxa"/>
            <w:vAlign w:val="top"/>
          </w:tcPr>
          <w:p>
            <w:pPr>
              <w:pStyle w:val="TableText"/>
              <w:ind w:left="634" w:right="143" w:hanging="480"/>
              <w:spacing w:before="83" w:line="243" w:lineRule="auto"/>
              <w:rPr/>
            </w:pPr>
            <w:r>
              <w:rPr>
                <w:spacing w:val="-2"/>
              </w:rPr>
              <w:t>专项评价设置</w:t>
            </w:r>
            <w:r>
              <w:rPr/>
              <w:t xml:space="preserve"> </w:t>
            </w:r>
            <w:r>
              <w:rPr>
                <w:spacing w:val="-6"/>
              </w:rPr>
              <w:t>情况</w:t>
            </w:r>
          </w:p>
        </w:tc>
        <w:tc>
          <w:tcPr>
            <w:tcW w:w="6794" w:type="dxa"/>
            <w:vAlign w:val="top"/>
            <w:gridSpan w:val="3"/>
          </w:tcPr>
          <w:p>
            <w:pPr>
              <w:pStyle w:val="TableText"/>
              <w:ind w:left="3283"/>
              <w:spacing w:before="264" w:line="220" w:lineRule="auto"/>
              <w:rPr/>
            </w:pPr>
            <w:r>
              <w:rPr/>
              <w:t>无</w:t>
            </w:r>
          </w:p>
        </w:tc>
      </w:tr>
      <w:tr>
        <w:trPr>
          <w:trHeight w:val="505" w:hRule="atLeast"/>
        </w:trPr>
        <w:tc>
          <w:tcPr>
            <w:tcW w:w="1732" w:type="dxa"/>
            <w:vAlign w:val="top"/>
          </w:tcPr>
          <w:p>
            <w:pPr>
              <w:pStyle w:val="TableText"/>
              <w:ind w:left="394"/>
              <w:spacing w:before="155" w:line="220" w:lineRule="auto"/>
              <w:rPr/>
            </w:pPr>
            <w:r>
              <w:rPr>
                <w:spacing w:val="-3"/>
              </w:rPr>
              <w:t>规划情况</w:t>
            </w:r>
          </w:p>
        </w:tc>
        <w:tc>
          <w:tcPr>
            <w:tcW w:w="6794" w:type="dxa"/>
            <w:vAlign w:val="top"/>
            <w:gridSpan w:val="3"/>
          </w:tcPr>
          <w:p>
            <w:pPr>
              <w:pStyle w:val="TableText"/>
              <w:ind w:left="3283"/>
              <w:spacing w:before="196" w:line="220" w:lineRule="auto"/>
              <w:rPr/>
            </w:pPr>
            <w:r>
              <w:rPr/>
              <w:t>无</w:t>
            </w:r>
          </w:p>
        </w:tc>
      </w:tr>
      <w:tr>
        <w:trPr>
          <w:trHeight w:val="725" w:hRule="atLeast"/>
        </w:trPr>
        <w:tc>
          <w:tcPr>
            <w:tcW w:w="1732" w:type="dxa"/>
            <w:vAlign w:val="top"/>
          </w:tcPr>
          <w:p>
            <w:pPr>
              <w:pStyle w:val="TableText"/>
              <w:ind w:left="392" w:right="143" w:hanging="238"/>
              <w:spacing w:before="85" w:line="242" w:lineRule="auto"/>
              <w:rPr/>
            </w:pPr>
            <w:r>
              <w:rPr>
                <w:spacing w:val="-2"/>
              </w:rPr>
              <w:t>规划环境影响</w:t>
            </w:r>
            <w:r>
              <w:rPr/>
              <w:t xml:space="preserve"> </w:t>
            </w:r>
            <w:r>
              <w:rPr>
                <w:spacing w:val="-3"/>
              </w:rPr>
              <w:t>评价情况</w:t>
            </w:r>
          </w:p>
        </w:tc>
        <w:tc>
          <w:tcPr>
            <w:tcW w:w="6794" w:type="dxa"/>
            <w:vAlign w:val="top"/>
            <w:gridSpan w:val="3"/>
          </w:tcPr>
          <w:p>
            <w:pPr>
              <w:pStyle w:val="TableText"/>
              <w:ind w:left="3283"/>
              <w:spacing w:before="305" w:line="220" w:lineRule="auto"/>
              <w:rPr/>
            </w:pPr>
            <w:r>
              <w:rPr/>
              <w:t>无</w:t>
            </w:r>
          </w:p>
        </w:tc>
      </w:tr>
      <w:tr>
        <w:trPr>
          <w:trHeight w:val="1084" w:hRule="atLeast"/>
        </w:trPr>
        <w:tc>
          <w:tcPr>
            <w:tcW w:w="1732" w:type="dxa"/>
            <w:vAlign w:val="top"/>
          </w:tcPr>
          <w:p>
            <w:pPr>
              <w:pStyle w:val="TableText"/>
              <w:ind w:left="154"/>
              <w:spacing w:before="85" w:line="221" w:lineRule="auto"/>
              <w:rPr/>
            </w:pPr>
            <w:r>
              <w:rPr>
                <w:spacing w:val="-2"/>
              </w:rPr>
              <w:t>规划及规划环</w:t>
            </w:r>
          </w:p>
          <w:p>
            <w:pPr>
              <w:pStyle w:val="TableText"/>
              <w:ind w:left="154"/>
              <w:spacing w:before="71" w:line="218" w:lineRule="auto"/>
              <w:rPr/>
            </w:pPr>
            <w:r>
              <w:rPr>
                <w:spacing w:val="-2"/>
              </w:rPr>
              <w:t>境影响评价符</w:t>
            </w:r>
          </w:p>
          <w:p>
            <w:pPr>
              <w:pStyle w:val="TableText"/>
              <w:ind w:left="394"/>
              <w:spacing w:before="77" w:line="207" w:lineRule="auto"/>
              <w:rPr/>
            </w:pPr>
            <w:r>
              <w:rPr>
                <w:spacing w:val="-3"/>
              </w:rPr>
              <w:t>合性分析</w:t>
            </w:r>
          </w:p>
        </w:tc>
        <w:tc>
          <w:tcPr>
            <w:tcW w:w="6794" w:type="dxa"/>
            <w:vAlign w:val="top"/>
            <w:gridSpan w:val="3"/>
          </w:tcPr>
          <w:p>
            <w:pPr>
              <w:spacing w:line="407" w:lineRule="auto"/>
              <w:rPr>
                <w:rFonts w:ascii="Arial"/>
                <w:sz w:val="21"/>
              </w:rPr>
            </w:pPr>
            <w:r/>
          </w:p>
          <w:p>
            <w:pPr>
              <w:pStyle w:val="TableText"/>
              <w:ind w:left="3283"/>
              <w:spacing w:before="78" w:line="220" w:lineRule="auto"/>
              <w:rPr/>
            </w:pPr>
            <w:r>
              <w:rPr/>
              <w:t>无</w:t>
            </w:r>
          </w:p>
        </w:tc>
      </w:tr>
      <w:tr>
        <w:trPr>
          <w:trHeight w:val="6007" w:hRule="atLeast"/>
        </w:trPr>
        <w:tc>
          <w:tcPr>
            <w:tcW w:w="1732" w:type="dxa"/>
            <w:vAlign w:val="top"/>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754" w:right="143" w:hanging="600"/>
              <w:spacing w:before="78" w:line="248" w:lineRule="auto"/>
              <w:rPr/>
            </w:pPr>
            <w:r>
              <w:rPr>
                <w:spacing w:val="-2"/>
              </w:rPr>
              <w:t>其他符合性分</w:t>
            </w:r>
            <w:r>
              <w:rPr/>
              <w:t xml:space="preserve"> </w:t>
            </w:r>
            <w:r>
              <w:rPr/>
              <w:t>析</w:t>
            </w:r>
          </w:p>
        </w:tc>
        <w:tc>
          <w:tcPr>
            <w:tcW w:w="6794" w:type="dxa"/>
            <w:vAlign w:val="top"/>
            <w:gridSpan w:val="3"/>
          </w:tcPr>
          <w:p>
            <w:pPr>
              <w:pStyle w:val="TableText"/>
              <w:ind w:left="604"/>
              <w:spacing w:before="198" w:line="219" w:lineRule="auto"/>
              <w:rPr/>
            </w:pPr>
            <w:r>
              <w:rPr>
                <w:spacing w:val="-4"/>
              </w:rPr>
              <w:t>（</w:t>
            </w:r>
            <w:r>
              <w:rPr>
                <w:rFonts w:ascii="Times New Roman" w:hAnsi="Times New Roman" w:eastAsia="Times New Roman" w:cs="Times New Roman"/>
                <w:spacing w:val="-4"/>
              </w:rPr>
              <w:t>1</w:t>
            </w:r>
            <w:r>
              <w:rPr>
                <w:spacing w:val="-4"/>
              </w:rPr>
              <w:t>）“三线一单</w:t>
            </w:r>
            <w:r>
              <w:rPr>
                <w:spacing w:val="-74"/>
              </w:rPr>
              <w:t xml:space="preserve"> </w:t>
            </w:r>
            <w:r>
              <w:rPr>
                <w:spacing w:val="-4"/>
              </w:rPr>
              <w:t>”控制要求的相符性</w:t>
            </w:r>
          </w:p>
          <w:p>
            <w:pPr>
              <w:pStyle w:val="TableText"/>
              <w:ind w:left="112" w:right="45" w:firstLine="483"/>
              <w:spacing w:before="210" w:line="385" w:lineRule="auto"/>
              <w:jc w:val="both"/>
              <w:rPr/>
            </w:pPr>
            <w:r>
              <w:rPr>
                <w:spacing w:val="-3"/>
              </w:rPr>
              <w:t>为贯彻落实《中共中央</w:t>
            </w:r>
            <w:r>
              <w:rPr>
                <w:spacing w:val="40"/>
              </w:rPr>
              <w:t xml:space="preserve"> </w:t>
            </w:r>
            <w:r>
              <w:rPr>
                <w:spacing w:val="-3"/>
              </w:rPr>
              <w:t>国务院关于全面加强生态环境保护</w:t>
            </w:r>
            <w:r>
              <w:rPr/>
              <w:t xml:space="preserve"> </w:t>
            </w:r>
            <w:r>
              <w:rPr>
                <w:spacing w:val="-3"/>
              </w:rPr>
              <w:t>坚决打好污染防治攻坚战的意见》、《自治区党委</w:t>
            </w:r>
            <w:r>
              <w:rPr>
                <w:spacing w:val="49"/>
              </w:rPr>
              <w:t xml:space="preserve"> </w:t>
            </w:r>
            <w:r>
              <w:rPr>
                <w:spacing w:val="-3"/>
              </w:rPr>
              <w:t>自治区人民</w:t>
            </w:r>
            <w:r>
              <w:rPr/>
              <w:t xml:space="preserve"> </w:t>
            </w:r>
            <w:r>
              <w:rPr>
                <w:spacing w:val="3"/>
              </w:rPr>
              <w:t>政府关于全面加强生态环境保护坚决打好污染防治攻坚战实施</w:t>
            </w:r>
            <w:r>
              <w:rPr>
                <w:spacing w:val="5"/>
              </w:rPr>
              <w:t xml:space="preserve"> </w:t>
            </w:r>
            <w:r>
              <w:rPr>
                <w:spacing w:val="-3"/>
              </w:rPr>
              <w:t>方案》和《自治州党委</w:t>
            </w:r>
            <w:r>
              <w:rPr>
                <w:spacing w:val="49"/>
              </w:rPr>
              <w:t xml:space="preserve"> </w:t>
            </w:r>
            <w:r>
              <w:rPr>
                <w:spacing w:val="-3"/>
              </w:rPr>
              <w:t>自治州人民政府关于全面加强生态环境</w:t>
            </w:r>
            <w:r>
              <w:rPr/>
              <w:t xml:space="preserve"> </w:t>
            </w:r>
            <w:r>
              <w:rPr>
                <w:spacing w:val="3"/>
              </w:rPr>
              <w:t>保护坚决打好污染防治攻坚战实施方案》，落实《新疆维吾尔</w:t>
            </w:r>
            <w:r>
              <w:rPr>
                <w:spacing w:val="5"/>
              </w:rPr>
              <w:t xml:space="preserve"> </w:t>
            </w:r>
            <w:r>
              <w:rPr>
                <w:spacing w:val="2"/>
              </w:rPr>
              <w:t>自治区“三线一单</w:t>
            </w:r>
            <w:r>
              <w:rPr>
                <w:spacing w:val="-86"/>
              </w:rPr>
              <w:t xml:space="preserve"> </w:t>
            </w:r>
            <w:r>
              <w:rPr>
                <w:spacing w:val="2"/>
              </w:rPr>
              <w:t>”生态环境分区管控方案》，按照生态</w:t>
            </w:r>
            <w:r>
              <w:rPr>
                <w:spacing w:val="1"/>
              </w:rPr>
              <w:t>环境</w:t>
            </w:r>
            <w:r>
              <w:rPr/>
              <w:t xml:space="preserve"> </w:t>
            </w:r>
            <w:r>
              <w:rPr>
                <w:spacing w:val="1"/>
              </w:rPr>
              <w:t>部和自治区生态环境厅统一部署，</w:t>
            </w:r>
            <w:r>
              <w:rPr>
                <w:spacing w:val="-61"/>
              </w:rPr>
              <w:t xml:space="preserve"> </w:t>
            </w:r>
            <w:r>
              <w:rPr>
                <w:spacing w:val="1"/>
              </w:rPr>
              <w:t>自治州组织编制了“生态保</w:t>
            </w:r>
            <w:r>
              <w:rPr/>
              <w:t xml:space="preserve"> </w:t>
            </w:r>
            <w:r>
              <w:rPr>
                <w:spacing w:val="-5"/>
              </w:rPr>
              <w:t>护红线、环境质量底线、资源利用上线和生态环境准入清单</w:t>
            </w:r>
            <w:r>
              <w:rPr>
                <w:spacing w:val="-70"/>
              </w:rPr>
              <w:t xml:space="preserve"> </w:t>
            </w:r>
            <w:r>
              <w:rPr>
                <w:spacing w:val="-5"/>
              </w:rPr>
              <w:t>”，</w:t>
            </w:r>
            <w:r>
              <w:rPr/>
              <w:t xml:space="preserve"> </w:t>
            </w:r>
            <w:r>
              <w:rPr>
                <w:spacing w:val="2"/>
              </w:rPr>
              <w:t>本项目与《新疆维吾尔自治区“三线一单</w:t>
            </w:r>
            <w:r>
              <w:rPr>
                <w:spacing w:val="-86"/>
              </w:rPr>
              <w:t xml:space="preserve"> </w:t>
            </w:r>
            <w:r>
              <w:rPr>
                <w:spacing w:val="2"/>
              </w:rPr>
              <w:t>”生态环境分区管控</w:t>
            </w:r>
            <w:r>
              <w:rPr/>
              <w:t xml:space="preserve"> </w:t>
            </w:r>
            <w:r>
              <w:rPr>
                <w:spacing w:val="-7"/>
              </w:rPr>
              <w:t>方案》符合性分析见表</w:t>
            </w:r>
            <w:r>
              <w:rPr>
                <w:rFonts w:ascii="Times New Roman" w:hAnsi="Times New Roman" w:eastAsia="Times New Roman" w:cs="Times New Roman"/>
                <w:spacing w:val="-7"/>
              </w:rPr>
              <w:t>1.1-</w:t>
            </w:r>
            <w:r>
              <w:rPr>
                <w:rFonts w:ascii="Times New Roman" w:hAnsi="Times New Roman" w:eastAsia="Times New Roman" w:cs="Times New Roman"/>
                <w:spacing w:val="-14"/>
              </w:rPr>
              <w:t xml:space="preserve"> </w:t>
            </w:r>
            <w:r>
              <w:rPr>
                <w:rFonts w:ascii="Times New Roman" w:hAnsi="Times New Roman" w:eastAsia="Times New Roman" w:cs="Times New Roman"/>
                <w:spacing w:val="-7"/>
              </w:rPr>
              <w:t>1</w:t>
            </w:r>
            <w:r>
              <w:rPr>
                <w:spacing w:val="-7"/>
              </w:rPr>
              <w:t>。本项目在《新疆维吾尔自治区“三</w:t>
            </w:r>
          </w:p>
          <w:p>
            <w:pPr>
              <w:pStyle w:val="TableText"/>
              <w:ind w:left="116"/>
              <w:spacing w:line="219" w:lineRule="auto"/>
              <w:rPr/>
            </w:pPr>
            <w:r>
              <w:rPr>
                <w:spacing w:val="-2"/>
              </w:rPr>
              <w:t>线一单</w:t>
            </w:r>
            <w:r>
              <w:rPr>
                <w:spacing w:val="-88"/>
              </w:rPr>
              <w:t xml:space="preserve"> </w:t>
            </w:r>
            <w:r>
              <w:rPr>
                <w:spacing w:val="-2"/>
              </w:rPr>
              <w:t>”生态环境分区管控方案》中位置见图</w:t>
            </w:r>
            <w:r>
              <w:rPr>
                <w:rFonts w:ascii="Times New Roman" w:hAnsi="Times New Roman" w:eastAsia="Times New Roman" w:cs="Times New Roman"/>
                <w:spacing w:val="-3"/>
              </w:rPr>
              <w:t>1</w:t>
            </w:r>
            <w:r>
              <w:rPr>
                <w:spacing w:val="-3"/>
              </w:rPr>
              <w:t>。</w:t>
            </w:r>
          </w:p>
        </w:tc>
      </w:tr>
    </w:tbl>
    <w:p>
      <w:pPr>
        <w:pStyle w:val="BodyText"/>
        <w:rPr/>
      </w:pPr>
      <w:r/>
    </w:p>
    <w:p>
      <w:pPr>
        <w:sectPr>
          <w:footerReference w:type="default" r:id="rId136"/>
          <w:pgSz w:w="11906" w:h="16839"/>
          <w:pgMar w:top="400" w:right="1687" w:bottom="1211" w:left="1687" w:header="0" w:footer="1049" w:gutter="0"/>
        </w:sectPr>
        <w:rPr/>
      </w:pPr>
    </w:p>
    <w:p>
      <w:pPr>
        <w:pStyle w:val="BodyText"/>
        <w:spacing w:line="250" w:lineRule="auto"/>
        <w:rPr/>
      </w:pPr>
      <w:r>
        <w:drawing>
          <wp:anchor distT="0" distB="0" distL="0" distR="0" simplePos="0" relativeHeight="252727296" behindDoc="1" locked="0" layoutInCell="0" allowOverlap="1">
            <wp:simplePos x="0" y="0"/>
            <wp:positionH relativeFrom="page">
              <wp:posOffset>932688</wp:posOffset>
            </wp:positionH>
            <wp:positionV relativeFrom="page">
              <wp:posOffset>809244</wp:posOffset>
            </wp:positionV>
            <wp:extent cx="8857488" cy="5239511"/>
            <wp:effectExtent l="0" t="0" r="0" b="0"/>
            <wp:wrapNone/>
            <wp:docPr id="130" name="IM 130"/>
            <wp:cNvGraphicFramePr/>
            <a:graphic>
              <a:graphicData uri="http://schemas.openxmlformats.org/drawingml/2006/picture">
                <pic:pic>
                  <pic:nvPicPr>
                    <pic:cNvPr id="130" name="IM 130"/>
                    <pic:cNvPicPr/>
                  </pic:nvPicPr>
                  <pic:blipFill>
                    <a:blip r:embed="rId137"/>
                    <a:stretch>
                      <a:fillRect/>
                    </a:stretch>
                  </pic:blipFill>
                  <pic:spPr>
                    <a:xfrm rot="0">
                      <a:off x="0" y="0"/>
                      <a:ext cx="8857488" cy="5239511"/>
                    </a:xfrm>
                    <a:prstGeom prst="rect">
                      <a:avLst/>
                    </a:prstGeom>
                  </pic:spPr>
                </pic:pic>
              </a:graphicData>
            </a:graphic>
          </wp:anchor>
        </w:drawing>
      </w: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ind w:firstLine="4566"/>
        <w:spacing w:line="1246" w:lineRule="exact"/>
        <w:rPr/>
      </w:pPr>
      <w:r>
        <w:rPr>
          <w:position w:val="-24"/>
        </w:rPr>
        <w:pict>
          <v:group id="_x0000_s64" style="mso-position-vertical-relative:line;mso-position-horizontal-relative:char;width:103.9pt;height:62.3pt;" filled="false" stroked="false" coordsize="2078,1245" coordorigin="0,0">
            <v:shape id="_x0000_s66" style="position:absolute;left:0;top:0;width:2078;height:1245;" filled="false" stroked="false" type="#_x0000_t75">
              <v:imagedata o:title="" r:id="rId138"/>
            </v:shape>
            <v:shape id="_x0000_s68" style="position:absolute;left:-20;top:-20;width:2118;height:1286;" filled="false" stroked="false" type="#_x0000_t202">
              <v:fill on="false"/>
              <v:stroke on="false"/>
              <v:path/>
              <v:imagedata o:title=""/>
              <o:lock v:ext="edit" aspectratio="false"/>
              <v:textbox inset="0mm,0mm,0mm,0mm">
                <w:txbxContent>
                  <w:p>
                    <w:pPr>
                      <w:ind w:left="310"/>
                      <w:spacing w:before="182" w:line="228" w:lineRule="auto"/>
                      <w:rPr>
                        <w:rFonts w:ascii="SimSun" w:hAnsi="SimSun" w:eastAsia="SimSun" w:cs="SimSun"/>
                        <w:sz w:val="20"/>
                        <w:szCs w:val="20"/>
                      </w:rPr>
                    </w:pPr>
                    <w:r>
                      <w:rPr>
                        <w:rFonts w:ascii="SimSun" w:hAnsi="SimSun" w:eastAsia="SimSun" w:cs="SimSun"/>
                        <w:sz w:val="20"/>
                        <w:szCs w:val="20"/>
                        <w:spacing w:val="5"/>
                      </w:rPr>
                      <w:t>项目区</w:t>
                    </w:r>
                  </w:p>
                </w:txbxContent>
              </v:textbox>
            </v:shape>
          </v:group>
        </w:pict>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ind w:left="4482"/>
        <w:spacing w:before="78" w:line="219"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7"/>
        </w:rPr>
        <w:t>图</w:t>
      </w:r>
      <w:r>
        <w:rPr>
          <w:rFonts w:ascii="SimSun" w:hAnsi="SimSun" w:eastAsia="SimSun" w:cs="SimSun"/>
          <w:sz w:val="24"/>
          <w:szCs w:val="24"/>
          <w:spacing w:val="-18"/>
        </w:rPr>
        <w:t xml:space="preserve"> </w:t>
      </w:r>
      <w:r>
        <w:rPr>
          <w:rFonts w:ascii="SimSun" w:hAnsi="SimSun" w:eastAsia="SimSun" w:cs="SimSun"/>
          <w:sz w:val="24"/>
          <w:szCs w:val="24"/>
          <w14:textOutline w14:w="4358" w14:cap="sq" w14:cmpd="sng">
            <w14:solidFill>
              <w14:srgbClr w14:val="000000"/>
            </w14:solidFill>
            <w14:prstDash w14:val="solid"/>
            <w14:bevel/>
          </w14:textOutline>
          <w:spacing w:val="-7"/>
        </w:rPr>
        <w:t>1</w:t>
      </w:r>
      <w:r>
        <w:rPr>
          <w:rFonts w:ascii="SimSun" w:hAnsi="SimSun" w:eastAsia="SimSun" w:cs="SimSun"/>
          <w:sz w:val="24"/>
          <w:szCs w:val="24"/>
          <w:spacing w:val="25"/>
        </w:rPr>
        <w:t xml:space="preserve">  </w:t>
      </w:r>
      <w:r>
        <w:rPr>
          <w:rFonts w:ascii="SimSun" w:hAnsi="SimSun" w:eastAsia="SimSun" w:cs="SimSun"/>
          <w:sz w:val="24"/>
          <w:szCs w:val="24"/>
          <w14:textOutline w14:w="4358" w14:cap="sq" w14:cmpd="sng">
            <w14:solidFill>
              <w14:srgbClr w14:val="000000"/>
            </w14:solidFill>
            <w14:prstDash w14:val="solid"/>
            <w14:bevel/>
          </w14:textOutline>
          <w:spacing w:val="-7"/>
        </w:rPr>
        <w:t>自治区“三线一单</w:t>
      </w:r>
      <w:r>
        <w:rPr>
          <w:rFonts w:ascii="SimSun" w:hAnsi="SimSun" w:eastAsia="SimSun" w:cs="SimSun"/>
          <w:sz w:val="24"/>
          <w:szCs w:val="24"/>
          <w:spacing w:val="-87"/>
        </w:rPr>
        <w:t xml:space="preserve"> </w:t>
      </w:r>
      <w:r>
        <w:rPr>
          <w:rFonts w:ascii="SimSun" w:hAnsi="SimSun" w:eastAsia="SimSun" w:cs="SimSun"/>
          <w:sz w:val="24"/>
          <w:szCs w:val="24"/>
          <w14:textOutline w14:w="4358" w14:cap="sq" w14:cmpd="sng">
            <w14:solidFill>
              <w14:srgbClr w14:val="000000"/>
            </w14:solidFill>
            <w14:prstDash w14:val="solid"/>
            <w14:bevel/>
          </w14:textOutline>
          <w:spacing w:val="-7"/>
        </w:rPr>
        <w:t>”环境管控单元分布图</w:t>
      </w:r>
    </w:p>
    <w:p>
      <w:pPr>
        <w:spacing w:line="219" w:lineRule="auto"/>
        <w:sectPr>
          <w:footerReference w:type="default" r:id="rId16"/>
          <w:pgSz w:w="16839" w:h="11906"/>
          <w:pgMar w:top="400" w:right="1420" w:bottom="400" w:left="1468" w:header="0" w:footer="0" w:gutter="0"/>
        </w:sectPr>
        <w:rPr>
          <w:rFonts w:ascii="SimSun" w:hAnsi="SimSun" w:eastAsia="SimSun" w:cs="SimSun"/>
          <w:sz w:val="24"/>
          <w:szCs w:val="24"/>
        </w:rPr>
      </w:pPr>
    </w:p>
    <w:p>
      <w:pPr>
        <w:pStyle w:val="BodyText"/>
        <w:spacing w:line="285" w:lineRule="auto"/>
        <w:rPr/>
      </w:pPr>
      <w:r/>
    </w:p>
    <w:p>
      <w:pPr>
        <w:pStyle w:val="BodyText"/>
        <w:spacing w:line="285" w:lineRule="auto"/>
        <w:rPr/>
      </w:pPr>
      <w:r/>
    </w:p>
    <w:p>
      <w:pPr>
        <w:pStyle w:val="BodyText"/>
        <w:spacing w:line="285" w:lineRule="auto"/>
        <w:rPr/>
      </w:pPr>
      <w:r/>
    </w:p>
    <w:p>
      <w:pPr>
        <w:pStyle w:val="BodyText"/>
        <w:spacing w:line="286" w:lineRule="auto"/>
        <w:rPr/>
      </w:pPr>
      <w:r/>
    </w:p>
    <w:p>
      <w:pPr>
        <w:pStyle w:val="BodyText"/>
        <w:spacing w:line="286" w:lineRule="auto"/>
        <w:rPr/>
      </w:pPr>
      <w:r/>
    </w:p>
    <w:p>
      <w:pPr>
        <w:ind w:left="2869"/>
        <w:spacing w:before="78" w:line="219"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sz w:val="24"/>
          <w:szCs w:val="24"/>
          <w:b/>
          <w:bCs/>
        </w:rPr>
        <w:t>1.1-1  </w:t>
      </w:r>
      <w:r>
        <w:rPr>
          <w:rFonts w:ascii="SimSun" w:hAnsi="SimSun" w:eastAsia="SimSun" w:cs="SimSun"/>
          <w:sz w:val="24"/>
          <w:szCs w:val="24"/>
          <w14:textOutline w14:w="4358" w14:cap="sq" w14:cmpd="sng">
            <w14:solidFill>
              <w14:srgbClr w14:val="000000"/>
            </w14:solidFill>
            <w14:prstDash w14:val="solid"/>
            <w14:bevel/>
          </w14:textOutline>
        </w:rPr>
        <w:t>与《新疆维吾尔自治区“三线一单</w:t>
      </w:r>
      <w:r>
        <w:rPr>
          <w:rFonts w:ascii="SimSun" w:hAnsi="SimSun" w:eastAsia="SimSun" w:cs="SimSun"/>
          <w:sz w:val="24"/>
          <w:szCs w:val="24"/>
          <w:spacing w:val="-88"/>
        </w:rPr>
        <w:t xml:space="preserve"> </w:t>
      </w:r>
      <w:r>
        <w:rPr>
          <w:rFonts w:ascii="SimSun" w:hAnsi="SimSun" w:eastAsia="SimSun" w:cs="SimSun"/>
          <w:sz w:val="24"/>
          <w:szCs w:val="24"/>
          <w14:textOutline w14:w="4358" w14:cap="sq" w14:cmpd="sng">
            <w14:solidFill>
              <w14:srgbClr w14:val="000000"/>
            </w14:solidFill>
            <w14:prstDash w14:val="solid"/>
            <w14:bevel/>
          </w14:textOutline>
        </w:rPr>
        <w:t>”生态环境分</w:t>
      </w:r>
      <w:r>
        <w:rPr>
          <w:rFonts w:ascii="SimSun" w:hAnsi="SimSun" w:eastAsia="SimSun" w:cs="SimSun"/>
          <w:sz w:val="24"/>
          <w:szCs w:val="24"/>
          <w14:textOutline w14:w="4358" w14:cap="sq" w14:cmpd="sng">
            <w14:solidFill>
              <w14:srgbClr w14:val="000000"/>
            </w14:solidFill>
            <w14:prstDash w14:val="solid"/>
            <w14:bevel/>
          </w14:textOutline>
          <w:spacing w:val="-1"/>
        </w:rPr>
        <w:t>区管控方案》符合性分析</w:t>
      </w:r>
    </w:p>
    <w:tbl>
      <w:tblPr>
        <w:tblStyle w:val="TableNormal"/>
        <w:tblW w:w="14268"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66"/>
        <w:gridCol w:w="9467"/>
        <w:gridCol w:w="3092"/>
        <w:gridCol w:w="843"/>
      </w:tblGrid>
      <w:tr>
        <w:trPr>
          <w:trHeight w:val="407" w:hRule="atLeast"/>
        </w:trPr>
        <w:tc>
          <w:tcPr>
            <w:tcW w:w="10333" w:type="dxa"/>
            <w:vAlign w:val="top"/>
            <w:gridSpan w:val="2"/>
            <w:tcBorders>
              <w:left w:val="single" w:color="000000" w:sz="10" w:space="0"/>
              <w:top w:val="single" w:color="000000" w:sz="10" w:space="0"/>
            </w:tcBorders>
          </w:tcPr>
          <w:p>
            <w:pPr>
              <w:pStyle w:val="TableText"/>
              <w:ind w:left="4754"/>
              <w:spacing w:before="120" w:line="228" w:lineRule="auto"/>
              <w:rPr>
                <w:sz w:val="20"/>
                <w:szCs w:val="20"/>
              </w:rPr>
            </w:pPr>
            <w:r>
              <w:rPr>
                <w:sz w:val="20"/>
                <w:szCs w:val="20"/>
                <w:spacing w:val="6"/>
              </w:rPr>
              <w:t>管控要求</w:t>
            </w:r>
          </w:p>
        </w:tc>
        <w:tc>
          <w:tcPr>
            <w:tcW w:w="3092" w:type="dxa"/>
            <w:vAlign w:val="top"/>
            <w:tcBorders>
              <w:top w:val="single" w:color="000000" w:sz="10" w:space="0"/>
            </w:tcBorders>
          </w:tcPr>
          <w:p>
            <w:pPr>
              <w:pStyle w:val="TableText"/>
              <w:ind w:left="934"/>
              <w:spacing w:before="120" w:line="228" w:lineRule="auto"/>
              <w:rPr>
                <w:sz w:val="20"/>
                <w:szCs w:val="20"/>
              </w:rPr>
            </w:pPr>
            <w:r>
              <w:rPr>
                <w:sz w:val="20"/>
                <w:szCs w:val="20"/>
                <w:spacing w:val="7"/>
              </w:rPr>
              <w:t>项目建设内容</w:t>
            </w:r>
          </w:p>
        </w:tc>
        <w:tc>
          <w:tcPr>
            <w:tcW w:w="843" w:type="dxa"/>
            <w:vAlign w:val="top"/>
            <w:tcBorders>
              <w:right w:val="single" w:color="000000" w:sz="10" w:space="0"/>
              <w:top w:val="single" w:color="000000" w:sz="10" w:space="0"/>
            </w:tcBorders>
          </w:tcPr>
          <w:p>
            <w:pPr>
              <w:pStyle w:val="TableText"/>
              <w:ind w:left="113"/>
              <w:spacing w:before="120" w:line="228" w:lineRule="auto"/>
              <w:rPr>
                <w:sz w:val="20"/>
                <w:szCs w:val="20"/>
              </w:rPr>
            </w:pPr>
            <w:r>
              <w:rPr>
                <w:sz w:val="20"/>
                <w:szCs w:val="20"/>
                <w:spacing w:val="6"/>
              </w:rPr>
              <w:t>符合性</w:t>
            </w:r>
          </w:p>
        </w:tc>
      </w:tr>
      <w:tr>
        <w:trPr>
          <w:trHeight w:val="5746" w:hRule="atLeast"/>
        </w:trPr>
        <w:tc>
          <w:tcPr>
            <w:tcW w:w="866" w:type="dxa"/>
            <w:vAlign w:val="top"/>
            <w:tcBorders>
              <w:left w:val="single" w:color="000000" w:sz="10" w:space="0"/>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pStyle w:val="TableText"/>
              <w:ind w:left="115" w:right="117" w:firstLine="3"/>
              <w:spacing w:before="65" w:line="262" w:lineRule="auto"/>
              <w:rPr>
                <w:sz w:val="20"/>
                <w:szCs w:val="20"/>
              </w:rPr>
            </w:pPr>
            <w:r>
              <w:rPr>
                <w:sz w:val="20"/>
                <w:szCs w:val="20"/>
                <w:spacing w:val="4"/>
              </w:rPr>
              <w:t>空间布</w:t>
            </w:r>
            <w:r>
              <w:rPr>
                <w:sz w:val="20"/>
                <w:szCs w:val="20"/>
                <w:spacing w:val="1"/>
              </w:rPr>
              <w:t xml:space="preserve"> </w:t>
            </w:r>
            <w:r>
              <w:rPr>
                <w:sz w:val="20"/>
                <w:szCs w:val="20"/>
                <w:spacing w:val="6"/>
              </w:rPr>
              <w:t>局约束</w:t>
            </w:r>
          </w:p>
        </w:tc>
        <w:tc>
          <w:tcPr>
            <w:tcW w:w="9467" w:type="dxa"/>
            <w:vAlign w:val="top"/>
          </w:tcPr>
          <w:p>
            <w:pPr>
              <w:pStyle w:val="TableText"/>
              <w:ind w:left="13" w:firstLine="1"/>
              <w:spacing w:before="79" w:line="272" w:lineRule="auto"/>
              <w:jc w:val="both"/>
              <w:rPr>
                <w:sz w:val="20"/>
                <w:szCs w:val="20"/>
              </w:rPr>
            </w:pPr>
            <w:r>
              <w:rPr>
                <w:rFonts w:ascii="Times New Roman" w:hAnsi="Times New Roman" w:eastAsia="Times New Roman" w:cs="Times New Roman"/>
                <w:sz w:val="20"/>
                <w:szCs w:val="20"/>
                <w:spacing w:val="7"/>
              </w:rPr>
              <w:t>1</w:t>
            </w:r>
            <w:r>
              <w:rPr>
                <w:sz w:val="20"/>
                <w:szCs w:val="20"/>
                <w:spacing w:val="7"/>
              </w:rPr>
              <w:t>【</w:t>
            </w:r>
            <w:r>
              <w:rPr>
                <w:rFonts w:ascii="Times New Roman" w:hAnsi="Times New Roman" w:eastAsia="Times New Roman" w:cs="Times New Roman"/>
                <w:sz w:val="20"/>
                <w:szCs w:val="20"/>
                <w:spacing w:val="7"/>
              </w:rPr>
              <w:t>A6.</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7"/>
              </w:rPr>
              <w:t>1-</w:t>
            </w:r>
            <w:r>
              <w:rPr>
                <w:rFonts w:ascii="Times New Roman" w:hAnsi="Times New Roman" w:eastAsia="Times New Roman" w:cs="Times New Roman"/>
                <w:sz w:val="20"/>
                <w:szCs w:val="20"/>
                <w:spacing w:val="-28"/>
              </w:rPr>
              <w:t xml:space="preserve"> </w:t>
            </w:r>
            <w:r>
              <w:rPr>
                <w:rFonts w:ascii="Times New Roman" w:hAnsi="Times New Roman" w:eastAsia="Times New Roman" w:cs="Times New Roman"/>
                <w:sz w:val="20"/>
                <w:szCs w:val="20"/>
                <w:spacing w:val="7"/>
              </w:rPr>
              <w:t>1</w:t>
            </w:r>
            <w:r>
              <w:rPr>
                <w:sz w:val="20"/>
                <w:szCs w:val="20"/>
                <w:spacing w:val="7"/>
              </w:rPr>
              <w:t>】根据产业集聚区块的功能定位，建立分区差别化的产业准入条件。严格控制重</w:t>
            </w:r>
            <w:r>
              <w:rPr>
                <w:sz w:val="20"/>
                <w:szCs w:val="20"/>
                <w:spacing w:val="6"/>
              </w:rPr>
              <w:t>要水系源头地</w:t>
            </w:r>
            <w:r>
              <w:rPr>
                <w:sz w:val="20"/>
                <w:szCs w:val="20"/>
              </w:rPr>
              <w:t xml:space="preserve"> </w:t>
            </w:r>
            <w:r>
              <w:rPr>
                <w:sz w:val="20"/>
                <w:szCs w:val="20"/>
                <w:spacing w:val="9"/>
              </w:rPr>
              <w:t>区和重要生态功能区“高污染、高环境风险产品</w:t>
            </w:r>
            <w:r>
              <w:rPr>
                <w:sz w:val="20"/>
                <w:szCs w:val="20"/>
                <w:spacing w:val="-70"/>
              </w:rPr>
              <w:t xml:space="preserve"> </w:t>
            </w:r>
            <w:r>
              <w:rPr>
                <w:sz w:val="20"/>
                <w:szCs w:val="20"/>
                <w:spacing w:val="9"/>
              </w:rPr>
              <w:t>”工业项目准入。优化完善区域产业布局，合理规划布</w:t>
            </w:r>
            <w:r>
              <w:rPr>
                <w:sz w:val="20"/>
                <w:szCs w:val="20"/>
              </w:rPr>
              <w:t xml:space="preserve"> </w:t>
            </w:r>
            <w:r>
              <w:rPr>
                <w:sz w:val="20"/>
                <w:szCs w:val="20"/>
                <w:spacing w:val="8"/>
              </w:rPr>
              <w:t>局“高污染、高环境风险产品</w:t>
            </w:r>
            <w:r>
              <w:rPr>
                <w:sz w:val="20"/>
                <w:szCs w:val="20"/>
                <w:spacing w:val="-52"/>
              </w:rPr>
              <w:t xml:space="preserve"> </w:t>
            </w:r>
            <w:r>
              <w:rPr>
                <w:sz w:val="20"/>
                <w:szCs w:val="20"/>
                <w:spacing w:val="8"/>
              </w:rPr>
              <w:t>”工业项目，鼓励对“高污染、高环境风险产品</w:t>
            </w:r>
            <w:r>
              <w:rPr>
                <w:sz w:val="20"/>
                <w:szCs w:val="20"/>
                <w:spacing w:val="-73"/>
              </w:rPr>
              <w:t xml:space="preserve"> </w:t>
            </w:r>
            <w:r>
              <w:rPr>
                <w:sz w:val="20"/>
                <w:szCs w:val="20"/>
                <w:spacing w:val="8"/>
              </w:rPr>
              <w:t>”工业项目进行淘汰和提</w:t>
            </w:r>
          </w:p>
          <w:p>
            <w:pPr>
              <w:pStyle w:val="TableText"/>
              <w:ind w:left="223"/>
              <w:spacing w:before="74" w:line="228" w:lineRule="auto"/>
              <w:rPr>
                <w:sz w:val="20"/>
                <w:szCs w:val="20"/>
              </w:rPr>
            </w:pPr>
            <w:r>
              <w:rPr>
                <w:sz w:val="20"/>
                <w:szCs w:val="20"/>
                <w:spacing w:val="10"/>
              </w:rPr>
              <w:t>升改造。合理规划居住区与工业功能区，在</w:t>
            </w:r>
            <w:r>
              <w:rPr>
                <w:sz w:val="20"/>
                <w:szCs w:val="20"/>
                <w:spacing w:val="9"/>
              </w:rPr>
              <w:t>居住区和工业区、工业企业之间设置防护绿化隔离带。</w:t>
            </w:r>
          </w:p>
          <w:p>
            <w:pPr>
              <w:pStyle w:val="TableText"/>
              <w:ind w:left="27"/>
              <w:spacing w:before="72" w:line="227" w:lineRule="auto"/>
              <w:rPr>
                <w:sz w:val="20"/>
                <w:szCs w:val="20"/>
              </w:rPr>
            </w:pPr>
            <w:r>
              <w:rPr>
                <w:sz w:val="20"/>
                <w:szCs w:val="20"/>
                <w:spacing w:val="9"/>
              </w:rPr>
              <w:t>【</w:t>
            </w:r>
            <w:r>
              <w:rPr>
                <w:rFonts w:ascii="Times New Roman" w:hAnsi="Times New Roman" w:eastAsia="Times New Roman" w:cs="Times New Roman"/>
                <w:sz w:val="20"/>
                <w:szCs w:val="20"/>
                <w:spacing w:val="9"/>
              </w:rPr>
              <w:t>A6.</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9"/>
              </w:rPr>
              <w:t>1-2</w:t>
            </w:r>
            <w:r>
              <w:rPr>
                <w:sz w:val="20"/>
                <w:szCs w:val="20"/>
                <w:spacing w:val="9"/>
              </w:rPr>
              <w:t>】大气环境重点管控区内：禁止引进国家和自治区明令禁止或</w:t>
            </w:r>
            <w:r>
              <w:rPr>
                <w:sz w:val="20"/>
                <w:szCs w:val="20"/>
                <w:spacing w:val="8"/>
              </w:rPr>
              <w:t>淘汰的产业及工艺、园区规划的</w:t>
            </w:r>
          </w:p>
          <w:p>
            <w:pPr>
              <w:pStyle w:val="TableText"/>
              <w:ind w:left="2952" w:right="10" w:hanging="2938"/>
              <w:spacing w:before="73" w:line="262" w:lineRule="auto"/>
              <w:rPr>
                <w:sz w:val="20"/>
                <w:szCs w:val="20"/>
              </w:rPr>
            </w:pPr>
            <w:r>
              <w:rPr>
                <w:sz w:val="20"/>
                <w:szCs w:val="20"/>
                <w:spacing w:val="9"/>
              </w:rPr>
              <w:t>项目；引进符合国家产业政策和清洁生产要求的、采用先进生产</w:t>
            </w:r>
            <w:r>
              <w:rPr>
                <w:sz w:val="20"/>
                <w:szCs w:val="20"/>
                <w:spacing w:val="8"/>
              </w:rPr>
              <w:t>工艺和设备的、</w:t>
            </w:r>
            <w:r>
              <w:rPr>
                <w:sz w:val="20"/>
                <w:szCs w:val="20"/>
                <w:spacing w:val="-52"/>
              </w:rPr>
              <w:t xml:space="preserve"> </w:t>
            </w:r>
            <w:r>
              <w:rPr>
                <w:sz w:val="20"/>
                <w:szCs w:val="20"/>
                <w:spacing w:val="8"/>
              </w:rPr>
              <w:t>自动化程度高的、具有</w:t>
            </w:r>
            <w:r>
              <w:rPr>
                <w:sz w:val="20"/>
                <w:szCs w:val="20"/>
              </w:rPr>
              <w:t xml:space="preserve"> </w:t>
            </w:r>
            <w:r>
              <w:rPr>
                <w:sz w:val="20"/>
                <w:szCs w:val="20"/>
                <w:spacing w:val="8"/>
              </w:rPr>
              <w:t>可靠先进的污染治理技术的生产项目。</w:t>
            </w:r>
          </w:p>
          <w:p>
            <w:pPr>
              <w:pStyle w:val="TableText"/>
              <w:ind w:left="10" w:right="10" w:firstLine="16"/>
              <w:spacing w:before="70" w:line="286" w:lineRule="auto"/>
              <w:rPr>
                <w:sz w:val="20"/>
                <w:szCs w:val="20"/>
              </w:rPr>
            </w:pPr>
            <w:r>
              <w:rPr>
                <w:sz w:val="20"/>
                <w:szCs w:val="20"/>
                <w:spacing w:val="9"/>
              </w:rPr>
              <w:t>【</w:t>
            </w:r>
            <w:r>
              <w:rPr>
                <w:rFonts w:ascii="Times New Roman" w:hAnsi="Times New Roman" w:eastAsia="Times New Roman" w:cs="Times New Roman"/>
                <w:sz w:val="20"/>
                <w:szCs w:val="20"/>
                <w:spacing w:val="9"/>
              </w:rPr>
              <w:t>A6.</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9"/>
              </w:rPr>
              <w:t>1-3</w:t>
            </w:r>
            <w:r>
              <w:rPr>
                <w:sz w:val="20"/>
                <w:szCs w:val="20"/>
                <w:spacing w:val="9"/>
              </w:rPr>
              <w:t>】水环境重点管控区内：制定产业准入对污染排放不达标的企</w:t>
            </w:r>
            <w:r>
              <w:rPr>
                <w:sz w:val="20"/>
                <w:szCs w:val="20"/>
                <w:spacing w:val="8"/>
              </w:rPr>
              <w:t>业限期整改，确保水污染物达标</w:t>
            </w:r>
            <w:r>
              <w:rPr>
                <w:sz w:val="20"/>
                <w:szCs w:val="20"/>
              </w:rPr>
              <w:t xml:space="preserve"> </w:t>
            </w:r>
            <w:r>
              <w:rPr>
                <w:sz w:val="20"/>
                <w:szCs w:val="20"/>
                <w:spacing w:val="10"/>
              </w:rPr>
              <w:t>排放；加快推进生态园区建设和循环化改造，完善污水集中处理设施及再生水</w:t>
            </w:r>
            <w:r>
              <w:rPr>
                <w:sz w:val="20"/>
                <w:szCs w:val="20"/>
                <w:spacing w:val="9"/>
              </w:rPr>
              <w:t>回用系统，加强配套管网</w:t>
            </w:r>
            <w:r>
              <w:rPr>
                <w:sz w:val="20"/>
                <w:szCs w:val="20"/>
              </w:rPr>
              <w:t xml:space="preserve"> </w:t>
            </w:r>
            <w:r>
              <w:rPr>
                <w:sz w:val="20"/>
                <w:szCs w:val="20"/>
                <w:spacing w:val="10"/>
              </w:rPr>
              <w:t>建设，并确保稳定运行，工业废水必须经预处理达到集中处理要求后，方可进</w:t>
            </w:r>
            <w:r>
              <w:rPr>
                <w:sz w:val="20"/>
                <w:szCs w:val="20"/>
                <w:spacing w:val="9"/>
              </w:rPr>
              <w:t>入污水集中处理设施，不</w:t>
            </w:r>
            <w:r>
              <w:rPr>
                <w:sz w:val="20"/>
                <w:szCs w:val="20"/>
              </w:rPr>
              <w:t xml:space="preserve"> </w:t>
            </w:r>
            <w:r>
              <w:rPr>
                <w:sz w:val="20"/>
                <w:szCs w:val="20"/>
                <w:spacing w:val="10"/>
              </w:rPr>
              <w:t>断提高污水集中处理中水回用率。加强城镇配套管网建设，提高城镇生活污水</w:t>
            </w:r>
            <w:r>
              <w:rPr>
                <w:sz w:val="20"/>
                <w:szCs w:val="20"/>
                <w:spacing w:val="9"/>
              </w:rPr>
              <w:t>出水排放标准，推进城镇</w:t>
            </w:r>
            <w:r>
              <w:rPr>
                <w:sz w:val="20"/>
                <w:szCs w:val="20"/>
              </w:rPr>
              <w:t xml:space="preserve"> </w:t>
            </w:r>
            <w:r>
              <w:rPr>
                <w:sz w:val="20"/>
                <w:szCs w:val="20"/>
                <w:spacing w:val="10"/>
              </w:rPr>
              <w:t>生活污水深度治理，提高污水厂脱氮除磷效率。对农业污染重点管控区，推进</w:t>
            </w:r>
            <w:r>
              <w:rPr>
                <w:sz w:val="20"/>
                <w:szCs w:val="20"/>
                <w:spacing w:val="9"/>
              </w:rPr>
              <w:t>畜禽养殖禁养区、限养区</w:t>
            </w:r>
            <w:r>
              <w:rPr>
                <w:sz w:val="20"/>
                <w:szCs w:val="20"/>
              </w:rPr>
              <w:t xml:space="preserve"> </w:t>
            </w:r>
            <w:r>
              <w:rPr>
                <w:sz w:val="20"/>
                <w:szCs w:val="20"/>
                <w:spacing w:val="10"/>
              </w:rPr>
              <w:t>的划定，限期依法关闭或搬迁禁养区内的畜禽养殖场，对现有规模化畜禽养殖</w:t>
            </w:r>
            <w:r>
              <w:rPr>
                <w:sz w:val="20"/>
                <w:szCs w:val="20"/>
                <w:spacing w:val="9"/>
              </w:rPr>
              <w:t>配套建设粪便污水贮存、</w:t>
            </w:r>
            <w:r>
              <w:rPr>
                <w:sz w:val="20"/>
                <w:szCs w:val="20"/>
              </w:rPr>
              <w:t xml:space="preserve"> </w:t>
            </w:r>
            <w:r>
              <w:rPr>
                <w:sz w:val="20"/>
                <w:szCs w:val="20"/>
                <w:spacing w:val="10"/>
              </w:rPr>
              <w:t>处理、利用设施，鼓励设施农业循环发展模式，推进养殖废弃物资源化利用。</w:t>
            </w:r>
            <w:r>
              <w:rPr>
                <w:sz w:val="20"/>
                <w:szCs w:val="20"/>
                <w:spacing w:val="9"/>
              </w:rPr>
              <w:t>控制化肥农药使用量，推</w:t>
            </w:r>
          </w:p>
          <w:p>
            <w:pPr>
              <w:pStyle w:val="TableText"/>
              <w:ind w:left="220"/>
              <w:spacing w:before="73" w:line="227" w:lineRule="auto"/>
              <w:rPr>
                <w:sz w:val="20"/>
                <w:szCs w:val="20"/>
              </w:rPr>
            </w:pPr>
            <w:r>
              <w:rPr>
                <w:sz w:val="20"/>
                <w:szCs w:val="20"/>
                <w:spacing w:val="10"/>
              </w:rPr>
              <w:t>进农膜回收及加工再利用，农药化肥等包装废弃物的</w:t>
            </w:r>
            <w:r>
              <w:rPr>
                <w:sz w:val="20"/>
                <w:szCs w:val="20"/>
                <w:spacing w:val="9"/>
              </w:rPr>
              <w:t>安全收集处置设施建设，降低农业污染负荷。</w:t>
            </w:r>
          </w:p>
          <w:p>
            <w:pPr>
              <w:pStyle w:val="TableText"/>
              <w:ind w:left="17" w:hanging="18"/>
              <w:spacing w:before="76" w:line="261" w:lineRule="auto"/>
              <w:rPr>
                <w:sz w:val="20"/>
                <w:szCs w:val="20"/>
              </w:rPr>
            </w:pPr>
            <w:r>
              <w:rPr>
                <w:sz w:val="20"/>
                <w:szCs w:val="20"/>
                <w:spacing w:val="6"/>
              </w:rPr>
              <w:t>【</w:t>
            </w:r>
            <w:r>
              <w:rPr>
                <w:rFonts w:ascii="Times New Roman" w:hAnsi="Times New Roman" w:eastAsia="Times New Roman" w:cs="Times New Roman"/>
                <w:sz w:val="20"/>
                <w:szCs w:val="20"/>
                <w:spacing w:val="6"/>
              </w:rPr>
              <w:t>A6.</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6"/>
              </w:rPr>
              <w:t>1-4</w:t>
            </w:r>
            <w:r>
              <w:rPr>
                <w:sz w:val="20"/>
                <w:szCs w:val="20"/>
                <w:spacing w:val="6"/>
              </w:rPr>
              <w:t>】土壤环境重点管控区内：引入新建产业或企业时，</w:t>
            </w:r>
            <w:r>
              <w:rPr>
                <w:sz w:val="20"/>
                <w:szCs w:val="20"/>
                <w:spacing w:val="5"/>
              </w:rPr>
              <w:t>应结合产业发展规划，充分考虑企业类型、</w:t>
            </w:r>
            <w:r>
              <w:rPr>
                <w:sz w:val="20"/>
                <w:szCs w:val="20"/>
              </w:rPr>
              <w:t xml:space="preserve"> </w:t>
            </w:r>
            <w:r>
              <w:rPr>
                <w:sz w:val="20"/>
                <w:szCs w:val="20"/>
                <w:spacing w:val="8"/>
              </w:rPr>
              <w:t>污染物排放特征以及外环境情况等因素，避免企业形成交叉污染；涉重金属、持久性有机物等有毒有害</w:t>
            </w:r>
          </w:p>
          <w:p>
            <w:pPr>
              <w:pStyle w:val="TableText"/>
              <w:ind w:left="852"/>
              <w:spacing w:before="73" w:line="202" w:lineRule="auto"/>
              <w:rPr>
                <w:sz w:val="20"/>
                <w:szCs w:val="20"/>
              </w:rPr>
            </w:pPr>
            <w:r>
              <w:rPr>
                <w:sz w:val="20"/>
                <w:szCs w:val="20"/>
                <w:spacing w:val="9"/>
              </w:rPr>
              <w:t>污染物工业企业退出用地，须经评估、治理，满足后续相应用地土壤环境质量要求。</w:t>
            </w:r>
          </w:p>
        </w:tc>
        <w:tc>
          <w:tcPr>
            <w:tcW w:w="3092" w:type="dxa"/>
            <w:vAlign w:val="top"/>
          </w:tcPr>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16"/>
              <w:spacing w:before="65" w:line="284" w:lineRule="auto"/>
              <w:jc w:val="both"/>
              <w:rPr>
                <w:sz w:val="20"/>
                <w:szCs w:val="20"/>
              </w:rPr>
            </w:pPr>
            <w:r>
              <w:rPr>
                <w:sz w:val="20"/>
                <w:szCs w:val="20"/>
                <w:spacing w:val="4"/>
              </w:rPr>
              <w:t>本项目不属于高污染、高环境风险</w:t>
            </w:r>
            <w:r>
              <w:rPr>
                <w:sz w:val="20"/>
                <w:szCs w:val="20"/>
                <w:spacing w:val="8"/>
              </w:rPr>
              <w:t xml:space="preserve"> </w:t>
            </w:r>
            <w:r>
              <w:rPr>
                <w:sz w:val="20"/>
                <w:szCs w:val="20"/>
                <w:spacing w:val="4"/>
              </w:rPr>
              <w:t>项目；与居住区有一定距离；采用</w:t>
            </w:r>
            <w:r>
              <w:rPr>
                <w:sz w:val="20"/>
                <w:szCs w:val="20"/>
                <w:spacing w:val="9"/>
              </w:rPr>
              <w:t xml:space="preserve"> </w:t>
            </w:r>
            <w:r>
              <w:rPr>
                <w:sz w:val="20"/>
                <w:szCs w:val="20"/>
                <w:spacing w:val="4"/>
              </w:rPr>
              <w:t>先进的生产工艺和设备，符合国家</w:t>
            </w:r>
            <w:r>
              <w:rPr>
                <w:sz w:val="20"/>
                <w:szCs w:val="20"/>
                <w:spacing w:val="9"/>
              </w:rPr>
              <w:t xml:space="preserve"> </w:t>
            </w:r>
            <w:r>
              <w:rPr>
                <w:sz w:val="20"/>
                <w:szCs w:val="20"/>
                <w:spacing w:val="4"/>
              </w:rPr>
              <w:t>产业政策；不属于国家和自治区明</w:t>
            </w:r>
            <w:r>
              <w:rPr>
                <w:sz w:val="20"/>
                <w:szCs w:val="20"/>
                <w:spacing w:val="9"/>
              </w:rPr>
              <w:t xml:space="preserve"> </w:t>
            </w:r>
            <w:r>
              <w:rPr>
                <w:sz w:val="20"/>
                <w:szCs w:val="20"/>
                <w:spacing w:val="4"/>
              </w:rPr>
              <w:t>令禁止或淘汰的产业及工艺；本项</w:t>
            </w:r>
            <w:r>
              <w:rPr>
                <w:sz w:val="20"/>
                <w:szCs w:val="20"/>
                <w:spacing w:val="9"/>
              </w:rPr>
              <w:t xml:space="preserve"> </w:t>
            </w:r>
            <w:r>
              <w:rPr>
                <w:sz w:val="20"/>
                <w:szCs w:val="20"/>
                <w:spacing w:val="4"/>
              </w:rPr>
              <w:t>目不产生生产废水；污染土壤可能</w:t>
            </w:r>
          </w:p>
          <w:p>
            <w:pPr>
              <w:pStyle w:val="TableText"/>
              <w:ind w:left="1142"/>
              <w:spacing w:before="72" w:line="228" w:lineRule="auto"/>
              <w:rPr>
                <w:sz w:val="20"/>
                <w:szCs w:val="20"/>
              </w:rPr>
            </w:pPr>
            <w:r>
              <w:rPr>
                <w:sz w:val="20"/>
                <w:szCs w:val="20"/>
                <w:spacing w:val="4"/>
              </w:rPr>
              <w:t>性很小。</w:t>
            </w:r>
          </w:p>
        </w:tc>
        <w:tc>
          <w:tcPr>
            <w:tcW w:w="843" w:type="dxa"/>
            <w:vAlign w:val="top"/>
            <w:tcBorders>
              <w:right w:val="single" w:color="000000" w:sz="10" w:space="0"/>
            </w:tcBorders>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219"/>
              <w:spacing w:before="65" w:line="228" w:lineRule="auto"/>
              <w:rPr>
                <w:sz w:val="20"/>
                <w:szCs w:val="20"/>
              </w:rPr>
            </w:pPr>
            <w:r>
              <w:rPr>
                <w:sz w:val="20"/>
                <w:szCs w:val="20"/>
                <w:spacing w:val="3"/>
              </w:rPr>
              <w:t>符合</w:t>
            </w:r>
          </w:p>
        </w:tc>
      </w:tr>
      <w:tr>
        <w:trPr>
          <w:trHeight w:val="1622" w:hRule="atLeast"/>
        </w:trPr>
        <w:tc>
          <w:tcPr>
            <w:tcW w:w="866" w:type="dxa"/>
            <w:vAlign w:val="top"/>
            <w:tcBorders>
              <w:left w:val="single" w:color="000000" w:sz="10" w:space="0"/>
              <w:bottom w:val="single" w:color="000000" w:sz="10" w:space="0"/>
            </w:tcBorders>
          </w:tcPr>
          <w:p>
            <w:pPr>
              <w:spacing w:line="349" w:lineRule="auto"/>
              <w:rPr>
                <w:rFonts w:ascii="Arial"/>
                <w:sz w:val="21"/>
              </w:rPr>
            </w:pPr>
            <w:r/>
          </w:p>
          <w:p>
            <w:pPr>
              <w:pStyle w:val="TableText"/>
              <w:ind w:left="114"/>
              <w:spacing w:before="65" w:line="228" w:lineRule="auto"/>
              <w:rPr>
                <w:sz w:val="20"/>
                <w:szCs w:val="20"/>
              </w:rPr>
            </w:pPr>
            <w:r>
              <w:rPr>
                <w:sz w:val="20"/>
                <w:szCs w:val="20"/>
                <w:spacing w:val="6"/>
              </w:rPr>
              <w:t>污染物</w:t>
            </w:r>
          </w:p>
          <w:p>
            <w:pPr>
              <w:pStyle w:val="TableText"/>
              <w:ind w:left="113"/>
              <w:spacing w:before="73" w:line="228" w:lineRule="auto"/>
              <w:rPr>
                <w:sz w:val="20"/>
                <w:szCs w:val="20"/>
              </w:rPr>
            </w:pPr>
            <w:r>
              <w:rPr>
                <w:sz w:val="20"/>
                <w:szCs w:val="20"/>
                <w:spacing w:val="6"/>
              </w:rPr>
              <w:t>排放管</w:t>
            </w:r>
          </w:p>
          <w:p>
            <w:pPr>
              <w:pStyle w:val="TableText"/>
              <w:ind w:left="323"/>
              <w:spacing w:before="72" w:line="228" w:lineRule="auto"/>
              <w:rPr>
                <w:sz w:val="20"/>
                <w:szCs w:val="20"/>
              </w:rPr>
            </w:pPr>
            <w:r>
              <w:rPr>
                <w:sz w:val="20"/>
                <w:szCs w:val="20"/>
                <w:spacing w:val="1"/>
              </w:rPr>
              <w:t>控</w:t>
            </w:r>
          </w:p>
        </w:tc>
        <w:tc>
          <w:tcPr>
            <w:tcW w:w="9467" w:type="dxa"/>
            <w:vAlign w:val="top"/>
            <w:tcBorders>
              <w:bottom w:val="single" w:color="000000" w:sz="10" w:space="0"/>
            </w:tcBorders>
          </w:tcPr>
          <w:p>
            <w:pPr>
              <w:pStyle w:val="TableText"/>
              <w:ind w:left="9" w:right="10" w:firstLine="17"/>
              <w:spacing w:before="259" w:line="272" w:lineRule="auto"/>
              <w:jc w:val="both"/>
              <w:rPr>
                <w:sz w:val="20"/>
                <w:szCs w:val="20"/>
              </w:rPr>
            </w:pPr>
            <w:r>
              <w:rPr>
                <w:sz w:val="20"/>
                <w:szCs w:val="20"/>
                <w:spacing w:val="9"/>
              </w:rPr>
              <w:t>【</w:t>
            </w:r>
            <w:r>
              <w:rPr>
                <w:rFonts w:ascii="Times New Roman" w:hAnsi="Times New Roman" w:eastAsia="Times New Roman" w:cs="Times New Roman"/>
                <w:sz w:val="20"/>
                <w:szCs w:val="20"/>
                <w:spacing w:val="9"/>
              </w:rPr>
              <w:t>A6.2-</w:t>
            </w:r>
            <w:r>
              <w:rPr>
                <w:rFonts w:ascii="Times New Roman" w:hAnsi="Times New Roman" w:eastAsia="Times New Roman" w:cs="Times New Roman"/>
                <w:sz w:val="20"/>
                <w:szCs w:val="20"/>
                <w:spacing w:val="-27"/>
              </w:rPr>
              <w:t xml:space="preserve"> </w:t>
            </w:r>
            <w:r>
              <w:rPr>
                <w:rFonts w:ascii="Times New Roman" w:hAnsi="Times New Roman" w:eastAsia="Times New Roman" w:cs="Times New Roman"/>
                <w:sz w:val="20"/>
                <w:szCs w:val="20"/>
                <w:spacing w:val="9"/>
              </w:rPr>
              <w:t>1</w:t>
            </w:r>
            <w:r>
              <w:rPr>
                <w:sz w:val="20"/>
                <w:szCs w:val="20"/>
                <w:spacing w:val="9"/>
              </w:rPr>
              <w:t>】严格实施污染物总量控制制度，根据区域环境质量改善目标，削</w:t>
            </w:r>
            <w:r>
              <w:rPr>
                <w:sz w:val="20"/>
                <w:szCs w:val="20"/>
                <w:spacing w:val="8"/>
              </w:rPr>
              <w:t>减污染物排放总量。新建工</w:t>
            </w:r>
            <w:r>
              <w:rPr>
                <w:sz w:val="20"/>
                <w:szCs w:val="20"/>
              </w:rPr>
              <w:t xml:space="preserve"> </w:t>
            </w:r>
            <w:r>
              <w:rPr>
                <w:sz w:val="20"/>
                <w:szCs w:val="20"/>
                <w:spacing w:val="10"/>
              </w:rPr>
              <w:t>业项目污染物排放水平要达到同行业国内先进水平。加快落实污水处理厂建设及</w:t>
            </w:r>
            <w:r>
              <w:rPr>
                <w:sz w:val="20"/>
                <w:szCs w:val="20"/>
                <w:spacing w:val="9"/>
              </w:rPr>
              <w:t>提升改造，推进工业园</w:t>
            </w:r>
            <w:r>
              <w:rPr>
                <w:sz w:val="20"/>
                <w:szCs w:val="20"/>
              </w:rPr>
              <w:t xml:space="preserve"> </w:t>
            </w:r>
            <w:r>
              <w:rPr>
                <w:sz w:val="20"/>
                <w:szCs w:val="20"/>
                <w:spacing w:val="10"/>
              </w:rPr>
              <w:t>区（工业企业）污水处理综合利用设施建设，所有企业实现稳定达标排放。加强</w:t>
            </w:r>
            <w:r>
              <w:rPr>
                <w:sz w:val="20"/>
                <w:szCs w:val="20"/>
                <w:spacing w:val="9"/>
              </w:rPr>
              <w:t>土壤和地下水污染防治</w:t>
            </w:r>
          </w:p>
          <w:p>
            <w:pPr>
              <w:pStyle w:val="TableText"/>
              <w:ind w:left="4320"/>
              <w:spacing w:before="74" w:line="228" w:lineRule="auto"/>
              <w:rPr>
                <w:sz w:val="20"/>
                <w:szCs w:val="20"/>
              </w:rPr>
            </w:pPr>
            <w:r>
              <w:rPr>
                <w:sz w:val="20"/>
                <w:szCs w:val="20"/>
                <w:spacing w:val="4"/>
              </w:rPr>
              <w:t>与修复。</w:t>
            </w:r>
          </w:p>
        </w:tc>
        <w:tc>
          <w:tcPr>
            <w:tcW w:w="3092" w:type="dxa"/>
            <w:vAlign w:val="top"/>
            <w:tcBorders>
              <w:bottom w:val="single" w:color="000000" w:sz="10" w:space="0"/>
            </w:tcBorders>
          </w:tcPr>
          <w:p>
            <w:pPr>
              <w:pStyle w:val="TableText"/>
              <w:ind w:left="16" w:firstLine="75"/>
              <w:spacing w:before="95" w:line="280" w:lineRule="auto"/>
              <w:jc w:val="both"/>
              <w:rPr>
                <w:sz w:val="20"/>
                <w:szCs w:val="20"/>
              </w:rPr>
            </w:pPr>
            <w:r>
              <w:rPr>
                <w:sz w:val="20"/>
                <w:szCs w:val="20"/>
                <w:spacing w:val="7"/>
              </w:rPr>
              <w:t>本项目按照污染物总量控制制度 </w:t>
            </w:r>
            <w:r>
              <w:rPr>
                <w:sz w:val="20"/>
                <w:szCs w:val="20"/>
                <w:spacing w:val="4"/>
              </w:rPr>
              <w:t>执行总量指标申请，采取污染物治</w:t>
            </w:r>
            <w:r>
              <w:rPr>
                <w:sz w:val="20"/>
                <w:szCs w:val="20"/>
                <w:spacing w:val="9"/>
              </w:rPr>
              <w:t xml:space="preserve"> </w:t>
            </w:r>
            <w:r>
              <w:rPr>
                <w:sz w:val="20"/>
                <w:szCs w:val="20"/>
                <w:spacing w:val="12"/>
              </w:rPr>
              <w:t>理措施后，可减少污染物排放总 </w:t>
            </w:r>
            <w:r>
              <w:rPr>
                <w:sz w:val="20"/>
                <w:szCs w:val="20"/>
                <w:spacing w:val="4"/>
              </w:rPr>
              <w:t>量。本项目属于扩建，生产过程中</w:t>
            </w:r>
            <w:r>
              <w:rPr>
                <w:sz w:val="20"/>
                <w:szCs w:val="20"/>
                <w:spacing w:val="9"/>
              </w:rPr>
              <w:t xml:space="preserve"> </w:t>
            </w:r>
            <w:r>
              <w:rPr>
                <w:sz w:val="20"/>
                <w:szCs w:val="20"/>
                <w:spacing w:val="4"/>
              </w:rPr>
              <w:t>无生产废水外排；在采取分区防渗</w:t>
            </w:r>
          </w:p>
        </w:tc>
        <w:tc>
          <w:tcPr>
            <w:tcW w:w="843" w:type="dxa"/>
            <w:vAlign w:val="top"/>
            <w:tcBorders>
              <w:bottom w:val="single" w:color="000000" w:sz="10" w:space="0"/>
              <w:right w:val="single" w:color="000000" w:sz="10" w:space="0"/>
            </w:tcBorders>
          </w:tcPr>
          <w:p>
            <w:pPr>
              <w:spacing w:line="334" w:lineRule="auto"/>
              <w:rPr>
                <w:rFonts w:ascii="Arial"/>
                <w:sz w:val="21"/>
              </w:rPr>
            </w:pPr>
            <w:r/>
          </w:p>
          <w:p>
            <w:pPr>
              <w:spacing w:line="334" w:lineRule="auto"/>
              <w:rPr>
                <w:rFonts w:ascii="Arial"/>
                <w:sz w:val="21"/>
              </w:rPr>
            </w:pPr>
            <w:r/>
          </w:p>
          <w:p>
            <w:pPr>
              <w:pStyle w:val="TableText"/>
              <w:ind w:left="219"/>
              <w:spacing w:before="65" w:line="228" w:lineRule="auto"/>
              <w:rPr>
                <w:sz w:val="20"/>
                <w:szCs w:val="20"/>
              </w:rPr>
            </w:pPr>
            <w:r>
              <w:rPr>
                <w:sz w:val="20"/>
                <w:szCs w:val="20"/>
                <w:spacing w:val="3"/>
              </w:rPr>
              <w:t>符合</w:t>
            </w:r>
          </w:p>
        </w:tc>
      </w:tr>
    </w:tbl>
    <w:p>
      <w:pPr>
        <w:pStyle w:val="BodyText"/>
        <w:rPr/>
      </w:pPr>
      <w:r/>
    </w:p>
    <w:p>
      <w:pPr>
        <w:sectPr>
          <w:footerReference w:type="default" r:id="rId139"/>
          <w:pgSz w:w="16839" w:h="11906"/>
          <w:pgMar w:top="400" w:right="1272" w:bottom="1211" w:left="1271" w:header="0" w:footer="1049" w:gutter="0"/>
        </w:sectPr>
        <w:rPr/>
      </w:pPr>
    </w:p>
    <w:p>
      <w:pPr>
        <w:spacing w:before="39"/>
        <w:rPr/>
      </w:pPr>
      <w:r/>
    </w:p>
    <w:p>
      <w:pPr>
        <w:spacing w:before="39"/>
        <w:rPr/>
      </w:pPr>
      <w:r/>
    </w:p>
    <w:p>
      <w:pPr>
        <w:spacing w:before="38"/>
        <w:rPr/>
      </w:pPr>
      <w:r/>
    </w:p>
    <w:p>
      <w:pPr>
        <w:spacing w:before="38"/>
        <w:rPr/>
      </w:pPr>
      <w:r/>
    </w:p>
    <w:p>
      <w:pPr>
        <w:spacing w:before="38"/>
        <w:rPr/>
      </w:pPr>
      <w:r/>
    </w:p>
    <w:tbl>
      <w:tblPr>
        <w:tblStyle w:val="TableNormal"/>
        <w:tblW w:w="14268"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66"/>
        <w:gridCol w:w="9467"/>
        <w:gridCol w:w="3092"/>
        <w:gridCol w:w="843"/>
      </w:tblGrid>
      <w:tr>
        <w:trPr>
          <w:trHeight w:val="405" w:hRule="atLeast"/>
        </w:trPr>
        <w:tc>
          <w:tcPr>
            <w:tcW w:w="10333" w:type="dxa"/>
            <w:vAlign w:val="top"/>
            <w:gridSpan w:val="2"/>
            <w:tcBorders>
              <w:left w:val="single" w:color="000000" w:sz="10" w:space="0"/>
              <w:top w:val="single" w:color="000000" w:sz="10" w:space="0"/>
            </w:tcBorders>
          </w:tcPr>
          <w:p>
            <w:pPr>
              <w:pStyle w:val="TableText"/>
              <w:ind w:left="4754"/>
              <w:spacing w:before="120" w:line="228" w:lineRule="auto"/>
              <w:rPr>
                <w:sz w:val="20"/>
                <w:szCs w:val="20"/>
              </w:rPr>
            </w:pPr>
            <w:r>
              <w:rPr>
                <w:sz w:val="20"/>
                <w:szCs w:val="20"/>
                <w:spacing w:val="6"/>
              </w:rPr>
              <w:t>管控要求</w:t>
            </w:r>
          </w:p>
        </w:tc>
        <w:tc>
          <w:tcPr>
            <w:tcW w:w="3092" w:type="dxa"/>
            <w:vAlign w:val="top"/>
            <w:tcBorders>
              <w:top w:val="single" w:color="000000" w:sz="10" w:space="0"/>
            </w:tcBorders>
          </w:tcPr>
          <w:p>
            <w:pPr>
              <w:pStyle w:val="TableText"/>
              <w:ind w:left="934"/>
              <w:spacing w:before="120" w:line="228" w:lineRule="auto"/>
              <w:rPr>
                <w:sz w:val="20"/>
                <w:szCs w:val="20"/>
              </w:rPr>
            </w:pPr>
            <w:r>
              <w:rPr>
                <w:sz w:val="20"/>
                <w:szCs w:val="20"/>
                <w:spacing w:val="7"/>
              </w:rPr>
              <w:t>项目建设内容</w:t>
            </w:r>
          </w:p>
        </w:tc>
        <w:tc>
          <w:tcPr>
            <w:tcW w:w="843" w:type="dxa"/>
            <w:vAlign w:val="top"/>
            <w:tcBorders>
              <w:right w:val="single" w:color="000000" w:sz="10" w:space="0"/>
              <w:top w:val="single" w:color="000000" w:sz="10" w:space="0"/>
            </w:tcBorders>
          </w:tcPr>
          <w:p>
            <w:pPr>
              <w:pStyle w:val="TableText"/>
              <w:ind w:left="113"/>
              <w:spacing w:before="120" w:line="228" w:lineRule="auto"/>
              <w:rPr>
                <w:sz w:val="20"/>
                <w:szCs w:val="20"/>
              </w:rPr>
            </w:pPr>
            <w:r>
              <w:rPr>
                <w:sz w:val="20"/>
                <w:szCs w:val="20"/>
                <w:spacing w:val="6"/>
              </w:rPr>
              <w:t>符合性</w:t>
            </w:r>
          </w:p>
        </w:tc>
      </w:tr>
      <w:tr>
        <w:trPr>
          <w:trHeight w:val="639" w:hRule="atLeast"/>
        </w:trPr>
        <w:tc>
          <w:tcPr>
            <w:tcW w:w="866" w:type="dxa"/>
            <w:vAlign w:val="top"/>
            <w:tcBorders>
              <w:left w:val="single" w:color="000000" w:sz="10" w:space="0"/>
            </w:tcBorders>
          </w:tcPr>
          <w:p>
            <w:pPr>
              <w:rPr>
                <w:rFonts w:ascii="Arial"/>
                <w:sz w:val="21"/>
              </w:rPr>
            </w:pPr>
            <w:r/>
          </w:p>
        </w:tc>
        <w:tc>
          <w:tcPr>
            <w:tcW w:w="9467" w:type="dxa"/>
            <w:vAlign w:val="top"/>
          </w:tcPr>
          <w:p>
            <w:pPr>
              <w:rPr>
                <w:rFonts w:ascii="Arial"/>
                <w:sz w:val="21"/>
              </w:rPr>
            </w:pPr>
            <w:r/>
          </w:p>
        </w:tc>
        <w:tc>
          <w:tcPr>
            <w:tcW w:w="3092" w:type="dxa"/>
            <w:vAlign w:val="top"/>
          </w:tcPr>
          <w:p>
            <w:pPr>
              <w:pStyle w:val="TableText"/>
              <w:ind w:left="1254" w:hanging="1238"/>
              <w:spacing w:before="80" w:line="253" w:lineRule="auto"/>
              <w:rPr>
                <w:sz w:val="20"/>
                <w:szCs w:val="20"/>
              </w:rPr>
            </w:pPr>
            <w:r>
              <w:rPr>
                <w:sz w:val="20"/>
                <w:szCs w:val="20"/>
                <w:spacing w:val="4"/>
              </w:rPr>
              <w:t>措施后，可加强土壤和地下水污染</w:t>
            </w:r>
            <w:r>
              <w:rPr>
                <w:sz w:val="20"/>
                <w:szCs w:val="20"/>
                <w:spacing w:val="9"/>
              </w:rPr>
              <w:t xml:space="preserve"> </w:t>
            </w:r>
            <w:r>
              <w:rPr>
                <w:sz w:val="20"/>
                <w:szCs w:val="20"/>
                <w:spacing w:val="-2"/>
              </w:rPr>
              <w:t>防治。</w:t>
            </w:r>
          </w:p>
        </w:tc>
        <w:tc>
          <w:tcPr>
            <w:tcW w:w="843" w:type="dxa"/>
            <w:vAlign w:val="top"/>
            <w:tcBorders>
              <w:right w:val="single" w:color="000000" w:sz="10" w:space="0"/>
            </w:tcBorders>
          </w:tcPr>
          <w:p>
            <w:pPr>
              <w:rPr>
                <w:rFonts w:ascii="Arial"/>
                <w:sz w:val="21"/>
              </w:rPr>
            </w:pPr>
            <w:r/>
          </w:p>
        </w:tc>
      </w:tr>
      <w:tr>
        <w:trPr>
          <w:trHeight w:val="957" w:hRule="atLeast"/>
        </w:trPr>
        <w:tc>
          <w:tcPr>
            <w:tcW w:w="866" w:type="dxa"/>
            <w:vAlign w:val="top"/>
            <w:tcBorders>
              <w:left w:val="single" w:color="000000" w:sz="10" w:space="0"/>
            </w:tcBorders>
          </w:tcPr>
          <w:p>
            <w:pPr>
              <w:pStyle w:val="TableText"/>
              <w:ind w:left="124" w:right="117" w:hanging="11"/>
              <w:spacing w:before="246" w:line="262" w:lineRule="auto"/>
              <w:rPr>
                <w:sz w:val="20"/>
                <w:szCs w:val="20"/>
              </w:rPr>
            </w:pPr>
            <w:r>
              <w:rPr>
                <w:sz w:val="20"/>
                <w:szCs w:val="20"/>
                <w:spacing w:val="6"/>
              </w:rPr>
              <w:t>环境风</w:t>
            </w:r>
            <w:r>
              <w:rPr>
                <w:sz w:val="20"/>
                <w:szCs w:val="20"/>
                <w:spacing w:val="1"/>
              </w:rPr>
              <w:t xml:space="preserve"> </w:t>
            </w:r>
            <w:r>
              <w:rPr>
                <w:sz w:val="20"/>
                <w:szCs w:val="20"/>
                <w:spacing w:val="3"/>
              </w:rPr>
              <w:t>险防控</w:t>
            </w:r>
          </w:p>
        </w:tc>
        <w:tc>
          <w:tcPr>
            <w:tcW w:w="9467" w:type="dxa"/>
            <w:vAlign w:val="top"/>
          </w:tcPr>
          <w:p>
            <w:pPr>
              <w:pStyle w:val="TableText"/>
              <w:ind w:left="27"/>
              <w:spacing w:before="86" w:line="226" w:lineRule="auto"/>
              <w:rPr>
                <w:sz w:val="20"/>
                <w:szCs w:val="20"/>
              </w:rPr>
            </w:pPr>
            <w:r>
              <w:rPr>
                <w:sz w:val="20"/>
                <w:szCs w:val="20"/>
                <w:spacing w:val="9"/>
              </w:rPr>
              <w:t>【</w:t>
            </w:r>
            <w:r>
              <w:rPr>
                <w:rFonts w:ascii="Times New Roman" w:hAnsi="Times New Roman" w:eastAsia="Times New Roman" w:cs="Times New Roman"/>
                <w:sz w:val="20"/>
                <w:szCs w:val="20"/>
                <w:spacing w:val="9"/>
              </w:rPr>
              <w:t>A6.3-</w:t>
            </w:r>
            <w:r>
              <w:rPr>
                <w:rFonts w:ascii="Times New Roman" w:hAnsi="Times New Roman" w:eastAsia="Times New Roman" w:cs="Times New Roman"/>
                <w:sz w:val="20"/>
                <w:szCs w:val="20"/>
                <w:spacing w:val="-27"/>
              </w:rPr>
              <w:t xml:space="preserve"> </w:t>
            </w:r>
            <w:r>
              <w:rPr>
                <w:rFonts w:ascii="Times New Roman" w:hAnsi="Times New Roman" w:eastAsia="Times New Roman" w:cs="Times New Roman"/>
                <w:sz w:val="20"/>
                <w:szCs w:val="20"/>
                <w:spacing w:val="9"/>
              </w:rPr>
              <w:t>1</w:t>
            </w:r>
            <w:r>
              <w:rPr>
                <w:sz w:val="20"/>
                <w:szCs w:val="20"/>
                <w:spacing w:val="9"/>
              </w:rPr>
              <w:t>】定期评估邻近环境敏感区的工业企业、工业集聚区环境和健康风</w:t>
            </w:r>
            <w:r>
              <w:rPr>
                <w:sz w:val="20"/>
                <w:szCs w:val="20"/>
                <w:spacing w:val="8"/>
              </w:rPr>
              <w:t>险。强化工业集聚区企业环</w:t>
            </w:r>
          </w:p>
          <w:p>
            <w:pPr>
              <w:pStyle w:val="TableText"/>
              <w:ind w:left="2320" w:right="10" w:hanging="2309"/>
              <w:spacing w:before="73" w:line="250" w:lineRule="auto"/>
              <w:rPr>
                <w:sz w:val="20"/>
                <w:szCs w:val="20"/>
              </w:rPr>
            </w:pPr>
            <w:r>
              <w:rPr>
                <w:sz w:val="20"/>
                <w:szCs w:val="20"/>
                <w:spacing w:val="10"/>
              </w:rPr>
              <w:t>境风险防范设施设备建设和正常运行监管，加强重点环境风险管控企业应急</w:t>
            </w:r>
            <w:r>
              <w:rPr>
                <w:sz w:val="20"/>
                <w:szCs w:val="20"/>
                <w:spacing w:val="9"/>
              </w:rPr>
              <w:t>预案制定，建立常态化的企</w:t>
            </w:r>
            <w:r>
              <w:rPr>
                <w:sz w:val="20"/>
                <w:szCs w:val="20"/>
              </w:rPr>
              <w:t xml:space="preserve"> </w:t>
            </w:r>
            <w:r>
              <w:rPr>
                <w:sz w:val="20"/>
                <w:szCs w:val="20"/>
                <w:spacing w:val="9"/>
              </w:rPr>
              <w:t>业隐患排查整治监管机制，加强风险防控体系建设。</w:t>
            </w:r>
          </w:p>
        </w:tc>
        <w:tc>
          <w:tcPr>
            <w:tcW w:w="3092" w:type="dxa"/>
            <w:vAlign w:val="top"/>
          </w:tcPr>
          <w:p>
            <w:pPr>
              <w:pStyle w:val="TableText"/>
              <w:ind w:left="16" w:firstLine="76"/>
              <w:spacing w:before="85" w:line="265" w:lineRule="auto"/>
              <w:jc w:val="both"/>
              <w:rPr>
                <w:sz w:val="20"/>
                <w:szCs w:val="20"/>
              </w:rPr>
            </w:pPr>
            <w:r>
              <w:rPr>
                <w:sz w:val="20"/>
                <w:szCs w:val="20"/>
                <w:spacing w:val="6"/>
              </w:rPr>
              <w:t>建设单位已编制突发环境事件应</w:t>
            </w:r>
            <w:r>
              <w:rPr>
                <w:sz w:val="20"/>
                <w:szCs w:val="20"/>
                <w:spacing w:val="4"/>
              </w:rPr>
              <w:t xml:space="preserve">  </w:t>
            </w:r>
            <w:r>
              <w:rPr>
                <w:sz w:val="20"/>
                <w:szCs w:val="20"/>
                <w:spacing w:val="2"/>
              </w:rPr>
              <w:t>急预案，本项目建成后要求建设单</w:t>
            </w:r>
            <w:r>
              <w:rPr>
                <w:sz w:val="20"/>
                <w:szCs w:val="20"/>
                <w:spacing w:val="12"/>
              </w:rPr>
              <w:t xml:space="preserve"> </w:t>
            </w:r>
            <w:r>
              <w:rPr>
                <w:sz w:val="20"/>
                <w:szCs w:val="20"/>
                <w:spacing w:val="4"/>
              </w:rPr>
              <w:t>位根据本项目情况更新应急预案。</w:t>
            </w:r>
          </w:p>
        </w:tc>
        <w:tc>
          <w:tcPr>
            <w:tcW w:w="843" w:type="dxa"/>
            <w:vAlign w:val="top"/>
            <w:tcBorders>
              <w:right w:val="single" w:color="000000" w:sz="10" w:space="0"/>
            </w:tcBorders>
          </w:tcPr>
          <w:p>
            <w:pPr>
              <w:spacing w:line="338" w:lineRule="auto"/>
              <w:rPr>
                <w:rFonts w:ascii="Arial"/>
                <w:sz w:val="21"/>
              </w:rPr>
            </w:pPr>
            <w:r/>
          </w:p>
          <w:p>
            <w:pPr>
              <w:pStyle w:val="TableText"/>
              <w:ind w:left="219"/>
              <w:spacing w:before="65" w:line="228" w:lineRule="auto"/>
              <w:rPr>
                <w:sz w:val="20"/>
                <w:szCs w:val="20"/>
              </w:rPr>
            </w:pPr>
            <w:r>
              <w:rPr>
                <w:sz w:val="20"/>
                <w:szCs w:val="20"/>
                <w:spacing w:val="3"/>
              </w:rPr>
              <w:t>符合</w:t>
            </w:r>
          </w:p>
        </w:tc>
      </w:tr>
      <w:tr>
        <w:trPr>
          <w:trHeight w:val="981" w:hRule="atLeast"/>
        </w:trPr>
        <w:tc>
          <w:tcPr>
            <w:tcW w:w="866" w:type="dxa"/>
            <w:vAlign w:val="top"/>
            <w:tcBorders>
              <w:left w:val="single" w:color="000000" w:sz="10" w:space="0"/>
              <w:bottom w:val="single" w:color="000000" w:sz="10" w:space="0"/>
            </w:tcBorders>
          </w:tcPr>
          <w:p>
            <w:pPr>
              <w:pStyle w:val="TableText"/>
              <w:ind w:left="114" w:right="117" w:firstLine="7"/>
              <w:spacing w:before="254" w:line="262" w:lineRule="auto"/>
              <w:rPr>
                <w:sz w:val="20"/>
                <w:szCs w:val="20"/>
              </w:rPr>
            </w:pPr>
            <w:r>
              <w:rPr>
                <w:sz w:val="20"/>
                <w:szCs w:val="20"/>
                <w:spacing w:val="3"/>
              </w:rPr>
              <w:t>资源利</w:t>
            </w:r>
            <w:r>
              <w:rPr>
                <w:sz w:val="20"/>
                <w:szCs w:val="20"/>
                <w:spacing w:val="1"/>
              </w:rPr>
              <w:t xml:space="preserve"> </w:t>
            </w:r>
            <w:r>
              <w:rPr>
                <w:sz w:val="20"/>
                <w:szCs w:val="20"/>
                <w:spacing w:val="6"/>
              </w:rPr>
              <w:t>用要求</w:t>
            </w:r>
          </w:p>
        </w:tc>
        <w:tc>
          <w:tcPr>
            <w:tcW w:w="9467" w:type="dxa"/>
            <w:vAlign w:val="top"/>
            <w:tcBorders>
              <w:bottom w:val="single" w:color="000000" w:sz="10" w:space="0"/>
            </w:tcBorders>
          </w:tcPr>
          <w:p>
            <w:pPr>
              <w:pStyle w:val="TableText"/>
              <w:ind w:left="3374" w:right="29" w:hanging="3347"/>
              <w:spacing w:before="255" w:line="261" w:lineRule="auto"/>
              <w:rPr>
                <w:sz w:val="20"/>
                <w:szCs w:val="20"/>
              </w:rPr>
            </w:pPr>
            <w:r>
              <w:rPr>
                <w:sz w:val="20"/>
                <w:szCs w:val="20"/>
                <w:spacing w:val="9"/>
              </w:rPr>
              <w:t>【</w:t>
            </w:r>
            <w:r>
              <w:rPr>
                <w:rFonts w:ascii="Times New Roman" w:hAnsi="Times New Roman" w:eastAsia="Times New Roman" w:cs="Times New Roman"/>
                <w:sz w:val="20"/>
                <w:szCs w:val="20"/>
                <w:spacing w:val="9"/>
              </w:rPr>
              <w:t>A6.4-</w:t>
            </w:r>
            <w:r>
              <w:rPr>
                <w:rFonts w:ascii="Times New Roman" w:hAnsi="Times New Roman" w:eastAsia="Times New Roman" w:cs="Times New Roman"/>
                <w:sz w:val="20"/>
                <w:szCs w:val="20"/>
                <w:spacing w:val="-27"/>
              </w:rPr>
              <w:t xml:space="preserve"> </w:t>
            </w:r>
            <w:r>
              <w:rPr>
                <w:rFonts w:ascii="Times New Roman" w:hAnsi="Times New Roman" w:eastAsia="Times New Roman" w:cs="Times New Roman"/>
                <w:sz w:val="20"/>
                <w:szCs w:val="20"/>
                <w:spacing w:val="9"/>
              </w:rPr>
              <w:t>1</w:t>
            </w:r>
            <w:r>
              <w:rPr>
                <w:sz w:val="20"/>
                <w:szCs w:val="20"/>
                <w:spacing w:val="9"/>
              </w:rPr>
              <w:t>】推进工业集聚区生态化改造，强化企业清洁生产改造，推进节水</w:t>
            </w:r>
            <w:r>
              <w:rPr>
                <w:sz w:val="20"/>
                <w:szCs w:val="20"/>
                <w:spacing w:val="8"/>
              </w:rPr>
              <w:t>型企业、节水型工业园区建</w:t>
            </w:r>
            <w:r>
              <w:rPr>
                <w:sz w:val="20"/>
                <w:szCs w:val="20"/>
              </w:rPr>
              <w:t xml:space="preserve"> </w:t>
            </w:r>
            <w:r>
              <w:rPr>
                <w:sz w:val="20"/>
                <w:szCs w:val="20"/>
                <w:spacing w:val="8"/>
              </w:rPr>
              <w:t>设，提高资源能源利用效率。</w:t>
            </w:r>
          </w:p>
        </w:tc>
        <w:tc>
          <w:tcPr>
            <w:tcW w:w="3092" w:type="dxa"/>
            <w:vAlign w:val="top"/>
            <w:tcBorders>
              <w:bottom w:val="single" w:color="000000" w:sz="10" w:space="0"/>
            </w:tcBorders>
          </w:tcPr>
          <w:p>
            <w:pPr>
              <w:pStyle w:val="TableText"/>
              <w:spacing w:before="93" w:line="227" w:lineRule="auto"/>
              <w:jc w:val="right"/>
              <w:rPr>
                <w:sz w:val="20"/>
                <w:szCs w:val="20"/>
              </w:rPr>
            </w:pPr>
            <w:r>
              <w:rPr>
                <w:sz w:val="20"/>
                <w:szCs w:val="20"/>
                <w:spacing w:val="4"/>
              </w:rPr>
              <w:t>本项目属于塑料加工项目，项目生</w:t>
            </w:r>
          </w:p>
          <w:p>
            <w:pPr>
              <w:pStyle w:val="TableText"/>
              <w:ind w:left="1348" w:hanging="1332"/>
              <w:spacing w:before="74" w:line="257" w:lineRule="auto"/>
              <w:rPr>
                <w:sz w:val="20"/>
                <w:szCs w:val="20"/>
              </w:rPr>
            </w:pPr>
            <w:r>
              <w:rPr>
                <w:sz w:val="20"/>
                <w:szCs w:val="20"/>
                <w:spacing w:val="4"/>
              </w:rPr>
              <w:t>产过程中无用水，符合资源利用要</w:t>
            </w:r>
            <w:r>
              <w:rPr>
                <w:sz w:val="20"/>
                <w:szCs w:val="20"/>
                <w:spacing w:val="9"/>
              </w:rPr>
              <w:t xml:space="preserve"> </w:t>
            </w:r>
            <w:r>
              <w:rPr>
                <w:sz w:val="20"/>
                <w:szCs w:val="20"/>
                <w:spacing w:val="-1"/>
              </w:rPr>
              <w:t>求。</w:t>
            </w:r>
          </w:p>
        </w:tc>
        <w:tc>
          <w:tcPr>
            <w:tcW w:w="843" w:type="dxa"/>
            <w:vAlign w:val="top"/>
            <w:tcBorders>
              <w:bottom w:val="single" w:color="000000" w:sz="10" w:space="0"/>
              <w:right w:val="single" w:color="000000" w:sz="10" w:space="0"/>
            </w:tcBorders>
          </w:tcPr>
          <w:p>
            <w:pPr>
              <w:spacing w:line="345" w:lineRule="auto"/>
              <w:rPr>
                <w:rFonts w:ascii="Arial"/>
                <w:sz w:val="21"/>
              </w:rPr>
            </w:pPr>
            <w:r/>
          </w:p>
          <w:p>
            <w:pPr>
              <w:pStyle w:val="TableText"/>
              <w:ind w:left="219"/>
              <w:spacing w:before="65" w:line="228" w:lineRule="auto"/>
              <w:rPr>
                <w:sz w:val="20"/>
                <w:szCs w:val="20"/>
              </w:rPr>
            </w:pPr>
            <w:r>
              <w:rPr>
                <w:sz w:val="20"/>
                <w:szCs w:val="20"/>
                <w:spacing w:val="3"/>
              </w:rPr>
              <w:t>符合</w:t>
            </w:r>
          </w:p>
        </w:tc>
      </w:tr>
    </w:tbl>
    <w:p>
      <w:pPr>
        <w:ind w:left="1967"/>
        <w:spacing w:before="116" w:line="219"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sz w:val="24"/>
          <w:szCs w:val="24"/>
          <w:b/>
          <w:bCs/>
        </w:rPr>
        <w:t>1.1-2</w:t>
      </w:r>
      <w:r>
        <w:rPr>
          <w:rFonts w:ascii="SimSun" w:hAnsi="SimSun" w:eastAsia="SimSun" w:cs="SimSun"/>
          <w:sz w:val="24"/>
          <w:szCs w:val="24"/>
          <w14:textOutline w14:w="4358" w14:cap="sq" w14:cmpd="sng">
            <w14:solidFill>
              <w14:srgbClr w14:val="000000"/>
            </w14:solidFill>
            <w14:prstDash w14:val="solid"/>
            <w14:bevel/>
          </w14:textOutline>
        </w:rPr>
        <w:t>与《昌吉回族自治州“三线一单</w:t>
      </w:r>
      <w:r>
        <w:rPr>
          <w:rFonts w:ascii="SimSun" w:hAnsi="SimSun" w:eastAsia="SimSun" w:cs="SimSun"/>
          <w:sz w:val="24"/>
          <w:szCs w:val="24"/>
          <w:spacing w:val="-85"/>
        </w:rPr>
        <w:t xml:space="preserve"> </w:t>
      </w:r>
      <w:r>
        <w:rPr>
          <w:rFonts w:ascii="SimSun" w:hAnsi="SimSun" w:eastAsia="SimSun" w:cs="SimSun"/>
          <w:sz w:val="24"/>
          <w:szCs w:val="24"/>
          <w14:textOutline w14:w="4358" w14:cap="sq" w14:cmpd="sng">
            <w14:solidFill>
              <w14:srgbClr w14:val="000000"/>
            </w14:solidFill>
            <w14:prstDash w14:val="solid"/>
            <w14:bevel/>
          </w14:textOutline>
        </w:rPr>
        <w:t>”生态环境分区管控方案及生态环境准入清</w:t>
      </w:r>
      <w:r>
        <w:rPr>
          <w:rFonts w:ascii="SimSun" w:hAnsi="SimSun" w:eastAsia="SimSun" w:cs="SimSun"/>
          <w:sz w:val="24"/>
          <w:szCs w:val="24"/>
          <w14:textOutline w14:w="4358" w14:cap="sq" w14:cmpd="sng">
            <w14:solidFill>
              <w14:srgbClr w14:val="000000"/>
            </w14:solidFill>
            <w14:prstDash w14:val="solid"/>
            <w14:bevel/>
          </w14:textOutline>
          <w:spacing w:val="-1"/>
        </w:rPr>
        <w:t>单》符合性分析</w:t>
      </w:r>
    </w:p>
    <w:tbl>
      <w:tblPr>
        <w:tblStyle w:val="TableNormal"/>
        <w:tblW w:w="14067" w:type="dxa"/>
        <w:tblInd w:w="11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37"/>
        <w:gridCol w:w="658"/>
        <w:gridCol w:w="521"/>
        <w:gridCol w:w="6333"/>
        <w:gridCol w:w="4732"/>
        <w:gridCol w:w="786"/>
      </w:tblGrid>
      <w:tr>
        <w:trPr>
          <w:trHeight w:val="606" w:hRule="atLeast"/>
        </w:trPr>
        <w:tc>
          <w:tcPr>
            <w:tcW w:w="1037" w:type="dxa"/>
            <w:vAlign w:val="top"/>
            <w:tcBorders>
              <w:left w:val="single" w:color="000000" w:sz="10" w:space="0"/>
              <w:top w:val="single" w:color="000000" w:sz="10" w:space="0"/>
            </w:tcBorders>
          </w:tcPr>
          <w:p>
            <w:pPr>
              <w:pStyle w:val="TableText"/>
              <w:ind w:left="94" w:right="98" w:hanging="1"/>
              <w:spacing w:before="65" w:line="245" w:lineRule="auto"/>
              <w:rPr>
                <w:sz w:val="20"/>
                <w:szCs w:val="20"/>
              </w:rPr>
            </w:pPr>
            <w:r>
              <w:rPr>
                <w:sz w:val="20"/>
                <w:szCs w:val="20"/>
                <w:spacing w:val="7"/>
              </w:rPr>
              <w:t>环境管控</w:t>
            </w:r>
            <w:r>
              <w:rPr>
                <w:sz w:val="20"/>
                <w:szCs w:val="20"/>
              </w:rPr>
              <w:t xml:space="preserve"> </w:t>
            </w:r>
            <w:r>
              <w:rPr>
                <w:sz w:val="20"/>
                <w:szCs w:val="20"/>
                <w:spacing w:val="6"/>
              </w:rPr>
              <w:t>单元编码</w:t>
            </w:r>
          </w:p>
        </w:tc>
        <w:tc>
          <w:tcPr>
            <w:tcW w:w="658" w:type="dxa"/>
            <w:vAlign w:val="top"/>
            <w:tcBorders>
              <w:top w:val="single" w:color="000000" w:sz="10" w:space="0"/>
            </w:tcBorders>
          </w:tcPr>
          <w:p>
            <w:pPr>
              <w:pStyle w:val="TableText"/>
              <w:ind w:left="11" w:right="22" w:firstLine="3"/>
              <w:spacing w:before="65" w:line="245" w:lineRule="auto"/>
              <w:rPr>
                <w:sz w:val="20"/>
                <w:szCs w:val="20"/>
              </w:rPr>
            </w:pPr>
            <w:r>
              <w:rPr>
                <w:sz w:val="20"/>
                <w:szCs w:val="20"/>
                <w:spacing w:val="5"/>
              </w:rPr>
              <w:t>管控单</w:t>
            </w:r>
            <w:r>
              <w:rPr>
                <w:sz w:val="20"/>
                <w:szCs w:val="20"/>
              </w:rPr>
              <w:t xml:space="preserve"> </w:t>
            </w:r>
            <w:r>
              <w:rPr>
                <w:sz w:val="20"/>
                <w:szCs w:val="20"/>
                <w:spacing w:val="6"/>
              </w:rPr>
              <w:t>元名称</w:t>
            </w:r>
          </w:p>
        </w:tc>
        <w:tc>
          <w:tcPr>
            <w:tcW w:w="6854" w:type="dxa"/>
            <w:vAlign w:val="top"/>
            <w:gridSpan w:val="2"/>
            <w:tcBorders>
              <w:top w:val="single" w:color="000000" w:sz="10" w:space="0"/>
            </w:tcBorders>
          </w:tcPr>
          <w:p>
            <w:pPr>
              <w:pStyle w:val="TableText"/>
              <w:ind w:left="3014"/>
              <w:spacing w:before="213" w:line="228" w:lineRule="auto"/>
              <w:rPr>
                <w:sz w:val="20"/>
                <w:szCs w:val="20"/>
              </w:rPr>
            </w:pPr>
            <w:r>
              <w:rPr>
                <w:sz w:val="20"/>
                <w:szCs w:val="20"/>
                <w:spacing w:val="6"/>
              </w:rPr>
              <w:t>管控要求</w:t>
            </w:r>
          </w:p>
        </w:tc>
        <w:tc>
          <w:tcPr>
            <w:tcW w:w="4732" w:type="dxa"/>
            <w:vAlign w:val="top"/>
            <w:tcBorders>
              <w:top w:val="single" w:color="000000" w:sz="10" w:space="0"/>
            </w:tcBorders>
          </w:tcPr>
          <w:p>
            <w:pPr>
              <w:pStyle w:val="TableText"/>
              <w:ind w:left="1962"/>
              <w:spacing w:before="214" w:line="228" w:lineRule="auto"/>
              <w:rPr>
                <w:sz w:val="20"/>
                <w:szCs w:val="20"/>
              </w:rPr>
            </w:pPr>
            <w:r>
              <w:rPr>
                <w:sz w:val="20"/>
                <w:szCs w:val="20"/>
                <w:spacing w:val="6"/>
              </w:rPr>
              <w:t>项目情况</w:t>
            </w:r>
          </w:p>
        </w:tc>
        <w:tc>
          <w:tcPr>
            <w:tcW w:w="786" w:type="dxa"/>
            <w:vAlign w:val="top"/>
            <w:tcBorders>
              <w:right w:val="single" w:color="000000" w:sz="10" w:space="0"/>
              <w:top w:val="single" w:color="000000" w:sz="10" w:space="0"/>
            </w:tcBorders>
          </w:tcPr>
          <w:p>
            <w:pPr>
              <w:pStyle w:val="TableText"/>
              <w:ind w:left="84"/>
              <w:spacing w:before="213" w:line="228" w:lineRule="auto"/>
              <w:rPr>
                <w:sz w:val="20"/>
                <w:szCs w:val="20"/>
              </w:rPr>
            </w:pPr>
            <w:r>
              <w:rPr>
                <w:sz w:val="20"/>
                <w:szCs w:val="20"/>
                <w:spacing w:val="6"/>
              </w:rPr>
              <w:t>符合性</w:t>
            </w:r>
          </w:p>
        </w:tc>
      </w:tr>
      <w:tr>
        <w:trPr>
          <w:trHeight w:val="3605" w:hRule="atLeast"/>
        </w:trPr>
        <w:tc>
          <w:tcPr>
            <w:tcW w:w="1037" w:type="dxa"/>
            <w:vAlign w:val="top"/>
            <w:tcBorders>
              <w:left w:val="single" w:color="000000" w:sz="10" w:space="0"/>
              <w:bottom w:val="single" w:color="000000" w:sz="10" w:space="0"/>
            </w:tcBorders>
          </w:tcPr>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ind w:left="54"/>
              <w:spacing w:before="57" w:line="300"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10"/>
              </w:rPr>
              <w:t>ZH</w:t>
            </w:r>
            <w:r>
              <w:rPr>
                <w:rFonts w:ascii="Times New Roman" w:hAnsi="Times New Roman" w:eastAsia="Times New Roman" w:cs="Times New Roman"/>
                <w:sz w:val="20"/>
                <w:szCs w:val="20"/>
                <w:spacing w:val="6"/>
                <w:position w:val="10"/>
              </w:rPr>
              <w:t>652323</w:t>
            </w:r>
          </w:p>
          <w:p>
            <w:pPr>
              <w:ind w:left="248"/>
              <w:spacing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20001</w:t>
            </w:r>
          </w:p>
        </w:tc>
        <w:tc>
          <w:tcPr>
            <w:tcW w:w="658" w:type="dxa"/>
            <w:vAlign w:val="top"/>
            <w:tcBorders>
              <w:bottom w:val="single" w:color="000000" w:sz="10" w:space="0"/>
            </w:tcBorders>
          </w:tcPr>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21"/>
              <w:spacing w:before="65" w:line="229" w:lineRule="auto"/>
              <w:rPr>
                <w:sz w:val="20"/>
                <w:szCs w:val="20"/>
              </w:rPr>
            </w:pPr>
            <w:r>
              <w:rPr>
                <w:sz w:val="20"/>
                <w:szCs w:val="20"/>
                <w:spacing w:val="3"/>
              </w:rPr>
              <w:t>呼图壁</w:t>
            </w:r>
          </w:p>
          <w:p>
            <w:pPr>
              <w:pStyle w:val="TableText"/>
              <w:ind w:left="10"/>
              <w:spacing w:before="51" w:line="229" w:lineRule="auto"/>
              <w:rPr>
                <w:sz w:val="20"/>
                <w:szCs w:val="20"/>
              </w:rPr>
            </w:pPr>
            <w:r>
              <w:rPr>
                <w:sz w:val="20"/>
                <w:szCs w:val="20"/>
                <w:spacing w:val="6"/>
              </w:rPr>
              <w:t>县建成</w:t>
            </w:r>
          </w:p>
          <w:p>
            <w:pPr>
              <w:pStyle w:val="TableText"/>
              <w:ind w:left="234"/>
              <w:spacing w:before="51" w:line="233" w:lineRule="auto"/>
              <w:rPr>
                <w:sz w:val="20"/>
                <w:szCs w:val="20"/>
              </w:rPr>
            </w:pPr>
            <w:r>
              <w:rPr>
                <w:sz w:val="20"/>
                <w:szCs w:val="20"/>
              </w:rPr>
              <w:t>区</w:t>
            </w:r>
          </w:p>
        </w:tc>
        <w:tc>
          <w:tcPr>
            <w:tcW w:w="521" w:type="dxa"/>
            <w:vAlign w:val="top"/>
            <w:tcBorders>
              <w:bottom w:val="single" w:color="000000" w:sz="10" w:space="0"/>
            </w:tcBorders>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47" w:right="58" w:firstLine="6"/>
              <w:spacing w:before="65" w:line="260" w:lineRule="auto"/>
              <w:jc w:val="both"/>
              <w:rPr>
                <w:sz w:val="20"/>
                <w:szCs w:val="20"/>
              </w:rPr>
            </w:pPr>
            <w:r>
              <w:rPr>
                <w:sz w:val="20"/>
                <w:szCs w:val="20"/>
                <w:spacing w:val="1"/>
              </w:rPr>
              <w:t>空间</w:t>
            </w:r>
            <w:r>
              <w:rPr>
                <w:sz w:val="20"/>
                <w:szCs w:val="20"/>
              </w:rPr>
              <w:t xml:space="preserve"> </w:t>
            </w:r>
            <w:r>
              <w:rPr>
                <w:sz w:val="20"/>
                <w:szCs w:val="20"/>
                <w:spacing w:val="4"/>
              </w:rPr>
              <w:t>布局</w:t>
            </w:r>
            <w:r>
              <w:rPr>
                <w:sz w:val="20"/>
                <w:szCs w:val="20"/>
              </w:rPr>
              <w:t xml:space="preserve"> </w:t>
            </w:r>
            <w:r>
              <w:rPr>
                <w:sz w:val="20"/>
                <w:szCs w:val="20"/>
                <w:spacing w:val="4"/>
              </w:rPr>
              <w:t>约束</w:t>
            </w:r>
          </w:p>
        </w:tc>
        <w:tc>
          <w:tcPr>
            <w:tcW w:w="6333" w:type="dxa"/>
            <w:vAlign w:val="top"/>
            <w:tcBorders>
              <w:bottom w:val="single" w:color="000000" w:sz="10" w:space="0"/>
            </w:tcBorders>
          </w:tcPr>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959" w:hanging="941"/>
              <w:spacing w:before="65" w:line="252" w:lineRule="auto"/>
              <w:rPr>
                <w:sz w:val="20"/>
                <w:szCs w:val="20"/>
              </w:rPr>
            </w:pPr>
            <w:r>
              <w:rPr>
                <w:rFonts w:ascii="Times New Roman" w:hAnsi="Times New Roman" w:eastAsia="Times New Roman" w:cs="Times New Roman"/>
                <w:sz w:val="20"/>
                <w:szCs w:val="20"/>
                <w:spacing w:val="7"/>
              </w:rPr>
              <w:t>1</w:t>
            </w:r>
            <w:r>
              <w:rPr>
                <w:sz w:val="20"/>
                <w:szCs w:val="20"/>
                <w:spacing w:val="7"/>
              </w:rPr>
              <w:t>、执行自治区、乌昌石片区总体准入要求中关于</w:t>
            </w:r>
            <w:r>
              <w:rPr>
                <w:sz w:val="20"/>
                <w:szCs w:val="20"/>
                <w:spacing w:val="6"/>
              </w:rPr>
              <w:t>重点管控单元空间布</w:t>
            </w:r>
            <w:r>
              <w:rPr>
                <w:sz w:val="20"/>
                <w:szCs w:val="20"/>
              </w:rPr>
              <w:t xml:space="preserve"> </w:t>
            </w:r>
            <w:r>
              <w:rPr>
                <w:sz w:val="20"/>
                <w:szCs w:val="20"/>
                <w:spacing w:val="4"/>
              </w:rPr>
              <w:t>局约束的准入要求（表</w:t>
            </w:r>
            <w:r>
              <w:rPr>
                <w:rFonts w:ascii="Times New Roman" w:hAnsi="Times New Roman" w:eastAsia="Times New Roman" w:cs="Times New Roman"/>
                <w:sz w:val="20"/>
                <w:szCs w:val="20"/>
                <w:spacing w:val="4"/>
              </w:rPr>
              <w:t>2-3 A6.</w:t>
            </w:r>
            <w:r>
              <w:rPr>
                <w:rFonts w:ascii="Times New Roman" w:hAnsi="Times New Roman" w:eastAsia="Times New Roman" w:cs="Times New Roman"/>
                <w:sz w:val="20"/>
                <w:szCs w:val="20"/>
                <w:spacing w:val="-15"/>
              </w:rPr>
              <w:t xml:space="preserve"> </w:t>
            </w:r>
            <w:r>
              <w:rPr>
                <w:rFonts w:ascii="Times New Roman" w:hAnsi="Times New Roman" w:eastAsia="Times New Roman" w:cs="Times New Roman"/>
                <w:sz w:val="20"/>
                <w:szCs w:val="20"/>
                <w:spacing w:val="4"/>
              </w:rPr>
              <w:t>1</w:t>
            </w:r>
            <w:r>
              <w:rPr>
                <w:rFonts w:ascii="Times New Roman" w:hAnsi="Times New Roman" w:eastAsia="Times New Roman" w:cs="Times New Roman"/>
                <w:sz w:val="20"/>
                <w:szCs w:val="20"/>
                <w:spacing w:val="-29"/>
              </w:rPr>
              <w:t xml:space="preserve"> </w:t>
            </w:r>
            <w:r>
              <w:rPr>
                <w:sz w:val="20"/>
                <w:szCs w:val="20"/>
                <w:spacing w:val="4"/>
              </w:rPr>
              <w:t>、表</w:t>
            </w:r>
            <w:r>
              <w:rPr>
                <w:rFonts w:ascii="Times New Roman" w:hAnsi="Times New Roman" w:eastAsia="Times New Roman" w:cs="Times New Roman"/>
                <w:sz w:val="20"/>
                <w:szCs w:val="20"/>
                <w:spacing w:val="4"/>
              </w:rPr>
              <w:t>3.4-2 B1</w:t>
            </w:r>
            <w:r>
              <w:rPr>
                <w:sz w:val="20"/>
                <w:szCs w:val="20"/>
                <w:spacing w:val="4"/>
              </w:rPr>
              <w:t>）。</w:t>
            </w:r>
          </w:p>
          <w:p>
            <w:pPr>
              <w:pStyle w:val="TableText"/>
              <w:ind w:left="696"/>
              <w:spacing w:before="53" w:line="228" w:lineRule="auto"/>
              <w:rPr>
                <w:sz w:val="20"/>
                <w:szCs w:val="20"/>
              </w:rPr>
            </w:pPr>
            <w:r>
              <w:rPr>
                <w:rFonts w:ascii="Times New Roman" w:hAnsi="Times New Roman" w:eastAsia="Times New Roman" w:cs="Times New Roman"/>
                <w:sz w:val="20"/>
                <w:szCs w:val="20"/>
                <w:spacing w:val="8"/>
              </w:rPr>
              <w:t>2</w:t>
            </w:r>
            <w:r>
              <w:rPr>
                <w:rFonts w:ascii="Times New Roman" w:hAnsi="Times New Roman" w:eastAsia="Times New Roman" w:cs="Times New Roman"/>
                <w:sz w:val="20"/>
                <w:szCs w:val="20"/>
                <w:spacing w:val="-27"/>
              </w:rPr>
              <w:t xml:space="preserve"> </w:t>
            </w:r>
            <w:r>
              <w:rPr>
                <w:sz w:val="20"/>
                <w:szCs w:val="20"/>
                <w:spacing w:val="8"/>
              </w:rPr>
              <w:t>、城市建成区禁止新建每小时</w:t>
            </w:r>
            <w:r>
              <w:rPr>
                <w:rFonts w:ascii="Times New Roman" w:hAnsi="Times New Roman" w:eastAsia="Times New Roman" w:cs="Times New Roman"/>
                <w:sz w:val="20"/>
                <w:szCs w:val="20"/>
                <w:spacing w:val="8"/>
              </w:rPr>
              <w:t>65</w:t>
            </w:r>
            <w:r>
              <w:rPr>
                <w:sz w:val="20"/>
                <w:szCs w:val="20"/>
                <w:spacing w:val="8"/>
              </w:rPr>
              <w:t>蒸吨以</w:t>
            </w:r>
            <w:r>
              <w:rPr>
                <w:sz w:val="20"/>
                <w:szCs w:val="20"/>
                <w:spacing w:val="7"/>
              </w:rPr>
              <w:t>下燃煤锅炉。</w:t>
            </w:r>
          </w:p>
          <w:p>
            <w:pPr>
              <w:pStyle w:val="TableText"/>
              <w:ind w:left="19" w:right="2" w:hanging="17"/>
              <w:spacing w:before="55" w:line="264" w:lineRule="auto"/>
              <w:rPr>
                <w:sz w:val="20"/>
                <w:szCs w:val="20"/>
              </w:rPr>
            </w:pPr>
            <w:r>
              <w:rPr>
                <w:rFonts w:ascii="Times New Roman" w:hAnsi="Times New Roman" w:eastAsia="Times New Roman" w:cs="Times New Roman"/>
                <w:sz w:val="20"/>
                <w:szCs w:val="20"/>
                <w:spacing w:val="6"/>
              </w:rPr>
              <w:t>3</w:t>
            </w:r>
            <w:r>
              <w:rPr>
                <w:rFonts w:ascii="Times New Roman" w:hAnsi="Times New Roman" w:eastAsia="Times New Roman" w:cs="Times New Roman"/>
                <w:sz w:val="20"/>
                <w:szCs w:val="20"/>
                <w:spacing w:val="-15"/>
              </w:rPr>
              <w:t xml:space="preserve"> </w:t>
            </w:r>
            <w:r>
              <w:rPr>
                <w:sz w:val="20"/>
                <w:szCs w:val="20"/>
                <w:spacing w:val="6"/>
              </w:rPr>
              <w:t>、居民住宅区等人口密集区域和机关、医院、学校、幼儿园、养老院</w:t>
            </w:r>
            <w:r>
              <w:rPr>
                <w:sz w:val="20"/>
                <w:szCs w:val="20"/>
              </w:rPr>
              <w:t xml:space="preserve"> </w:t>
            </w:r>
            <w:r>
              <w:rPr>
                <w:sz w:val="20"/>
                <w:szCs w:val="20"/>
                <w:spacing w:val="9"/>
              </w:rPr>
              <w:t>等其他需要特殊保护的区域及其周边，不得新建、改建和扩建易产生</w:t>
            </w:r>
            <w:r>
              <w:rPr>
                <w:sz w:val="20"/>
                <w:szCs w:val="20"/>
                <w:spacing w:val="17"/>
              </w:rPr>
              <w:t xml:space="preserve"> </w:t>
            </w:r>
            <w:r>
              <w:rPr>
                <w:sz w:val="20"/>
                <w:szCs w:val="20"/>
                <w:spacing w:val="10"/>
              </w:rPr>
              <w:t>恶臭气体的生产项目，或者从事其他产生恶臭气体的生产经营活动。</w:t>
            </w:r>
            <w:r>
              <w:rPr>
                <w:sz w:val="20"/>
                <w:szCs w:val="20"/>
                <w:spacing w:val="4"/>
              </w:rPr>
              <w:t xml:space="preserve"> </w:t>
            </w:r>
            <w:r>
              <w:rPr>
                <w:rFonts w:ascii="Times New Roman" w:hAnsi="Times New Roman" w:eastAsia="Times New Roman" w:cs="Times New Roman"/>
                <w:sz w:val="20"/>
                <w:szCs w:val="20"/>
                <w:spacing w:val="10"/>
              </w:rPr>
              <w:t>4</w:t>
            </w:r>
            <w:r>
              <w:rPr>
                <w:rFonts w:ascii="Times New Roman" w:hAnsi="Times New Roman" w:eastAsia="Times New Roman" w:cs="Times New Roman"/>
                <w:sz w:val="20"/>
                <w:szCs w:val="20"/>
                <w:spacing w:val="-24"/>
              </w:rPr>
              <w:t xml:space="preserve"> </w:t>
            </w:r>
            <w:r>
              <w:rPr>
                <w:sz w:val="20"/>
                <w:szCs w:val="20"/>
                <w:spacing w:val="10"/>
              </w:rPr>
              <w:t>、在集中供热管网覆盖地区，禁止新建、扩建分散燃煤供热锅炉。</w:t>
            </w:r>
          </w:p>
        </w:tc>
        <w:tc>
          <w:tcPr>
            <w:tcW w:w="4732" w:type="dxa"/>
            <w:vAlign w:val="top"/>
            <w:tcBorders>
              <w:bottom w:val="single" w:color="000000" w:sz="10" w:space="0"/>
            </w:tcBorders>
          </w:tcPr>
          <w:p>
            <w:pPr>
              <w:pStyle w:val="TableText"/>
              <w:ind w:left="11" w:firstLine="35"/>
              <w:spacing w:before="61" w:line="270" w:lineRule="auto"/>
              <w:jc w:val="both"/>
              <w:rPr>
                <w:sz w:val="20"/>
                <w:szCs w:val="20"/>
              </w:rPr>
            </w:pPr>
            <w:r>
              <w:rPr>
                <w:rFonts w:ascii="Times New Roman" w:hAnsi="Times New Roman" w:eastAsia="Times New Roman" w:cs="Times New Roman"/>
                <w:sz w:val="20"/>
                <w:szCs w:val="20"/>
                <w:spacing w:val="5"/>
              </w:rPr>
              <w:t>1</w:t>
            </w:r>
            <w:r>
              <w:rPr>
                <w:rFonts w:ascii="Times New Roman" w:hAnsi="Times New Roman" w:eastAsia="Times New Roman" w:cs="Times New Roman"/>
                <w:sz w:val="20"/>
                <w:szCs w:val="20"/>
                <w:spacing w:val="-28"/>
              </w:rPr>
              <w:t xml:space="preserve"> </w:t>
            </w:r>
            <w:r>
              <w:rPr>
                <w:sz w:val="20"/>
                <w:szCs w:val="20"/>
                <w:spacing w:val="5"/>
              </w:rPr>
              <w:t>、本项目不属于</w:t>
            </w:r>
            <w:r>
              <w:rPr>
                <w:rFonts w:ascii="Times New Roman" w:hAnsi="Times New Roman" w:eastAsia="Times New Roman" w:cs="Times New Roman"/>
                <w:sz w:val="20"/>
                <w:szCs w:val="20"/>
                <w:spacing w:val="5"/>
              </w:rPr>
              <w:t>A6.</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5"/>
              </w:rPr>
              <w:t>1</w:t>
            </w:r>
            <w:r>
              <w:rPr>
                <w:sz w:val="20"/>
                <w:szCs w:val="20"/>
                <w:spacing w:val="5"/>
              </w:rPr>
              <w:t>中</w:t>
            </w:r>
            <w:r>
              <w:rPr>
                <w:rFonts w:ascii="Times New Roman" w:hAnsi="Times New Roman" w:eastAsia="Times New Roman" w:cs="Times New Roman"/>
                <w:sz w:val="20"/>
                <w:szCs w:val="20"/>
                <w:spacing w:val="5"/>
              </w:rPr>
              <w:t>“</w:t>
            </w:r>
            <w:r>
              <w:rPr>
                <w:sz w:val="20"/>
                <w:szCs w:val="20"/>
                <w:spacing w:val="5"/>
              </w:rPr>
              <w:t>高污染、高环</w:t>
            </w:r>
            <w:r>
              <w:rPr>
                <w:sz w:val="20"/>
                <w:szCs w:val="20"/>
                <w:spacing w:val="4"/>
              </w:rPr>
              <w:t>境风险产品</w:t>
            </w:r>
            <w:r>
              <w:rPr>
                <w:rFonts w:ascii="Times New Roman" w:hAnsi="Times New Roman" w:eastAsia="Times New Roman" w:cs="Times New Roman"/>
                <w:sz w:val="20"/>
                <w:szCs w:val="20"/>
                <w:spacing w:val="4"/>
              </w:rPr>
              <w:t>”</w:t>
            </w:r>
            <w:r>
              <w:rPr>
                <w:rFonts w:ascii="Times New Roman" w:hAnsi="Times New Roman" w:eastAsia="Times New Roman" w:cs="Times New Roman"/>
                <w:sz w:val="20"/>
                <w:szCs w:val="20"/>
              </w:rPr>
              <w:t xml:space="preserve">  </w:t>
            </w:r>
            <w:r>
              <w:rPr>
                <w:sz w:val="20"/>
                <w:szCs w:val="20"/>
                <w:spacing w:val="2"/>
              </w:rPr>
              <w:t>工业项目；不属于国家和自治区明令禁止或淘汰的产</w:t>
            </w:r>
            <w:r>
              <w:rPr>
                <w:sz w:val="20"/>
                <w:szCs w:val="20"/>
                <w:spacing w:val="5"/>
              </w:rPr>
              <w:t xml:space="preserve"> </w:t>
            </w:r>
            <w:r>
              <w:rPr>
                <w:sz w:val="20"/>
                <w:szCs w:val="20"/>
                <w:spacing w:val="2"/>
              </w:rPr>
              <w:t>业及工艺、园区规划的项目；项目符合国家产业政策</w:t>
            </w:r>
            <w:r>
              <w:rPr>
                <w:sz w:val="20"/>
                <w:szCs w:val="20"/>
                <w:spacing w:val="5"/>
              </w:rPr>
              <w:t xml:space="preserve"> </w:t>
            </w:r>
            <w:r>
              <w:rPr>
                <w:sz w:val="20"/>
                <w:szCs w:val="20"/>
                <w:spacing w:val="5"/>
              </w:rPr>
              <w:t>和清洁生产要求的、采用了先进生产工艺和设备的、</w:t>
            </w:r>
            <w:r>
              <w:rPr>
                <w:sz w:val="20"/>
                <w:szCs w:val="20"/>
              </w:rPr>
              <w:t xml:space="preserve"> </w:t>
            </w:r>
            <w:r>
              <w:rPr>
                <w:sz w:val="20"/>
                <w:szCs w:val="20"/>
                <w:spacing w:val="2"/>
              </w:rPr>
              <w:t>自动化程度高的、具有可靠先进的污染治理技术的生</w:t>
            </w:r>
            <w:r>
              <w:rPr>
                <w:sz w:val="20"/>
                <w:szCs w:val="20"/>
                <w:spacing w:val="5"/>
              </w:rPr>
              <w:t xml:space="preserve"> </w:t>
            </w:r>
            <w:r>
              <w:rPr>
                <w:sz w:val="20"/>
                <w:szCs w:val="20"/>
                <w:spacing w:val="2"/>
              </w:rPr>
              <w:t>产项目。项目不产生生产废水，不新增生活污水；本</w:t>
            </w:r>
            <w:r>
              <w:rPr>
                <w:sz w:val="20"/>
                <w:szCs w:val="20"/>
                <w:spacing w:val="5"/>
              </w:rPr>
              <w:t xml:space="preserve"> </w:t>
            </w:r>
            <w:r>
              <w:rPr>
                <w:sz w:val="20"/>
                <w:szCs w:val="20"/>
                <w:spacing w:val="2"/>
              </w:rPr>
              <w:t>项目与企业现有污染物不会形成交叉污染，不涉及重</w:t>
            </w:r>
          </w:p>
          <w:p>
            <w:pPr>
              <w:pStyle w:val="TableText"/>
              <w:ind w:left="386"/>
              <w:spacing w:before="54" w:line="227" w:lineRule="auto"/>
              <w:rPr>
                <w:sz w:val="20"/>
                <w:szCs w:val="20"/>
              </w:rPr>
            </w:pPr>
            <w:r>
              <w:rPr>
                <w:sz w:val="20"/>
                <w:szCs w:val="20"/>
                <w:spacing w:val="8"/>
              </w:rPr>
              <w:t>金属、持久性有机污染物排放的工业项目。</w:t>
            </w:r>
          </w:p>
          <w:p>
            <w:pPr>
              <w:pStyle w:val="TableText"/>
              <w:ind w:left="1167"/>
              <w:spacing w:before="54" w:line="228" w:lineRule="auto"/>
              <w:rPr>
                <w:sz w:val="20"/>
                <w:szCs w:val="20"/>
              </w:rPr>
            </w:pPr>
            <w:r>
              <w:rPr>
                <w:rFonts w:ascii="Times New Roman" w:hAnsi="Times New Roman" w:eastAsia="Times New Roman" w:cs="Times New Roman"/>
                <w:sz w:val="20"/>
                <w:szCs w:val="20"/>
                <w:spacing w:val="6"/>
              </w:rPr>
              <w:t>2</w:t>
            </w:r>
            <w:r>
              <w:rPr>
                <w:rFonts w:ascii="Times New Roman" w:hAnsi="Times New Roman" w:eastAsia="Times New Roman" w:cs="Times New Roman"/>
                <w:sz w:val="20"/>
                <w:szCs w:val="20"/>
                <w:spacing w:val="-25"/>
              </w:rPr>
              <w:t xml:space="preserve"> </w:t>
            </w:r>
            <w:r>
              <w:rPr>
                <w:sz w:val="20"/>
                <w:szCs w:val="20"/>
                <w:spacing w:val="6"/>
              </w:rPr>
              <w:t>、项目不建设燃煤锅炉；</w:t>
            </w:r>
          </w:p>
          <w:p>
            <w:pPr>
              <w:pStyle w:val="TableText"/>
              <w:spacing w:before="52" w:line="228" w:lineRule="auto"/>
              <w:jc w:val="right"/>
              <w:rPr>
                <w:sz w:val="20"/>
                <w:szCs w:val="20"/>
              </w:rPr>
            </w:pPr>
            <w:r>
              <w:rPr>
                <w:rFonts w:ascii="Times New Roman" w:hAnsi="Times New Roman" w:eastAsia="Times New Roman" w:cs="Times New Roman"/>
                <w:sz w:val="20"/>
                <w:szCs w:val="20"/>
                <w:spacing w:val="8"/>
              </w:rPr>
              <w:t>3</w:t>
            </w:r>
            <w:r>
              <w:rPr>
                <w:rFonts w:ascii="Times New Roman" w:hAnsi="Times New Roman" w:eastAsia="Times New Roman" w:cs="Times New Roman"/>
                <w:sz w:val="20"/>
                <w:szCs w:val="20"/>
                <w:spacing w:val="-26"/>
              </w:rPr>
              <w:t xml:space="preserve"> </w:t>
            </w:r>
            <w:r>
              <w:rPr>
                <w:sz w:val="20"/>
                <w:szCs w:val="20"/>
                <w:spacing w:val="8"/>
              </w:rPr>
              <w:t>、项目周边均为农田，不属于人口密集区和其他需</w:t>
            </w:r>
          </w:p>
          <w:p>
            <w:pPr>
              <w:pStyle w:val="TableText"/>
              <w:ind w:left="1433"/>
              <w:spacing w:before="53" w:line="228" w:lineRule="auto"/>
              <w:rPr>
                <w:sz w:val="20"/>
                <w:szCs w:val="20"/>
              </w:rPr>
            </w:pPr>
            <w:r>
              <w:rPr>
                <w:sz w:val="20"/>
                <w:szCs w:val="20"/>
                <w:spacing w:val="7"/>
              </w:rPr>
              <w:t>要特殊保护的区域；</w:t>
            </w:r>
          </w:p>
          <w:p>
            <w:pPr>
              <w:pStyle w:val="TableText"/>
              <w:ind w:left="115"/>
              <w:spacing w:before="52" w:line="214" w:lineRule="auto"/>
              <w:rPr>
                <w:sz w:val="20"/>
                <w:szCs w:val="20"/>
              </w:rPr>
            </w:pPr>
            <w:r>
              <w:rPr>
                <w:rFonts w:ascii="Times New Roman" w:hAnsi="Times New Roman" w:eastAsia="Times New Roman" w:cs="Times New Roman"/>
                <w:sz w:val="20"/>
                <w:szCs w:val="20"/>
                <w:spacing w:val="8"/>
              </w:rPr>
              <w:t>4</w:t>
            </w:r>
            <w:r>
              <w:rPr>
                <w:rFonts w:ascii="Times New Roman" w:hAnsi="Times New Roman" w:eastAsia="Times New Roman" w:cs="Times New Roman"/>
                <w:sz w:val="20"/>
                <w:szCs w:val="20"/>
                <w:spacing w:val="-25"/>
              </w:rPr>
              <w:t xml:space="preserve"> </w:t>
            </w:r>
            <w:r>
              <w:rPr>
                <w:sz w:val="20"/>
                <w:szCs w:val="20"/>
                <w:spacing w:val="8"/>
              </w:rPr>
              <w:t>、不在集中供热管网覆盖区，采用电加热取暖。</w:t>
            </w:r>
          </w:p>
        </w:tc>
        <w:tc>
          <w:tcPr>
            <w:tcW w:w="786" w:type="dxa"/>
            <w:vAlign w:val="top"/>
            <w:tcBorders>
              <w:bottom w:val="single" w:color="000000" w:sz="10" w:space="0"/>
              <w:right w:val="single" w:color="000000" w:sz="10" w:space="0"/>
            </w:tcBorders>
          </w:tcPr>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190"/>
              <w:spacing w:before="65" w:line="228" w:lineRule="auto"/>
              <w:rPr>
                <w:sz w:val="20"/>
                <w:szCs w:val="20"/>
              </w:rPr>
            </w:pPr>
            <w:r>
              <w:rPr>
                <w:sz w:val="20"/>
                <w:szCs w:val="20"/>
                <w:spacing w:val="3"/>
              </w:rPr>
              <w:t>符合</w:t>
            </w:r>
          </w:p>
        </w:tc>
      </w:tr>
    </w:tbl>
    <w:p>
      <w:pPr>
        <w:pStyle w:val="BodyText"/>
        <w:rPr/>
      </w:pPr>
      <w:r/>
    </w:p>
    <w:p>
      <w:pPr>
        <w:sectPr>
          <w:footerReference w:type="default" r:id="rId140"/>
          <w:pgSz w:w="16839" w:h="11906"/>
          <w:pgMar w:top="400" w:right="1272" w:bottom="1211" w:left="1271" w:header="0" w:footer="1049" w:gutter="0"/>
        </w:sectPr>
        <w:rPr/>
      </w:pPr>
    </w:p>
    <w:p>
      <w:pPr>
        <w:spacing w:before="39"/>
        <w:rPr/>
      </w:pPr>
      <w:r/>
    </w:p>
    <w:p>
      <w:pPr>
        <w:spacing w:before="39"/>
        <w:rPr/>
      </w:pPr>
      <w:r/>
    </w:p>
    <w:p>
      <w:pPr>
        <w:spacing w:before="38"/>
        <w:rPr/>
      </w:pPr>
      <w:r/>
    </w:p>
    <w:p>
      <w:pPr>
        <w:spacing w:before="38"/>
        <w:rPr/>
      </w:pPr>
      <w:r/>
    </w:p>
    <w:p>
      <w:pPr>
        <w:spacing w:before="38"/>
        <w:rPr/>
      </w:pPr>
      <w:r/>
    </w:p>
    <w:tbl>
      <w:tblPr>
        <w:tblStyle w:val="TableNormal"/>
        <w:tblW w:w="14067"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37"/>
        <w:gridCol w:w="658"/>
        <w:gridCol w:w="521"/>
        <w:gridCol w:w="6333"/>
        <w:gridCol w:w="4732"/>
        <w:gridCol w:w="786"/>
      </w:tblGrid>
      <w:tr>
        <w:trPr>
          <w:trHeight w:val="2698" w:hRule="atLeast"/>
        </w:trPr>
        <w:tc>
          <w:tcPr>
            <w:tcW w:w="1037" w:type="dxa"/>
            <w:vAlign w:val="top"/>
            <w:vMerge w:val="restart"/>
            <w:tcBorders>
              <w:left w:val="single" w:color="000000" w:sz="10" w:space="0"/>
              <w:bottom w:val="nil"/>
              <w:top w:val="single" w:color="000000" w:sz="10" w:space="0"/>
            </w:tcBorders>
          </w:tcPr>
          <w:p>
            <w:pPr>
              <w:rPr>
                <w:rFonts w:ascii="Arial"/>
                <w:sz w:val="21"/>
              </w:rPr>
            </w:pPr>
            <w:r/>
          </w:p>
        </w:tc>
        <w:tc>
          <w:tcPr>
            <w:tcW w:w="658" w:type="dxa"/>
            <w:vAlign w:val="top"/>
            <w:vMerge w:val="restart"/>
            <w:tcBorders>
              <w:bottom w:val="nil"/>
              <w:top w:val="single" w:color="000000" w:sz="10" w:space="0"/>
            </w:tcBorders>
          </w:tcPr>
          <w:p>
            <w:pPr>
              <w:rPr>
                <w:rFonts w:ascii="Arial"/>
                <w:sz w:val="21"/>
              </w:rPr>
            </w:pPr>
            <w:r/>
          </w:p>
        </w:tc>
        <w:tc>
          <w:tcPr>
            <w:tcW w:w="521" w:type="dxa"/>
            <w:vAlign w:val="top"/>
            <w:tcBorders>
              <w:top w:val="single" w:color="000000" w:sz="10" w:space="0"/>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49"/>
              <w:spacing w:before="65" w:line="228" w:lineRule="auto"/>
              <w:rPr>
                <w:sz w:val="20"/>
                <w:szCs w:val="20"/>
              </w:rPr>
            </w:pPr>
            <w:r>
              <w:rPr>
                <w:sz w:val="20"/>
                <w:szCs w:val="20"/>
                <w:spacing w:val="3"/>
              </w:rPr>
              <w:t>污染</w:t>
            </w:r>
          </w:p>
          <w:p>
            <w:pPr>
              <w:pStyle w:val="TableText"/>
              <w:ind w:left="47"/>
              <w:spacing w:before="52" w:line="229" w:lineRule="auto"/>
              <w:rPr>
                <w:sz w:val="20"/>
                <w:szCs w:val="20"/>
              </w:rPr>
            </w:pPr>
            <w:r>
              <w:rPr>
                <w:sz w:val="20"/>
                <w:szCs w:val="20"/>
                <w:spacing w:val="4"/>
              </w:rPr>
              <w:t>物排</w:t>
            </w:r>
          </w:p>
          <w:p>
            <w:pPr>
              <w:pStyle w:val="TableText"/>
              <w:ind w:left="47"/>
              <w:spacing w:before="51" w:line="228" w:lineRule="auto"/>
              <w:rPr>
                <w:sz w:val="20"/>
                <w:szCs w:val="20"/>
              </w:rPr>
            </w:pPr>
            <w:r>
              <w:rPr>
                <w:sz w:val="20"/>
                <w:szCs w:val="20"/>
                <w:spacing w:val="4"/>
              </w:rPr>
              <w:t>放管</w:t>
            </w:r>
          </w:p>
          <w:p>
            <w:pPr>
              <w:pStyle w:val="TableText"/>
              <w:ind w:left="152"/>
              <w:spacing w:before="53" w:line="228" w:lineRule="auto"/>
              <w:rPr>
                <w:sz w:val="20"/>
                <w:szCs w:val="20"/>
              </w:rPr>
            </w:pPr>
            <w:r>
              <w:rPr>
                <w:sz w:val="20"/>
                <w:szCs w:val="20"/>
                <w:spacing w:val="1"/>
              </w:rPr>
              <w:t>控</w:t>
            </w:r>
          </w:p>
        </w:tc>
        <w:tc>
          <w:tcPr>
            <w:tcW w:w="6333" w:type="dxa"/>
            <w:vAlign w:val="top"/>
            <w:tcBorders>
              <w:top w:val="single" w:color="000000" w:sz="10" w:space="0"/>
            </w:tcBorders>
          </w:tcPr>
          <w:p>
            <w:pPr>
              <w:pStyle w:val="TableText"/>
              <w:ind w:left="853" w:hanging="835"/>
              <w:spacing w:before="65" w:line="252" w:lineRule="auto"/>
              <w:rPr>
                <w:sz w:val="20"/>
                <w:szCs w:val="20"/>
              </w:rPr>
            </w:pPr>
            <w:r>
              <w:rPr>
                <w:rFonts w:ascii="Times New Roman" w:hAnsi="Times New Roman" w:eastAsia="Times New Roman" w:cs="Times New Roman"/>
                <w:sz w:val="20"/>
                <w:szCs w:val="20"/>
                <w:spacing w:val="7"/>
              </w:rPr>
              <w:t>1</w:t>
            </w:r>
            <w:r>
              <w:rPr>
                <w:sz w:val="20"/>
                <w:szCs w:val="20"/>
                <w:spacing w:val="7"/>
              </w:rPr>
              <w:t>、执行自治区、乌昌石片区总体准入要求中关于</w:t>
            </w:r>
            <w:r>
              <w:rPr>
                <w:sz w:val="20"/>
                <w:szCs w:val="20"/>
                <w:spacing w:val="6"/>
              </w:rPr>
              <w:t>重点管控单元污染物</w:t>
            </w:r>
            <w:r>
              <w:rPr>
                <w:sz w:val="20"/>
                <w:szCs w:val="20"/>
              </w:rPr>
              <w:t xml:space="preserve"> </w:t>
            </w:r>
            <w:r>
              <w:rPr>
                <w:sz w:val="20"/>
                <w:szCs w:val="20"/>
                <w:spacing w:val="5"/>
              </w:rPr>
              <w:t>排放管控的准入要求（表</w:t>
            </w:r>
            <w:r>
              <w:rPr>
                <w:rFonts w:ascii="Times New Roman" w:hAnsi="Times New Roman" w:eastAsia="Times New Roman" w:cs="Times New Roman"/>
                <w:sz w:val="20"/>
                <w:szCs w:val="20"/>
                <w:spacing w:val="5"/>
              </w:rPr>
              <w:t>2-3 A6.2</w:t>
            </w:r>
            <w:r>
              <w:rPr>
                <w:rFonts w:ascii="Times New Roman" w:hAnsi="Times New Roman" w:eastAsia="Times New Roman" w:cs="Times New Roman"/>
                <w:sz w:val="20"/>
                <w:szCs w:val="20"/>
                <w:spacing w:val="-17"/>
              </w:rPr>
              <w:t xml:space="preserve"> </w:t>
            </w:r>
            <w:r>
              <w:rPr>
                <w:sz w:val="20"/>
                <w:szCs w:val="20"/>
                <w:spacing w:val="5"/>
              </w:rPr>
              <w:t>、表</w:t>
            </w:r>
            <w:r>
              <w:rPr>
                <w:rFonts w:ascii="Times New Roman" w:hAnsi="Times New Roman" w:eastAsia="Times New Roman" w:cs="Times New Roman"/>
                <w:sz w:val="20"/>
                <w:szCs w:val="20"/>
                <w:spacing w:val="5"/>
              </w:rPr>
              <w:t>3.4-2 B2</w:t>
            </w:r>
            <w:r>
              <w:rPr>
                <w:sz w:val="20"/>
                <w:szCs w:val="20"/>
                <w:spacing w:val="5"/>
              </w:rPr>
              <w:t>）。</w:t>
            </w:r>
          </w:p>
          <w:p>
            <w:pPr>
              <w:pStyle w:val="TableText"/>
              <w:ind w:left="14" w:right="14" w:firstLine="27"/>
              <w:spacing w:before="53" w:line="252" w:lineRule="auto"/>
              <w:rPr>
                <w:sz w:val="20"/>
                <w:szCs w:val="20"/>
              </w:rPr>
            </w:pPr>
            <w:r>
              <w:rPr>
                <w:rFonts w:ascii="Times New Roman" w:hAnsi="Times New Roman" w:eastAsia="Times New Roman" w:cs="Times New Roman"/>
                <w:sz w:val="20"/>
                <w:szCs w:val="20"/>
                <w:spacing w:val="8"/>
              </w:rPr>
              <w:t>2</w:t>
            </w:r>
            <w:r>
              <w:rPr>
                <w:rFonts w:ascii="Times New Roman" w:hAnsi="Times New Roman" w:eastAsia="Times New Roman" w:cs="Times New Roman"/>
                <w:sz w:val="20"/>
                <w:szCs w:val="20"/>
                <w:spacing w:val="-29"/>
              </w:rPr>
              <w:t xml:space="preserve"> </w:t>
            </w:r>
            <w:r>
              <w:rPr>
                <w:sz w:val="20"/>
                <w:szCs w:val="20"/>
                <w:spacing w:val="8"/>
              </w:rPr>
              <w:t>、</w:t>
            </w:r>
            <w:r>
              <w:rPr>
                <w:rFonts w:ascii="Times New Roman" w:hAnsi="Times New Roman" w:eastAsia="Times New Roman" w:cs="Times New Roman"/>
                <w:sz w:val="20"/>
                <w:szCs w:val="20"/>
              </w:rPr>
              <w:t>PM</w:t>
            </w:r>
            <w:r>
              <w:rPr>
                <w:rFonts w:ascii="Times New Roman" w:hAnsi="Times New Roman" w:eastAsia="Times New Roman" w:cs="Times New Roman"/>
                <w:sz w:val="13"/>
                <w:szCs w:val="13"/>
                <w:spacing w:val="8"/>
                <w:position w:val="-1"/>
              </w:rPr>
              <w:t>2.5</w:t>
            </w:r>
            <w:r>
              <w:rPr>
                <w:sz w:val="20"/>
                <w:szCs w:val="20"/>
                <w:spacing w:val="8"/>
              </w:rPr>
              <w:t>年均浓度不达标县市（园区</w:t>
            </w:r>
            <w:r>
              <w:rPr>
                <w:sz w:val="20"/>
                <w:szCs w:val="20"/>
                <w:spacing w:val="17"/>
              </w:rPr>
              <w:t>），</w:t>
            </w:r>
            <w:r>
              <w:rPr>
                <w:sz w:val="20"/>
                <w:szCs w:val="20"/>
                <w:spacing w:val="8"/>
              </w:rPr>
              <w:t>禁止新（改、扩）建未落实</w:t>
            </w:r>
            <w:r>
              <w:rPr>
                <w:sz w:val="20"/>
                <w:szCs w:val="20"/>
              </w:rPr>
              <w:t xml:space="preserve"> </w:t>
            </w:r>
            <w:r>
              <w:rPr>
                <w:sz w:val="20"/>
                <w:szCs w:val="20"/>
                <w:spacing w:val="9"/>
              </w:rPr>
              <w:t>排放</w:t>
            </w:r>
            <w:r>
              <w:rPr>
                <w:rFonts w:ascii="Times New Roman" w:hAnsi="Times New Roman" w:eastAsia="Times New Roman" w:cs="Times New Roman"/>
                <w:sz w:val="20"/>
                <w:szCs w:val="20"/>
              </w:rPr>
              <w:t>SO</w:t>
            </w:r>
            <w:r>
              <w:rPr>
                <w:rFonts w:ascii="Times New Roman" w:hAnsi="Times New Roman" w:eastAsia="Times New Roman" w:cs="Times New Roman"/>
                <w:sz w:val="13"/>
                <w:szCs w:val="13"/>
                <w:spacing w:val="9"/>
                <w:position w:val="-1"/>
              </w:rPr>
              <w:t>2</w:t>
            </w:r>
            <w:r>
              <w:rPr>
                <w:rFonts w:ascii="Times New Roman" w:hAnsi="Times New Roman" w:eastAsia="Times New Roman" w:cs="Times New Roman"/>
                <w:sz w:val="13"/>
                <w:szCs w:val="13"/>
                <w:spacing w:val="7"/>
                <w:position w:val="-1"/>
              </w:rPr>
              <w:t xml:space="preserve"> </w:t>
            </w:r>
            <w:r>
              <w:rPr>
                <w:sz w:val="20"/>
                <w:szCs w:val="20"/>
                <w:spacing w:val="9"/>
              </w:rPr>
              <w:t>、</w:t>
            </w:r>
            <w:r>
              <w:rPr>
                <w:rFonts w:ascii="Times New Roman" w:hAnsi="Times New Roman" w:eastAsia="Times New Roman" w:cs="Times New Roman"/>
                <w:sz w:val="20"/>
                <w:szCs w:val="20"/>
              </w:rPr>
              <w:t>NOx</w:t>
            </w:r>
            <w:r>
              <w:rPr>
                <w:rFonts w:ascii="Times New Roman" w:hAnsi="Times New Roman" w:eastAsia="Times New Roman" w:cs="Times New Roman"/>
                <w:sz w:val="20"/>
                <w:szCs w:val="20"/>
                <w:spacing w:val="-26"/>
              </w:rPr>
              <w:t xml:space="preserve"> </w:t>
            </w:r>
            <w:r>
              <w:rPr>
                <w:sz w:val="20"/>
                <w:szCs w:val="20"/>
                <w:spacing w:val="9"/>
              </w:rPr>
              <w:t>、烟粉尘、挥发性有机物（</w:t>
            </w:r>
            <w:r>
              <w:rPr>
                <w:rFonts w:ascii="Times New Roman" w:hAnsi="Times New Roman" w:eastAsia="Times New Roman" w:cs="Times New Roman"/>
                <w:sz w:val="20"/>
                <w:szCs w:val="20"/>
              </w:rPr>
              <w:t>VOCs</w:t>
            </w:r>
            <w:r>
              <w:rPr>
                <w:sz w:val="20"/>
                <w:szCs w:val="20"/>
                <w:spacing w:val="9"/>
              </w:rPr>
              <w:t>）等四项大气污染物</w:t>
            </w:r>
          </w:p>
          <w:p>
            <w:pPr>
              <w:pStyle w:val="TableText"/>
              <w:ind w:left="1284"/>
              <w:spacing w:before="54" w:line="227" w:lineRule="auto"/>
              <w:rPr>
                <w:sz w:val="20"/>
                <w:szCs w:val="20"/>
              </w:rPr>
            </w:pPr>
            <w:r>
              <w:rPr>
                <w:sz w:val="20"/>
                <w:szCs w:val="20"/>
                <w:spacing w:val="8"/>
              </w:rPr>
              <w:t>总量指标昌吉州区域内倍量替代的项目。</w:t>
            </w:r>
          </w:p>
          <w:p>
            <w:pPr>
              <w:pStyle w:val="TableText"/>
              <w:ind w:left="280"/>
              <w:spacing w:before="53" w:line="228" w:lineRule="auto"/>
              <w:rPr>
                <w:sz w:val="20"/>
                <w:szCs w:val="20"/>
              </w:rPr>
            </w:pPr>
            <w:r>
              <w:rPr>
                <w:rFonts w:ascii="Times New Roman" w:hAnsi="Times New Roman" w:eastAsia="Times New Roman" w:cs="Times New Roman"/>
                <w:sz w:val="20"/>
                <w:szCs w:val="20"/>
                <w:spacing w:val="8"/>
              </w:rPr>
              <w:t>3</w:t>
            </w:r>
            <w:r>
              <w:rPr>
                <w:rFonts w:ascii="Times New Roman" w:hAnsi="Times New Roman" w:eastAsia="Times New Roman" w:cs="Times New Roman"/>
                <w:sz w:val="20"/>
                <w:szCs w:val="20"/>
                <w:spacing w:val="-21"/>
              </w:rPr>
              <w:t xml:space="preserve"> </w:t>
            </w:r>
            <w:r>
              <w:rPr>
                <w:sz w:val="20"/>
                <w:szCs w:val="20"/>
                <w:spacing w:val="8"/>
              </w:rPr>
              <w:t>、新（改、扩）建项目应执行最严格的大气污染物排放标准。</w:t>
            </w:r>
          </w:p>
          <w:p>
            <w:pPr>
              <w:pStyle w:val="TableText"/>
              <w:spacing w:before="53" w:line="228" w:lineRule="auto"/>
              <w:rPr>
                <w:sz w:val="20"/>
                <w:szCs w:val="20"/>
              </w:rPr>
            </w:pPr>
            <w:r>
              <w:rPr>
                <w:rFonts w:ascii="Times New Roman" w:hAnsi="Times New Roman" w:eastAsia="Times New Roman" w:cs="Times New Roman"/>
                <w:sz w:val="20"/>
                <w:szCs w:val="20"/>
                <w:spacing w:val="7"/>
              </w:rPr>
              <w:t>4</w:t>
            </w:r>
            <w:r>
              <w:rPr>
                <w:rFonts w:ascii="Times New Roman" w:hAnsi="Times New Roman" w:eastAsia="Times New Roman" w:cs="Times New Roman"/>
                <w:sz w:val="20"/>
                <w:szCs w:val="20"/>
                <w:spacing w:val="-26"/>
              </w:rPr>
              <w:t xml:space="preserve"> </w:t>
            </w:r>
            <w:r>
              <w:rPr>
                <w:sz w:val="20"/>
                <w:szCs w:val="20"/>
                <w:spacing w:val="7"/>
              </w:rPr>
              <w:t>、施工工地全面落实</w:t>
            </w:r>
            <w:r>
              <w:rPr>
                <w:rFonts w:ascii="Times New Roman" w:hAnsi="Times New Roman" w:eastAsia="Times New Roman" w:cs="Times New Roman"/>
                <w:sz w:val="20"/>
                <w:szCs w:val="20"/>
                <w:spacing w:val="7"/>
              </w:rPr>
              <w:t>“</w:t>
            </w:r>
            <w:r>
              <w:rPr>
                <w:sz w:val="20"/>
                <w:szCs w:val="20"/>
                <w:spacing w:val="7"/>
              </w:rPr>
              <w:t>六个百分之百</w:t>
            </w:r>
            <w:r>
              <w:rPr>
                <w:rFonts w:ascii="Times New Roman" w:hAnsi="Times New Roman" w:eastAsia="Times New Roman" w:cs="Times New Roman"/>
                <w:sz w:val="20"/>
                <w:szCs w:val="20"/>
                <w:spacing w:val="7"/>
              </w:rPr>
              <w:t>”</w:t>
            </w:r>
            <w:r>
              <w:rPr>
                <w:sz w:val="20"/>
                <w:szCs w:val="20"/>
                <w:spacing w:val="7"/>
              </w:rPr>
              <w:t>（施工工地周边围挡、物料</w:t>
            </w:r>
            <w:r>
              <w:rPr>
                <w:sz w:val="20"/>
                <w:szCs w:val="20"/>
                <w:spacing w:val="6"/>
              </w:rPr>
              <w:t>堆放</w:t>
            </w:r>
          </w:p>
          <w:p>
            <w:pPr>
              <w:pStyle w:val="TableText"/>
              <w:ind w:left="2331" w:right="19" w:hanging="2312"/>
              <w:spacing w:before="53" w:line="241" w:lineRule="auto"/>
              <w:rPr>
                <w:sz w:val="20"/>
                <w:szCs w:val="20"/>
              </w:rPr>
            </w:pPr>
            <w:r>
              <w:rPr>
                <w:sz w:val="20"/>
                <w:szCs w:val="20"/>
                <w:spacing w:val="9"/>
              </w:rPr>
              <w:t>覆盖、出入车辆冲洗、施工现场地面硬化、拆迁工地湿法作业、渣土</w:t>
            </w:r>
            <w:r>
              <w:rPr>
                <w:sz w:val="20"/>
                <w:szCs w:val="20"/>
                <w:spacing w:val="17"/>
              </w:rPr>
              <w:t xml:space="preserve"> </w:t>
            </w:r>
            <w:r>
              <w:rPr>
                <w:sz w:val="20"/>
                <w:szCs w:val="20"/>
                <w:spacing w:val="5"/>
              </w:rPr>
              <w:t>车辆密闭运输）。</w:t>
            </w:r>
          </w:p>
        </w:tc>
        <w:tc>
          <w:tcPr>
            <w:tcW w:w="4732" w:type="dxa"/>
            <w:vAlign w:val="top"/>
            <w:tcBorders>
              <w:top w:val="single" w:color="000000" w:sz="10" w:space="0"/>
            </w:tcBorders>
          </w:tcPr>
          <w:p>
            <w:pPr>
              <w:pStyle w:val="TableText"/>
              <w:ind w:left="14" w:firstLine="13"/>
              <w:spacing w:before="65" w:line="252" w:lineRule="auto"/>
              <w:rPr>
                <w:sz w:val="20"/>
                <w:szCs w:val="20"/>
              </w:rPr>
            </w:pPr>
            <w:r>
              <w:rPr>
                <w:rFonts w:ascii="Times New Roman" w:hAnsi="Times New Roman" w:eastAsia="Times New Roman" w:cs="Times New Roman"/>
                <w:sz w:val="20"/>
                <w:szCs w:val="20"/>
                <w:spacing w:val="4"/>
              </w:rPr>
              <w:t>1</w:t>
            </w:r>
            <w:r>
              <w:rPr>
                <w:sz w:val="20"/>
                <w:szCs w:val="20"/>
                <w:spacing w:val="4"/>
              </w:rPr>
              <w:t>、本项目需申请总量控制指标为</w:t>
            </w:r>
            <w:r>
              <w:rPr>
                <w:rFonts w:ascii="Times New Roman" w:hAnsi="Times New Roman" w:eastAsia="Times New Roman" w:cs="Times New Roman"/>
                <w:sz w:val="20"/>
                <w:szCs w:val="20"/>
              </w:rPr>
              <w:t>VOCs</w:t>
            </w:r>
            <w:r>
              <w:rPr>
                <w:sz w:val="20"/>
                <w:szCs w:val="20"/>
                <w:spacing w:val="4"/>
              </w:rPr>
              <w:t>，经本项目采</w:t>
            </w:r>
            <w:r>
              <w:rPr>
                <w:sz w:val="20"/>
                <w:szCs w:val="20"/>
                <w:spacing w:val="13"/>
              </w:rPr>
              <w:t xml:space="preserve"> </w:t>
            </w:r>
            <w:r>
              <w:rPr>
                <w:sz w:val="20"/>
                <w:szCs w:val="20"/>
                <w:spacing w:val="5"/>
              </w:rPr>
              <w:t>取污染物治理措施后，可减少污染物总量排</w:t>
            </w:r>
            <w:r>
              <w:rPr>
                <w:sz w:val="20"/>
                <w:szCs w:val="20"/>
                <w:spacing w:val="4"/>
              </w:rPr>
              <w:t>放。本项</w:t>
            </w:r>
          </w:p>
          <w:p>
            <w:pPr>
              <w:pStyle w:val="TableText"/>
              <w:ind w:left="424"/>
              <w:spacing w:before="53" w:line="228" w:lineRule="auto"/>
              <w:rPr>
                <w:sz w:val="20"/>
                <w:szCs w:val="20"/>
              </w:rPr>
            </w:pPr>
            <w:r>
              <w:rPr>
                <w:sz w:val="20"/>
                <w:szCs w:val="20"/>
                <w:spacing w:val="6"/>
              </w:rPr>
              <w:t>目不属于污水处理厂建设及提升改造项目；</w:t>
            </w:r>
          </w:p>
          <w:p>
            <w:pPr>
              <w:pStyle w:val="TableText"/>
              <w:ind w:left="31" w:hanging="23"/>
              <w:spacing w:before="53" w:line="252" w:lineRule="auto"/>
              <w:rPr>
                <w:sz w:val="20"/>
                <w:szCs w:val="20"/>
              </w:rPr>
            </w:pPr>
            <w:r>
              <w:rPr>
                <w:rFonts w:ascii="Times New Roman" w:hAnsi="Times New Roman" w:eastAsia="Times New Roman" w:cs="Times New Roman"/>
                <w:sz w:val="20"/>
                <w:szCs w:val="20"/>
                <w:spacing w:val="6"/>
              </w:rPr>
              <w:t>2</w:t>
            </w:r>
            <w:r>
              <w:rPr>
                <w:rFonts w:ascii="Times New Roman" w:hAnsi="Times New Roman" w:eastAsia="Times New Roman" w:cs="Times New Roman"/>
                <w:sz w:val="20"/>
                <w:szCs w:val="20"/>
                <w:spacing w:val="-27"/>
              </w:rPr>
              <w:t xml:space="preserve"> </w:t>
            </w:r>
            <w:r>
              <w:rPr>
                <w:sz w:val="20"/>
                <w:szCs w:val="20"/>
                <w:spacing w:val="6"/>
              </w:rPr>
              <w:t>、项目所在区域属于</w:t>
            </w:r>
            <w:r>
              <w:rPr>
                <w:rFonts w:ascii="Times New Roman" w:hAnsi="Times New Roman" w:eastAsia="Times New Roman" w:cs="Times New Roman"/>
                <w:sz w:val="20"/>
                <w:szCs w:val="20"/>
              </w:rPr>
              <w:t>PM</w:t>
            </w:r>
            <w:r>
              <w:rPr>
                <w:rFonts w:ascii="Times New Roman" w:hAnsi="Times New Roman" w:eastAsia="Times New Roman" w:cs="Times New Roman"/>
                <w:sz w:val="13"/>
                <w:szCs w:val="13"/>
                <w:spacing w:val="6"/>
                <w:position w:val="-1"/>
              </w:rPr>
              <w:t>2.5</w:t>
            </w:r>
            <w:r>
              <w:rPr>
                <w:sz w:val="20"/>
                <w:szCs w:val="20"/>
                <w:spacing w:val="6"/>
              </w:rPr>
              <w:t>年均浓度不达标县市</w:t>
            </w:r>
            <w:r>
              <w:rPr>
                <w:sz w:val="20"/>
                <w:szCs w:val="20"/>
                <w:spacing w:val="5"/>
              </w:rPr>
              <w:t>（园</w:t>
            </w:r>
            <w:r>
              <w:rPr>
                <w:sz w:val="20"/>
                <w:szCs w:val="20"/>
              </w:rPr>
              <w:t xml:space="preserve"> </w:t>
            </w:r>
            <w:r>
              <w:rPr>
                <w:sz w:val="20"/>
                <w:szCs w:val="20"/>
                <w:spacing w:val="9"/>
              </w:rPr>
              <w:t>区</w:t>
            </w:r>
            <w:r>
              <w:rPr>
                <w:sz w:val="20"/>
                <w:szCs w:val="20"/>
                <w:spacing w:val="13"/>
              </w:rPr>
              <w:t>），</w:t>
            </w:r>
            <w:r>
              <w:rPr>
                <w:sz w:val="20"/>
                <w:szCs w:val="20"/>
                <w:spacing w:val="9"/>
              </w:rPr>
              <w:t>挥发性有机物（</w:t>
            </w:r>
            <w:r>
              <w:rPr>
                <w:rFonts w:ascii="Times New Roman" w:hAnsi="Times New Roman" w:eastAsia="Times New Roman" w:cs="Times New Roman"/>
                <w:sz w:val="20"/>
                <w:szCs w:val="20"/>
              </w:rPr>
              <w:t>VOCs</w:t>
            </w:r>
            <w:r>
              <w:rPr>
                <w:sz w:val="20"/>
                <w:szCs w:val="20"/>
                <w:spacing w:val="9"/>
              </w:rPr>
              <w:t>）污染物总量指标执行</w:t>
            </w:r>
          </w:p>
          <w:p>
            <w:pPr>
              <w:pStyle w:val="TableText"/>
              <w:ind w:left="226" w:right="259" w:firstLine="157"/>
              <w:spacing w:before="54" w:line="252" w:lineRule="auto"/>
              <w:rPr>
                <w:sz w:val="20"/>
                <w:szCs w:val="20"/>
              </w:rPr>
            </w:pPr>
            <w:r>
              <w:rPr>
                <w:sz w:val="20"/>
                <w:szCs w:val="20"/>
                <w:spacing w:val="10"/>
              </w:rPr>
              <w:t>倍量替代，由当地相关部门协调完成消减。 </w:t>
            </w:r>
            <w:r>
              <w:rPr>
                <w:rFonts w:ascii="Times New Roman" w:hAnsi="Times New Roman" w:eastAsia="Times New Roman" w:cs="Times New Roman"/>
                <w:sz w:val="20"/>
                <w:szCs w:val="20"/>
                <w:spacing w:val="5"/>
              </w:rPr>
              <w:t>3</w:t>
            </w:r>
            <w:r>
              <w:rPr>
                <w:rFonts w:ascii="Times New Roman" w:hAnsi="Times New Roman" w:eastAsia="Times New Roman" w:cs="Times New Roman"/>
                <w:sz w:val="20"/>
                <w:szCs w:val="20"/>
                <w:spacing w:val="-15"/>
              </w:rPr>
              <w:t xml:space="preserve"> </w:t>
            </w:r>
            <w:r>
              <w:rPr>
                <w:sz w:val="20"/>
                <w:szCs w:val="20"/>
                <w:spacing w:val="5"/>
              </w:rPr>
              <w:t>、本项目大气污染物排放执行特别排放限值；</w:t>
            </w:r>
          </w:p>
          <w:p>
            <w:pPr>
              <w:pStyle w:val="TableText"/>
              <w:ind w:left="1328" w:hanging="1316"/>
              <w:spacing w:before="54" w:line="241" w:lineRule="auto"/>
              <w:rPr>
                <w:sz w:val="20"/>
                <w:szCs w:val="20"/>
              </w:rPr>
            </w:pPr>
            <w:r>
              <w:rPr>
                <w:rFonts w:ascii="Times New Roman" w:hAnsi="Times New Roman" w:eastAsia="Times New Roman" w:cs="Times New Roman"/>
                <w:sz w:val="20"/>
                <w:szCs w:val="20"/>
                <w:spacing w:val="8"/>
              </w:rPr>
              <w:t>4</w:t>
            </w:r>
            <w:r>
              <w:rPr>
                <w:rFonts w:ascii="Times New Roman" w:hAnsi="Times New Roman" w:eastAsia="Times New Roman" w:cs="Times New Roman"/>
                <w:sz w:val="20"/>
                <w:szCs w:val="20"/>
                <w:spacing w:val="-21"/>
              </w:rPr>
              <w:t xml:space="preserve"> </w:t>
            </w:r>
            <w:r>
              <w:rPr>
                <w:sz w:val="20"/>
                <w:szCs w:val="20"/>
                <w:spacing w:val="8"/>
              </w:rPr>
              <w:t>、项目已建设完成，施工影响已消除，未收到施工</w:t>
            </w:r>
            <w:r>
              <w:rPr>
                <w:sz w:val="20"/>
                <w:szCs w:val="20"/>
              </w:rPr>
              <w:t xml:space="preserve"> </w:t>
            </w:r>
            <w:r>
              <w:rPr>
                <w:sz w:val="20"/>
                <w:szCs w:val="20"/>
                <w:spacing w:val="7"/>
              </w:rPr>
              <w:t>期环境污染投诉问题。</w:t>
            </w:r>
          </w:p>
        </w:tc>
        <w:tc>
          <w:tcPr>
            <w:tcW w:w="786" w:type="dxa"/>
            <w:vAlign w:val="top"/>
            <w:tcBorders>
              <w:right w:val="single" w:color="000000" w:sz="10" w:space="0"/>
              <w:top w:val="single" w:color="000000" w:sz="10" w:space="0"/>
            </w:tcBorders>
          </w:tcPr>
          <w:p>
            <w:pPr>
              <w:spacing w:line="298" w:lineRule="auto"/>
              <w:rPr>
                <w:rFonts w:ascii="Arial"/>
                <w:sz w:val="21"/>
              </w:rPr>
            </w:pPr>
            <w:r/>
          </w:p>
          <w:p>
            <w:pPr>
              <w:spacing w:line="298" w:lineRule="auto"/>
              <w:rPr>
                <w:rFonts w:ascii="Arial"/>
                <w:sz w:val="21"/>
              </w:rPr>
            </w:pPr>
            <w:r/>
          </w:p>
          <w:p>
            <w:pPr>
              <w:spacing w:line="298" w:lineRule="auto"/>
              <w:rPr>
                <w:rFonts w:ascii="Arial"/>
                <w:sz w:val="21"/>
              </w:rPr>
            </w:pPr>
            <w:r/>
          </w:p>
          <w:p>
            <w:pPr>
              <w:spacing w:line="298" w:lineRule="auto"/>
              <w:rPr>
                <w:rFonts w:ascii="Arial"/>
                <w:sz w:val="21"/>
              </w:rPr>
            </w:pPr>
            <w:r/>
          </w:p>
          <w:p>
            <w:pPr>
              <w:pStyle w:val="TableText"/>
              <w:ind w:left="190"/>
              <w:spacing w:before="65" w:line="228" w:lineRule="auto"/>
              <w:rPr>
                <w:sz w:val="20"/>
                <w:szCs w:val="20"/>
              </w:rPr>
            </w:pPr>
            <w:r>
              <w:rPr>
                <w:sz w:val="20"/>
                <w:szCs w:val="20"/>
                <w:spacing w:val="3"/>
              </w:rPr>
              <w:t>符合</w:t>
            </w:r>
          </w:p>
        </w:tc>
      </w:tr>
      <w:tr>
        <w:trPr>
          <w:trHeight w:val="904" w:hRule="atLeast"/>
        </w:trPr>
        <w:tc>
          <w:tcPr>
            <w:tcW w:w="1037" w:type="dxa"/>
            <w:vAlign w:val="top"/>
            <w:vMerge w:val="continue"/>
            <w:tcBorders>
              <w:left w:val="single" w:color="000000" w:sz="10" w:space="0"/>
              <w:bottom w:val="nil"/>
              <w:top w:val="nil"/>
            </w:tcBorders>
          </w:tcPr>
          <w:p>
            <w:pPr>
              <w:rPr>
                <w:rFonts w:ascii="Arial"/>
                <w:sz w:val="21"/>
              </w:rPr>
            </w:pPr>
            <w:r/>
          </w:p>
        </w:tc>
        <w:tc>
          <w:tcPr>
            <w:tcW w:w="658" w:type="dxa"/>
            <w:vAlign w:val="top"/>
            <w:vMerge w:val="continue"/>
            <w:tcBorders>
              <w:bottom w:val="nil"/>
              <w:top w:val="nil"/>
            </w:tcBorders>
          </w:tcPr>
          <w:p>
            <w:pPr>
              <w:rPr>
                <w:rFonts w:ascii="Arial"/>
                <w:sz w:val="21"/>
              </w:rPr>
            </w:pPr>
            <w:r/>
          </w:p>
        </w:tc>
        <w:tc>
          <w:tcPr>
            <w:tcW w:w="521" w:type="dxa"/>
            <w:vAlign w:val="top"/>
          </w:tcPr>
          <w:p>
            <w:pPr>
              <w:pStyle w:val="TableText"/>
              <w:ind w:left="47" w:right="58"/>
              <w:spacing w:before="71" w:line="253" w:lineRule="auto"/>
              <w:jc w:val="both"/>
              <w:rPr>
                <w:sz w:val="20"/>
                <w:szCs w:val="20"/>
              </w:rPr>
            </w:pPr>
            <w:r>
              <w:rPr>
                <w:sz w:val="20"/>
                <w:szCs w:val="20"/>
                <w:spacing w:val="4"/>
              </w:rPr>
              <w:t>环境</w:t>
            </w:r>
            <w:r>
              <w:rPr>
                <w:sz w:val="20"/>
                <w:szCs w:val="20"/>
              </w:rPr>
              <w:t xml:space="preserve"> </w:t>
            </w:r>
            <w:r>
              <w:rPr>
                <w:sz w:val="20"/>
                <w:szCs w:val="20"/>
                <w:spacing w:val="4"/>
              </w:rPr>
              <w:t>风险</w:t>
            </w:r>
            <w:r>
              <w:rPr>
                <w:sz w:val="20"/>
                <w:szCs w:val="20"/>
              </w:rPr>
              <w:t xml:space="preserve"> </w:t>
            </w:r>
            <w:r>
              <w:rPr>
                <w:sz w:val="20"/>
                <w:szCs w:val="20"/>
                <w:spacing w:val="4"/>
              </w:rPr>
              <w:t>防控</w:t>
            </w:r>
          </w:p>
        </w:tc>
        <w:tc>
          <w:tcPr>
            <w:tcW w:w="6333" w:type="dxa"/>
            <w:vAlign w:val="top"/>
          </w:tcPr>
          <w:p>
            <w:pPr>
              <w:pStyle w:val="TableText"/>
              <w:ind w:left="968" w:hanging="950"/>
              <w:spacing w:before="222" w:line="253" w:lineRule="auto"/>
              <w:rPr>
                <w:sz w:val="20"/>
                <w:szCs w:val="20"/>
              </w:rPr>
            </w:pPr>
            <w:r>
              <w:rPr>
                <w:rFonts w:ascii="Times New Roman" w:hAnsi="Times New Roman" w:eastAsia="Times New Roman" w:cs="Times New Roman"/>
                <w:sz w:val="20"/>
                <w:szCs w:val="20"/>
                <w:spacing w:val="7"/>
              </w:rPr>
              <w:t>1</w:t>
            </w:r>
            <w:r>
              <w:rPr>
                <w:sz w:val="20"/>
                <w:szCs w:val="20"/>
                <w:spacing w:val="7"/>
              </w:rPr>
              <w:t>、执行自治区、乌昌石片区总体准入要求中关于</w:t>
            </w:r>
            <w:r>
              <w:rPr>
                <w:sz w:val="20"/>
                <w:szCs w:val="20"/>
                <w:spacing w:val="6"/>
              </w:rPr>
              <w:t>重点管控单元环境风</w:t>
            </w:r>
            <w:r>
              <w:rPr>
                <w:sz w:val="20"/>
                <w:szCs w:val="20"/>
              </w:rPr>
              <w:t xml:space="preserve"> </w:t>
            </w:r>
            <w:r>
              <w:rPr>
                <w:sz w:val="20"/>
                <w:szCs w:val="20"/>
                <w:spacing w:val="5"/>
              </w:rPr>
              <w:t>险防控的准入要求（表</w:t>
            </w:r>
            <w:r>
              <w:rPr>
                <w:rFonts w:ascii="Times New Roman" w:hAnsi="Times New Roman" w:eastAsia="Times New Roman" w:cs="Times New Roman"/>
                <w:sz w:val="20"/>
                <w:szCs w:val="20"/>
                <w:spacing w:val="5"/>
              </w:rPr>
              <w:t>2-3 A6.3</w:t>
            </w:r>
            <w:r>
              <w:rPr>
                <w:rFonts w:ascii="Times New Roman" w:hAnsi="Times New Roman" w:eastAsia="Times New Roman" w:cs="Times New Roman"/>
                <w:sz w:val="20"/>
                <w:szCs w:val="20"/>
                <w:spacing w:val="-28"/>
              </w:rPr>
              <w:t xml:space="preserve"> </w:t>
            </w:r>
            <w:r>
              <w:rPr>
                <w:sz w:val="20"/>
                <w:szCs w:val="20"/>
                <w:spacing w:val="5"/>
              </w:rPr>
              <w:t>、表</w:t>
            </w:r>
            <w:r>
              <w:rPr>
                <w:rFonts w:ascii="Times New Roman" w:hAnsi="Times New Roman" w:eastAsia="Times New Roman" w:cs="Times New Roman"/>
                <w:sz w:val="20"/>
                <w:szCs w:val="20"/>
                <w:spacing w:val="5"/>
              </w:rPr>
              <w:t>3.4-2 </w:t>
            </w:r>
            <w:r>
              <w:rPr>
                <w:rFonts w:ascii="Times New Roman" w:hAnsi="Times New Roman" w:eastAsia="Times New Roman" w:cs="Times New Roman"/>
                <w:sz w:val="20"/>
                <w:szCs w:val="20"/>
                <w:spacing w:val="4"/>
              </w:rPr>
              <w:t>B3</w:t>
            </w:r>
            <w:r>
              <w:rPr>
                <w:sz w:val="20"/>
                <w:szCs w:val="20"/>
                <w:spacing w:val="4"/>
              </w:rPr>
              <w:t>）。</w:t>
            </w:r>
          </w:p>
        </w:tc>
        <w:tc>
          <w:tcPr>
            <w:tcW w:w="4732" w:type="dxa"/>
            <w:vAlign w:val="top"/>
          </w:tcPr>
          <w:p>
            <w:pPr>
              <w:pStyle w:val="TableText"/>
              <w:spacing w:before="71" w:line="227" w:lineRule="auto"/>
              <w:jc w:val="right"/>
              <w:rPr>
                <w:sz w:val="20"/>
                <w:szCs w:val="20"/>
              </w:rPr>
            </w:pPr>
            <w:r>
              <w:rPr>
                <w:rFonts w:ascii="Times New Roman" w:hAnsi="Times New Roman" w:eastAsia="Times New Roman" w:cs="Times New Roman"/>
                <w:sz w:val="20"/>
                <w:szCs w:val="20"/>
                <w:spacing w:val="7"/>
              </w:rPr>
              <w:t>1</w:t>
            </w:r>
            <w:r>
              <w:rPr>
                <w:rFonts w:ascii="Times New Roman" w:hAnsi="Times New Roman" w:eastAsia="Times New Roman" w:cs="Times New Roman"/>
                <w:sz w:val="20"/>
                <w:szCs w:val="20"/>
                <w:spacing w:val="-19"/>
              </w:rPr>
              <w:t xml:space="preserve"> </w:t>
            </w:r>
            <w:r>
              <w:rPr>
                <w:sz w:val="20"/>
                <w:szCs w:val="20"/>
                <w:spacing w:val="7"/>
              </w:rPr>
              <w:t>、本项目不在工业集聚区，不属于重点环境风险管</w:t>
            </w:r>
          </w:p>
          <w:p>
            <w:pPr>
              <w:pStyle w:val="TableText"/>
              <w:ind w:left="175" w:hanging="164"/>
              <w:spacing w:before="54" w:line="241" w:lineRule="auto"/>
              <w:rPr>
                <w:sz w:val="20"/>
                <w:szCs w:val="20"/>
              </w:rPr>
            </w:pPr>
            <w:r>
              <w:rPr>
                <w:sz w:val="20"/>
                <w:szCs w:val="20"/>
                <w:spacing w:val="5"/>
              </w:rPr>
              <w:t>控企业；本企业已编制了突发环境事件应急预案，待</w:t>
            </w:r>
            <w:r>
              <w:rPr>
                <w:sz w:val="20"/>
                <w:szCs w:val="20"/>
              </w:rPr>
              <w:t xml:space="preserve"> </w:t>
            </w:r>
            <w:r>
              <w:rPr>
                <w:sz w:val="20"/>
                <w:szCs w:val="20"/>
                <w:spacing w:val="8"/>
              </w:rPr>
              <w:t>项目完成审批后，修订突发环境事件应急预案。</w:t>
            </w:r>
          </w:p>
        </w:tc>
        <w:tc>
          <w:tcPr>
            <w:tcW w:w="786" w:type="dxa"/>
            <w:vAlign w:val="top"/>
            <w:tcBorders>
              <w:right w:val="single" w:color="000000" w:sz="10" w:space="0"/>
            </w:tcBorders>
          </w:tcPr>
          <w:p>
            <w:pPr>
              <w:spacing w:line="304" w:lineRule="auto"/>
              <w:rPr>
                <w:rFonts w:ascii="Arial"/>
                <w:sz w:val="21"/>
              </w:rPr>
            </w:pPr>
            <w:r/>
          </w:p>
          <w:p>
            <w:pPr>
              <w:pStyle w:val="TableText"/>
              <w:ind w:left="190"/>
              <w:spacing w:before="65" w:line="228" w:lineRule="auto"/>
              <w:rPr>
                <w:sz w:val="20"/>
                <w:szCs w:val="20"/>
              </w:rPr>
            </w:pPr>
            <w:r>
              <w:rPr>
                <w:sz w:val="20"/>
                <w:szCs w:val="20"/>
                <w:spacing w:val="3"/>
              </w:rPr>
              <w:t>符合</w:t>
            </w:r>
          </w:p>
        </w:tc>
      </w:tr>
      <w:tr>
        <w:trPr>
          <w:trHeight w:val="2419" w:hRule="atLeast"/>
        </w:trPr>
        <w:tc>
          <w:tcPr>
            <w:tcW w:w="1037" w:type="dxa"/>
            <w:vAlign w:val="top"/>
            <w:vMerge w:val="continue"/>
            <w:tcBorders>
              <w:left w:val="single" w:color="000000" w:sz="10" w:space="0"/>
              <w:bottom w:val="single" w:color="000000" w:sz="10" w:space="0"/>
              <w:top w:val="nil"/>
            </w:tcBorders>
          </w:tcPr>
          <w:p>
            <w:pPr>
              <w:rPr>
                <w:rFonts w:ascii="Arial"/>
                <w:sz w:val="21"/>
              </w:rPr>
            </w:pPr>
            <w:r/>
          </w:p>
        </w:tc>
        <w:tc>
          <w:tcPr>
            <w:tcW w:w="658" w:type="dxa"/>
            <w:vAlign w:val="top"/>
            <w:vMerge w:val="continue"/>
            <w:tcBorders>
              <w:bottom w:val="single" w:color="000000" w:sz="10" w:space="0"/>
              <w:top w:val="nil"/>
            </w:tcBorders>
          </w:tcPr>
          <w:p>
            <w:pPr>
              <w:rPr>
                <w:rFonts w:ascii="Arial"/>
                <w:sz w:val="21"/>
              </w:rPr>
            </w:pPr>
            <w:r/>
          </w:p>
        </w:tc>
        <w:tc>
          <w:tcPr>
            <w:tcW w:w="521" w:type="dxa"/>
            <w:vAlign w:val="top"/>
            <w:tcBorders>
              <w:bottom w:val="single" w:color="000000" w:sz="10" w:space="0"/>
            </w:tcBorders>
          </w:tcPr>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pStyle w:val="TableText"/>
              <w:ind w:left="48" w:right="58" w:firstLine="8"/>
              <w:spacing w:before="66" w:line="260" w:lineRule="auto"/>
              <w:jc w:val="both"/>
              <w:rPr>
                <w:sz w:val="20"/>
                <w:szCs w:val="20"/>
              </w:rPr>
            </w:pPr>
            <w:r>
              <w:rPr>
                <w:sz w:val="20"/>
                <w:szCs w:val="20"/>
              </w:rPr>
              <w:t>资源 </w:t>
            </w:r>
            <w:r>
              <w:rPr>
                <w:sz w:val="20"/>
                <w:szCs w:val="20"/>
                <w:spacing w:val="4"/>
              </w:rPr>
              <w:t>利用</w:t>
            </w:r>
            <w:r>
              <w:rPr>
                <w:sz w:val="20"/>
                <w:szCs w:val="20"/>
              </w:rPr>
              <w:t xml:space="preserve"> </w:t>
            </w:r>
            <w:r>
              <w:rPr>
                <w:sz w:val="20"/>
                <w:szCs w:val="20"/>
                <w:spacing w:val="4"/>
              </w:rPr>
              <w:t>效率</w:t>
            </w:r>
          </w:p>
        </w:tc>
        <w:tc>
          <w:tcPr>
            <w:tcW w:w="6333" w:type="dxa"/>
            <w:vAlign w:val="top"/>
            <w:tcBorders>
              <w:bottom w:val="single" w:color="000000" w:sz="10" w:space="0"/>
            </w:tcBorders>
          </w:tcPr>
          <w:p>
            <w:pPr>
              <w:pStyle w:val="TableText"/>
              <w:spacing w:before="74" w:line="228" w:lineRule="auto"/>
              <w:jc w:val="right"/>
              <w:rPr>
                <w:sz w:val="20"/>
                <w:szCs w:val="20"/>
              </w:rPr>
            </w:pPr>
            <w:r>
              <w:rPr>
                <w:rFonts w:ascii="Times New Roman" w:hAnsi="Times New Roman" w:eastAsia="Times New Roman" w:cs="Times New Roman"/>
                <w:sz w:val="20"/>
                <w:szCs w:val="20"/>
                <w:spacing w:val="7"/>
              </w:rPr>
              <w:t>1</w:t>
            </w:r>
            <w:r>
              <w:rPr>
                <w:sz w:val="20"/>
                <w:szCs w:val="20"/>
                <w:spacing w:val="7"/>
              </w:rPr>
              <w:t>、执行自治区、乌昌石片区总体准入要求中关于</w:t>
            </w:r>
            <w:r>
              <w:rPr>
                <w:sz w:val="20"/>
                <w:szCs w:val="20"/>
                <w:spacing w:val="6"/>
              </w:rPr>
              <w:t>重点管控单元资源利</w:t>
            </w:r>
          </w:p>
          <w:p>
            <w:pPr>
              <w:pStyle w:val="TableText"/>
              <w:ind w:left="882"/>
              <w:spacing w:before="53" w:line="228" w:lineRule="auto"/>
              <w:rPr>
                <w:sz w:val="20"/>
                <w:szCs w:val="20"/>
              </w:rPr>
            </w:pPr>
            <w:r>
              <w:rPr>
                <w:sz w:val="20"/>
                <w:szCs w:val="20"/>
                <w:spacing w:val="4"/>
              </w:rPr>
              <w:t>用效率的准入要求表（</w:t>
            </w:r>
            <w:r>
              <w:rPr>
                <w:rFonts w:ascii="Times New Roman" w:hAnsi="Times New Roman" w:eastAsia="Times New Roman" w:cs="Times New Roman"/>
                <w:sz w:val="20"/>
                <w:szCs w:val="20"/>
                <w:spacing w:val="4"/>
              </w:rPr>
              <w:t>2-3</w:t>
            </w:r>
            <w:r>
              <w:rPr>
                <w:rFonts w:ascii="Times New Roman" w:hAnsi="Times New Roman" w:eastAsia="Times New Roman" w:cs="Times New Roman"/>
                <w:sz w:val="20"/>
                <w:szCs w:val="20"/>
                <w:spacing w:val="-11"/>
              </w:rPr>
              <w:t xml:space="preserve"> </w:t>
            </w:r>
            <w:r>
              <w:rPr>
                <w:sz w:val="20"/>
                <w:szCs w:val="20"/>
                <w:spacing w:val="4"/>
              </w:rPr>
              <w:t>、</w:t>
            </w:r>
            <w:r>
              <w:rPr>
                <w:rFonts w:ascii="Times New Roman" w:hAnsi="Times New Roman" w:eastAsia="Times New Roman" w:cs="Times New Roman"/>
                <w:sz w:val="20"/>
                <w:szCs w:val="20"/>
                <w:spacing w:val="4"/>
              </w:rPr>
              <w:t>A6.4</w:t>
            </w:r>
            <w:r>
              <w:rPr>
                <w:rFonts w:ascii="Times New Roman" w:hAnsi="Times New Roman" w:eastAsia="Times New Roman" w:cs="Times New Roman"/>
                <w:sz w:val="20"/>
                <w:szCs w:val="20"/>
                <w:spacing w:val="-26"/>
              </w:rPr>
              <w:t xml:space="preserve"> </w:t>
            </w:r>
            <w:r>
              <w:rPr>
                <w:sz w:val="20"/>
                <w:szCs w:val="20"/>
                <w:spacing w:val="4"/>
              </w:rPr>
              <w:t>、表</w:t>
            </w:r>
            <w:r>
              <w:rPr>
                <w:rFonts w:ascii="Times New Roman" w:hAnsi="Times New Roman" w:eastAsia="Times New Roman" w:cs="Times New Roman"/>
                <w:sz w:val="20"/>
                <w:szCs w:val="20"/>
                <w:spacing w:val="4"/>
              </w:rPr>
              <w:t>3.4-2 B4</w:t>
            </w:r>
            <w:r>
              <w:rPr>
                <w:sz w:val="20"/>
                <w:szCs w:val="20"/>
                <w:spacing w:val="4"/>
              </w:rPr>
              <w:t>）。</w:t>
            </w:r>
          </w:p>
          <w:p>
            <w:pPr>
              <w:pStyle w:val="TableText"/>
              <w:ind w:left="4" w:right="2" w:hanging="4"/>
              <w:spacing w:before="53" w:line="267" w:lineRule="auto"/>
              <w:rPr>
                <w:sz w:val="20"/>
                <w:szCs w:val="20"/>
              </w:rPr>
            </w:pPr>
            <w:r>
              <w:rPr>
                <w:rFonts w:ascii="Times New Roman" w:hAnsi="Times New Roman" w:eastAsia="Times New Roman" w:cs="Times New Roman"/>
                <w:sz w:val="20"/>
                <w:szCs w:val="20"/>
                <w:spacing w:val="6"/>
              </w:rPr>
              <w:t>2</w:t>
            </w:r>
            <w:r>
              <w:rPr>
                <w:rFonts w:ascii="Times New Roman" w:hAnsi="Times New Roman" w:eastAsia="Times New Roman" w:cs="Times New Roman"/>
                <w:sz w:val="20"/>
                <w:szCs w:val="20"/>
                <w:spacing w:val="-12"/>
              </w:rPr>
              <w:t xml:space="preserve"> </w:t>
            </w:r>
            <w:r>
              <w:rPr>
                <w:sz w:val="20"/>
                <w:szCs w:val="20"/>
                <w:spacing w:val="6"/>
              </w:rPr>
              <w:t>、禁燃区内，禁止销售、燃用原煤、粉煤、各种可燃废物等高污染燃</w:t>
            </w:r>
            <w:r>
              <w:rPr>
                <w:sz w:val="20"/>
                <w:szCs w:val="20"/>
              </w:rPr>
              <w:t xml:space="preserve"> </w:t>
            </w:r>
            <w:r>
              <w:rPr>
                <w:sz w:val="20"/>
                <w:szCs w:val="20"/>
                <w:spacing w:val="10"/>
              </w:rPr>
              <w:t>料；禁止新建、扩建燃用高污染燃料的设施，已建设成的，应当在规</w:t>
            </w:r>
            <w:r>
              <w:rPr>
                <w:sz w:val="20"/>
                <w:szCs w:val="20"/>
                <w:spacing w:val="3"/>
              </w:rPr>
              <w:t xml:space="preserve"> </w:t>
            </w:r>
            <w:r>
              <w:rPr>
                <w:sz w:val="20"/>
                <w:szCs w:val="20"/>
                <w:spacing w:val="11"/>
              </w:rPr>
              <w:t>定的期限内改用清洁能源；在行政区域内严格</w:t>
            </w:r>
            <w:r>
              <w:rPr>
                <w:sz w:val="20"/>
                <w:szCs w:val="20"/>
                <w:spacing w:val="10"/>
              </w:rPr>
              <w:t>控制引进高载能项目。</w:t>
            </w:r>
            <w:r>
              <w:rPr>
                <w:sz w:val="20"/>
                <w:szCs w:val="20"/>
              </w:rPr>
              <w:t xml:space="preserve"> </w:t>
            </w:r>
            <w:r>
              <w:rPr>
                <w:rFonts w:ascii="Times New Roman" w:hAnsi="Times New Roman" w:eastAsia="Times New Roman" w:cs="Times New Roman"/>
                <w:sz w:val="20"/>
                <w:szCs w:val="20"/>
                <w:spacing w:val="6"/>
              </w:rPr>
              <w:t>3</w:t>
            </w:r>
            <w:r>
              <w:rPr>
                <w:rFonts w:ascii="Times New Roman" w:hAnsi="Times New Roman" w:eastAsia="Times New Roman" w:cs="Times New Roman"/>
                <w:sz w:val="20"/>
                <w:szCs w:val="20"/>
                <w:spacing w:val="-16"/>
              </w:rPr>
              <w:t xml:space="preserve"> </w:t>
            </w:r>
            <w:r>
              <w:rPr>
                <w:sz w:val="20"/>
                <w:szCs w:val="20"/>
                <w:spacing w:val="6"/>
              </w:rPr>
              <w:t>、新建、改建、扩建的建设项目，严格水资源论证，避免高耗水建设</w:t>
            </w:r>
            <w:r>
              <w:rPr>
                <w:sz w:val="20"/>
                <w:szCs w:val="20"/>
              </w:rPr>
              <w:t xml:space="preserve"> </w:t>
            </w:r>
            <w:r>
              <w:rPr>
                <w:sz w:val="20"/>
                <w:szCs w:val="20"/>
                <w:spacing w:val="10"/>
              </w:rPr>
              <w:t>项目取用地下水，已有的地下水取水工程，要根据水源替代工程建设</w:t>
            </w:r>
          </w:p>
          <w:p>
            <w:pPr>
              <w:pStyle w:val="TableText"/>
              <w:ind w:left="965"/>
              <w:spacing w:before="53" w:line="216" w:lineRule="auto"/>
              <w:rPr>
                <w:sz w:val="20"/>
                <w:szCs w:val="20"/>
              </w:rPr>
            </w:pPr>
            <w:r>
              <w:rPr>
                <w:sz w:val="20"/>
                <w:szCs w:val="20"/>
                <w:spacing w:val="9"/>
              </w:rPr>
              <w:t>情况、资源条件、节水潜力，逐步削减取水</w:t>
            </w:r>
            <w:r>
              <w:rPr>
                <w:sz w:val="20"/>
                <w:szCs w:val="20"/>
                <w:spacing w:val="8"/>
              </w:rPr>
              <w:t>量。</w:t>
            </w:r>
          </w:p>
        </w:tc>
        <w:tc>
          <w:tcPr>
            <w:tcW w:w="4732" w:type="dxa"/>
            <w:vAlign w:val="top"/>
            <w:tcBorders>
              <w:bottom w:val="single" w:color="000000" w:sz="10" w:space="0"/>
            </w:tcBorders>
          </w:tcPr>
          <w:p>
            <w:pPr>
              <w:spacing w:line="307" w:lineRule="auto"/>
              <w:rPr>
                <w:rFonts w:ascii="Arial"/>
                <w:sz w:val="21"/>
              </w:rPr>
            </w:pPr>
            <w:r/>
          </w:p>
          <w:p>
            <w:pPr>
              <w:pStyle w:val="TableText"/>
              <w:ind w:left="1328" w:hanging="1295"/>
              <w:spacing w:before="65" w:line="253" w:lineRule="auto"/>
              <w:rPr>
                <w:sz w:val="20"/>
                <w:szCs w:val="20"/>
              </w:rPr>
            </w:pPr>
            <w:r>
              <w:rPr>
                <w:rFonts w:ascii="Times New Roman" w:hAnsi="Times New Roman" w:eastAsia="Times New Roman" w:cs="Times New Roman"/>
                <w:sz w:val="20"/>
                <w:szCs w:val="20"/>
                <w:spacing w:val="7"/>
              </w:rPr>
              <w:t>1</w:t>
            </w:r>
            <w:r>
              <w:rPr>
                <w:rFonts w:ascii="Times New Roman" w:hAnsi="Times New Roman" w:eastAsia="Times New Roman" w:cs="Times New Roman"/>
                <w:sz w:val="20"/>
                <w:szCs w:val="20"/>
                <w:spacing w:val="-19"/>
              </w:rPr>
              <w:t xml:space="preserve"> </w:t>
            </w:r>
            <w:r>
              <w:rPr>
                <w:sz w:val="20"/>
                <w:szCs w:val="20"/>
                <w:spacing w:val="7"/>
              </w:rPr>
              <w:t>、本项目生产过程中不涉及水资源消耗，主要用能</w:t>
            </w:r>
            <w:r>
              <w:rPr>
                <w:sz w:val="20"/>
                <w:szCs w:val="20"/>
              </w:rPr>
              <w:t xml:space="preserve"> </w:t>
            </w:r>
            <w:r>
              <w:rPr>
                <w:sz w:val="20"/>
                <w:szCs w:val="20"/>
                <w:spacing w:val="7"/>
              </w:rPr>
              <w:t>为电，属于清洁能源。</w:t>
            </w:r>
          </w:p>
          <w:p>
            <w:pPr>
              <w:pStyle w:val="TableText"/>
              <w:spacing w:before="52" w:line="227" w:lineRule="auto"/>
              <w:jc w:val="right"/>
              <w:rPr>
                <w:sz w:val="20"/>
                <w:szCs w:val="20"/>
              </w:rPr>
            </w:pPr>
            <w:r>
              <w:rPr>
                <w:rFonts w:ascii="Times New Roman" w:hAnsi="Times New Roman" w:eastAsia="Times New Roman" w:cs="Times New Roman"/>
                <w:sz w:val="20"/>
                <w:szCs w:val="20"/>
                <w:spacing w:val="8"/>
              </w:rPr>
              <w:t>2</w:t>
            </w:r>
            <w:r>
              <w:rPr>
                <w:rFonts w:ascii="Times New Roman" w:hAnsi="Times New Roman" w:eastAsia="Times New Roman" w:cs="Times New Roman"/>
                <w:sz w:val="20"/>
                <w:szCs w:val="20"/>
                <w:spacing w:val="-22"/>
              </w:rPr>
              <w:t xml:space="preserve"> </w:t>
            </w:r>
            <w:r>
              <w:rPr>
                <w:sz w:val="20"/>
                <w:szCs w:val="20"/>
                <w:spacing w:val="8"/>
              </w:rPr>
              <w:t>、本项目不燃用原煤、粉煤、各种可燃废物等高污</w:t>
            </w:r>
          </w:p>
          <w:p>
            <w:pPr>
              <w:pStyle w:val="TableText"/>
              <w:ind w:left="2203" w:hanging="2188"/>
              <w:spacing w:before="54" w:line="253" w:lineRule="auto"/>
              <w:rPr>
                <w:sz w:val="20"/>
                <w:szCs w:val="20"/>
              </w:rPr>
            </w:pPr>
            <w:r>
              <w:rPr>
                <w:sz w:val="20"/>
                <w:szCs w:val="20"/>
                <w:spacing w:val="4"/>
              </w:rPr>
              <w:t>染燃料；无燃用高污染燃料的设施；不属于高载能项</w:t>
            </w:r>
            <w:r>
              <w:rPr>
                <w:sz w:val="20"/>
                <w:szCs w:val="20"/>
                <w:spacing w:val="18"/>
              </w:rPr>
              <w:t xml:space="preserve"> </w:t>
            </w:r>
            <w:r>
              <w:rPr>
                <w:sz w:val="20"/>
                <w:szCs w:val="20"/>
                <w:spacing w:val="-20"/>
              </w:rPr>
              <w:t>目；</w:t>
            </w:r>
          </w:p>
          <w:p>
            <w:pPr>
              <w:pStyle w:val="TableText"/>
              <w:ind w:left="331"/>
              <w:spacing w:before="50" w:line="227" w:lineRule="auto"/>
              <w:rPr>
                <w:sz w:val="20"/>
                <w:szCs w:val="20"/>
              </w:rPr>
            </w:pPr>
            <w:r>
              <w:rPr>
                <w:rFonts w:ascii="Times New Roman" w:hAnsi="Times New Roman" w:eastAsia="Times New Roman" w:cs="Times New Roman"/>
                <w:sz w:val="20"/>
                <w:szCs w:val="20"/>
                <w:spacing w:val="7"/>
              </w:rPr>
              <w:t>3</w:t>
            </w:r>
            <w:r>
              <w:rPr>
                <w:rFonts w:ascii="Times New Roman" w:hAnsi="Times New Roman" w:eastAsia="Times New Roman" w:cs="Times New Roman"/>
                <w:sz w:val="20"/>
                <w:szCs w:val="20"/>
                <w:spacing w:val="-17"/>
              </w:rPr>
              <w:t xml:space="preserve"> </w:t>
            </w:r>
            <w:r>
              <w:rPr>
                <w:sz w:val="20"/>
                <w:szCs w:val="20"/>
                <w:spacing w:val="7"/>
              </w:rPr>
              <w:t>、本项目无用水，不属于高耗水建设项目。</w:t>
            </w:r>
          </w:p>
        </w:tc>
        <w:tc>
          <w:tcPr>
            <w:tcW w:w="786" w:type="dxa"/>
            <w:vAlign w:val="top"/>
            <w:tcBorders>
              <w:bottom w:val="single" w:color="000000" w:sz="10" w:space="0"/>
              <w:right w:val="single" w:color="000000" w:sz="10" w:space="0"/>
            </w:tcBorders>
          </w:tcPr>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90"/>
              <w:spacing w:before="65" w:line="228" w:lineRule="auto"/>
              <w:rPr>
                <w:sz w:val="20"/>
                <w:szCs w:val="20"/>
              </w:rPr>
            </w:pPr>
            <w:r>
              <w:rPr>
                <w:sz w:val="20"/>
                <w:szCs w:val="20"/>
                <w:spacing w:val="3"/>
              </w:rPr>
              <w:t>符合</w:t>
            </w:r>
          </w:p>
        </w:tc>
      </w:tr>
    </w:tbl>
    <w:p>
      <w:pPr>
        <w:pStyle w:val="BodyText"/>
        <w:rPr/>
      </w:pPr>
      <w:r/>
    </w:p>
    <w:p>
      <w:pPr>
        <w:sectPr>
          <w:footerReference w:type="default" r:id="rId141"/>
          <w:pgSz w:w="16839" w:h="11906"/>
          <w:pgMar w:top="400" w:right="1372" w:bottom="1209" w:left="1372"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3"/>
        <w:gridCol w:w="7823"/>
      </w:tblGrid>
      <w:tr>
        <w:trPr>
          <w:trHeight w:val="13722" w:hRule="atLeast"/>
        </w:trPr>
        <w:tc>
          <w:tcPr>
            <w:tcW w:w="703" w:type="dxa"/>
            <w:vAlign w:val="top"/>
          </w:tcPr>
          <w:p>
            <w:pPr>
              <w:pStyle w:val="TableText"/>
              <w:ind w:left="118" w:right="107"/>
              <w:spacing w:before="198" w:line="385" w:lineRule="auto"/>
              <w:jc w:val="both"/>
              <w:rPr/>
            </w:pPr>
            <w:r>
              <w:rPr>
                <w:spacing w:val="-4"/>
              </w:rPr>
              <w:t>其他</w:t>
            </w:r>
            <w:r>
              <w:rPr/>
              <w:t xml:space="preserve"> </w:t>
            </w:r>
            <w:r>
              <w:rPr>
                <w:spacing w:val="-5"/>
              </w:rPr>
              <w:t>符合</w:t>
            </w:r>
            <w:r>
              <w:rPr/>
              <w:t xml:space="preserve"> </w:t>
            </w:r>
            <w:r>
              <w:rPr>
                <w:spacing w:val="-5"/>
              </w:rPr>
              <w:t>性分</w:t>
            </w:r>
          </w:p>
          <w:p>
            <w:pPr>
              <w:pStyle w:val="TableText"/>
              <w:ind w:left="119"/>
              <w:spacing w:line="220" w:lineRule="auto"/>
              <w:rPr/>
            </w:pPr>
            <w:r>
              <w:rPr/>
              <w:t>析</w:t>
            </w:r>
          </w:p>
        </w:tc>
        <w:tc>
          <w:tcPr>
            <w:tcW w:w="7823" w:type="dxa"/>
            <w:vAlign w:val="top"/>
          </w:tcPr>
          <w:p>
            <w:pPr>
              <w:pStyle w:val="TableText"/>
              <w:ind w:left="595"/>
              <w:spacing w:before="200" w:line="499" w:lineRule="exact"/>
              <w:rPr/>
            </w:pPr>
            <w:r>
              <w:rPr>
                <w:spacing w:val="-4"/>
                <w:position w:val="19"/>
              </w:rPr>
              <w:t>综上所述，本项目符合《新疆维吾尔自治区“三线一单</w:t>
            </w:r>
            <w:r>
              <w:rPr>
                <w:spacing w:val="-86"/>
                <w:position w:val="19"/>
              </w:rPr>
              <w:t xml:space="preserve"> </w:t>
            </w:r>
            <w:r>
              <w:rPr>
                <w:spacing w:val="-4"/>
                <w:position w:val="19"/>
              </w:rPr>
              <w:t>”生态环境分</w:t>
            </w:r>
          </w:p>
          <w:p>
            <w:pPr>
              <w:pStyle w:val="TableText"/>
              <w:ind w:left="130"/>
              <w:spacing w:line="219" w:lineRule="auto"/>
              <w:rPr/>
            </w:pPr>
            <w:r>
              <w:rPr>
                <w:spacing w:val="-4"/>
              </w:rPr>
              <w:t>区管控方案》。</w:t>
            </w:r>
          </w:p>
          <w:p>
            <w:pPr>
              <w:pStyle w:val="TableText"/>
              <w:ind w:left="604"/>
              <w:spacing w:before="214" w:line="501" w:lineRule="exact"/>
              <w:rPr/>
            </w:pPr>
            <w:r>
              <w:rPr>
                <w:position w:val="20"/>
              </w:rPr>
              <w:t>（</w:t>
            </w:r>
            <w:r>
              <w:rPr>
                <w:rFonts w:ascii="Times New Roman" w:hAnsi="Times New Roman" w:eastAsia="Times New Roman" w:cs="Times New Roman"/>
                <w:position w:val="20"/>
              </w:rPr>
              <w:t>2</w:t>
            </w:r>
            <w:r>
              <w:rPr>
                <w:position w:val="20"/>
              </w:rPr>
              <w:t>）与《昌吉回族自治州“三线一单</w:t>
            </w:r>
            <w:r>
              <w:rPr>
                <w:spacing w:val="-88"/>
                <w:position w:val="20"/>
              </w:rPr>
              <w:t xml:space="preserve"> </w:t>
            </w:r>
            <w:r>
              <w:rPr>
                <w:position w:val="20"/>
              </w:rPr>
              <w:t>”生态环境分区</w:t>
            </w:r>
            <w:r>
              <w:rPr>
                <w:spacing w:val="-1"/>
                <w:position w:val="20"/>
              </w:rPr>
              <w:t>管控方案》符</w:t>
            </w:r>
          </w:p>
          <w:p>
            <w:pPr>
              <w:pStyle w:val="TableText"/>
              <w:ind w:left="113"/>
              <w:spacing w:before="1" w:line="220" w:lineRule="auto"/>
              <w:rPr/>
            </w:pPr>
            <w:r>
              <w:rPr>
                <w:spacing w:val="-6"/>
              </w:rPr>
              <w:t>合性</w:t>
            </w:r>
          </w:p>
          <w:p>
            <w:pPr>
              <w:pStyle w:val="TableText"/>
              <w:ind w:left="100" w:right="106" w:firstLine="495"/>
              <w:spacing w:before="211" w:line="385" w:lineRule="auto"/>
              <w:rPr/>
            </w:pPr>
            <w:r>
              <w:rPr>
                <w:spacing w:val="-3"/>
              </w:rPr>
              <w:t>项目位于呼图壁县企业现有厂区内，项目所在地属于昌吉回族自治州</w:t>
            </w:r>
            <w:r>
              <w:rPr>
                <w:spacing w:val="3"/>
              </w:rPr>
              <w:t xml:space="preserve"> </w:t>
            </w:r>
            <w:r>
              <w:rPr>
                <w:spacing w:val="12"/>
              </w:rPr>
              <w:t>“三线一单</w:t>
            </w:r>
            <w:r>
              <w:rPr>
                <w:spacing w:val="-74"/>
              </w:rPr>
              <w:t xml:space="preserve"> </w:t>
            </w:r>
            <w:r>
              <w:rPr>
                <w:spacing w:val="12"/>
              </w:rPr>
              <w:t>”生态环境分区管控单元中呼图壁县建成区重点管控单元</w:t>
            </w:r>
          </w:p>
          <w:p>
            <w:pPr>
              <w:pStyle w:val="TableText"/>
              <w:ind w:left="124"/>
              <w:spacing w:line="219" w:lineRule="auto"/>
              <w:rPr/>
            </w:pPr>
            <w:r>
              <w:rPr>
                <w:spacing w:val="-2"/>
              </w:rPr>
              <w:t>（</w:t>
            </w:r>
            <w:r>
              <w:rPr>
                <w:rFonts w:ascii="Times New Roman" w:hAnsi="Times New Roman" w:eastAsia="Times New Roman" w:cs="Times New Roman"/>
                <w:spacing w:val="-2"/>
              </w:rPr>
              <w:t>ZH65232320001</w:t>
            </w:r>
            <w:r>
              <w:rPr>
                <w:spacing w:val="10"/>
              </w:rPr>
              <w:t>），</w:t>
            </w:r>
            <w:r>
              <w:rPr>
                <w:spacing w:val="-2"/>
              </w:rPr>
              <w:t>符合性分析如下：</w:t>
            </w:r>
          </w:p>
          <w:p>
            <w:pPr>
              <w:pStyle w:val="TableText"/>
              <w:ind w:left="591"/>
              <w:spacing w:before="215" w:line="217" w:lineRule="auto"/>
              <w:rPr/>
            </w:pPr>
            <w:r>
              <w:rPr>
                <w:spacing w:val="-2"/>
              </w:rPr>
              <w:t>①生态保护红线</w:t>
            </w:r>
          </w:p>
          <w:p>
            <w:pPr>
              <w:pStyle w:val="TableText"/>
              <w:ind w:left="116" w:right="106" w:firstLine="480"/>
              <w:spacing w:before="215" w:line="385" w:lineRule="auto"/>
              <w:rPr/>
            </w:pPr>
            <w:r>
              <w:rPr>
                <w:spacing w:val="-3"/>
              </w:rPr>
              <w:t>项目选址不涉及生态保护红线，项目所在区域不存在自然保护区、风</w:t>
            </w:r>
            <w:r>
              <w:rPr>
                <w:spacing w:val="3"/>
              </w:rPr>
              <w:t xml:space="preserve"> </w:t>
            </w:r>
            <w:r>
              <w:rPr>
                <w:spacing w:val="-3"/>
              </w:rPr>
              <w:t>景名胜区、饮用水水源保护区等需要特别保护的区域，不属于禁止建设开</w:t>
            </w:r>
            <w:r>
              <w:rPr>
                <w:spacing w:val="9"/>
              </w:rPr>
              <w:t xml:space="preserve"> </w:t>
            </w:r>
            <w:r>
              <w:rPr>
                <w:spacing w:val="-3"/>
              </w:rPr>
              <w:t>发区和限制建设开发区，符合生态保护红线的要求，不会影响所在区域内</w:t>
            </w:r>
          </w:p>
          <w:p>
            <w:pPr>
              <w:pStyle w:val="TableText"/>
              <w:ind w:left="114"/>
              <w:spacing w:before="1" w:line="219" w:lineRule="auto"/>
              <w:rPr/>
            </w:pPr>
            <w:r>
              <w:rPr>
                <w:spacing w:val="-1"/>
              </w:rPr>
              <w:t>生态功能和性质。符合生态保护红线相关要求。</w:t>
            </w:r>
          </w:p>
          <w:p>
            <w:pPr>
              <w:pStyle w:val="TableText"/>
              <w:ind w:left="590"/>
              <w:spacing w:before="216" w:line="217" w:lineRule="auto"/>
              <w:rPr/>
            </w:pPr>
            <w:r>
              <w:rPr>
                <w:spacing w:val="-2"/>
              </w:rPr>
              <w:t>②环境质量底线</w:t>
            </w:r>
          </w:p>
          <w:p>
            <w:pPr>
              <w:pStyle w:val="TableText"/>
              <w:ind w:left="113" w:right="7" w:firstLine="480"/>
              <w:spacing w:before="216" w:line="385" w:lineRule="auto"/>
              <w:rPr/>
            </w:pPr>
            <w:r>
              <w:rPr>
                <w:spacing w:val="-3"/>
              </w:rPr>
              <w:t>本项目所在地大气环境为环境空气质量功能二类地区，根据呼图壁县</w:t>
            </w:r>
            <w:r>
              <w:rPr>
                <w:spacing w:val="6"/>
              </w:rPr>
              <w:t xml:space="preserve"> </w:t>
            </w:r>
            <w:r>
              <w:rPr>
                <w:spacing w:val="2"/>
              </w:rPr>
              <w:t>监测站点</w:t>
            </w:r>
            <w:r>
              <w:rPr>
                <w:rFonts w:ascii="Times New Roman" w:hAnsi="Times New Roman" w:eastAsia="Times New Roman" w:cs="Times New Roman"/>
                <w:spacing w:val="2"/>
              </w:rPr>
              <w:t>2022</w:t>
            </w:r>
            <w:r>
              <w:rPr>
                <w:spacing w:val="2"/>
              </w:rPr>
              <w:t>年的监测数据，评价区域内大气环境中除</w:t>
            </w:r>
            <w:r>
              <w:rPr>
                <w:rFonts w:ascii="Times New Roman" w:hAnsi="Times New Roman" w:eastAsia="Times New Roman" w:cs="Times New Roman"/>
              </w:rPr>
              <w:t>PM</w:t>
            </w:r>
            <w:r>
              <w:rPr>
                <w:rFonts w:ascii="Times New Roman" w:hAnsi="Times New Roman" w:eastAsia="Times New Roman" w:cs="Times New Roman"/>
                <w:sz w:val="15"/>
                <w:szCs w:val="15"/>
                <w:spacing w:val="2"/>
                <w:position w:val="-1"/>
              </w:rPr>
              <w:t>10</w:t>
            </w:r>
            <w:r>
              <w:rPr>
                <w:rFonts w:ascii="Times New Roman" w:hAnsi="Times New Roman" w:eastAsia="Times New Roman" w:cs="Times New Roman"/>
                <w:sz w:val="15"/>
                <w:szCs w:val="15"/>
                <w:spacing w:val="-9"/>
                <w:position w:val="-1"/>
              </w:rPr>
              <w:t xml:space="preserve"> </w:t>
            </w:r>
            <w:r>
              <w:rPr>
                <w:spacing w:val="2"/>
              </w:rPr>
              <w:t>、</w:t>
            </w:r>
            <w:r>
              <w:rPr>
                <w:rFonts w:ascii="Times New Roman" w:hAnsi="Times New Roman" w:eastAsia="Times New Roman" w:cs="Times New Roman"/>
              </w:rPr>
              <w:t>PM</w:t>
            </w:r>
            <w:r>
              <w:rPr>
                <w:rFonts w:ascii="Times New Roman" w:hAnsi="Times New Roman" w:eastAsia="Times New Roman" w:cs="Times New Roman"/>
                <w:sz w:val="15"/>
                <w:szCs w:val="15"/>
                <w:spacing w:val="2"/>
                <w:position w:val="-1"/>
              </w:rPr>
              <w:t>2.5</w:t>
            </w:r>
            <w:r>
              <w:rPr>
                <w:rFonts w:ascii="Times New Roman" w:hAnsi="Times New Roman" w:eastAsia="Times New Roman" w:cs="Times New Roman"/>
                <w:sz w:val="15"/>
                <w:szCs w:val="15"/>
                <w:spacing w:val="-22"/>
                <w:position w:val="-1"/>
              </w:rPr>
              <w:t xml:space="preserve"> </w:t>
            </w:r>
            <w:r>
              <w:rPr>
                <w:spacing w:val="2"/>
              </w:rPr>
              <w:t>外，</w:t>
            </w:r>
            <w:r>
              <w:rPr/>
              <w:t xml:space="preserve"> </w:t>
            </w:r>
            <w:r>
              <w:rPr>
                <w:rFonts w:ascii="Times New Roman" w:hAnsi="Times New Roman" w:eastAsia="Times New Roman" w:cs="Times New Roman"/>
                <w:spacing w:val="-3"/>
              </w:rPr>
              <w:t>SO</w:t>
            </w:r>
            <w:r>
              <w:rPr>
                <w:rFonts w:ascii="Times New Roman" w:hAnsi="Times New Roman" w:eastAsia="Times New Roman" w:cs="Times New Roman"/>
                <w:sz w:val="15"/>
                <w:szCs w:val="15"/>
                <w:spacing w:val="-3"/>
                <w:position w:val="-1"/>
              </w:rPr>
              <w:t>2</w:t>
            </w:r>
            <w:r>
              <w:rPr>
                <w:spacing w:val="-21"/>
                <w:w w:val="94"/>
              </w:rPr>
              <w:t>、</w:t>
            </w:r>
            <w:r>
              <w:rPr>
                <w:rFonts w:ascii="Times New Roman" w:hAnsi="Times New Roman" w:eastAsia="Times New Roman" w:cs="Times New Roman"/>
                <w:spacing w:val="-21"/>
                <w:w w:val="94"/>
              </w:rPr>
              <w:t>NO</w:t>
            </w:r>
            <w:r>
              <w:rPr>
                <w:rFonts w:ascii="Times New Roman" w:hAnsi="Times New Roman" w:eastAsia="Times New Roman" w:cs="Times New Roman"/>
                <w:sz w:val="15"/>
                <w:szCs w:val="15"/>
                <w:spacing w:val="8"/>
                <w:position w:val="-1"/>
              </w:rPr>
              <w:t>2</w:t>
            </w:r>
            <w:r>
              <w:rPr>
                <w:spacing w:val="-31"/>
                <w:w w:val="92"/>
              </w:rPr>
              <w:t>、</w:t>
            </w:r>
            <w:r>
              <w:rPr>
                <w:rFonts w:ascii="Times New Roman" w:hAnsi="Times New Roman" w:eastAsia="Times New Roman" w:cs="Times New Roman"/>
                <w:spacing w:val="-31"/>
                <w:w w:val="92"/>
              </w:rPr>
              <w:t>O</w:t>
            </w:r>
            <w:r>
              <w:rPr>
                <w:rFonts w:ascii="Times New Roman" w:hAnsi="Times New Roman" w:eastAsia="Times New Roman" w:cs="Times New Roman"/>
                <w:sz w:val="15"/>
                <w:szCs w:val="15"/>
                <w:spacing w:val="3"/>
                <w:position w:val="-1"/>
              </w:rPr>
              <w:t>3</w:t>
            </w:r>
            <w:r>
              <w:rPr>
                <w:spacing w:val="-12"/>
              </w:rPr>
              <w:t>、</w:t>
            </w:r>
            <w:r>
              <w:rPr>
                <w:rFonts w:ascii="Times New Roman" w:hAnsi="Times New Roman" w:eastAsia="Times New Roman" w:cs="Times New Roman"/>
                <w:spacing w:val="-12"/>
              </w:rPr>
              <w:t>CO</w:t>
            </w:r>
            <w:r>
              <w:rPr>
                <w:spacing w:val="-12"/>
              </w:rPr>
              <w:t>项基本污染物满足《环境空气质量标准》（</w:t>
            </w:r>
            <w:r>
              <w:rPr>
                <w:rFonts w:ascii="Times New Roman" w:hAnsi="Times New Roman" w:eastAsia="Times New Roman" w:cs="Times New Roman"/>
                <w:spacing w:val="-12"/>
              </w:rPr>
              <w:t>GB3095-2012</w:t>
            </w:r>
            <w:r>
              <w:rPr>
                <w:spacing w:val="-12"/>
              </w:rPr>
              <w:t>）</w:t>
            </w:r>
          </w:p>
          <w:p>
            <w:pPr>
              <w:pStyle w:val="TableText"/>
              <w:ind w:left="135"/>
              <w:spacing w:line="220" w:lineRule="auto"/>
              <w:rPr/>
            </w:pPr>
            <w:r>
              <w:rPr>
                <w:spacing w:val="-2"/>
              </w:rPr>
              <w:t>中二级标准要求，项目所在区域属于非达标区。</w:t>
            </w:r>
          </w:p>
          <w:p>
            <w:pPr>
              <w:pStyle w:val="TableText"/>
              <w:ind w:left="593"/>
              <w:spacing w:before="213" w:line="501" w:lineRule="exact"/>
              <w:rPr/>
            </w:pPr>
            <w:r>
              <w:rPr>
                <w:spacing w:val="-3"/>
                <w:position w:val="20"/>
              </w:rPr>
              <w:t>本项目运营期生产废气经净化处理后，均可达标排放。采取有效治理</w:t>
            </w:r>
          </w:p>
          <w:p>
            <w:pPr>
              <w:pStyle w:val="TableText"/>
              <w:spacing w:before="1" w:line="218" w:lineRule="auto"/>
              <w:jc w:val="right"/>
              <w:rPr/>
            </w:pPr>
            <w:r>
              <w:rPr>
                <w:spacing w:val="-7"/>
              </w:rPr>
              <w:t>措施后，排放量减少，对环境空气影响较小，不</w:t>
            </w:r>
            <w:r>
              <w:rPr>
                <w:spacing w:val="-8"/>
              </w:rPr>
              <w:t>会降低区域环境空气质量。</w:t>
            </w:r>
          </w:p>
          <w:p>
            <w:pPr>
              <w:pStyle w:val="TableText"/>
              <w:ind w:left="593"/>
              <w:spacing w:before="215" w:line="219" w:lineRule="auto"/>
              <w:rPr/>
            </w:pPr>
            <w:r>
              <w:rPr>
                <w:spacing w:val="-1"/>
              </w:rPr>
              <w:t>本项目不新增生活污水和生产废水；不会影响区域水环境质量。</w:t>
            </w:r>
          </w:p>
          <w:p>
            <w:pPr>
              <w:pStyle w:val="TableText"/>
              <w:ind w:left="112" w:right="106" w:firstLine="480"/>
              <w:spacing w:before="215" w:line="385" w:lineRule="auto"/>
              <w:rPr/>
            </w:pPr>
            <w:r>
              <w:rPr>
                <w:spacing w:val="-3"/>
              </w:rPr>
              <w:t>本项目产生的不合格品集中收集，回用生产；废包装袋集中收集，外</w:t>
            </w:r>
            <w:r>
              <w:rPr>
                <w:spacing w:val="6"/>
              </w:rPr>
              <w:t xml:space="preserve"> </w:t>
            </w:r>
            <w:r>
              <w:rPr>
                <w:spacing w:val="-3"/>
              </w:rPr>
              <w:t>售回收单位；废催化剂、废活性炭、废机油集中收集，暂存企业已建危险</w:t>
            </w:r>
          </w:p>
          <w:p>
            <w:pPr>
              <w:pStyle w:val="TableText"/>
              <w:spacing w:line="218" w:lineRule="auto"/>
              <w:jc w:val="right"/>
              <w:rPr/>
            </w:pPr>
            <w:r>
              <w:rPr>
                <w:spacing w:val="-7"/>
              </w:rPr>
              <w:t>废物暂存间暂存，委托有资质单位收运处置，不会</w:t>
            </w:r>
            <w:r>
              <w:rPr>
                <w:spacing w:val="-8"/>
              </w:rPr>
              <w:t>影响区域土壤环境质量。</w:t>
            </w:r>
          </w:p>
          <w:p>
            <w:pPr>
              <w:pStyle w:val="TableText"/>
              <w:ind w:right="34"/>
              <w:spacing w:before="215" w:line="502" w:lineRule="exact"/>
              <w:jc w:val="right"/>
              <w:rPr/>
            </w:pPr>
            <w:r>
              <w:rPr>
                <w:position w:val="20"/>
              </w:rPr>
              <w:t>采取的环保措施能确保拟建项目污染物对环境</w:t>
            </w:r>
            <w:r>
              <w:rPr>
                <w:spacing w:val="-1"/>
                <w:position w:val="20"/>
              </w:rPr>
              <w:t>质量的影响降到最小，</w:t>
            </w:r>
          </w:p>
          <w:p>
            <w:pPr>
              <w:pStyle w:val="TableText"/>
              <w:ind w:left="116"/>
              <w:spacing w:line="220" w:lineRule="auto"/>
              <w:rPr/>
            </w:pPr>
            <w:r>
              <w:rPr>
                <w:spacing w:val="-1"/>
              </w:rPr>
              <w:t>不突破所在区域环境质量底线。</w:t>
            </w:r>
          </w:p>
          <w:p>
            <w:pPr>
              <w:pStyle w:val="TableText"/>
              <w:ind w:left="590"/>
              <w:spacing w:before="213" w:line="217" w:lineRule="auto"/>
              <w:rPr/>
            </w:pPr>
            <w:r>
              <w:rPr>
                <w:spacing w:val="-1"/>
              </w:rPr>
              <w:t>③资源利用上线相符性</w:t>
            </w:r>
          </w:p>
          <w:p>
            <w:pPr>
              <w:pStyle w:val="TableText"/>
              <w:spacing w:before="218" w:line="219" w:lineRule="auto"/>
              <w:jc w:val="right"/>
              <w:rPr/>
            </w:pPr>
            <w:r>
              <w:rPr>
                <w:spacing w:val="-8"/>
              </w:rPr>
              <w:t>强化节约集约利用，持续提升资源能源利用效率，水资源、土地资源、</w:t>
            </w:r>
          </w:p>
        </w:tc>
      </w:tr>
    </w:tbl>
    <w:p>
      <w:pPr>
        <w:pStyle w:val="BodyText"/>
        <w:rPr/>
      </w:pPr>
      <w:r/>
    </w:p>
    <w:p>
      <w:pPr>
        <w:sectPr>
          <w:footerReference w:type="default" r:id="rId142"/>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3"/>
        <w:gridCol w:w="7823"/>
      </w:tblGrid>
      <w:tr>
        <w:trPr>
          <w:trHeight w:val="9879" w:hRule="atLeast"/>
        </w:trPr>
        <w:tc>
          <w:tcPr>
            <w:tcW w:w="703" w:type="dxa"/>
            <w:vAlign w:val="top"/>
            <w:vMerge w:val="restart"/>
            <w:tcBorders>
              <w:bottom w:val="nil"/>
            </w:tcBorders>
          </w:tcPr>
          <w:p>
            <w:pPr>
              <w:rPr>
                <w:rFonts w:ascii="Arial"/>
                <w:sz w:val="21"/>
              </w:rPr>
            </w:pPr>
            <w:r/>
          </w:p>
        </w:tc>
        <w:tc>
          <w:tcPr>
            <w:tcW w:w="7823" w:type="dxa"/>
            <w:vAlign w:val="top"/>
            <w:tcBorders>
              <w:bottom w:val="nil"/>
            </w:tcBorders>
          </w:tcPr>
          <w:p>
            <w:pPr>
              <w:pStyle w:val="TableText"/>
              <w:ind w:left="112" w:right="106" w:firstLine="9"/>
              <w:spacing w:before="200" w:line="384" w:lineRule="auto"/>
              <w:jc w:val="both"/>
              <w:rPr/>
            </w:pPr>
            <w:r>
              <w:rPr>
                <w:spacing w:val="-3"/>
              </w:rPr>
              <w:t>能源消耗等达到自治区、自治州下达的总量和强度控制目标。加快区域低</w:t>
            </w:r>
            <w:r>
              <w:rPr>
                <w:spacing w:val="4"/>
              </w:rPr>
              <w:t xml:space="preserve"> </w:t>
            </w:r>
            <w:r>
              <w:rPr>
                <w:spacing w:val="-3"/>
              </w:rPr>
              <w:t>碳发展，积极推动昌吉市国家级低碳试点城市，发挥低碳试点示范和引领</w:t>
            </w:r>
          </w:p>
          <w:p>
            <w:pPr>
              <w:pStyle w:val="TableText"/>
              <w:ind w:left="113"/>
              <w:spacing w:line="220" w:lineRule="auto"/>
              <w:rPr/>
            </w:pPr>
            <w:r>
              <w:rPr>
                <w:spacing w:val="-4"/>
              </w:rPr>
              <w:t>作用。</w:t>
            </w:r>
          </w:p>
          <w:p>
            <w:pPr>
              <w:pStyle w:val="TableText"/>
              <w:ind w:left="122" w:right="93" w:firstLine="470"/>
              <w:spacing w:before="215" w:line="384" w:lineRule="auto"/>
              <w:rPr/>
            </w:pPr>
            <w:r>
              <w:rPr>
                <w:spacing w:val="-3"/>
              </w:rPr>
              <w:t>本项目生产运行过程中会消耗一定量的电能源，能源消耗量相对区域</w:t>
            </w:r>
            <w:r>
              <w:rPr>
                <w:spacing w:val="6"/>
              </w:rPr>
              <w:t xml:space="preserve"> </w:t>
            </w:r>
            <w:r>
              <w:rPr>
                <w:spacing w:val="-3"/>
              </w:rPr>
              <w:t>资源利用总量较少，不会超出资源利用上线。项目土地性质为工业用地，</w:t>
            </w:r>
          </w:p>
          <w:p>
            <w:pPr>
              <w:pStyle w:val="TableText"/>
              <w:ind w:left="113"/>
              <w:spacing w:line="218" w:lineRule="auto"/>
              <w:rPr/>
            </w:pPr>
            <w:r>
              <w:rPr>
                <w:spacing w:val="-1"/>
              </w:rPr>
              <w:t>土地利用不会突破区域土地资源上线。符合资源利用上线要求。</w:t>
            </w:r>
          </w:p>
          <w:p>
            <w:pPr>
              <w:pStyle w:val="TableText"/>
              <w:ind w:left="590"/>
              <w:spacing w:before="217" w:line="217" w:lineRule="auto"/>
              <w:rPr/>
            </w:pPr>
            <w:r>
              <w:rPr>
                <w:spacing w:val="-1"/>
              </w:rPr>
              <w:t>④生态环境准入清单</w:t>
            </w:r>
          </w:p>
          <w:p>
            <w:pPr>
              <w:pStyle w:val="TableText"/>
              <w:ind w:left="113" w:right="106" w:firstLine="480"/>
              <w:spacing w:before="215" w:line="385" w:lineRule="auto"/>
              <w:rPr/>
            </w:pPr>
            <w:r>
              <w:rPr>
                <w:spacing w:val="-3"/>
              </w:rPr>
              <w:t>新疆维吾尔自治区</w:t>
            </w:r>
            <w:r>
              <w:rPr>
                <w:rFonts w:ascii="Times New Roman" w:hAnsi="Times New Roman" w:eastAsia="Times New Roman" w:cs="Times New Roman"/>
                <w:spacing w:val="-3"/>
              </w:rPr>
              <w:t>28</w:t>
            </w:r>
            <w:r>
              <w:rPr>
                <w:spacing w:val="-3"/>
              </w:rPr>
              <w:t>个国家重点生态功能区县（市）产业准入负面清</w:t>
            </w:r>
            <w:r>
              <w:rPr>
                <w:spacing w:val="9"/>
              </w:rPr>
              <w:t xml:space="preserve"> </w:t>
            </w:r>
            <w:r>
              <w:rPr>
                <w:spacing w:val="-3"/>
              </w:rPr>
              <w:t>单主要包括阿尔泰山地森林草原生态功能区、阿尔金草原荒漠化防治生态</w:t>
            </w:r>
            <w:r>
              <w:rPr>
                <w:spacing w:val="12"/>
              </w:rPr>
              <w:t xml:space="preserve"> </w:t>
            </w:r>
            <w:r>
              <w:rPr>
                <w:spacing w:val="-3"/>
              </w:rPr>
              <w:t>功能区、塔里木河荒漠化防治生态功能区，本项目位于呼图壁县，不属于</w:t>
            </w:r>
            <w:r>
              <w:rPr>
                <w:spacing w:val="12"/>
              </w:rPr>
              <w:t xml:space="preserve"> </w:t>
            </w:r>
            <w:r>
              <w:rPr>
                <w:spacing w:val="-3"/>
              </w:rPr>
              <w:t>新疆维吾尔自治区</w:t>
            </w:r>
            <w:r>
              <w:rPr>
                <w:rFonts w:ascii="Times New Roman" w:hAnsi="Times New Roman" w:eastAsia="Times New Roman" w:cs="Times New Roman"/>
                <w:spacing w:val="-3"/>
              </w:rPr>
              <w:t>28</w:t>
            </w:r>
            <w:r>
              <w:rPr>
                <w:spacing w:val="-3"/>
              </w:rPr>
              <w:t>个国家重点生态功能区县（市）产业准入负面清单中</w:t>
            </w:r>
            <w:r>
              <w:rPr>
                <w:spacing w:val="15"/>
              </w:rPr>
              <w:t xml:space="preserve"> </w:t>
            </w:r>
            <w:r>
              <w:rPr>
                <w:spacing w:val="5"/>
              </w:rPr>
              <w:t>的地区，所以本项目符合新疆维吾尔自治区</w:t>
            </w:r>
            <w:r>
              <w:rPr>
                <w:rFonts w:ascii="Times New Roman" w:hAnsi="Times New Roman" w:eastAsia="Times New Roman" w:cs="Times New Roman"/>
                <w:spacing w:val="5"/>
              </w:rPr>
              <w:t>28</w:t>
            </w:r>
            <w:r>
              <w:rPr>
                <w:spacing w:val="5"/>
              </w:rPr>
              <w:t>个国家重点</w:t>
            </w:r>
            <w:r>
              <w:rPr>
                <w:spacing w:val="4"/>
              </w:rPr>
              <w:t>生态功能区县</w:t>
            </w:r>
          </w:p>
          <w:p>
            <w:pPr>
              <w:pStyle w:val="TableText"/>
              <w:ind w:left="124"/>
              <w:spacing w:line="219" w:lineRule="auto"/>
              <w:rPr/>
            </w:pPr>
            <w:r>
              <w:rPr>
                <w:spacing w:val="-2"/>
              </w:rPr>
              <w:t>（市）产业准入负面清单要求。</w:t>
            </w:r>
          </w:p>
          <w:p>
            <w:pPr>
              <w:pStyle w:val="TableText"/>
              <w:ind w:left="118" w:right="106" w:firstLine="477"/>
              <w:spacing w:before="214" w:line="385" w:lineRule="auto"/>
              <w:rPr/>
            </w:pPr>
            <w:r>
              <w:rPr>
                <w:spacing w:val="-4"/>
              </w:rPr>
              <w:t>综上所述，本项目符合《昌吉回族自治州“三线一单</w:t>
            </w:r>
            <w:r>
              <w:rPr>
                <w:spacing w:val="-86"/>
              </w:rPr>
              <w:t xml:space="preserve"> </w:t>
            </w:r>
            <w:r>
              <w:rPr>
                <w:spacing w:val="-4"/>
              </w:rPr>
              <w:t>”生态环境分区</w:t>
            </w:r>
            <w:r>
              <w:rPr/>
              <w:t xml:space="preserve"> </w:t>
            </w:r>
            <w:r>
              <w:rPr>
                <w:spacing w:val="-3"/>
              </w:rPr>
              <w:t>管控方案及生态环境准入清单》相关要求。本项目在昌吉回族自治州“三</w:t>
            </w:r>
          </w:p>
          <w:p>
            <w:pPr>
              <w:pStyle w:val="TableText"/>
              <w:ind w:left="115"/>
              <w:spacing w:before="1" w:line="219" w:lineRule="auto"/>
              <w:rPr/>
            </w:pPr>
            <w:r>
              <w:rPr>
                <w:spacing w:val="-3"/>
              </w:rPr>
              <w:t>线一单</w:t>
            </w:r>
            <w:r>
              <w:rPr>
                <w:spacing w:val="-71"/>
              </w:rPr>
              <w:t xml:space="preserve"> </w:t>
            </w:r>
            <w:r>
              <w:rPr>
                <w:spacing w:val="-3"/>
              </w:rPr>
              <w:t>”生态环境分区管控方案中位置见图</w:t>
            </w:r>
            <w:r>
              <w:rPr>
                <w:rFonts w:ascii="Times New Roman" w:hAnsi="Times New Roman" w:eastAsia="Times New Roman" w:cs="Times New Roman"/>
                <w:spacing w:val="-3"/>
              </w:rPr>
              <w:t>2</w:t>
            </w:r>
            <w:r>
              <w:rPr>
                <w:spacing w:val="-3"/>
              </w:rPr>
              <w:t>。</w:t>
            </w:r>
          </w:p>
          <w:p>
            <w:pPr>
              <w:pStyle w:val="TableText"/>
              <w:ind w:left="604"/>
              <w:spacing w:before="214" w:line="499" w:lineRule="exact"/>
              <w:rPr/>
            </w:pPr>
            <w:r>
              <w:rPr>
                <w:position w:val="19"/>
              </w:rPr>
              <w:t>（</w:t>
            </w:r>
            <w:r>
              <w:rPr>
                <w:rFonts w:ascii="Times New Roman" w:hAnsi="Times New Roman" w:eastAsia="Times New Roman" w:cs="Times New Roman"/>
                <w:position w:val="19"/>
              </w:rPr>
              <w:t>3</w:t>
            </w:r>
            <w:r>
              <w:rPr>
                <w:position w:val="19"/>
              </w:rPr>
              <w:t>）与《新疆维吾尔自治区七大片区“三线一</w:t>
            </w:r>
            <w:r>
              <w:rPr>
                <w:spacing w:val="-1"/>
                <w:position w:val="19"/>
              </w:rPr>
              <w:t>单</w:t>
            </w:r>
            <w:r>
              <w:rPr>
                <w:spacing w:val="-85"/>
                <w:position w:val="19"/>
              </w:rPr>
              <w:t xml:space="preserve"> </w:t>
            </w:r>
            <w:r>
              <w:rPr>
                <w:spacing w:val="-1"/>
                <w:position w:val="19"/>
              </w:rPr>
              <w:t>”生态环境分区管</w:t>
            </w:r>
          </w:p>
          <w:p>
            <w:pPr>
              <w:pStyle w:val="TableText"/>
              <w:ind w:left="111"/>
              <w:spacing w:line="219" w:lineRule="auto"/>
              <w:rPr/>
            </w:pPr>
            <w:r>
              <w:rPr>
                <w:spacing w:val="-2"/>
              </w:rPr>
              <w:t>控要求》的符合性</w:t>
            </w:r>
          </w:p>
          <w:p>
            <w:pPr>
              <w:pStyle w:val="TableText"/>
              <w:ind w:left="593"/>
              <w:spacing w:before="216" w:line="219" w:lineRule="auto"/>
              <w:rPr/>
            </w:pPr>
            <w:r>
              <w:rPr>
                <w:spacing w:val="-1"/>
              </w:rPr>
              <w:t>本项目新政发〔</w:t>
            </w:r>
            <w:r>
              <w:rPr>
                <w:rFonts w:ascii="Times New Roman" w:hAnsi="Times New Roman" w:eastAsia="Times New Roman" w:cs="Times New Roman"/>
                <w:spacing w:val="-1"/>
              </w:rPr>
              <w:t>2021</w:t>
            </w:r>
            <w:r>
              <w:rPr>
                <w:spacing w:val="-1"/>
              </w:rPr>
              <w:t>〕</w:t>
            </w:r>
            <w:r>
              <w:rPr>
                <w:rFonts w:ascii="Times New Roman" w:hAnsi="Times New Roman" w:eastAsia="Times New Roman" w:cs="Times New Roman"/>
                <w:spacing w:val="-1"/>
              </w:rPr>
              <w:t>162</w:t>
            </w:r>
            <w:r>
              <w:rPr>
                <w:spacing w:val="-1"/>
              </w:rPr>
              <w:t>号符合性分析见表</w:t>
            </w:r>
            <w:r>
              <w:rPr>
                <w:rFonts w:ascii="Times New Roman" w:hAnsi="Times New Roman" w:eastAsia="Times New Roman" w:cs="Times New Roman"/>
                <w:spacing w:val="-1"/>
              </w:rPr>
              <w:t>1.1-3</w:t>
            </w:r>
            <w:r>
              <w:rPr>
                <w:spacing w:val="-1"/>
              </w:rPr>
              <w:t>。</w:t>
            </w:r>
          </w:p>
          <w:p>
            <w:pPr>
              <w:pStyle w:val="TableText"/>
              <w:ind w:left="1498"/>
              <w:spacing w:before="137" w:line="191" w:lineRule="auto"/>
              <w:rPr/>
            </w:pPr>
            <w:r>
              <w:rPr>
                <w14:textOutline w14:w="4358" w14:cap="sq" w14:cmpd="sng">
                  <w14:solidFill>
                    <w14:srgbClr w14:val="000000"/>
                  </w14:solidFill>
                  <w14:prstDash w14:val="solid"/>
                  <w14:bevel/>
                </w14:textOutline>
              </w:rPr>
              <w:t>表</w:t>
            </w:r>
            <w:r>
              <w:rPr>
                <w:rFonts w:ascii="Times New Roman" w:hAnsi="Times New Roman" w:eastAsia="Times New Roman" w:cs="Times New Roman"/>
                <w:b/>
                <w:bCs/>
              </w:rPr>
              <w:t>1.1-3  </w:t>
            </w:r>
            <w:r>
              <w:rPr>
                <w14:textOutline w14:w="4358" w14:cap="sq" w14:cmpd="sng">
                  <w14:solidFill>
                    <w14:srgbClr w14:val="000000"/>
                  </w14:solidFill>
                  <w14:prstDash w14:val="solid"/>
                  <w14:bevel/>
                </w14:textOutline>
              </w:rPr>
              <w:t>与新政发〔</w:t>
            </w:r>
            <w:r>
              <w:rPr>
                <w:rFonts w:ascii="Times New Roman" w:hAnsi="Times New Roman" w:eastAsia="Times New Roman" w:cs="Times New Roman"/>
                <w:b/>
                <w:bCs/>
              </w:rPr>
              <w:t>2021</w:t>
            </w:r>
            <w:r>
              <w:rPr>
                <w14:textOutline w14:w="4358" w14:cap="sq" w14:cmpd="sng">
                  <w14:solidFill>
                    <w14:srgbClr w14:val="000000"/>
                  </w14:solidFill>
                  <w14:prstDash w14:val="solid"/>
                  <w14:bevel/>
                </w14:textOutline>
              </w:rPr>
              <w:t>〕</w:t>
            </w:r>
            <w:r>
              <w:rPr>
                <w:rFonts w:ascii="Times New Roman" w:hAnsi="Times New Roman" w:eastAsia="Times New Roman" w:cs="Times New Roman"/>
                <w:b/>
                <w:bCs/>
              </w:rPr>
              <w:t>162</w:t>
            </w:r>
            <w:r>
              <w:rPr>
                <w14:textOutline w14:w="4358" w14:cap="sq" w14:cmpd="sng">
                  <w14:solidFill>
                    <w14:srgbClr w14:val="000000"/>
                  </w14:solidFill>
                  <w14:prstDash w14:val="solid"/>
                  <w14:bevel/>
                </w14:textOutline>
              </w:rPr>
              <w:t>号文符合性分析</w:t>
            </w:r>
          </w:p>
        </w:tc>
      </w:tr>
      <w:tr>
        <w:trPr>
          <w:trHeight w:val="3931" w:hRule="atLeast"/>
        </w:trPr>
        <w:tc>
          <w:tcPr>
            <w:tcW w:w="703" w:type="dxa"/>
            <w:vAlign w:val="top"/>
            <w:vMerge w:val="continue"/>
            <w:tcBorders>
              <w:top w:val="nil"/>
            </w:tcBorders>
          </w:tcPr>
          <w:p>
            <w:pPr>
              <w:rPr>
                <w:rFonts w:ascii="Arial"/>
                <w:sz w:val="21"/>
              </w:rPr>
            </w:pPr>
            <w:r/>
          </w:p>
        </w:tc>
        <w:tc>
          <w:tcPr>
            <w:tcW w:w="7823" w:type="dxa"/>
            <w:vAlign w:val="top"/>
            <w:tcBorders>
              <w:top w:val="nil"/>
            </w:tcBorders>
          </w:tcPr>
          <w:p>
            <w:pPr>
              <w:spacing w:line="26" w:lineRule="exact"/>
              <w:rPr/>
            </w:pPr>
            <w:r>
              <w:pict>
                <v:shape id="_x0000_s70" style="position:absolute;margin-left:-347.9pt;margin-top:2.74002pt;mso-position-vertical-relative:top-margin-area;mso-position-horizontal-relative:right-margin-area;width:299.1pt;height:193.15pt;z-index:252852224;" filled="false" strokecolor="#000000" strokeweight="0.48pt" coordsize="5982,3862" coordorigin="0,0" path="m4,324l4,3862m3344,0l3344,3862m5976,0l5976,3862e">
                  <v:stroke joinstyle="bevel" miterlimit="2"/>
                </v:shape>
              </w:pict>
            </w:r>
            <w:r/>
          </w:p>
          <w:tbl>
            <w:tblPr>
              <w:tblStyle w:val="TableNormal"/>
              <w:tblW w:w="7605" w:type="dxa"/>
              <w:tblInd w:w="103"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726"/>
              <w:gridCol w:w="3374"/>
              <w:gridCol w:w="2640"/>
              <w:gridCol w:w="865"/>
            </w:tblGrid>
            <w:tr>
              <w:trPr>
                <w:trHeight w:val="332" w:hRule="atLeast"/>
              </w:trPr>
              <w:tc>
                <w:tcPr>
                  <w:tcW w:w="726" w:type="dxa"/>
                  <w:vAlign w:val="top"/>
                  <w:tcBorders>
                    <w:bottom w:val="single" w:color="000000" w:sz="2" w:space="0"/>
                    <w:top w:val="single" w:color="000000" w:sz="10" w:space="0"/>
                  </w:tcBorders>
                </w:tcPr>
                <w:p>
                  <w:pPr>
                    <w:rPr>
                      <w:rFonts w:ascii="Arial"/>
                      <w:sz w:val="21"/>
                    </w:rPr>
                  </w:pPr>
                  <w:r/>
                </w:p>
              </w:tc>
              <w:tc>
                <w:tcPr>
                  <w:tcW w:w="3374" w:type="dxa"/>
                  <w:vAlign w:val="top"/>
                  <w:tcBorders>
                    <w:bottom w:val="single" w:color="000000" w:sz="2" w:space="0"/>
                    <w:top w:val="single" w:color="000000" w:sz="10" w:space="0"/>
                  </w:tcBorders>
                </w:tcPr>
                <w:p>
                  <w:pPr>
                    <w:pStyle w:val="TableText"/>
                    <w:ind w:left="1147"/>
                    <w:spacing w:before="81" w:line="222" w:lineRule="auto"/>
                    <w:rPr>
                      <w:sz w:val="20"/>
                      <w:szCs w:val="20"/>
                    </w:rPr>
                  </w:pPr>
                  <w:r>
                    <w:rPr>
                      <w:sz w:val="20"/>
                      <w:szCs w:val="20"/>
                      <w:spacing w:val="-8"/>
                    </w:rPr>
                    <w:t>内容</w:t>
                  </w:r>
                </w:p>
              </w:tc>
              <w:tc>
                <w:tcPr>
                  <w:tcW w:w="2640" w:type="dxa"/>
                  <w:vAlign w:val="top"/>
                  <w:tcBorders>
                    <w:bottom w:val="single" w:color="000000" w:sz="2" w:space="0"/>
                    <w:top w:val="single" w:color="000000" w:sz="10" w:space="0"/>
                  </w:tcBorders>
                </w:tcPr>
                <w:p>
                  <w:pPr>
                    <w:pStyle w:val="TableText"/>
                    <w:ind w:left="590"/>
                    <w:spacing w:before="81" w:line="222" w:lineRule="auto"/>
                    <w:rPr>
                      <w:sz w:val="20"/>
                      <w:szCs w:val="20"/>
                    </w:rPr>
                  </w:pPr>
                  <w:r>
                    <w:rPr>
                      <w:sz w:val="20"/>
                      <w:szCs w:val="20"/>
                      <w:spacing w:val="8"/>
                    </w:rPr>
                    <w:t>本项目工程概况</w:t>
                  </w:r>
                </w:p>
              </w:tc>
              <w:tc>
                <w:tcPr>
                  <w:tcW w:w="865" w:type="dxa"/>
                  <w:vAlign w:val="top"/>
                  <w:tcBorders>
                    <w:bottom w:val="single" w:color="000000" w:sz="2" w:space="0"/>
                    <w:top w:val="single" w:color="000000" w:sz="10" w:space="0"/>
                  </w:tcBorders>
                </w:tcPr>
                <w:p>
                  <w:pPr>
                    <w:pStyle w:val="TableText"/>
                    <w:ind w:left="123"/>
                    <w:spacing w:before="81" w:line="222" w:lineRule="auto"/>
                    <w:rPr>
                      <w:sz w:val="20"/>
                      <w:szCs w:val="20"/>
                    </w:rPr>
                  </w:pPr>
                  <w:r>
                    <w:rPr>
                      <w:sz w:val="20"/>
                      <w:szCs w:val="20"/>
                      <w:spacing w:val="6"/>
                    </w:rPr>
                    <w:t>符合性</w:t>
                  </w:r>
                </w:p>
              </w:tc>
            </w:tr>
            <w:tr>
              <w:trPr>
                <w:trHeight w:val="2245" w:hRule="atLeast"/>
              </w:trPr>
              <w:tc>
                <w:tcPr>
                  <w:tcW w:w="726" w:type="dxa"/>
                  <w:vAlign w:val="top"/>
                  <w:tcBorders>
                    <w:bottom w:val="single" w:color="000000" w:sz="2" w:space="0"/>
                    <w:top w:val="single" w:color="000000" w:sz="2" w:space="0"/>
                  </w:tcBorders>
                </w:tcPr>
                <w:p>
                  <w:pPr>
                    <w:pStyle w:val="TableText"/>
                    <w:ind w:left="177" w:right="138" w:firstLine="6"/>
                    <w:spacing w:before="79" w:line="272" w:lineRule="auto"/>
                    <w:jc w:val="both"/>
                    <w:rPr>
                      <w:sz w:val="20"/>
                      <w:szCs w:val="20"/>
                    </w:rPr>
                  </w:pPr>
                  <w:r>
                    <w:rPr>
                      <w:sz w:val="20"/>
                      <w:szCs w:val="20"/>
                      <w:spacing w:val="1"/>
                    </w:rPr>
                    <w:t>空间</w:t>
                  </w:r>
                  <w:r>
                    <w:rPr>
                      <w:sz w:val="20"/>
                      <w:szCs w:val="20"/>
                    </w:rPr>
                    <w:t xml:space="preserve"> </w:t>
                  </w:r>
                  <w:r>
                    <w:rPr>
                      <w:sz w:val="20"/>
                      <w:szCs w:val="20"/>
                      <w:spacing w:val="4"/>
                    </w:rPr>
                    <w:t>布局</w:t>
                  </w:r>
                  <w:r>
                    <w:rPr>
                      <w:sz w:val="20"/>
                      <w:szCs w:val="20"/>
                    </w:rPr>
                    <w:t xml:space="preserve"> </w:t>
                  </w:r>
                  <w:r>
                    <w:rPr>
                      <w:sz w:val="20"/>
                      <w:szCs w:val="20"/>
                      <w:spacing w:val="4"/>
                    </w:rPr>
                    <w:t>约束</w:t>
                  </w:r>
                </w:p>
              </w:tc>
              <w:tc>
                <w:tcPr>
                  <w:tcW w:w="3374" w:type="dxa"/>
                  <w:vAlign w:val="top"/>
                  <w:tcBorders>
                    <w:bottom w:val="single" w:color="000000" w:sz="2" w:space="0"/>
                    <w:top w:val="single" w:color="000000" w:sz="2" w:space="0"/>
                  </w:tcBorders>
                </w:tcPr>
                <w:p>
                  <w:pPr>
                    <w:pStyle w:val="TableText"/>
                    <w:ind w:left="148" w:right="109" w:firstLine="2"/>
                    <w:spacing w:before="77" w:line="284" w:lineRule="auto"/>
                    <w:jc w:val="both"/>
                    <w:rPr>
                      <w:sz w:val="20"/>
                      <w:szCs w:val="20"/>
                    </w:rPr>
                  </w:pPr>
                  <w:r>
                    <w:rPr>
                      <w:sz w:val="20"/>
                      <w:szCs w:val="20"/>
                      <w:spacing w:val="7"/>
                    </w:rPr>
                    <w:t>严格执行国家、自治区产业政策和 </w:t>
                  </w:r>
                  <w:r>
                    <w:rPr>
                      <w:sz w:val="20"/>
                      <w:szCs w:val="20"/>
                      <w:spacing w:val="5"/>
                    </w:rPr>
                    <w:t>环境准入要求，严禁“三高</w:t>
                  </w:r>
                  <w:r>
                    <w:rPr>
                      <w:sz w:val="20"/>
                      <w:szCs w:val="20"/>
                      <w:spacing w:val="-60"/>
                    </w:rPr>
                    <w:t xml:space="preserve"> </w:t>
                  </w:r>
                  <w:r>
                    <w:rPr>
                      <w:sz w:val="20"/>
                      <w:szCs w:val="20"/>
                      <w:spacing w:val="5"/>
                    </w:rPr>
                    <w:t>”项目</w:t>
                  </w:r>
                  <w:r>
                    <w:rPr>
                      <w:sz w:val="20"/>
                      <w:szCs w:val="20"/>
                    </w:rPr>
                    <w:t xml:space="preserve"> </w:t>
                  </w:r>
                  <w:r>
                    <w:rPr>
                      <w:sz w:val="20"/>
                      <w:szCs w:val="20"/>
                      <w:spacing w:val="5"/>
                    </w:rPr>
                    <w:t>进新疆，坚决遏制“两高</w:t>
                  </w:r>
                  <w:r>
                    <w:rPr>
                      <w:sz w:val="20"/>
                      <w:szCs w:val="20"/>
                      <w:spacing w:val="-60"/>
                    </w:rPr>
                    <w:t xml:space="preserve"> </w:t>
                  </w:r>
                  <w:r>
                    <w:rPr>
                      <w:sz w:val="20"/>
                      <w:szCs w:val="20"/>
                      <w:spacing w:val="5"/>
                    </w:rPr>
                    <w:t>”项目盲</w:t>
                  </w:r>
                  <w:r>
                    <w:rPr>
                      <w:sz w:val="20"/>
                      <w:szCs w:val="20"/>
                    </w:rPr>
                    <w:t xml:space="preserve"> </w:t>
                  </w:r>
                  <w:r>
                    <w:rPr>
                      <w:sz w:val="20"/>
                      <w:szCs w:val="20"/>
                      <w:spacing w:val="7"/>
                    </w:rPr>
                    <w:t>目发展。不得在水源涵养区、饮用</w:t>
                  </w:r>
                  <w:r>
                    <w:rPr>
                      <w:sz w:val="20"/>
                      <w:szCs w:val="20"/>
                      <w:spacing w:val="10"/>
                    </w:rPr>
                    <w:t xml:space="preserve"> </w:t>
                  </w:r>
                  <w:r>
                    <w:rPr>
                      <w:sz w:val="20"/>
                      <w:szCs w:val="20"/>
                      <w:spacing w:val="7"/>
                    </w:rPr>
                    <w:t>水水源保护区内和河流、湖泊、水</w:t>
                  </w:r>
                  <w:r>
                    <w:rPr>
                      <w:sz w:val="20"/>
                      <w:szCs w:val="20"/>
                      <w:spacing w:val="10"/>
                    </w:rPr>
                    <w:t xml:space="preserve"> </w:t>
                  </w:r>
                  <w:r>
                    <w:rPr>
                      <w:sz w:val="20"/>
                      <w:szCs w:val="20"/>
                      <w:spacing w:val="7"/>
                    </w:rPr>
                    <w:t>库周围建设重化工、涉重金属等工</w:t>
                  </w:r>
                </w:p>
                <w:p>
                  <w:pPr>
                    <w:pStyle w:val="TableText"/>
                    <w:ind w:left="1083"/>
                    <w:spacing w:before="74" w:line="219" w:lineRule="auto"/>
                    <w:rPr>
                      <w:sz w:val="20"/>
                      <w:szCs w:val="20"/>
                    </w:rPr>
                  </w:pPr>
                  <w:r>
                    <w:rPr>
                      <w:sz w:val="20"/>
                      <w:szCs w:val="20"/>
                      <w:spacing w:val="6"/>
                    </w:rPr>
                    <w:t>业污染项目。</w:t>
                  </w:r>
                </w:p>
              </w:tc>
              <w:tc>
                <w:tcPr>
                  <w:tcW w:w="2640" w:type="dxa"/>
                  <w:vAlign w:val="top"/>
                  <w:tcBorders>
                    <w:bottom w:val="single" w:color="000000" w:sz="2" w:space="0"/>
                    <w:top w:val="single" w:color="000000" w:sz="2" w:space="0"/>
                  </w:tcBorders>
                </w:tcPr>
                <w:p>
                  <w:pPr>
                    <w:pStyle w:val="TableText"/>
                    <w:ind w:left="117" w:right="116"/>
                    <w:spacing w:before="77" w:line="284" w:lineRule="auto"/>
                    <w:jc w:val="both"/>
                    <w:rPr>
                      <w:sz w:val="20"/>
                      <w:szCs w:val="20"/>
                    </w:rPr>
                  </w:pPr>
                  <w:r>
                    <w:rPr>
                      <w:sz w:val="20"/>
                      <w:szCs w:val="20"/>
                    </w:rPr>
                    <w:t>本项目严格执行国家、自治</w:t>
                  </w:r>
                  <w:r>
                    <w:rPr>
                      <w:sz w:val="20"/>
                      <w:szCs w:val="20"/>
                      <w:spacing w:val="4"/>
                    </w:rPr>
                    <w:t xml:space="preserve"> </w:t>
                  </w:r>
                  <w:r>
                    <w:rPr>
                      <w:sz w:val="20"/>
                      <w:szCs w:val="20"/>
                      <w:spacing w:val="13"/>
                    </w:rPr>
                    <w:t>区产业政策和环境准入要</w:t>
                  </w:r>
                  <w:r>
                    <w:rPr>
                      <w:sz w:val="20"/>
                      <w:szCs w:val="20"/>
                      <w:spacing w:val="8"/>
                    </w:rPr>
                    <w:t xml:space="preserve"> </w:t>
                  </w:r>
                  <w:r>
                    <w:rPr>
                      <w:sz w:val="20"/>
                      <w:szCs w:val="20"/>
                      <w:spacing w:val="-3"/>
                    </w:rPr>
                    <w:t>求；不属于“三高</w:t>
                  </w:r>
                  <w:r>
                    <w:rPr>
                      <w:sz w:val="20"/>
                      <w:szCs w:val="20"/>
                      <w:spacing w:val="-60"/>
                    </w:rPr>
                    <w:t xml:space="preserve"> </w:t>
                  </w:r>
                  <w:r>
                    <w:rPr>
                      <w:sz w:val="20"/>
                      <w:szCs w:val="20"/>
                      <w:spacing w:val="-3"/>
                    </w:rPr>
                    <w:t>”、“两</w:t>
                  </w:r>
                  <w:r>
                    <w:rPr>
                      <w:sz w:val="20"/>
                      <w:szCs w:val="20"/>
                    </w:rPr>
                    <w:t xml:space="preserve"> </w:t>
                  </w:r>
                  <w:r>
                    <w:rPr>
                      <w:sz w:val="20"/>
                      <w:szCs w:val="20"/>
                      <w:spacing w:val="-2"/>
                    </w:rPr>
                    <w:t>高</w:t>
                  </w:r>
                  <w:r>
                    <w:rPr>
                      <w:sz w:val="20"/>
                      <w:szCs w:val="20"/>
                      <w:spacing w:val="-72"/>
                    </w:rPr>
                    <w:t xml:space="preserve"> </w:t>
                  </w:r>
                  <w:r>
                    <w:rPr>
                      <w:sz w:val="20"/>
                      <w:szCs w:val="20"/>
                      <w:spacing w:val="-2"/>
                    </w:rPr>
                    <w:t>”项目；选址位于呼图壁</w:t>
                  </w:r>
                  <w:r>
                    <w:rPr>
                      <w:sz w:val="20"/>
                      <w:szCs w:val="20"/>
                    </w:rPr>
                    <w:t xml:space="preserve"> </w:t>
                  </w:r>
                  <w:r>
                    <w:rPr>
                      <w:sz w:val="20"/>
                      <w:szCs w:val="20"/>
                    </w:rPr>
                    <w:t>县，周边无水源涵养区、饮</w:t>
                  </w:r>
                  <w:r>
                    <w:rPr>
                      <w:sz w:val="20"/>
                      <w:szCs w:val="20"/>
                      <w:spacing w:val="4"/>
                    </w:rPr>
                    <w:t xml:space="preserve"> </w:t>
                  </w:r>
                  <w:r>
                    <w:rPr>
                      <w:sz w:val="20"/>
                      <w:szCs w:val="20"/>
                    </w:rPr>
                    <w:t>用水水源保护区和河流、湖</w:t>
                  </w:r>
                </w:p>
                <w:p>
                  <w:pPr>
                    <w:pStyle w:val="TableText"/>
                    <w:ind w:left="701"/>
                    <w:spacing w:before="74" w:line="219" w:lineRule="auto"/>
                    <w:rPr>
                      <w:sz w:val="20"/>
                      <w:szCs w:val="20"/>
                    </w:rPr>
                  </w:pPr>
                  <w:r>
                    <w:rPr>
                      <w:sz w:val="20"/>
                      <w:szCs w:val="20"/>
                      <w:spacing w:val="5"/>
                    </w:rPr>
                    <w:t>泊、水库等。</w:t>
                  </w:r>
                </w:p>
              </w:tc>
              <w:tc>
                <w:tcPr>
                  <w:tcW w:w="865" w:type="dxa"/>
                  <w:vAlign w:val="top"/>
                  <w:tcBorders>
                    <w:bottom w:val="single" w:color="000000" w:sz="2" w:space="0"/>
                    <w:top w:val="single" w:color="000000" w:sz="2" w:space="0"/>
                  </w:tcBorders>
                </w:tcPr>
                <w:p>
                  <w:pPr>
                    <w:pStyle w:val="TableText"/>
                    <w:ind w:left="229"/>
                    <w:spacing w:before="77" w:line="228" w:lineRule="auto"/>
                    <w:rPr>
                      <w:sz w:val="20"/>
                      <w:szCs w:val="20"/>
                    </w:rPr>
                  </w:pPr>
                  <w:r>
                    <w:rPr>
                      <w:sz w:val="20"/>
                      <w:szCs w:val="20"/>
                      <w:spacing w:val="3"/>
                    </w:rPr>
                    <w:t>符合</w:t>
                  </w:r>
                </w:p>
              </w:tc>
            </w:tr>
          </w:tbl>
          <w:p>
            <w:pPr>
              <w:pStyle w:val="TableText"/>
              <w:ind w:left="283"/>
              <w:spacing w:before="76" w:line="228" w:lineRule="auto"/>
              <w:rPr>
                <w:sz w:val="20"/>
                <w:szCs w:val="20"/>
              </w:rPr>
            </w:pPr>
            <w:r>
              <w:pict>
                <v:shape id="_x0000_s72" style="position:absolute;margin-left:214.541pt;margin-top:2.84273pt;mso-position-vertical-relative:text;mso-position-horizontal-relative:text;width:122.85pt;height:62.35pt;z-index:252853248;" filled="false" stroked="false" type="#_x0000_t202">
                  <v:fill on="false"/>
                  <v:stroke on="false"/>
                  <v:path/>
                  <v:imagedata o:title=""/>
                  <o:lock v:ext="edit" aspectratio="false"/>
                  <v:textbox inset="0mm,0mm,0mm,0mm">
                    <w:txbxContent>
                      <w:p>
                        <w:pPr>
                          <w:pStyle w:val="TableText"/>
                          <w:ind w:left="33"/>
                          <w:spacing w:before="19" w:line="227" w:lineRule="auto"/>
                          <w:rPr>
                            <w:sz w:val="20"/>
                            <w:szCs w:val="20"/>
                          </w:rPr>
                        </w:pPr>
                        <w:r>
                          <w:rPr>
                            <w:sz w:val="20"/>
                            <w:szCs w:val="20"/>
                          </w:rPr>
                          <w:t>项目不新增燃煤锅炉；采用</w:t>
                        </w:r>
                      </w:p>
                      <w:p>
                        <w:pPr>
                          <w:pStyle w:val="TableText"/>
                          <w:ind w:left="107"/>
                          <w:spacing w:before="73" w:line="229" w:lineRule="auto"/>
                          <w:rPr>
                            <w:sz w:val="20"/>
                            <w:szCs w:val="20"/>
                          </w:rPr>
                        </w:pPr>
                        <w:r>
                          <w:rPr>
                            <w:sz w:val="20"/>
                            <w:szCs w:val="20"/>
                            <w:spacing w:val="6"/>
                          </w:rPr>
                          <w:t>电能为热源；企业不属于</w:t>
                        </w:r>
                      </w:p>
                      <w:p>
                        <w:pPr>
                          <w:pStyle w:val="TableText"/>
                          <w:ind w:left="505" w:right="20" w:hanging="485"/>
                          <w:spacing w:before="73" w:line="261" w:lineRule="auto"/>
                          <w:rPr>
                            <w:sz w:val="20"/>
                            <w:szCs w:val="20"/>
                          </w:rPr>
                        </w:pPr>
                        <w:r>
                          <w:rPr>
                            <w:sz w:val="20"/>
                            <w:szCs w:val="20"/>
                            <w:spacing w:val="-2"/>
                          </w:rPr>
                          <w:t>“散乱污</w:t>
                        </w:r>
                        <w:r>
                          <w:rPr>
                            <w:sz w:val="20"/>
                            <w:szCs w:val="20"/>
                            <w:spacing w:val="-61"/>
                          </w:rPr>
                          <w:t xml:space="preserve"> </w:t>
                        </w:r>
                        <w:r>
                          <w:rPr>
                            <w:sz w:val="20"/>
                            <w:szCs w:val="20"/>
                            <w:spacing w:val="-2"/>
                          </w:rPr>
                          <w:t>”企业；无生产废</w:t>
                        </w:r>
                        <w:r>
                          <w:rPr>
                            <w:sz w:val="20"/>
                            <w:szCs w:val="20"/>
                          </w:rPr>
                          <w:t xml:space="preserve"> </w:t>
                        </w:r>
                        <w:r>
                          <w:rPr>
                            <w:sz w:val="20"/>
                            <w:szCs w:val="20"/>
                            <w:spacing w:val="6"/>
                          </w:rPr>
                          <w:t>水产生和外排。</w:t>
                        </w:r>
                      </w:p>
                    </w:txbxContent>
                  </v:textbox>
                </v:shape>
              </w:pict>
            </w:r>
            <w:r>
              <w:pict>
                <v:shape id="_x0000_s74" style="position:absolute;margin-left:352.65pt;margin-top:2.84273pt;mso-position-vertical-relative:text;mso-position-horizontal-relative:text;width:22.4pt;height:14.35pt;z-index:252851200;" filled="false" stroked="false" type="#_x0000_t202">
                  <v:fill on="false"/>
                  <v:stroke on="false"/>
                  <v:path/>
                  <v:imagedata o:title=""/>
                  <o:lock v:ext="edit" aspectratio="false"/>
                  <v:textbox inset="0mm,0mm,0mm,0mm">
                    <w:txbxContent>
                      <w:p>
                        <w:pPr>
                          <w:pStyle w:val="TableText"/>
                          <w:ind w:left="20"/>
                          <w:spacing w:before="19" w:line="228" w:lineRule="auto"/>
                          <w:rPr>
                            <w:sz w:val="20"/>
                            <w:szCs w:val="20"/>
                          </w:rPr>
                        </w:pPr>
                        <w:r>
                          <w:rPr>
                            <w:sz w:val="20"/>
                            <w:szCs w:val="20"/>
                            <w:spacing w:val="3"/>
                          </w:rPr>
                          <w:t>符合</w:t>
                        </w:r>
                      </w:p>
                    </w:txbxContent>
                  </v:textbox>
                </v:shape>
              </w:pict>
            </w:r>
            <w:r>
              <w:rPr>
                <w:sz w:val="20"/>
                <w:szCs w:val="20"/>
                <w:spacing w:val="8"/>
              </w:rPr>
              <w:t>污染</w:t>
            </w:r>
            <w:r>
              <w:rPr>
                <w:sz w:val="20"/>
                <w:szCs w:val="20"/>
                <w:spacing w:val="44"/>
              </w:rPr>
              <w:t xml:space="preserve">  </w:t>
            </w:r>
            <w:r>
              <w:rPr>
                <w:sz w:val="20"/>
                <w:szCs w:val="20"/>
                <w:spacing w:val="8"/>
              </w:rPr>
              <w:t>深入开展燃煤锅炉污染综合整治，</w:t>
            </w:r>
          </w:p>
          <w:p>
            <w:pPr>
              <w:pStyle w:val="TableText"/>
              <w:ind w:left="281"/>
              <w:spacing w:before="71" w:line="228" w:lineRule="auto"/>
              <w:rPr>
                <w:sz w:val="20"/>
                <w:szCs w:val="20"/>
              </w:rPr>
            </w:pPr>
            <w:r>
              <w:rPr>
                <w:sz w:val="20"/>
                <w:szCs w:val="20"/>
                <w:spacing w:val="7"/>
              </w:rPr>
              <w:t>物排</w:t>
            </w:r>
            <w:r>
              <w:rPr>
                <w:sz w:val="20"/>
                <w:szCs w:val="20"/>
                <w:spacing w:val="46"/>
              </w:rPr>
              <w:t xml:space="preserve">  </w:t>
            </w:r>
            <w:r>
              <w:rPr>
                <w:sz w:val="20"/>
                <w:szCs w:val="20"/>
                <w:spacing w:val="7"/>
              </w:rPr>
              <w:t>深化工业炉窑综合治理。加强“散</w:t>
            </w:r>
          </w:p>
          <w:p>
            <w:pPr>
              <w:pStyle w:val="TableText"/>
              <w:ind w:left="281"/>
              <w:spacing w:before="74" w:line="228" w:lineRule="auto"/>
              <w:rPr>
                <w:sz w:val="20"/>
                <w:szCs w:val="20"/>
              </w:rPr>
            </w:pPr>
            <w:r>
              <w:rPr>
                <w:sz w:val="20"/>
                <w:szCs w:val="20"/>
                <w:spacing w:val="5"/>
              </w:rPr>
              <w:t>放管</w:t>
            </w:r>
            <w:r>
              <w:rPr>
                <w:sz w:val="20"/>
                <w:szCs w:val="20"/>
                <w:spacing w:val="48"/>
              </w:rPr>
              <w:t xml:space="preserve">  </w:t>
            </w:r>
            <w:r>
              <w:rPr>
                <w:sz w:val="20"/>
                <w:szCs w:val="20"/>
                <w:spacing w:val="5"/>
              </w:rPr>
              <w:t>乱污</w:t>
            </w:r>
            <w:r>
              <w:rPr>
                <w:sz w:val="20"/>
                <w:szCs w:val="20"/>
                <w:spacing w:val="-70"/>
              </w:rPr>
              <w:t xml:space="preserve"> </w:t>
            </w:r>
            <w:r>
              <w:rPr>
                <w:sz w:val="20"/>
                <w:szCs w:val="20"/>
                <w:spacing w:val="5"/>
              </w:rPr>
              <w:t>”企业综合整治。减少水污染</w:t>
            </w:r>
          </w:p>
          <w:p>
            <w:pPr>
              <w:pStyle w:val="TableText"/>
              <w:ind w:left="386"/>
              <w:spacing w:before="72" w:line="227" w:lineRule="auto"/>
              <w:rPr>
                <w:sz w:val="20"/>
                <w:szCs w:val="20"/>
              </w:rPr>
            </w:pPr>
            <w:r>
              <w:rPr>
                <w:sz w:val="20"/>
                <w:szCs w:val="20"/>
                <w:spacing w:val="7"/>
              </w:rPr>
              <w:t>控</w:t>
            </w:r>
            <w:r>
              <w:rPr>
                <w:sz w:val="20"/>
                <w:szCs w:val="20"/>
                <w:spacing w:val="32"/>
              </w:rPr>
              <w:t xml:space="preserve">   </w:t>
            </w:r>
            <w:r>
              <w:rPr>
                <w:sz w:val="20"/>
                <w:szCs w:val="20"/>
                <w:spacing w:val="7"/>
              </w:rPr>
              <w:t>物排放，持续改善水环境质量。不</w:t>
            </w:r>
          </w:p>
        </w:tc>
      </w:tr>
    </w:tbl>
    <w:p>
      <w:pPr>
        <w:pStyle w:val="BodyText"/>
        <w:rPr/>
      </w:pPr>
      <w:r/>
    </w:p>
    <w:p>
      <w:pPr>
        <w:sectPr>
          <w:footerReference w:type="default" r:id="rId143"/>
          <w:pgSz w:w="11906" w:h="16839"/>
          <w:pgMar w:top="400" w:right="1687" w:bottom="1209" w:left="1687" w:header="0" w:footer="1049" w:gutter="0"/>
        </w:sectPr>
        <w:rPr/>
      </w:pP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ind w:left="3018"/>
        <w:spacing w:before="65" w:line="228" w:lineRule="auto"/>
        <w:rPr>
          <w:rFonts w:ascii="SimSun" w:hAnsi="SimSun" w:eastAsia="SimSun" w:cs="SimSun"/>
          <w:sz w:val="20"/>
          <w:szCs w:val="20"/>
        </w:rPr>
      </w:pPr>
      <w:r>
        <w:drawing>
          <wp:anchor distT="0" distB="0" distL="0" distR="0" simplePos="0" relativeHeight="252875776" behindDoc="1" locked="0" layoutInCell="1" allowOverlap="1">
            <wp:simplePos x="0" y="0"/>
            <wp:positionH relativeFrom="column">
              <wp:posOffset>0</wp:posOffset>
            </wp:positionH>
            <wp:positionV relativeFrom="paragraph">
              <wp:posOffset>-2051679</wp:posOffset>
            </wp:positionV>
            <wp:extent cx="8657844" cy="5410200"/>
            <wp:effectExtent l="0" t="0" r="0" b="0"/>
            <wp:wrapNone/>
            <wp:docPr id="132" name="IM 132"/>
            <wp:cNvGraphicFramePr/>
            <a:graphic>
              <a:graphicData uri="http://schemas.openxmlformats.org/drawingml/2006/picture">
                <pic:pic>
                  <pic:nvPicPr>
                    <pic:cNvPr id="132" name="IM 132"/>
                    <pic:cNvPicPr/>
                  </pic:nvPicPr>
                  <pic:blipFill>
                    <a:blip r:embed="rId144"/>
                    <a:stretch>
                      <a:fillRect/>
                    </a:stretch>
                  </pic:blipFill>
                  <pic:spPr>
                    <a:xfrm rot="0">
                      <a:off x="0" y="0"/>
                      <a:ext cx="8657844" cy="5410200"/>
                    </a:xfrm>
                    <a:prstGeom prst="rect">
                      <a:avLst/>
                    </a:prstGeom>
                  </pic:spPr>
                </pic:pic>
              </a:graphicData>
            </a:graphic>
          </wp:anchor>
        </w:drawing>
      </w:r>
      <w:r>
        <w:rPr>
          <w:rFonts w:ascii="SimSun" w:hAnsi="SimSun" w:eastAsia="SimSun" w:cs="SimSun"/>
          <w:sz w:val="20"/>
          <w:szCs w:val="20"/>
          <w:spacing w:val="6"/>
        </w:rPr>
        <w:t>项目位置</w:t>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4223"/>
        <w:spacing w:before="78" w:line="219"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rPr>
        <w:t>图</w:t>
      </w:r>
      <w:r>
        <w:rPr>
          <w:rFonts w:ascii="SimSun" w:hAnsi="SimSun" w:eastAsia="SimSun" w:cs="SimSun"/>
          <w:sz w:val="24"/>
          <w:szCs w:val="24"/>
          <w:spacing w:val="-41"/>
        </w:rPr>
        <w:t xml:space="preserve"> </w:t>
      </w:r>
      <w:r>
        <w:rPr>
          <w:rFonts w:ascii="SimSun" w:hAnsi="SimSun" w:eastAsia="SimSun" w:cs="SimSun"/>
          <w:sz w:val="24"/>
          <w:szCs w:val="24"/>
          <w14:textOutline w14:w="4358" w14:cap="sq" w14:cmpd="sng">
            <w14:solidFill>
              <w14:srgbClr w14:val="000000"/>
            </w14:solidFill>
            <w14:prstDash w14:val="solid"/>
            <w14:bevel/>
          </w14:textOutline>
          <w:spacing w:val="-3"/>
        </w:rPr>
        <w:t>2</w:t>
      </w:r>
      <w:r>
        <w:rPr>
          <w:rFonts w:ascii="SimSun" w:hAnsi="SimSun" w:eastAsia="SimSun" w:cs="SimSun"/>
          <w:sz w:val="24"/>
          <w:szCs w:val="24"/>
          <w:spacing w:val="-3"/>
        </w:rPr>
        <w:t xml:space="preserve"> </w:t>
      </w:r>
      <w:r>
        <w:rPr>
          <w:rFonts w:ascii="SimSun" w:hAnsi="SimSun" w:eastAsia="SimSun" w:cs="SimSun"/>
          <w:sz w:val="24"/>
          <w:szCs w:val="24"/>
          <w14:textOutline w14:w="4358" w14:cap="sq" w14:cmpd="sng">
            <w14:solidFill>
              <w14:srgbClr w14:val="000000"/>
            </w14:solidFill>
            <w14:prstDash w14:val="solid"/>
            <w14:bevel/>
          </w14:textOutline>
          <w:spacing w:val="-3"/>
        </w:rPr>
        <w:t>项目昌吉州在“三线一单</w:t>
      </w:r>
      <w:r>
        <w:rPr>
          <w:rFonts w:ascii="SimSun" w:hAnsi="SimSun" w:eastAsia="SimSun" w:cs="SimSun"/>
          <w:sz w:val="24"/>
          <w:szCs w:val="24"/>
          <w:spacing w:val="-85"/>
        </w:rPr>
        <w:t xml:space="preserve"> </w:t>
      </w:r>
      <w:r>
        <w:rPr>
          <w:rFonts w:ascii="SimSun" w:hAnsi="SimSun" w:eastAsia="SimSun" w:cs="SimSun"/>
          <w:sz w:val="24"/>
          <w:szCs w:val="24"/>
          <w14:textOutline w14:w="4358" w14:cap="sq" w14:cmpd="sng">
            <w14:solidFill>
              <w14:srgbClr w14:val="000000"/>
            </w14:solidFill>
            <w14:prstDash w14:val="solid"/>
            <w14:bevel/>
          </w14:textOutline>
          <w:spacing w:val="-3"/>
        </w:rPr>
        <w:t>”管控方案中位置图</w:t>
      </w:r>
    </w:p>
    <w:p>
      <w:pPr>
        <w:spacing w:line="219" w:lineRule="auto"/>
        <w:sectPr>
          <w:footerReference w:type="default" r:id="rId16"/>
          <w:pgSz w:w="16839" w:h="11906"/>
          <w:pgMar w:top="400" w:right="1655" w:bottom="400" w:left="1548" w:header="0" w:footer="0" w:gutter="0"/>
        </w:sectPr>
        <w:rPr>
          <w:rFonts w:ascii="SimSun" w:hAnsi="SimSun" w:eastAsia="SimSun" w:cs="SimSun"/>
          <w:sz w:val="24"/>
          <w:szCs w:val="24"/>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3"/>
        <w:gridCol w:w="7823"/>
      </w:tblGrid>
      <w:tr>
        <w:trPr>
          <w:trHeight w:val="13722" w:hRule="atLeast"/>
        </w:trPr>
        <w:tc>
          <w:tcPr>
            <w:tcW w:w="703" w:type="dxa"/>
            <w:vAlign w:val="top"/>
          </w:tcPr>
          <w:p>
            <w:pPr>
              <w:rPr>
                <w:rFonts w:ascii="Arial"/>
                <w:sz w:val="21"/>
              </w:rPr>
            </w:pPr>
            <w:r/>
          </w:p>
        </w:tc>
        <w:tc>
          <w:tcPr>
            <w:tcW w:w="7823" w:type="dxa"/>
            <w:vAlign w:val="top"/>
          </w:tcPr>
          <w:p>
            <w:pPr>
              <w:spacing w:line="33" w:lineRule="exact"/>
              <w:rPr/>
            </w:pPr>
            <w:r/>
          </w:p>
          <w:tbl>
            <w:tblPr>
              <w:tblStyle w:val="TableNormal"/>
              <w:tblW w:w="7604" w:type="dxa"/>
              <w:tblInd w:w="10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60"/>
              <w:gridCol w:w="3340"/>
              <w:gridCol w:w="2632"/>
              <w:gridCol w:w="872"/>
            </w:tblGrid>
            <w:tr>
              <w:trPr>
                <w:trHeight w:val="301" w:hRule="atLeast"/>
              </w:trPr>
              <w:tc>
                <w:tcPr>
                  <w:tcW w:w="760" w:type="dxa"/>
                  <w:vAlign w:val="top"/>
                  <w:tcBorders>
                    <w:left w:val="nil"/>
                    <w:top w:val="nil"/>
                  </w:tcBorders>
                </w:tcPr>
                <w:p>
                  <w:pPr>
                    <w:rPr>
                      <w:rFonts w:ascii="Arial"/>
                      <w:sz w:val="21"/>
                    </w:rPr>
                  </w:pPr>
                  <w:r/>
                </w:p>
              </w:tc>
              <w:tc>
                <w:tcPr>
                  <w:tcW w:w="3340" w:type="dxa"/>
                  <w:vAlign w:val="top"/>
                  <w:tcBorders>
                    <w:top w:val="nil"/>
                  </w:tcBorders>
                </w:tcPr>
                <w:p>
                  <w:pPr>
                    <w:pStyle w:val="TableText"/>
                    <w:ind w:left="318"/>
                    <w:spacing w:before="59" w:line="214" w:lineRule="auto"/>
                    <w:rPr>
                      <w:sz w:val="20"/>
                      <w:szCs w:val="20"/>
                    </w:rPr>
                  </w:pPr>
                  <w:r>
                    <w:rPr>
                      <w:sz w:val="20"/>
                      <w:szCs w:val="20"/>
                      <w:spacing w:val="7"/>
                    </w:rPr>
                    <w:t>断提高工业用水重复利用率。</w:t>
                  </w:r>
                </w:p>
              </w:tc>
              <w:tc>
                <w:tcPr>
                  <w:tcW w:w="2632" w:type="dxa"/>
                  <w:vAlign w:val="top"/>
                  <w:tcBorders>
                    <w:top w:val="nil"/>
                  </w:tcBorders>
                </w:tcPr>
                <w:p>
                  <w:pPr>
                    <w:rPr>
                      <w:rFonts w:ascii="Arial"/>
                      <w:sz w:val="21"/>
                    </w:rPr>
                  </w:pPr>
                  <w:r/>
                </w:p>
              </w:tc>
              <w:tc>
                <w:tcPr>
                  <w:tcW w:w="872" w:type="dxa"/>
                  <w:vAlign w:val="top"/>
                  <w:tcBorders>
                    <w:right w:val="nil"/>
                    <w:top w:val="nil"/>
                  </w:tcBorders>
                </w:tcPr>
                <w:p>
                  <w:pPr>
                    <w:rPr>
                      <w:rFonts w:ascii="Arial"/>
                      <w:sz w:val="21"/>
                    </w:rPr>
                  </w:pPr>
                  <w:r/>
                </w:p>
              </w:tc>
            </w:tr>
            <w:tr>
              <w:trPr>
                <w:trHeight w:val="2622" w:hRule="atLeast"/>
              </w:trPr>
              <w:tc>
                <w:tcPr>
                  <w:tcW w:w="760" w:type="dxa"/>
                  <w:vAlign w:val="top"/>
                  <w:tcBorders>
                    <w:left w:val="nil"/>
                    <w:top w:val="nil"/>
                  </w:tcBorders>
                </w:tcPr>
                <w:p>
                  <w:pPr>
                    <w:pStyle w:val="TableText"/>
                    <w:ind w:left="177"/>
                    <w:spacing w:before="81" w:line="319" w:lineRule="exact"/>
                    <w:rPr>
                      <w:sz w:val="20"/>
                      <w:szCs w:val="20"/>
                    </w:rPr>
                  </w:pPr>
                  <w:r>
                    <w:rPr>
                      <w:sz w:val="20"/>
                      <w:szCs w:val="20"/>
                      <w:spacing w:val="4"/>
                      <w:position w:val="8"/>
                    </w:rPr>
                    <w:t>环境</w:t>
                  </w:r>
                </w:p>
                <w:p>
                  <w:pPr>
                    <w:pStyle w:val="TableText"/>
                    <w:ind w:left="178"/>
                    <w:spacing w:line="228" w:lineRule="auto"/>
                    <w:rPr>
                      <w:sz w:val="20"/>
                      <w:szCs w:val="20"/>
                    </w:rPr>
                  </w:pPr>
                  <w:r>
                    <w:rPr>
                      <w:sz w:val="20"/>
                      <w:szCs w:val="20"/>
                      <w:spacing w:val="4"/>
                    </w:rPr>
                    <w:t>风险</w:t>
                  </w:r>
                </w:p>
                <w:p>
                  <w:pPr>
                    <w:pStyle w:val="TableText"/>
                    <w:ind w:left="191"/>
                    <w:spacing w:before="74" w:line="228" w:lineRule="auto"/>
                    <w:rPr>
                      <w:sz w:val="20"/>
                      <w:szCs w:val="20"/>
                    </w:rPr>
                  </w:pPr>
                  <w:r>
                    <w:rPr>
                      <w:sz w:val="20"/>
                      <w:szCs w:val="20"/>
                      <w:spacing w:val="-2"/>
                    </w:rPr>
                    <w:t>防控</w:t>
                  </w:r>
                </w:p>
              </w:tc>
              <w:tc>
                <w:tcPr>
                  <w:tcW w:w="3340" w:type="dxa"/>
                  <w:vAlign w:val="top"/>
                  <w:tcBorders>
                    <w:top w:val="nil"/>
                  </w:tcBorders>
                </w:tcPr>
                <w:p>
                  <w:pPr>
                    <w:pStyle w:val="TableText"/>
                    <w:ind w:left="113" w:right="106"/>
                    <w:spacing w:before="83" w:line="278" w:lineRule="auto"/>
                    <w:jc w:val="both"/>
                    <w:rPr>
                      <w:sz w:val="20"/>
                      <w:szCs w:val="20"/>
                    </w:rPr>
                  </w:pPr>
                  <w:r>
                    <w:rPr>
                      <w:sz w:val="20"/>
                      <w:szCs w:val="20"/>
                      <w:spacing w:val="7"/>
                    </w:rPr>
                    <w:t>禁止在化工园区外新建、扩建危险</w:t>
                  </w:r>
                  <w:r>
                    <w:rPr>
                      <w:sz w:val="20"/>
                      <w:szCs w:val="20"/>
                      <w:spacing w:val="8"/>
                    </w:rPr>
                    <w:t xml:space="preserve"> </w:t>
                  </w:r>
                  <w:r>
                    <w:rPr>
                      <w:sz w:val="20"/>
                      <w:szCs w:val="20"/>
                      <w:spacing w:val="7"/>
                    </w:rPr>
                    <w:t>化学品生产项目。严格落实危险废</w:t>
                  </w:r>
                  <w:r>
                    <w:rPr>
                      <w:sz w:val="20"/>
                      <w:szCs w:val="20"/>
                      <w:spacing w:val="8"/>
                    </w:rPr>
                    <w:t xml:space="preserve"> </w:t>
                  </w:r>
                  <w:r>
                    <w:rPr>
                      <w:sz w:val="20"/>
                      <w:szCs w:val="20"/>
                      <w:spacing w:val="7"/>
                    </w:rPr>
                    <w:t>物处置相关要求。加强重点流域水</w:t>
                  </w:r>
                  <w:r>
                    <w:rPr>
                      <w:sz w:val="20"/>
                      <w:szCs w:val="20"/>
                      <w:spacing w:val="8"/>
                    </w:rPr>
                    <w:t xml:space="preserve"> </w:t>
                  </w:r>
                  <w:r>
                    <w:rPr>
                      <w:sz w:val="20"/>
                      <w:szCs w:val="20"/>
                      <w:spacing w:val="15"/>
                    </w:rPr>
                    <w:t>环境风险管控，保障水环境安全</w:t>
                  </w:r>
                </w:p>
              </w:tc>
              <w:tc>
                <w:tcPr>
                  <w:tcW w:w="2632" w:type="dxa"/>
                  <w:vAlign w:val="top"/>
                  <w:tcBorders>
                    <w:top w:val="nil"/>
                  </w:tcBorders>
                </w:tcPr>
                <w:p>
                  <w:pPr>
                    <w:pStyle w:val="TableText"/>
                    <w:ind w:left="115" w:right="105" w:firstLine="55"/>
                    <w:spacing w:before="79" w:line="286" w:lineRule="auto"/>
                    <w:jc w:val="both"/>
                    <w:rPr>
                      <w:sz w:val="20"/>
                      <w:szCs w:val="20"/>
                    </w:rPr>
                  </w:pPr>
                  <w:r>
                    <w:rPr>
                      <w:sz w:val="20"/>
                      <w:szCs w:val="20"/>
                      <w:spacing w:val="8"/>
                    </w:rPr>
                    <w:t>项目不属于危险化学品生 </w:t>
                  </w:r>
                  <w:r>
                    <w:rPr>
                      <w:sz w:val="20"/>
                      <w:szCs w:val="20"/>
                      <w:spacing w:val="13"/>
                    </w:rPr>
                    <w:t>产项目；危险废物废催化</w:t>
                  </w:r>
                  <w:r>
                    <w:rPr>
                      <w:sz w:val="20"/>
                      <w:szCs w:val="20"/>
                      <w:spacing w:val="8"/>
                    </w:rPr>
                    <w:t xml:space="preserve"> </w:t>
                  </w:r>
                  <w:r>
                    <w:rPr>
                      <w:sz w:val="20"/>
                      <w:szCs w:val="20"/>
                    </w:rPr>
                    <w:t>剂、废活性炭、废机油暂存</w:t>
                  </w:r>
                  <w:r>
                    <w:rPr>
                      <w:sz w:val="20"/>
                      <w:szCs w:val="20"/>
                      <w:spacing w:val="4"/>
                    </w:rPr>
                    <w:t xml:space="preserve"> </w:t>
                  </w:r>
                  <w:r>
                    <w:rPr>
                      <w:sz w:val="20"/>
                      <w:szCs w:val="20"/>
                      <w:spacing w:val="13"/>
                    </w:rPr>
                    <w:t>企业已建危险废物暂存间</w:t>
                  </w:r>
                  <w:r>
                    <w:rPr>
                      <w:sz w:val="20"/>
                      <w:szCs w:val="20"/>
                      <w:spacing w:val="8"/>
                    </w:rPr>
                    <w:t xml:space="preserve"> </w:t>
                  </w:r>
                  <w:r>
                    <w:rPr>
                      <w:sz w:val="20"/>
                      <w:szCs w:val="20"/>
                    </w:rPr>
                    <w:t>暂存，委托有资质单位收运</w:t>
                  </w:r>
                  <w:r>
                    <w:rPr>
                      <w:sz w:val="20"/>
                      <w:szCs w:val="20"/>
                      <w:spacing w:val="4"/>
                    </w:rPr>
                    <w:t xml:space="preserve"> </w:t>
                  </w:r>
                  <w:r>
                    <w:rPr>
                      <w:sz w:val="20"/>
                      <w:szCs w:val="20"/>
                    </w:rPr>
                    <w:t>处置；定期巡查和检测，确</w:t>
                  </w:r>
                  <w:r>
                    <w:rPr>
                      <w:sz w:val="20"/>
                      <w:szCs w:val="20"/>
                      <w:spacing w:val="4"/>
                    </w:rPr>
                    <w:t xml:space="preserve"> </w:t>
                  </w:r>
                  <w:r>
                    <w:rPr>
                      <w:sz w:val="20"/>
                      <w:szCs w:val="20"/>
                      <w:spacing w:val="-2"/>
                    </w:rPr>
                    <w:t>保不发生“跑、冒、漏</w:t>
                  </w:r>
                  <w:r>
                    <w:rPr>
                      <w:sz w:val="20"/>
                      <w:szCs w:val="20"/>
                      <w:spacing w:val="-72"/>
                    </w:rPr>
                    <w:t xml:space="preserve"> </w:t>
                  </w:r>
                  <w:r>
                    <w:rPr>
                      <w:sz w:val="20"/>
                      <w:szCs w:val="20"/>
                      <w:spacing w:val="-2"/>
                    </w:rPr>
                    <w:t>”等</w:t>
                  </w:r>
                </w:p>
                <w:p>
                  <w:pPr>
                    <w:pStyle w:val="TableText"/>
                    <w:ind w:left="800"/>
                    <w:spacing w:before="72" w:line="228" w:lineRule="auto"/>
                    <w:rPr>
                      <w:sz w:val="20"/>
                      <w:szCs w:val="20"/>
                    </w:rPr>
                  </w:pPr>
                  <w:r>
                    <w:rPr>
                      <w:sz w:val="20"/>
                      <w:szCs w:val="20"/>
                      <w:spacing w:val="5"/>
                    </w:rPr>
                    <w:t>污染事故。</w:t>
                  </w:r>
                </w:p>
              </w:tc>
              <w:tc>
                <w:tcPr>
                  <w:tcW w:w="872" w:type="dxa"/>
                  <w:vAlign w:val="top"/>
                  <w:tcBorders>
                    <w:right w:val="nil"/>
                    <w:top w:val="nil"/>
                  </w:tcBorders>
                </w:tcPr>
                <w:p>
                  <w:pPr>
                    <w:pStyle w:val="TableText"/>
                    <w:ind w:left="234"/>
                    <w:spacing w:before="81" w:line="228" w:lineRule="auto"/>
                    <w:rPr>
                      <w:sz w:val="20"/>
                      <w:szCs w:val="20"/>
                    </w:rPr>
                  </w:pPr>
                  <w:r>
                    <w:rPr>
                      <w:sz w:val="20"/>
                      <w:szCs w:val="20"/>
                      <w:spacing w:val="3"/>
                    </w:rPr>
                    <w:t>符合</w:t>
                  </w:r>
                </w:p>
              </w:tc>
            </w:tr>
            <w:tr>
              <w:trPr>
                <w:trHeight w:val="1896" w:hRule="atLeast"/>
              </w:trPr>
              <w:tc>
                <w:tcPr>
                  <w:tcW w:w="760" w:type="dxa"/>
                  <w:vAlign w:val="top"/>
                  <w:tcBorders>
                    <w:left w:val="nil"/>
                  </w:tcBorders>
                </w:tcPr>
                <w:p>
                  <w:pPr>
                    <w:pStyle w:val="TableText"/>
                    <w:ind w:left="186"/>
                    <w:spacing w:before="24" w:line="320" w:lineRule="exact"/>
                    <w:rPr>
                      <w:sz w:val="20"/>
                      <w:szCs w:val="20"/>
                    </w:rPr>
                  </w:pPr>
                  <w:r>
                    <w:rPr>
                      <w:sz w:val="20"/>
                      <w:szCs w:val="20"/>
                      <w:position w:val="8"/>
                    </w:rPr>
                    <w:t>资源</w:t>
                  </w:r>
                </w:p>
                <w:p>
                  <w:pPr>
                    <w:pStyle w:val="TableText"/>
                    <w:ind w:left="178"/>
                    <w:spacing w:line="229" w:lineRule="auto"/>
                    <w:rPr>
                      <w:sz w:val="20"/>
                      <w:szCs w:val="20"/>
                    </w:rPr>
                  </w:pPr>
                  <w:r>
                    <w:rPr>
                      <w:sz w:val="20"/>
                      <w:szCs w:val="20"/>
                      <w:spacing w:val="4"/>
                    </w:rPr>
                    <w:t>利用</w:t>
                  </w:r>
                </w:p>
                <w:p>
                  <w:pPr>
                    <w:pStyle w:val="TableText"/>
                    <w:ind w:left="182"/>
                    <w:spacing w:before="73" w:line="228" w:lineRule="auto"/>
                    <w:rPr>
                      <w:sz w:val="20"/>
                      <w:szCs w:val="20"/>
                    </w:rPr>
                  </w:pPr>
                  <w:r>
                    <w:rPr>
                      <w:sz w:val="20"/>
                      <w:szCs w:val="20"/>
                      <w:spacing w:val="2"/>
                    </w:rPr>
                    <w:t>效率</w:t>
                  </w:r>
                </w:p>
                <w:p>
                  <w:pPr>
                    <w:pStyle w:val="TableText"/>
                    <w:ind w:left="178"/>
                    <w:spacing w:before="72" w:line="229" w:lineRule="auto"/>
                    <w:rPr>
                      <w:sz w:val="20"/>
                      <w:szCs w:val="20"/>
                    </w:rPr>
                  </w:pPr>
                  <w:r>
                    <w:rPr>
                      <w:sz w:val="20"/>
                      <w:szCs w:val="20"/>
                      <w:spacing w:val="4"/>
                    </w:rPr>
                    <w:t>要求</w:t>
                  </w:r>
                </w:p>
              </w:tc>
              <w:tc>
                <w:tcPr>
                  <w:tcW w:w="3340" w:type="dxa"/>
                  <w:vAlign w:val="top"/>
                </w:tcPr>
                <w:p>
                  <w:pPr>
                    <w:pStyle w:val="TableText"/>
                    <w:ind w:left="112" w:right="106"/>
                    <w:spacing w:before="23" w:line="282" w:lineRule="auto"/>
                    <w:jc w:val="both"/>
                    <w:rPr>
                      <w:sz w:val="20"/>
                      <w:szCs w:val="20"/>
                    </w:rPr>
                  </w:pPr>
                  <w:r>
                    <w:rPr>
                      <w:sz w:val="20"/>
                      <w:szCs w:val="20"/>
                      <w:spacing w:val="7"/>
                    </w:rPr>
                    <w:t>优化能源结构，控制煤炭等化石能</w:t>
                  </w:r>
                  <w:r>
                    <w:rPr>
                      <w:sz w:val="20"/>
                      <w:szCs w:val="20"/>
                      <w:spacing w:val="9"/>
                    </w:rPr>
                    <w:t xml:space="preserve"> </w:t>
                  </w:r>
                  <w:r>
                    <w:rPr>
                      <w:sz w:val="20"/>
                      <w:szCs w:val="20"/>
                      <w:spacing w:val="7"/>
                    </w:rPr>
                    <w:t>源使用量，鼓励使用清洁能源，协</w:t>
                  </w:r>
                  <w:r>
                    <w:rPr>
                      <w:sz w:val="20"/>
                      <w:szCs w:val="20"/>
                      <w:spacing w:val="9"/>
                    </w:rPr>
                    <w:t xml:space="preserve"> </w:t>
                  </w:r>
                  <w:r>
                    <w:rPr>
                      <w:sz w:val="20"/>
                      <w:szCs w:val="20"/>
                      <w:spacing w:val="7"/>
                    </w:rPr>
                    <w:t>同推进减污降碳。全面实施节水工</w:t>
                  </w:r>
                  <w:r>
                    <w:rPr>
                      <w:sz w:val="20"/>
                      <w:szCs w:val="20"/>
                      <w:spacing w:val="9"/>
                    </w:rPr>
                    <w:t xml:space="preserve"> </w:t>
                  </w:r>
                  <w:r>
                    <w:rPr>
                      <w:sz w:val="20"/>
                      <w:szCs w:val="20"/>
                      <w:spacing w:val="7"/>
                    </w:rPr>
                    <w:t>程，合理开发利用水资源，提升水</w:t>
                  </w:r>
                  <w:r>
                    <w:rPr>
                      <w:sz w:val="20"/>
                      <w:szCs w:val="20"/>
                      <w:spacing w:val="9"/>
                    </w:rPr>
                    <w:t xml:space="preserve"> </w:t>
                  </w:r>
                  <w:r>
                    <w:rPr>
                      <w:sz w:val="20"/>
                      <w:szCs w:val="20"/>
                      <w:spacing w:val="7"/>
                    </w:rPr>
                    <w:t>资源利用效率，保障生态用水，严</w:t>
                  </w:r>
                </w:p>
                <w:p>
                  <w:pPr>
                    <w:pStyle w:val="TableText"/>
                    <w:ind w:left="954"/>
                    <w:spacing w:before="74" w:line="227" w:lineRule="auto"/>
                    <w:rPr>
                      <w:sz w:val="20"/>
                      <w:szCs w:val="20"/>
                    </w:rPr>
                  </w:pPr>
                  <w:r>
                    <w:rPr>
                      <w:sz w:val="20"/>
                      <w:szCs w:val="20"/>
                      <w:spacing w:val="5"/>
                    </w:rPr>
                    <w:t>防地下水超采。</w:t>
                  </w:r>
                </w:p>
              </w:tc>
              <w:tc>
                <w:tcPr>
                  <w:tcW w:w="2632" w:type="dxa"/>
                  <w:vAlign w:val="top"/>
                </w:tcPr>
                <w:p>
                  <w:pPr>
                    <w:pStyle w:val="TableText"/>
                    <w:ind w:left="117"/>
                    <w:spacing w:before="24" w:line="227" w:lineRule="auto"/>
                    <w:rPr>
                      <w:sz w:val="20"/>
                      <w:szCs w:val="20"/>
                    </w:rPr>
                  </w:pPr>
                  <w:r>
                    <w:rPr>
                      <w:sz w:val="20"/>
                      <w:szCs w:val="20"/>
                    </w:rPr>
                    <w:t>项目不使用煤炭能源，烘干</w:t>
                  </w:r>
                </w:p>
                <w:p>
                  <w:pPr>
                    <w:pStyle w:val="TableText"/>
                    <w:ind w:left="118"/>
                    <w:spacing w:before="73" w:line="227" w:lineRule="auto"/>
                    <w:rPr>
                      <w:sz w:val="20"/>
                      <w:szCs w:val="20"/>
                    </w:rPr>
                  </w:pPr>
                  <w:r>
                    <w:rPr>
                      <w:sz w:val="20"/>
                      <w:szCs w:val="20"/>
                    </w:rPr>
                    <w:t>热源由电能提供；无生产废</w:t>
                  </w:r>
                </w:p>
                <w:p>
                  <w:pPr>
                    <w:pStyle w:val="TableText"/>
                    <w:ind w:left="1112" w:right="158" w:hanging="943"/>
                    <w:spacing w:before="76" w:line="261" w:lineRule="auto"/>
                    <w:rPr>
                      <w:sz w:val="20"/>
                      <w:szCs w:val="20"/>
                    </w:rPr>
                  </w:pPr>
                  <w:r>
                    <w:rPr>
                      <w:sz w:val="20"/>
                      <w:szCs w:val="20"/>
                      <w:spacing w:val="8"/>
                    </w:rPr>
                    <w:t>水产生；项目不新建设机</w:t>
                  </w:r>
                  <w:r>
                    <w:rPr>
                      <w:sz w:val="20"/>
                      <w:szCs w:val="20"/>
                      <w:spacing w:val="9"/>
                    </w:rPr>
                    <w:t xml:space="preserve"> </w:t>
                  </w:r>
                  <w:r>
                    <w:rPr>
                      <w:sz w:val="20"/>
                      <w:szCs w:val="20"/>
                    </w:rPr>
                    <w:t>井。</w:t>
                  </w:r>
                </w:p>
              </w:tc>
              <w:tc>
                <w:tcPr>
                  <w:tcW w:w="872" w:type="dxa"/>
                  <w:vAlign w:val="top"/>
                  <w:tcBorders>
                    <w:right w:val="nil"/>
                  </w:tcBorders>
                </w:tcPr>
                <w:p>
                  <w:pPr>
                    <w:pStyle w:val="TableText"/>
                    <w:ind w:left="234"/>
                    <w:spacing w:before="24" w:line="228" w:lineRule="auto"/>
                    <w:rPr>
                      <w:sz w:val="20"/>
                      <w:szCs w:val="20"/>
                    </w:rPr>
                  </w:pPr>
                  <w:r>
                    <w:rPr>
                      <w:sz w:val="20"/>
                      <w:szCs w:val="20"/>
                      <w:spacing w:val="3"/>
                    </w:rPr>
                    <w:t>符合</w:t>
                  </w:r>
                </w:p>
              </w:tc>
            </w:tr>
            <w:tr>
              <w:trPr>
                <w:trHeight w:val="3180" w:hRule="atLeast"/>
              </w:trPr>
              <w:tc>
                <w:tcPr>
                  <w:tcW w:w="760" w:type="dxa"/>
                  <w:vAlign w:val="top"/>
                  <w:tcBorders>
                    <w:left w:val="nil"/>
                    <w:bottom w:val="single" w:color="000000" w:sz="10" w:space="0"/>
                  </w:tcBorders>
                </w:tcPr>
                <w:p>
                  <w:pPr>
                    <w:pStyle w:val="TableText"/>
                    <w:ind w:left="179"/>
                    <w:spacing w:before="53" w:line="228" w:lineRule="auto"/>
                    <w:rPr>
                      <w:sz w:val="20"/>
                      <w:szCs w:val="20"/>
                    </w:rPr>
                  </w:pPr>
                  <w:r>
                    <w:rPr>
                      <w:sz w:val="20"/>
                      <w:szCs w:val="20"/>
                      <w:spacing w:val="3"/>
                    </w:rPr>
                    <w:t>乌昌</w:t>
                  </w:r>
                </w:p>
                <w:p>
                  <w:pPr>
                    <w:pStyle w:val="TableText"/>
                    <w:ind w:left="178"/>
                    <w:spacing w:before="72" w:line="228" w:lineRule="auto"/>
                    <w:rPr>
                      <w:sz w:val="20"/>
                      <w:szCs w:val="20"/>
                    </w:rPr>
                  </w:pPr>
                  <w:r>
                    <w:rPr>
                      <w:sz w:val="20"/>
                      <w:szCs w:val="20"/>
                      <w:spacing w:val="4"/>
                    </w:rPr>
                    <w:t>石片</w:t>
                  </w:r>
                </w:p>
                <w:p>
                  <w:pPr>
                    <w:pStyle w:val="TableText"/>
                    <w:ind w:left="193"/>
                    <w:spacing w:before="73" w:line="228" w:lineRule="auto"/>
                    <w:rPr>
                      <w:sz w:val="20"/>
                      <w:szCs w:val="20"/>
                    </w:rPr>
                  </w:pPr>
                  <w:r>
                    <w:rPr>
                      <w:sz w:val="20"/>
                      <w:szCs w:val="20"/>
                      <w:spacing w:val="-3"/>
                    </w:rPr>
                    <w:t>区管</w:t>
                  </w:r>
                </w:p>
                <w:p>
                  <w:pPr>
                    <w:pStyle w:val="TableText"/>
                    <w:ind w:left="177"/>
                    <w:spacing w:before="72" w:line="228" w:lineRule="auto"/>
                    <w:rPr>
                      <w:sz w:val="20"/>
                      <w:szCs w:val="20"/>
                    </w:rPr>
                  </w:pPr>
                  <w:r>
                    <w:rPr>
                      <w:sz w:val="20"/>
                      <w:szCs w:val="20"/>
                      <w:spacing w:val="5"/>
                    </w:rPr>
                    <w:t>控要</w:t>
                  </w:r>
                </w:p>
                <w:p>
                  <w:pPr>
                    <w:pStyle w:val="TableText"/>
                    <w:ind w:left="285"/>
                    <w:spacing w:before="72" w:line="229" w:lineRule="auto"/>
                    <w:rPr>
                      <w:sz w:val="20"/>
                      <w:szCs w:val="20"/>
                    </w:rPr>
                  </w:pPr>
                  <w:r>
                    <w:rPr>
                      <w:sz w:val="20"/>
                      <w:szCs w:val="20"/>
                    </w:rPr>
                    <w:t>求</w:t>
                  </w:r>
                </w:p>
              </w:tc>
              <w:tc>
                <w:tcPr>
                  <w:tcW w:w="3340" w:type="dxa"/>
                  <w:vAlign w:val="top"/>
                  <w:tcBorders>
                    <w:bottom w:val="single" w:color="000000" w:sz="10" w:space="0"/>
                  </w:tcBorders>
                </w:tcPr>
                <w:p>
                  <w:pPr>
                    <w:pStyle w:val="TableText"/>
                    <w:ind w:left="114" w:right="106" w:firstLine="96"/>
                    <w:spacing w:before="51" w:line="286" w:lineRule="auto"/>
                    <w:rPr>
                      <w:sz w:val="20"/>
                      <w:szCs w:val="20"/>
                    </w:rPr>
                  </w:pPr>
                  <w:r>
                    <w:rPr>
                      <w:sz w:val="20"/>
                      <w:szCs w:val="20"/>
                      <w:spacing w:val="9"/>
                    </w:rPr>
                    <w:t>坚持属地负责与区域大气污染联</w:t>
                  </w:r>
                  <w:r>
                    <w:rPr>
                      <w:sz w:val="20"/>
                      <w:szCs w:val="20"/>
                    </w:rPr>
                    <w:t xml:space="preserve">  </w:t>
                  </w:r>
                  <w:r>
                    <w:rPr>
                      <w:sz w:val="20"/>
                      <w:szCs w:val="20"/>
                      <w:spacing w:val="7"/>
                    </w:rPr>
                    <w:t>防联控相结合，以明显降低细颗粒 </w:t>
                  </w:r>
                  <w:r>
                    <w:rPr>
                      <w:sz w:val="20"/>
                      <w:szCs w:val="20"/>
                      <w:spacing w:val="7"/>
                    </w:rPr>
                    <w:t>物浓度为重点，协同推进“乌</w:t>
                  </w: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spacing w:val="-5"/>
                    </w:rPr>
                    <w:t xml:space="preserve"> </w:t>
                  </w:r>
                  <w:r>
                    <w:rPr>
                      <w:sz w:val="20"/>
                      <w:szCs w:val="20"/>
                      <w:spacing w:val="7"/>
                    </w:rPr>
                    <w:t>昌</w:t>
                  </w: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rPr>
                    <w:t xml:space="preserve"> </w:t>
                  </w:r>
                  <w:r>
                    <w:rPr>
                      <w:sz w:val="20"/>
                      <w:szCs w:val="20"/>
                      <w:spacing w:val="5"/>
                    </w:rPr>
                    <w:t>石</w:t>
                  </w:r>
                  <w:r>
                    <w:rPr>
                      <w:sz w:val="20"/>
                      <w:szCs w:val="20"/>
                      <w:spacing w:val="-63"/>
                    </w:rPr>
                    <w:t xml:space="preserve"> </w:t>
                  </w:r>
                  <w:r>
                    <w:rPr>
                      <w:sz w:val="20"/>
                      <w:szCs w:val="20"/>
                      <w:spacing w:val="5"/>
                    </w:rPr>
                    <w:t>”同防同治区域大气环境治理。</w:t>
                  </w:r>
                  <w:r>
                    <w:rPr>
                      <w:sz w:val="20"/>
                      <w:szCs w:val="20"/>
                    </w:rPr>
                    <w:t xml:space="preserve"> </w:t>
                  </w:r>
                  <w:r>
                    <w:rPr>
                      <w:sz w:val="20"/>
                      <w:szCs w:val="20"/>
                      <w:spacing w:val="7"/>
                    </w:rPr>
                    <w:t>强化与生产建设兵团第六师、第八 </w:t>
                  </w:r>
                  <w:r>
                    <w:rPr>
                      <w:sz w:val="20"/>
                      <w:szCs w:val="20"/>
                      <w:spacing w:val="7"/>
                    </w:rPr>
                    <w:t>师、第十一师、第十二师的同防同 </w:t>
                  </w:r>
                  <w:r>
                    <w:rPr>
                      <w:sz w:val="20"/>
                      <w:szCs w:val="20"/>
                      <w:spacing w:val="7"/>
                    </w:rPr>
                    <w:t>治，所有新建、改建、扩建工业项</w:t>
                  </w:r>
                </w:p>
                <w:p>
                  <w:pPr>
                    <w:pStyle w:val="TableText"/>
                    <w:ind w:left="114" w:right="106" w:firstLine="132"/>
                    <w:spacing w:before="72" w:line="270" w:lineRule="auto"/>
                    <w:jc w:val="both"/>
                    <w:rPr>
                      <w:sz w:val="20"/>
                      <w:szCs w:val="20"/>
                    </w:rPr>
                  </w:pPr>
                  <w:r>
                    <w:rPr>
                      <w:sz w:val="20"/>
                      <w:szCs w:val="20"/>
                      <w:spacing w:val="6"/>
                    </w:rPr>
                    <w:t>目执行最严格的大气污染物排放</w:t>
                  </w:r>
                  <w:r>
                    <w:rPr>
                      <w:sz w:val="20"/>
                      <w:szCs w:val="20"/>
                      <w:spacing w:val="2"/>
                    </w:rPr>
                    <w:t xml:space="preserve">  </w:t>
                  </w:r>
                  <w:r>
                    <w:rPr>
                      <w:sz w:val="20"/>
                      <w:szCs w:val="20"/>
                      <w:spacing w:val="7"/>
                    </w:rPr>
                    <w:t>标准，强化氮氧化物深度治理，确 </w:t>
                  </w:r>
                  <w:r>
                    <w:rPr>
                      <w:sz w:val="20"/>
                      <w:szCs w:val="20"/>
                      <w:spacing w:val="15"/>
                    </w:rPr>
                    <w:t>保区域环境空气质量持续改善。</w:t>
                  </w:r>
                </w:p>
              </w:tc>
              <w:tc>
                <w:tcPr>
                  <w:tcW w:w="2632" w:type="dxa"/>
                  <w:vAlign w:val="top"/>
                  <w:tcBorders>
                    <w:bottom w:val="single" w:color="000000" w:sz="10" w:space="0"/>
                  </w:tcBorders>
                </w:tcPr>
                <w:p>
                  <w:pPr>
                    <w:pStyle w:val="TableText"/>
                    <w:ind w:left="170"/>
                    <w:spacing w:before="53" w:line="228" w:lineRule="auto"/>
                    <w:rPr>
                      <w:sz w:val="20"/>
                      <w:szCs w:val="20"/>
                    </w:rPr>
                  </w:pPr>
                  <w:r>
                    <w:rPr>
                      <w:sz w:val="20"/>
                      <w:szCs w:val="20"/>
                      <w:spacing w:val="8"/>
                    </w:rPr>
                    <w:t>项目所在区属于同防同治</w:t>
                  </w:r>
                </w:p>
                <w:p>
                  <w:pPr>
                    <w:pStyle w:val="TableText"/>
                    <w:ind w:left="114"/>
                    <w:spacing w:before="71" w:line="228" w:lineRule="auto"/>
                    <w:rPr>
                      <w:sz w:val="20"/>
                      <w:szCs w:val="20"/>
                    </w:rPr>
                  </w:pPr>
                  <w:r>
                    <w:rPr>
                      <w:sz w:val="20"/>
                      <w:szCs w:val="20"/>
                    </w:rPr>
                    <w:t>地区，执行最严格的大气污</w:t>
                  </w:r>
                </w:p>
                <w:p>
                  <w:pPr>
                    <w:pStyle w:val="TableText"/>
                    <w:ind w:left="117"/>
                    <w:spacing w:before="74" w:line="227" w:lineRule="auto"/>
                    <w:rPr>
                      <w:sz w:val="20"/>
                      <w:szCs w:val="20"/>
                    </w:rPr>
                  </w:pPr>
                  <w:r>
                    <w:rPr>
                      <w:sz w:val="20"/>
                      <w:szCs w:val="20"/>
                    </w:rPr>
                    <w:t>染物排放标准。生产废气采</w:t>
                  </w:r>
                </w:p>
                <w:p>
                  <w:pPr>
                    <w:pStyle w:val="TableText"/>
                    <w:ind w:left="117"/>
                    <w:spacing w:before="73" w:line="228" w:lineRule="auto"/>
                    <w:rPr>
                      <w:sz w:val="20"/>
                      <w:szCs w:val="20"/>
                    </w:rPr>
                  </w:pPr>
                  <w:r>
                    <w:rPr>
                      <w:sz w:val="20"/>
                      <w:szCs w:val="20"/>
                    </w:rPr>
                    <w:t>取集气罩收集，经“活性炭</w:t>
                  </w:r>
                </w:p>
                <w:p>
                  <w:pPr>
                    <w:pStyle w:val="TableText"/>
                    <w:ind w:left="221"/>
                    <w:spacing w:before="72" w:line="227" w:lineRule="auto"/>
                    <w:rPr>
                      <w:sz w:val="20"/>
                      <w:szCs w:val="20"/>
                    </w:rPr>
                  </w:pPr>
                  <w:r>
                    <w:rPr>
                      <w:sz w:val="20"/>
                      <w:szCs w:val="20"/>
                      <w:spacing w:val="5"/>
                    </w:rPr>
                    <w:t>吸附</w:t>
                  </w:r>
                  <w:r>
                    <w:rPr>
                      <w:rFonts w:ascii="Times New Roman" w:hAnsi="Times New Roman" w:eastAsia="Times New Roman" w:cs="Times New Roman"/>
                      <w:sz w:val="20"/>
                      <w:szCs w:val="20"/>
                      <w:spacing w:val="5"/>
                    </w:rPr>
                    <w:t>+</w:t>
                  </w:r>
                  <w:r>
                    <w:rPr>
                      <w:sz w:val="20"/>
                      <w:szCs w:val="20"/>
                      <w:spacing w:val="5"/>
                    </w:rPr>
                    <w:t>催化燃烧装置</w:t>
                  </w:r>
                  <w:r>
                    <w:rPr>
                      <w:sz w:val="20"/>
                      <w:szCs w:val="20"/>
                      <w:spacing w:val="-68"/>
                    </w:rPr>
                    <w:t xml:space="preserve"> </w:t>
                  </w:r>
                  <w:r>
                    <w:rPr>
                      <w:sz w:val="20"/>
                      <w:szCs w:val="20"/>
                      <w:spacing w:val="5"/>
                    </w:rPr>
                    <w:t>”处</w:t>
                  </w:r>
                </w:p>
                <w:p>
                  <w:pPr>
                    <w:pStyle w:val="TableText"/>
                    <w:ind w:left="117"/>
                    <w:spacing w:before="76" w:line="228" w:lineRule="auto"/>
                    <w:rPr>
                      <w:sz w:val="20"/>
                      <w:szCs w:val="20"/>
                    </w:rPr>
                  </w:pPr>
                  <w:r>
                    <w:rPr>
                      <w:sz w:val="20"/>
                      <w:szCs w:val="20"/>
                      <w:spacing w:val="3"/>
                    </w:rPr>
                    <w:t>理，最终经一根</w:t>
                  </w:r>
                  <w:r>
                    <w:rPr>
                      <w:rFonts w:ascii="Times New Roman" w:hAnsi="Times New Roman" w:eastAsia="Times New Roman" w:cs="Times New Roman"/>
                      <w:sz w:val="20"/>
                      <w:szCs w:val="20"/>
                      <w:spacing w:val="3"/>
                    </w:rPr>
                    <w:t>15m</w:t>
                  </w:r>
                  <w:r>
                    <w:rPr>
                      <w:sz w:val="20"/>
                      <w:szCs w:val="20"/>
                      <w:spacing w:val="3"/>
                    </w:rPr>
                    <w:t>排气筒</w:t>
                  </w:r>
                </w:p>
                <w:p>
                  <w:pPr>
                    <w:pStyle w:val="TableText"/>
                    <w:ind w:left="167"/>
                    <w:spacing w:before="72" w:line="227" w:lineRule="auto"/>
                    <w:rPr>
                      <w:sz w:val="20"/>
                      <w:szCs w:val="20"/>
                    </w:rPr>
                  </w:pPr>
                  <w:r>
                    <w:rPr>
                      <w:sz w:val="20"/>
                      <w:szCs w:val="20"/>
                      <w:spacing w:val="9"/>
                    </w:rPr>
                    <w:t>排放。采取一定治理措施</w:t>
                  </w:r>
                </w:p>
                <w:p>
                  <w:pPr>
                    <w:pStyle w:val="TableText"/>
                    <w:ind w:left="116"/>
                    <w:spacing w:before="74" w:line="228" w:lineRule="auto"/>
                    <w:rPr>
                      <w:sz w:val="20"/>
                      <w:szCs w:val="20"/>
                    </w:rPr>
                  </w:pPr>
                  <w:r>
                    <w:rPr>
                      <w:sz w:val="20"/>
                      <w:szCs w:val="20"/>
                    </w:rPr>
                    <w:t>后，对环境空气质量影响较</w:t>
                  </w:r>
                </w:p>
                <w:p>
                  <w:pPr>
                    <w:pStyle w:val="TableText"/>
                    <w:ind w:left="1118"/>
                    <w:spacing w:before="74" w:line="230" w:lineRule="auto"/>
                    <w:rPr>
                      <w:sz w:val="20"/>
                      <w:szCs w:val="20"/>
                    </w:rPr>
                  </w:pPr>
                  <w:r>
                    <w:rPr>
                      <w:sz w:val="20"/>
                      <w:szCs w:val="20"/>
                      <w:spacing w:val="-3"/>
                    </w:rPr>
                    <w:t>小。</w:t>
                  </w:r>
                </w:p>
              </w:tc>
              <w:tc>
                <w:tcPr>
                  <w:tcW w:w="872" w:type="dxa"/>
                  <w:vAlign w:val="top"/>
                  <w:tcBorders>
                    <w:right w:val="nil"/>
                    <w:bottom w:val="single" w:color="000000" w:sz="10" w:space="0"/>
                  </w:tcBorders>
                </w:tcPr>
                <w:p>
                  <w:pPr>
                    <w:pStyle w:val="TableText"/>
                    <w:ind w:left="234"/>
                    <w:spacing w:before="53" w:line="228" w:lineRule="auto"/>
                    <w:rPr>
                      <w:sz w:val="20"/>
                      <w:szCs w:val="20"/>
                    </w:rPr>
                  </w:pPr>
                  <w:r>
                    <w:rPr>
                      <w:sz w:val="20"/>
                      <w:szCs w:val="20"/>
                      <w:spacing w:val="3"/>
                    </w:rPr>
                    <w:t>符合</w:t>
                  </w:r>
                </w:p>
              </w:tc>
            </w:tr>
          </w:tbl>
          <w:p>
            <w:pPr>
              <w:pStyle w:val="TableText"/>
              <w:ind w:left="604"/>
              <w:spacing w:before="195" w:line="501" w:lineRule="exact"/>
              <w:rPr/>
            </w:pPr>
            <w:r>
              <w:rPr>
                <w:spacing w:val="1"/>
                <w:position w:val="19"/>
              </w:rPr>
              <w:t>（</w:t>
            </w:r>
            <w:r>
              <w:rPr>
                <w:rFonts w:ascii="Times New Roman" w:hAnsi="Times New Roman" w:eastAsia="Times New Roman" w:cs="Times New Roman"/>
                <w:spacing w:val="1"/>
                <w:position w:val="19"/>
              </w:rPr>
              <w:t>4</w:t>
            </w:r>
            <w:r>
              <w:rPr>
                <w:spacing w:val="1"/>
                <w:position w:val="19"/>
              </w:rPr>
              <w:t>）与《关于加强乌鲁木齐、昌吉、石河子、五家渠区域</w:t>
            </w:r>
            <w:r>
              <w:rPr>
                <w:position w:val="19"/>
              </w:rPr>
              <w:t>环境同防</w:t>
            </w:r>
          </w:p>
          <w:p>
            <w:pPr>
              <w:pStyle w:val="TableText"/>
              <w:ind w:left="136"/>
              <w:spacing w:line="219" w:lineRule="auto"/>
              <w:rPr/>
            </w:pPr>
            <w:r>
              <w:rPr>
                <w:spacing w:val="-3"/>
              </w:rPr>
              <w:t>同治的意见》符合性分析</w:t>
            </w:r>
          </w:p>
          <w:p>
            <w:pPr>
              <w:pStyle w:val="TableText"/>
              <w:ind w:left="112" w:right="106" w:firstLine="481"/>
              <w:spacing w:before="211" w:line="385" w:lineRule="auto"/>
              <w:rPr/>
            </w:pPr>
            <w:r>
              <w:rPr>
                <w:spacing w:val="-2"/>
              </w:rPr>
              <w:t>文件指出：“（</w:t>
            </w:r>
            <w:r>
              <w:rPr>
                <w:spacing w:val="-72"/>
              </w:rPr>
              <w:t xml:space="preserve"> </w:t>
            </w:r>
            <w:r>
              <w:rPr>
                <w:spacing w:val="-2"/>
              </w:rPr>
              <w:t>一）优化产业结构和布局、</w:t>
            </w:r>
            <w:r>
              <w:rPr>
                <w:rFonts w:ascii="Times New Roman" w:hAnsi="Times New Roman" w:eastAsia="Times New Roman" w:cs="Times New Roman"/>
                <w:spacing w:val="-2"/>
              </w:rPr>
              <w:t>3</w:t>
            </w:r>
            <w:r>
              <w:rPr>
                <w:rFonts w:ascii="Times New Roman" w:hAnsi="Times New Roman" w:eastAsia="Times New Roman" w:cs="Times New Roman"/>
                <w:spacing w:val="-3"/>
              </w:rPr>
              <w:t>.</w:t>
            </w:r>
            <w:r>
              <w:rPr>
                <w:spacing w:val="-3"/>
              </w:rPr>
              <w:t>严格污染物排放标准。</w:t>
            </w:r>
            <w:r>
              <w:rPr/>
              <w:t xml:space="preserve"> </w:t>
            </w:r>
            <w:r>
              <w:rPr>
                <w:spacing w:val="-2"/>
              </w:rPr>
              <w:t>认真落实《重点区域大气污染物排放特别排</w:t>
            </w:r>
            <w:r>
              <w:rPr>
                <w:spacing w:val="-3"/>
              </w:rPr>
              <w:t>放限值的公告》（环保厅</w:t>
            </w:r>
            <w:r>
              <w:rPr>
                <w:rFonts w:ascii="Times New Roman" w:hAnsi="Times New Roman" w:eastAsia="Times New Roman" w:cs="Times New Roman"/>
                <w:spacing w:val="-3"/>
              </w:rPr>
              <w:t>2016</w:t>
            </w:r>
            <w:r>
              <w:rPr>
                <w:rFonts w:ascii="Times New Roman" w:hAnsi="Times New Roman" w:eastAsia="Times New Roman" w:cs="Times New Roman"/>
              </w:rPr>
              <w:t xml:space="preserve"> </w:t>
            </w:r>
            <w:r>
              <w:rPr>
                <w:spacing w:val="-3"/>
              </w:rPr>
              <w:t>第</w:t>
            </w:r>
            <w:r>
              <w:rPr>
                <w:rFonts w:ascii="Times New Roman" w:hAnsi="Times New Roman" w:eastAsia="Times New Roman" w:cs="Times New Roman"/>
                <w:spacing w:val="-3"/>
              </w:rPr>
              <w:t>45</w:t>
            </w:r>
            <w:r>
              <w:rPr>
                <w:spacing w:val="-3"/>
              </w:rPr>
              <w:t>号）的要求，钢铁、石化、火电、水泥等行业和燃煤锅炉严格执行重</w:t>
            </w:r>
            <w:r>
              <w:rPr>
                <w:spacing w:val="14"/>
              </w:rPr>
              <w:t xml:space="preserve"> </w:t>
            </w:r>
            <w:r>
              <w:rPr>
                <w:spacing w:val="-3"/>
              </w:rPr>
              <w:t>点行业污染物特别排放限值要求。其他工业企业一律执行国家最新污染物</w:t>
            </w:r>
            <w:r>
              <w:rPr>
                <w:spacing w:val="13"/>
              </w:rPr>
              <w:t xml:space="preserve"> </w:t>
            </w:r>
            <w:r>
              <w:rPr>
                <w:spacing w:val="-3"/>
              </w:rPr>
              <w:t>排放标准，减少污染物排放总量。严格执行无组织排放监测浓度限值和恶</w:t>
            </w:r>
            <w:r>
              <w:rPr>
                <w:spacing w:val="13"/>
              </w:rPr>
              <w:t xml:space="preserve"> </w:t>
            </w:r>
            <w:r>
              <w:rPr>
                <w:spacing w:val="-4"/>
              </w:rPr>
              <w:t>臭污染物厂界标准。”、“</w:t>
            </w:r>
            <w:r>
              <w:rPr>
                <w:rFonts w:ascii="Times New Roman" w:hAnsi="Times New Roman" w:eastAsia="Times New Roman" w:cs="Times New Roman"/>
                <w:spacing w:val="-4"/>
              </w:rPr>
              <w:t>7.</w:t>
            </w:r>
            <w:r>
              <w:rPr>
                <w:spacing w:val="-4"/>
              </w:rPr>
              <w:t>大力推广清洁能源</w:t>
            </w:r>
            <w:r>
              <w:rPr>
                <w:spacing w:val="-88"/>
              </w:rPr>
              <w:t xml:space="preserve"> </w:t>
            </w:r>
            <w:r>
              <w:rPr>
                <w:spacing w:val="-4"/>
              </w:rPr>
              <w:t>”、“</w:t>
            </w:r>
            <w:r>
              <w:rPr>
                <w:spacing w:val="-94"/>
              </w:rPr>
              <w:t xml:space="preserve"> </w:t>
            </w:r>
            <w:r>
              <w:rPr>
                <w:rFonts w:ascii="Times New Roman" w:hAnsi="Times New Roman" w:eastAsia="Times New Roman" w:cs="Times New Roman"/>
                <w:spacing w:val="-4"/>
              </w:rPr>
              <w:t>10.</w:t>
            </w:r>
            <w:r>
              <w:rPr>
                <w:spacing w:val="-4"/>
              </w:rPr>
              <w:t>开展挥发</w:t>
            </w:r>
            <w:r>
              <w:rPr>
                <w:spacing w:val="-5"/>
              </w:rPr>
              <w:t>性有机</w:t>
            </w:r>
          </w:p>
          <w:p>
            <w:pPr>
              <w:pStyle w:val="TableText"/>
              <w:ind w:left="112"/>
              <w:spacing w:line="219" w:lineRule="auto"/>
              <w:rPr/>
            </w:pPr>
            <w:r>
              <w:rPr>
                <w:spacing w:val="-1"/>
              </w:rPr>
              <w:t>物和有毒有害废气防治</w:t>
            </w:r>
            <w:r>
              <w:rPr>
                <w:spacing w:val="-86"/>
              </w:rPr>
              <w:t xml:space="preserve"> </w:t>
            </w:r>
            <w:r>
              <w:rPr>
                <w:spacing w:val="-1"/>
              </w:rPr>
              <w:t>”。</w:t>
            </w:r>
          </w:p>
          <w:p>
            <w:pPr>
              <w:pStyle w:val="TableText"/>
              <w:ind w:left="593"/>
              <w:spacing w:before="214" w:line="502" w:lineRule="exact"/>
              <w:rPr/>
            </w:pPr>
            <w:r>
              <w:rPr>
                <w:spacing w:val="-3"/>
                <w:position w:val="20"/>
              </w:rPr>
              <w:t>本项目不属于钢铁、石化、火电、水泥等行业；本项目废气排放执行</w:t>
            </w:r>
          </w:p>
          <w:p>
            <w:pPr>
              <w:pStyle w:val="TableText"/>
              <w:ind w:left="112"/>
              <w:spacing w:before="1" w:line="218" w:lineRule="auto"/>
              <w:rPr/>
            </w:pPr>
            <w:r>
              <w:rPr>
                <w:spacing w:val="-3"/>
              </w:rPr>
              <w:t>特别排放限值要求；本项目执行的污染物排放标准均为国家最新的排放标</w:t>
            </w:r>
          </w:p>
        </w:tc>
      </w:tr>
    </w:tbl>
    <w:p>
      <w:pPr>
        <w:pStyle w:val="BodyText"/>
        <w:rPr/>
      </w:pPr>
      <w:r/>
    </w:p>
    <w:p>
      <w:pPr>
        <w:sectPr>
          <w:footerReference w:type="default" r:id="rId145"/>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3"/>
        <w:gridCol w:w="7823"/>
      </w:tblGrid>
      <w:tr>
        <w:trPr>
          <w:trHeight w:val="13722" w:hRule="atLeast"/>
        </w:trPr>
        <w:tc>
          <w:tcPr>
            <w:tcW w:w="703" w:type="dxa"/>
            <w:vAlign w:val="top"/>
          </w:tcPr>
          <w:p>
            <w:pPr>
              <w:rPr>
                <w:rFonts w:ascii="Arial"/>
                <w:sz w:val="21"/>
              </w:rPr>
            </w:pPr>
            <w:r/>
          </w:p>
        </w:tc>
        <w:tc>
          <w:tcPr>
            <w:tcW w:w="7823" w:type="dxa"/>
            <w:vAlign w:val="top"/>
          </w:tcPr>
          <w:p>
            <w:pPr>
              <w:pStyle w:val="TableText"/>
              <w:ind w:left="114"/>
              <w:spacing w:before="200" w:line="499" w:lineRule="exact"/>
              <w:rPr/>
            </w:pPr>
            <w:r>
              <w:rPr>
                <w:spacing w:val="-3"/>
                <w:position w:val="19"/>
              </w:rPr>
              <w:t>准，符合“关于加强乌鲁木齐、昌吉、石河子、五家渠区域环境同防同治</w:t>
            </w:r>
          </w:p>
          <w:p>
            <w:pPr>
              <w:pStyle w:val="TableText"/>
              <w:ind w:left="132"/>
              <w:spacing w:line="219" w:lineRule="auto"/>
              <w:rPr/>
            </w:pPr>
            <w:r>
              <w:rPr>
                <w:spacing w:val="-3"/>
              </w:rPr>
              <w:t>的意见（新政发〔</w:t>
            </w:r>
            <w:r>
              <w:rPr>
                <w:rFonts w:ascii="Times New Roman" w:hAnsi="Times New Roman" w:eastAsia="Times New Roman" w:cs="Times New Roman"/>
                <w:spacing w:val="-3"/>
              </w:rPr>
              <w:t>2016</w:t>
            </w:r>
            <w:r>
              <w:rPr>
                <w:spacing w:val="-3"/>
              </w:rPr>
              <w:t>〕</w:t>
            </w:r>
            <w:r>
              <w:rPr>
                <w:rFonts w:ascii="Times New Roman" w:hAnsi="Times New Roman" w:eastAsia="Times New Roman" w:cs="Times New Roman"/>
                <w:spacing w:val="-3"/>
              </w:rPr>
              <w:t>140</w:t>
            </w:r>
            <w:r>
              <w:rPr>
                <w:spacing w:val="-3"/>
              </w:rPr>
              <w:t>号</w:t>
            </w:r>
            <w:r>
              <w:rPr>
                <w:spacing w:val="-88"/>
              </w:rPr>
              <w:t xml:space="preserve"> </w:t>
            </w:r>
            <w:r>
              <w:rPr>
                <w:spacing w:val="-3"/>
              </w:rPr>
              <w:t>”要求。</w:t>
            </w:r>
          </w:p>
          <w:p>
            <w:pPr>
              <w:pStyle w:val="TableText"/>
              <w:ind w:left="604"/>
              <w:spacing w:before="214" w:line="219" w:lineRule="auto"/>
              <w:rPr/>
            </w:pPr>
            <w:r>
              <w:rPr>
                <w:spacing w:val="-1"/>
              </w:rPr>
              <w:t>（</w:t>
            </w:r>
            <w:r>
              <w:rPr>
                <w:rFonts w:ascii="Times New Roman" w:hAnsi="Times New Roman" w:eastAsia="Times New Roman" w:cs="Times New Roman"/>
                <w:spacing w:val="-1"/>
              </w:rPr>
              <w:t>5</w:t>
            </w:r>
            <w:r>
              <w:rPr>
                <w:spacing w:val="-1"/>
              </w:rPr>
              <w:t>）与《新疆维吾尔自治区大气污染防治条例》符合性分析</w:t>
            </w:r>
          </w:p>
          <w:p>
            <w:pPr>
              <w:pStyle w:val="TableText"/>
              <w:ind w:left="593"/>
              <w:spacing w:before="216" w:line="499" w:lineRule="exact"/>
              <w:rPr/>
            </w:pPr>
            <w:r>
              <w:rPr>
                <w:spacing w:val="-3"/>
                <w:position w:val="19"/>
              </w:rPr>
              <w:t>本项目与《新疆维吾尔自治区大气污染防治条例》中有关内容进行相</w:t>
            </w:r>
          </w:p>
          <w:p>
            <w:pPr>
              <w:pStyle w:val="TableText"/>
              <w:ind w:left="114"/>
              <w:spacing w:line="219" w:lineRule="auto"/>
              <w:rPr/>
            </w:pPr>
            <w:r>
              <w:rPr>
                <w:spacing w:val="-1"/>
              </w:rPr>
              <w:t>符性对照，符合性分析见表</w:t>
            </w:r>
            <w:r>
              <w:rPr>
                <w:rFonts w:ascii="Times New Roman" w:hAnsi="Times New Roman" w:eastAsia="Times New Roman" w:cs="Times New Roman"/>
                <w:spacing w:val="-1"/>
              </w:rPr>
              <w:t>1.1-4</w:t>
            </w:r>
            <w:r>
              <w:rPr>
                <w:spacing w:val="-1"/>
              </w:rPr>
              <w:t>。</w:t>
            </w:r>
          </w:p>
          <w:p>
            <w:pPr>
              <w:pStyle w:val="TableText"/>
              <w:ind w:left="893"/>
              <w:spacing w:before="135" w:line="219" w:lineRule="auto"/>
              <w:rPr/>
            </w:pPr>
            <w:r>
              <w:rPr>
                <w14:textOutline w14:w="4358" w14:cap="sq" w14:cmpd="sng">
                  <w14:solidFill>
                    <w14:srgbClr w14:val="000000"/>
                  </w14:solidFill>
                  <w14:prstDash w14:val="solid"/>
                  <w14:bevel/>
                </w14:textOutline>
              </w:rPr>
              <w:t>表</w:t>
            </w:r>
            <w:r>
              <w:rPr>
                <w:rFonts w:ascii="Times New Roman" w:hAnsi="Times New Roman" w:eastAsia="Times New Roman" w:cs="Times New Roman"/>
                <w:b/>
                <w:bCs/>
              </w:rPr>
              <w:t>1.1-4  </w:t>
            </w:r>
            <w:r>
              <w:rPr>
                <w14:textOutline w14:w="4358" w14:cap="sq" w14:cmpd="sng">
                  <w14:solidFill>
                    <w14:srgbClr w14:val="000000"/>
                  </w14:solidFill>
                  <w14:prstDash w14:val="solid"/>
                  <w14:bevel/>
                </w14:textOutline>
              </w:rPr>
              <w:t>与新疆维吾尔自治区大气污染防治条例符合性分析</w:t>
            </w:r>
          </w:p>
          <w:tbl>
            <w:tblPr>
              <w:tblStyle w:val="TableNormal"/>
              <w:tblW w:w="7509" w:type="dxa"/>
              <w:tblInd w:w="10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40"/>
              <w:gridCol w:w="3121"/>
              <w:gridCol w:w="2844"/>
              <w:gridCol w:w="904"/>
            </w:tblGrid>
            <w:tr>
              <w:trPr>
                <w:trHeight w:val="328" w:hRule="atLeast"/>
              </w:trPr>
              <w:tc>
                <w:tcPr>
                  <w:tcW w:w="640" w:type="dxa"/>
                  <w:vAlign w:val="top"/>
                  <w:tcBorders>
                    <w:left w:val="nil"/>
                    <w:top w:val="single" w:color="000000" w:sz="10" w:space="0"/>
                  </w:tcBorders>
                </w:tcPr>
                <w:p>
                  <w:pPr>
                    <w:pStyle w:val="TableText"/>
                    <w:ind w:left="116"/>
                    <w:spacing w:before="80" w:line="219" w:lineRule="auto"/>
                    <w:rPr>
                      <w:sz w:val="20"/>
                      <w:szCs w:val="20"/>
                    </w:rPr>
                  </w:pPr>
                  <w:r>
                    <w:rPr>
                      <w:sz w:val="20"/>
                      <w:szCs w:val="20"/>
                      <w:spacing w:val="5"/>
                    </w:rPr>
                    <w:t>序号</w:t>
                  </w:r>
                </w:p>
              </w:tc>
              <w:tc>
                <w:tcPr>
                  <w:tcW w:w="3121" w:type="dxa"/>
                  <w:vAlign w:val="top"/>
                  <w:tcBorders>
                    <w:top w:val="single" w:color="000000" w:sz="10" w:space="0"/>
                  </w:tcBorders>
                </w:tcPr>
                <w:p>
                  <w:pPr>
                    <w:pStyle w:val="TableText"/>
                    <w:ind w:left="1147"/>
                    <w:spacing w:before="80" w:line="219" w:lineRule="auto"/>
                    <w:rPr>
                      <w:sz w:val="20"/>
                      <w:szCs w:val="20"/>
                    </w:rPr>
                  </w:pPr>
                  <w:r>
                    <w:rPr>
                      <w:sz w:val="20"/>
                      <w:szCs w:val="20"/>
                      <w:spacing w:val="6"/>
                    </w:rPr>
                    <w:t>文件要求</w:t>
                  </w:r>
                </w:p>
              </w:tc>
              <w:tc>
                <w:tcPr>
                  <w:tcW w:w="2844" w:type="dxa"/>
                  <w:vAlign w:val="top"/>
                  <w:tcBorders>
                    <w:top w:val="single" w:color="000000" w:sz="10" w:space="0"/>
                  </w:tcBorders>
                </w:tcPr>
                <w:p>
                  <w:pPr>
                    <w:pStyle w:val="TableText"/>
                    <w:ind w:left="694"/>
                    <w:spacing w:before="80" w:line="219" w:lineRule="auto"/>
                    <w:rPr>
                      <w:sz w:val="20"/>
                      <w:szCs w:val="20"/>
                    </w:rPr>
                  </w:pPr>
                  <w:r>
                    <w:rPr>
                      <w:sz w:val="20"/>
                      <w:szCs w:val="20"/>
                      <w:spacing w:val="8"/>
                    </w:rPr>
                    <w:t>本项目工程概况</w:t>
                  </w:r>
                </w:p>
              </w:tc>
              <w:tc>
                <w:tcPr>
                  <w:tcW w:w="904" w:type="dxa"/>
                  <w:vAlign w:val="top"/>
                  <w:tcBorders>
                    <w:right w:val="nil"/>
                    <w:top w:val="single" w:color="000000" w:sz="10" w:space="0"/>
                  </w:tcBorders>
                </w:tcPr>
                <w:p>
                  <w:pPr>
                    <w:pStyle w:val="TableText"/>
                    <w:ind w:left="145"/>
                    <w:spacing w:before="80" w:line="219" w:lineRule="auto"/>
                    <w:rPr>
                      <w:sz w:val="20"/>
                      <w:szCs w:val="20"/>
                    </w:rPr>
                  </w:pPr>
                  <w:r>
                    <w:rPr>
                      <w:sz w:val="20"/>
                      <w:szCs w:val="20"/>
                      <w:spacing w:val="6"/>
                    </w:rPr>
                    <w:t>符合性</w:t>
                  </w:r>
                </w:p>
              </w:tc>
            </w:tr>
            <w:tr>
              <w:trPr>
                <w:trHeight w:val="2234" w:hRule="atLeast"/>
              </w:trPr>
              <w:tc>
                <w:tcPr>
                  <w:tcW w:w="640" w:type="dxa"/>
                  <w:vAlign w:val="top"/>
                  <w:tcBorders>
                    <w:left w:val="nil"/>
                  </w:tcBorders>
                </w:tcPr>
                <w:p>
                  <w:pPr>
                    <w:ind w:left="292"/>
                    <w:spacing w:before="1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121" w:type="dxa"/>
                  <w:vAlign w:val="top"/>
                </w:tcPr>
                <w:p>
                  <w:pPr>
                    <w:pStyle w:val="TableText"/>
                    <w:ind w:left="202"/>
                    <w:spacing w:before="78" w:line="228" w:lineRule="auto"/>
                    <w:rPr>
                      <w:sz w:val="20"/>
                      <w:szCs w:val="20"/>
                    </w:rPr>
                  </w:pPr>
                  <w:r>
                    <w:rPr>
                      <w:sz w:val="20"/>
                      <w:szCs w:val="20"/>
                      <w:spacing w:val="9"/>
                    </w:rPr>
                    <w:t>禁止在自治区行政区域内引进</w:t>
                  </w:r>
                </w:p>
                <w:p>
                  <w:pPr>
                    <w:pStyle w:val="TableText"/>
                    <w:ind w:left="121"/>
                    <w:spacing w:before="72" w:line="228" w:lineRule="auto"/>
                    <w:rPr>
                      <w:sz w:val="20"/>
                      <w:szCs w:val="20"/>
                    </w:rPr>
                  </w:pPr>
                  <w:r>
                    <w:rPr>
                      <w:sz w:val="20"/>
                      <w:szCs w:val="20"/>
                      <w:spacing w:val="6"/>
                    </w:rPr>
                    <w:t>能（水）耗不符合相关国家标准</w:t>
                  </w:r>
                </w:p>
                <w:p>
                  <w:pPr>
                    <w:pStyle w:val="TableText"/>
                    <w:ind w:left="222"/>
                    <w:spacing w:before="72" w:line="228" w:lineRule="auto"/>
                    <w:rPr>
                      <w:sz w:val="20"/>
                      <w:szCs w:val="20"/>
                    </w:rPr>
                  </w:pPr>
                  <w:r>
                    <w:rPr>
                      <w:sz w:val="20"/>
                      <w:szCs w:val="20"/>
                      <w:spacing w:val="7"/>
                    </w:rPr>
                    <w:t>中准入值要求且污染物排放和</w:t>
                  </w:r>
                </w:p>
                <w:p>
                  <w:pPr>
                    <w:pStyle w:val="TableText"/>
                    <w:ind w:left="202"/>
                    <w:spacing w:before="74" w:line="228" w:lineRule="auto"/>
                    <w:rPr>
                      <w:sz w:val="20"/>
                      <w:szCs w:val="20"/>
                    </w:rPr>
                  </w:pPr>
                  <w:r>
                    <w:rPr>
                      <w:sz w:val="20"/>
                      <w:szCs w:val="20"/>
                      <w:spacing w:val="9"/>
                    </w:rPr>
                    <w:t>环境风险防控不符合国家（地</w:t>
                  </w:r>
                </w:p>
                <w:p>
                  <w:pPr>
                    <w:pStyle w:val="TableText"/>
                    <w:ind w:left="114"/>
                    <w:spacing w:before="72" w:line="228" w:lineRule="auto"/>
                    <w:rPr>
                      <w:sz w:val="20"/>
                      <w:szCs w:val="20"/>
                    </w:rPr>
                  </w:pPr>
                  <w:r>
                    <w:rPr>
                      <w:sz w:val="20"/>
                      <w:szCs w:val="20"/>
                      <w:spacing w:val="6"/>
                    </w:rPr>
                    <w:t>方）标准及有关产业准入条件的</w:t>
                  </w:r>
                </w:p>
                <w:p>
                  <w:pPr>
                    <w:pStyle w:val="TableText"/>
                    <w:ind w:right="9"/>
                    <w:spacing w:before="72" w:line="228" w:lineRule="auto"/>
                    <w:jc w:val="right"/>
                    <w:rPr>
                      <w:sz w:val="20"/>
                      <w:szCs w:val="20"/>
                    </w:rPr>
                  </w:pPr>
                  <w:r>
                    <w:rPr>
                      <w:sz w:val="20"/>
                      <w:szCs w:val="20"/>
                      <w:spacing w:val="-1"/>
                    </w:rPr>
                    <w:t>高污染（排放）、高能（水）耗、</w:t>
                  </w:r>
                </w:p>
                <w:p>
                  <w:pPr>
                    <w:pStyle w:val="TableText"/>
                    <w:ind w:left="416"/>
                    <w:spacing w:before="74" w:line="208" w:lineRule="auto"/>
                    <w:rPr>
                      <w:sz w:val="20"/>
                      <w:szCs w:val="20"/>
                    </w:rPr>
                  </w:pPr>
                  <w:r>
                    <w:rPr>
                      <w:sz w:val="20"/>
                      <w:szCs w:val="20"/>
                      <w:spacing w:val="7"/>
                    </w:rPr>
                    <w:t>高环境风险的工业项目。</w:t>
                  </w:r>
                </w:p>
              </w:tc>
              <w:tc>
                <w:tcPr>
                  <w:tcW w:w="2844" w:type="dxa"/>
                  <w:vAlign w:val="top"/>
                </w:tcPr>
                <w:p>
                  <w:pPr>
                    <w:pStyle w:val="TableText"/>
                    <w:ind w:left="115" w:right="106" w:firstLine="56"/>
                    <w:spacing w:before="80" w:line="272" w:lineRule="auto"/>
                    <w:jc w:val="both"/>
                    <w:rPr>
                      <w:sz w:val="20"/>
                      <w:szCs w:val="20"/>
                    </w:rPr>
                  </w:pPr>
                  <w:r>
                    <w:rPr>
                      <w:sz w:val="20"/>
                      <w:szCs w:val="20"/>
                      <w:spacing w:val="8"/>
                    </w:rPr>
                    <w:t>项目用电由市政电网接入供</w:t>
                  </w:r>
                  <w:r>
                    <w:rPr>
                      <w:sz w:val="20"/>
                      <w:szCs w:val="20"/>
                      <w:spacing w:val="9"/>
                    </w:rPr>
                    <w:t xml:space="preserve"> </w:t>
                  </w:r>
                  <w:r>
                    <w:rPr>
                      <w:sz w:val="20"/>
                      <w:szCs w:val="20"/>
                      <w:spacing w:val="13"/>
                    </w:rPr>
                    <w:t>应；项目不属于高污染（排</w:t>
                  </w:r>
                  <w:r>
                    <w:rPr>
                      <w:sz w:val="20"/>
                      <w:szCs w:val="20"/>
                      <w:spacing w:val="5"/>
                    </w:rPr>
                    <w:t xml:space="preserve"> </w:t>
                  </w:r>
                  <w:r>
                    <w:rPr>
                      <w:sz w:val="20"/>
                      <w:szCs w:val="20"/>
                      <w:spacing w:val="1"/>
                    </w:rPr>
                    <w:t>放）、高能（水）耗、高环境</w:t>
                  </w:r>
                </w:p>
                <w:p>
                  <w:pPr>
                    <w:pStyle w:val="TableText"/>
                    <w:ind w:left="588"/>
                    <w:spacing w:before="75" w:line="228" w:lineRule="auto"/>
                    <w:rPr>
                      <w:sz w:val="20"/>
                      <w:szCs w:val="20"/>
                    </w:rPr>
                  </w:pPr>
                  <w:r>
                    <w:rPr>
                      <w:sz w:val="20"/>
                      <w:szCs w:val="20"/>
                      <w:spacing w:val="7"/>
                    </w:rPr>
                    <w:t>风险的工业项目。</w:t>
                  </w:r>
                </w:p>
              </w:tc>
              <w:tc>
                <w:tcPr>
                  <w:tcW w:w="904" w:type="dxa"/>
                  <w:vAlign w:val="top"/>
                  <w:tcBorders>
                    <w:right w:val="nil"/>
                  </w:tcBorders>
                </w:tcPr>
                <w:p>
                  <w:pPr>
                    <w:pStyle w:val="TableText"/>
                    <w:ind w:left="251"/>
                    <w:spacing w:before="78" w:line="228" w:lineRule="auto"/>
                    <w:rPr>
                      <w:sz w:val="20"/>
                      <w:szCs w:val="20"/>
                    </w:rPr>
                  </w:pPr>
                  <w:r>
                    <w:rPr>
                      <w:sz w:val="20"/>
                      <w:szCs w:val="20"/>
                      <w:spacing w:val="3"/>
                    </w:rPr>
                    <w:t>符合</w:t>
                  </w:r>
                </w:p>
              </w:tc>
            </w:tr>
            <w:tr>
              <w:trPr>
                <w:trHeight w:val="1279" w:hRule="atLeast"/>
              </w:trPr>
              <w:tc>
                <w:tcPr>
                  <w:tcW w:w="640" w:type="dxa"/>
                  <w:vAlign w:val="top"/>
                  <w:tcBorders>
                    <w:left w:val="nil"/>
                  </w:tcBorders>
                </w:tcPr>
                <w:p>
                  <w:pPr>
                    <w:ind w:left="272"/>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121" w:type="dxa"/>
                  <w:vAlign w:val="top"/>
                </w:tcPr>
                <w:p>
                  <w:pPr>
                    <w:pStyle w:val="TableText"/>
                    <w:ind w:left="113" w:right="106"/>
                    <w:spacing w:before="89" w:line="273" w:lineRule="auto"/>
                    <w:jc w:val="both"/>
                    <w:rPr>
                      <w:sz w:val="20"/>
                      <w:szCs w:val="20"/>
                    </w:rPr>
                  </w:pPr>
                  <w:r>
                    <w:rPr>
                      <w:sz w:val="20"/>
                      <w:szCs w:val="20"/>
                      <w:spacing w:val="6"/>
                    </w:rPr>
                    <w:t>禁止新建、改建、扩建列入淘汰</w:t>
                  </w:r>
                  <w:r>
                    <w:rPr>
                      <w:sz w:val="20"/>
                      <w:szCs w:val="20"/>
                      <w:spacing w:val="11"/>
                    </w:rPr>
                    <w:t xml:space="preserve"> </w:t>
                  </w:r>
                  <w:r>
                    <w:rPr>
                      <w:sz w:val="20"/>
                      <w:szCs w:val="20"/>
                      <w:spacing w:val="6"/>
                    </w:rPr>
                    <w:t>类目录的高污染工业项目。禁止</w:t>
                  </w:r>
                  <w:r>
                    <w:rPr>
                      <w:sz w:val="20"/>
                      <w:szCs w:val="20"/>
                      <w:spacing w:val="11"/>
                    </w:rPr>
                    <w:t xml:space="preserve"> </w:t>
                  </w:r>
                  <w:r>
                    <w:rPr>
                      <w:sz w:val="20"/>
                      <w:szCs w:val="20"/>
                      <w:spacing w:val="6"/>
                    </w:rPr>
                    <w:t>使用列入淘汰类目录的工艺、设</w:t>
                  </w:r>
                </w:p>
                <w:p>
                  <w:pPr>
                    <w:pStyle w:val="TableText"/>
                    <w:ind w:left="1044"/>
                    <w:spacing w:before="72" w:line="203" w:lineRule="auto"/>
                    <w:rPr>
                      <w:sz w:val="20"/>
                      <w:szCs w:val="20"/>
                    </w:rPr>
                  </w:pPr>
                  <w:r>
                    <w:rPr>
                      <w:sz w:val="20"/>
                      <w:szCs w:val="20"/>
                      <w:spacing w:val="5"/>
                    </w:rPr>
                    <w:t>备、产品。</w:t>
                  </w:r>
                </w:p>
              </w:tc>
              <w:tc>
                <w:tcPr>
                  <w:tcW w:w="2844" w:type="dxa"/>
                  <w:vAlign w:val="top"/>
                </w:tcPr>
                <w:p>
                  <w:pPr>
                    <w:pStyle w:val="TableText"/>
                    <w:ind w:left="118"/>
                    <w:spacing w:before="88" w:line="228" w:lineRule="auto"/>
                    <w:rPr>
                      <w:sz w:val="20"/>
                      <w:szCs w:val="20"/>
                    </w:rPr>
                  </w:pPr>
                  <w:r>
                    <w:rPr>
                      <w:sz w:val="20"/>
                      <w:szCs w:val="20"/>
                      <w:spacing w:val="1"/>
                    </w:rPr>
                    <w:t>项目属于允许类项目，不属于</w:t>
                  </w:r>
                </w:p>
                <w:p>
                  <w:pPr>
                    <w:pStyle w:val="TableText"/>
                    <w:ind w:left="592" w:right="106" w:hanging="476"/>
                    <w:spacing w:before="75" w:line="261" w:lineRule="auto"/>
                    <w:rPr>
                      <w:sz w:val="20"/>
                      <w:szCs w:val="20"/>
                    </w:rPr>
                  </w:pPr>
                  <w:r>
                    <w:rPr>
                      <w:sz w:val="20"/>
                      <w:szCs w:val="20"/>
                      <w:spacing w:val="1"/>
                    </w:rPr>
                    <w:t>淘汰类项目，不使用淘汰类工 </w:t>
                  </w:r>
                  <w:r>
                    <w:rPr>
                      <w:sz w:val="20"/>
                      <w:szCs w:val="20"/>
                      <w:spacing w:val="6"/>
                    </w:rPr>
                    <w:t>艺、设备、产品。</w:t>
                  </w:r>
                </w:p>
              </w:tc>
              <w:tc>
                <w:tcPr>
                  <w:tcW w:w="904" w:type="dxa"/>
                  <w:vAlign w:val="top"/>
                  <w:tcBorders>
                    <w:right w:val="nil"/>
                  </w:tcBorders>
                </w:tcPr>
                <w:p>
                  <w:pPr>
                    <w:pStyle w:val="TableText"/>
                    <w:ind w:left="251"/>
                    <w:spacing w:before="88" w:line="228" w:lineRule="auto"/>
                    <w:rPr>
                      <w:sz w:val="20"/>
                      <w:szCs w:val="20"/>
                    </w:rPr>
                  </w:pPr>
                  <w:r>
                    <w:rPr>
                      <w:sz w:val="20"/>
                      <w:szCs w:val="20"/>
                      <w:spacing w:val="3"/>
                    </w:rPr>
                    <w:t>符合</w:t>
                  </w:r>
                </w:p>
              </w:tc>
            </w:tr>
            <w:tr>
              <w:trPr>
                <w:trHeight w:val="1302" w:hRule="atLeast"/>
              </w:trPr>
              <w:tc>
                <w:tcPr>
                  <w:tcW w:w="640" w:type="dxa"/>
                  <w:vAlign w:val="top"/>
                  <w:tcBorders>
                    <w:left w:val="nil"/>
                    <w:bottom w:val="single" w:color="000000" w:sz="10" w:space="0"/>
                  </w:tcBorders>
                </w:tcPr>
                <w:p>
                  <w:pPr>
                    <w:ind w:left="276"/>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121" w:type="dxa"/>
                  <w:vAlign w:val="top"/>
                  <w:tcBorders>
                    <w:bottom w:val="single" w:color="000000" w:sz="10" w:space="0"/>
                  </w:tcBorders>
                </w:tcPr>
                <w:p>
                  <w:pPr>
                    <w:pStyle w:val="TableText"/>
                    <w:ind w:left="112" w:right="106" w:firstLine="90"/>
                    <w:spacing w:before="96" w:line="272" w:lineRule="auto"/>
                    <w:jc w:val="both"/>
                    <w:rPr>
                      <w:sz w:val="20"/>
                      <w:szCs w:val="20"/>
                    </w:rPr>
                  </w:pPr>
                  <w:r>
                    <w:rPr>
                      <w:sz w:val="20"/>
                      <w:szCs w:val="20"/>
                      <w:spacing w:val="9"/>
                    </w:rPr>
                    <w:t>县级以上人民政府应当鼓励产</w:t>
                  </w:r>
                  <w:r>
                    <w:rPr>
                      <w:sz w:val="20"/>
                      <w:szCs w:val="20"/>
                    </w:rPr>
                    <w:t xml:space="preserve">  </w:t>
                  </w:r>
                  <w:r>
                    <w:rPr>
                      <w:sz w:val="20"/>
                      <w:szCs w:val="20"/>
                      <w:spacing w:val="6"/>
                    </w:rPr>
                    <w:t>业集聚发展，按照主体功能区划</w:t>
                  </w:r>
                  <w:r>
                    <w:rPr>
                      <w:sz w:val="20"/>
                      <w:szCs w:val="20"/>
                      <w:spacing w:val="11"/>
                    </w:rPr>
                    <w:t xml:space="preserve"> </w:t>
                  </w:r>
                  <w:r>
                    <w:rPr>
                      <w:sz w:val="20"/>
                      <w:szCs w:val="20"/>
                      <w:spacing w:val="6"/>
                    </w:rPr>
                    <w:t>合理规划工业园区的布局，引导</w:t>
                  </w:r>
                </w:p>
                <w:p>
                  <w:pPr>
                    <w:pStyle w:val="TableText"/>
                    <w:ind w:left="413"/>
                    <w:spacing w:before="75" w:line="218" w:lineRule="auto"/>
                    <w:rPr>
                      <w:sz w:val="20"/>
                      <w:szCs w:val="20"/>
                    </w:rPr>
                  </w:pPr>
                  <w:r>
                    <w:rPr>
                      <w:sz w:val="20"/>
                      <w:szCs w:val="20"/>
                      <w:spacing w:val="7"/>
                    </w:rPr>
                    <w:t>工业企业入驻工业园区。</w:t>
                  </w:r>
                </w:p>
              </w:tc>
              <w:tc>
                <w:tcPr>
                  <w:tcW w:w="2844" w:type="dxa"/>
                  <w:vAlign w:val="top"/>
                  <w:tcBorders>
                    <w:bottom w:val="single" w:color="000000" w:sz="10" w:space="0"/>
                  </w:tcBorders>
                </w:tcPr>
                <w:p>
                  <w:pPr>
                    <w:pStyle w:val="TableText"/>
                    <w:ind w:left="167" w:right="106" w:hanging="49"/>
                    <w:spacing w:before="95" w:line="261" w:lineRule="auto"/>
                    <w:rPr>
                      <w:sz w:val="20"/>
                      <w:szCs w:val="20"/>
                    </w:rPr>
                  </w:pPr>
                  <w:r>
                    <w:rPr>
                      <w:sz w:val="20"/>
                      <w:szCs w:val="20"/>
                      <w:spacing w:val="1"/>
                    </w:rPr>
                    <w:t>项目位于呼图壁县，符合当地</w:t>
                  </w:r>
                  <w:r>
                    <w:rPr>
                      <w:sz w:val="20"/>
                      <w:szCs w:val="20"/>
                    </w:rPr>
                    <w:t xml:space="preserve"> </w:t>
                  </w:r>
                  <w:r>
                    <w:rPr>
                      <w:sz w:val="20"/>
                      <w:szCs w:val="20"/>
                      <w:spacing w:val="8"/>
                    </w:rPr>
                    <w:t>产业布局、符合用地类型。</w:t>
                  </w:r>
                </w:p>
              </w:tc>
              <w:tc>
                <w:tcPr>
                  <w:tcW w:w="904" w:type="dxa"/>
                  <w:vAlign w:val="top"/>
                  <w:tcBorders>
                    <w:right w:val="nil"/>
                    <w:bottom w:val="single" w:color="000000" w:sz="10" w:space="0"/>
                  </w:tcBorders>
                </w:tcPr>
                <w:p>
                  <w:pPr>
                    <w:pStyle w:val="TableText"/>
                    <w:ind w:left="251"/>
                    <w:spacing w:before="95" w:line="228" w:lineRule="auto"/>
                    <w:rPr>
                      <w:sz w:val="20"/>
                      <w:szCs w:val="20"/>
                    </w:rPr>
                  </w:pPr>
                  <w:r>
                    <w:rPr>
                      <w:sz w:val="20"/>
                      <w:szCs w:val="20"/>
                      <w:spacing w:val="3"/>
                    </w:rPr>
                    <w:t>符合</w:t>
                  </w:r>
                </w:p>
              </w:tc>
            </w:tr>
          </w:tbl>
          <w:p>
            <w:pPr>
              <w:pStyle w:val="TableText"/>
              <w:ind w:left="604"/>
              <w:spacing w:before="197" w:line="499" w:lineRule="exact"/>
              <w:rPr/>
            </w:pPr>
            <w:r>
              <w:rPr>
                <w:position w:val="19"/>
              </w:rPr>
              <w:t>（</w:t>
            </w:r>
            <w:r>
              <w:rPr>
                <w:rFonts w:ascii="Times New Roman" w:hAnsi="Times New Roman" w:eastAsia="Times New Roman" w:cs="Times New Roman"/>
                <w:position w:val="19"/>
              </w:rPr>
              <w:t>6</w:t>
            </w:r>
            <w:r>
              <w:rPr>
                <w:position w:val="19"/>
              </w:rPr>
              <w:t>）与《新疆维吾尔自治区生态环境保护</w:t>
            </w:r>
            <w:r>
              <w:rPr>
                <w:spacing w:val="-1"/>
                <w:position w:val="19"/>
              </w:rPr>
              <w:t>“十四五</w:t>
            </w:r>
            <w:r>
              <w:rPr>
                <w:spacing w:val="-86"/>
                <w:position w:val="19"/>
              </w:rPr>
              <w:t xml:space="preserve"> </w:t>
            </w:r>
            <w:r>
              <w:rPr>
                <w:spacing w:val="-1"/>
                <w:position w:val="19"/>
              </w:rPr>
              <w:t>”规划》符合性</w:t>
            </w:r>
          </w:p>
          <w:p>
            <w:pPr>
              <w:pStyle w:val="TableText"/>
              <w:ind w:left="115"/>
              <w:spacing w:line="220" w:lineRule="auto"/>
              <w:rPr/>
            </w:pPr>
            <w:r>
              <w:rPr>
                <w:spacing w:val="-7"/>
              </w:rPr>
              <w:t>分析</w:t>
            </w:r>
          </w:p>
          <w:p>
            <w:pPr>
              <w:pStyle w:val="TableText"/>
              <w:ind w:left="113" w:right="106" w:firstLine="467"/>
              <w:spacing w:before="211" w:line="385" w:lineRule="auto"/>
              <w:rPr/>
            </w:pPr>
            <w:r>
              <w:rPr>
                <w:spacing w:val="-4"/>
              </w:rPr>
              <w:t>“十四五</w:t>
            </w:r>
            <w:r>
              <w:rPr>
                <w:spacing w:val="-71"/>
              </w:rPr>
              <w:t xml:space="preserve"> </w:t>
            </w:r>
            <w:r>
              <w:rPr>
                <w:spacing w:val="-4"/>
              </w:rPr>
              <w:t>”规划指出“实施重点行业氮氧化物等污染物深度治理。持</w:t>
            </w:r>
            <w:r>
              <w:rPr/>
              <w:t xml:space="preserve"> </w:t>
            </w:r>
            <w:r>
              <w:rPr>
                <w:spacing w:val="-3"/>
              </w:rPr>
              <w:t>续推进钢铁、水泥、焦化行业超低排放改造。推进玻璃、陶瓷、铸造、铁</w:t>
            </w:r>
            <w:r>
              <w:rPr>
                <w:spacing w:val="10"/>
              </w:rPr>
              <w:t xml:space="preserve"> </w:t>
            </w:r>
            <w:r>
              <w:rPr>
                <w:spacing w:val="-3"/>
              </w:rPr>
              <w:t>合金、有色、煤化和石化等行业采取清洁生产、提标改造、深度治理等综</w:t>
            </w:r>
            <w:r>
              <w:rPr>
                <w:spacing w:val="12"/>
              </w:rPr>
              <w:t xml:space="preserve"> </w:t>
            </w:r>
            <w:r>
              <w:rPr>
                <w:spacing w:val="-3"/>
              </w:rPr>
              <w:t>合措施。加强自备燃煤机组污染治理设施运行管控，确保按照超低排放标</w:t>
            </w:r>
            <w:r>
              <w:rPr>
                <w:spacing w:val="12"/>
              </w:rPr>
              <w:t xml:space="preserve"> </w:t>
            </w:r>
            <w:r>
              <w:rPr>
                <w:spacing w:val="-3"/>
              </w:rPr>
              <w:t>准运行。针对铸造、铁合金、焦化、水泥、砖瓦、石灰、耐火材料、金属</w:t>
            </w:r>
            <w:r>
              <w:rPr>
                <w:spacing w:val="12"/>
              </w:rPr>
              <w:t xml:space="preserve"> </w:t>
            </w:r>
            <w:r>
              <w:rPr>
                <w:spacing w:val="-3"/>
              </w:rPr>
              <w:t>冶炼以及煤化工、石油化工等行业，严格控制物料储存、输送及生产工艺</w:t>
            </w:r>
            <w:r>
              <w:rPr>
                <w:spacing w:val="12"/>
              </w:rPr>
              <w:t xml:space="preserve"> </w:t>
            </w:r>
            <w:r>
              <w:rPr>
                <w:spacing w:val="-3"/>
              </w:rPr>
              <w:t>过程无组织排放。重点涉气排放企业逐步取消烟气旁路，因安全生产无法</w:t>
            </w:r>
          </w:p>
          <w:p>
            <w:pPr>
              <w:pStyle w:val="TableText"/>
              <w:ind w:left="115"/>
              <w:spacing w:line="220" w:lineRule="auto"/>
              <w:rPr/>
            </w:pPr>
            <w:r>
              <w:rPr>
                <w:spacing w:val="-1"/>
              </w:rPr>
              <w:t>取消的，安装在线监控系统</w:t>
            </w:r>
            <w:r>
              <w:rPr>
                <w:spacing w:val="-87"/>
              </w:rPr>
              <w:t xml:space="preserve"> </w:t>
            </w:r>
            <w:r>
              <w:rPr>
                <w:spacing w:val="-1"/>
              </w:rPr>
              <w:t>”。</w:t>
            </w:r>
          </w:p>
          <w:p>
            <w:pPr>
              <w:pStyle w:val="TableText"/>
              <w:ind w:left="593"/>
              <w:spacing w:before="213" w:line="219" w:lineRule="auto"/>
              <w:rPr/>
            </w:pPr>
            <w:r>
              <w:rPr>
                <w:spacing w:val="-3"/>
              </w:rPr>
              <w:t>本项目严格控制物料储存、输送及生产工艺过程无组织排放，生产过</w:t>
            </w:r>
          </w:p>
        </w:tc>
      </w:tr>
    </w:tbl>
    <w:p>
      <w:pPr>
        <w:pStyle w:val="BodyText"/>
        <w:rPr/>
      </w:pPr>
      <w:r/>
    </w:p>
    <w:p>
      <w:pPr>
        <w:sectPr>
          <w:footerReference w:type="default" r:id="rId146"/>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3"/>
        <w:gridCol w:w="7823"/>
      </w:tblGrid>
      <w:tr>
        <w:trPr>
          <w:trHeight w:val="13722" w:hRule="atLeast"/>
        </w:trPr>
        <w:tc>
          <w:tcPr>
            <w:tcW w:w="703" w:type="dxa"/>
            <w:vAlign w:val="top"/>
          </w:tcPr>
          <w:p>
            <w:pPr>
              <w:rPr>
                <w:rFonts w:ascii="Arial"/>
                <w:sz w:val="21"/>
              </w:rPr>
            </w:pPr>
            <w:r/>
          </w:p>
        </w:tc>
        <w:tc>
          <w:tcPr>
            <w:tcW w:w="7823" w:type="dxa"/>
            <w:vAlign w:val="top"/>
          </w:tcPr>
          <w:p>
            <w:pPr>
              <w:pStyle w:val="TableText"/>
              <w:ind w:left="112" w:right="106" w:hanging="1"/>
              <w:spacing w:before="200" w:line="384" w:lineRule="auto"/>
              <w:jc w:val="both"/>
              <w:rPr/>
            </w:pPr>
            <w:r>
              <w:rPr>
                <w:spacing w:val="-2"/>
              </w:rPr>
              <w:t>程中产生挥发性有机废气，采用活性炭吸附</w:t>
            </w:r>
            <w:r>
              <w:rPr>
                <w:rFonts w:ascii="Times New Roman" w:hAnsi="Times New Roman" w:eastAsia="Times New Roman" w:cs="Times New Roman"/>
                <w:spacing w:val="-2"/>
              </w:rPr>
              <w:t>+</w:t>
            </w:r>
            <w:r>
              <w:rPr>
                <w:spacing w:val="-2"/>
              </w:rPr>
              <w:t>直接催化燃烧法（</w:t>
            </w:r>
            <w:r>
              <w:rPr>
                <w:rFonts w:ascii="Times New Roman" w:hAnsi="Times New Roman" w:eastAsia="Times New Roman" w:cs="Times New Roman"/>
                <w:spacing w:val="-3"/>
              </w:rPr>
              <w:t>CO</w:t>
            </w:r>
            <w:r>
              <w:rPr>
                <w:spacing w:val="-3"/>
              </w:rPr>
              <w:t>）处理</w:t>
            </w:r>
            <w:r>
              <w:rPr/>
              <w:t xml:space="preserve"> </w:t>
            </w:r>
            <w:r>
              <w:rPr>
                <w:spacing w:val="-3"/>
              </w:rPr>
              <w:t>技术，废气经处理后，可实现达标排放。符合《新疆维吾尔自治区生态环</w:t>
            </w:r>
          </w:p>
          <w:p>
            <w:pPr>
              <w:pStyle w:val="TableText"/>
              <w:ind w:left="113"/>
              <w:spacing w:line="220" w:lineRule="auto"/>
              <w:rPr/>
            </w:pPr>
            <w:r>
              <w:rPr>
                <w:spacing w:val="-3"/>
              </w:rPr>
              <w:t>境保护“十四五</w:t>
            </w:r>
            <w:r>
              <w:rPr>
                <w:spacing w:val="-81"/>
              </w:rPr>
              <w:t xml:space="preserve"> </w:t>
            </w:r>
            <w:r>
              <w:rPr>
                <w:spacing w:val="-3"/>
              </w:rPr>
              <w:t>”规划》的相关要求。</w:t>
            </w:r>
          </w:p>
          <w:p>
            <w:pPr>
              <w:pStyle w:val="TableText"/>
              <w:ind w:left="604"/>
              <w:spacing w:before="215" w:line="499" w:lineRule="exact"/>
              <w:rPr>
                <w:rFonts w:ascii="Times New Roman" w:hAnsi="Times New Roman" w:eastAsia="Times New Roman" w:cs="Times New Roman"/>
              </w:rPr>
            </w:pPr>
            <w:r>
              <w:rPr>
                <w:spacing w:val="3"/>
                <w:position w:val="20"/>
              </w:rPr>
              <w:t>（</w:t>
            </w:r>
            <w:r>
              <w:rPr>
                <w:rFonts w:ascii="Times New Roman" w:hAnsi="Times New Roman" w:eastAsia="Times New Roman" w:cs="Times New Roman"/>
                <w:spacing w:val="3"/>
                <w:position w:val="20"/>
              </w:rPr>
              <w:t>7</w:t>
            </w:r>
            <w:r>
              <w:rPr>
                <w:spacing w:val="3"/>
                <w:position w:val="20"/>
              </w:rPr>
              <w:t>）《新疆维吾尔自治区打赢蓝天保卫战三年行动计划</w:t>
            </w:r>
            <w:r>
              <w:rPr>
                <w:rFonts w:ascii="Times New Roman" w:hAnsi="Times New Roman" w:eastAsia="Times New Roman" w:cs="Times New Roman"/>
                <w:spacing w:val="3"/>
                <w:position w:val="20"/>
              </w:rPr>
              <w:t>(2018-20</w:t>
            </w:r>
            <w:r>
              <w:rPr>
                <w:rFonts w:ascii="Times New Roman" w:hAnsi="Times New Roman" w:eastAsia="Times New Roman" w:cs="Times New Roman"/>
                <w:spacing w:val="2"/>
                <w:position w:val="20"/>
              </w:rPr>
              <w:t>20</w:t>
            </w:r>
          </w:p>
          <w:p>
            <w:pPr>
              <w:pStyle w:val="TableText"/>
              <w:ind w:left="113"/>
              <w:spacing w:line="212" w:lineRule="auto"/>
              <w:rPr/>
            </w:pPr>
            <w:r>
              <w:rPr>
                <w:spacing w:val="-2"/>
              </w:rPr>
              <w:t>年</w:t>
            </w:r>
            <w:r>
              <w:rPr>
                <w:rFonts w:ascii="Times New Roman" w:hAnsi="Times New Roman" w:eastAsia="Times New Roman" w:cs="Times New Roman"/>
                <w:spacing w:val="-2"/>
              </w:rPr>
              <w:t>)</w:t>
            </w:r>
            <w:r>
              <w:rPr>
                <w:spacing w:val="-2"/>
              </w:rPr>
              <w:t>》符合性分析</w:t>
            </w:r>
          </w:p>
          <w:p>
            <w:pPr>
              <w:pStyle w:val="TableText"/>
              <w:ind w:left="113" w:right="106" w:firstLine="485"/>
              <w:spacing w:before="221" w:line="385" w:lineRule="auto"/>
              <w:rPr/>
            </w:pPr>
            <w:r>
              <w:rPr>
                <w:spacing w:val="-1"/>
              </w:rPr>
              <w:t>《关于印发</w:t>
            </w:r>
            <w:r>
              <w:rPr>
                <w:rFonts w:ascii="Times New Roman" w:hAnsi="Times New Roman" w:eastAsia="Times New Roman" w:cs="Times New Roman"/>
                <w:spacing w:val="-1"/>
              </w:rPr>
              <w:t>&lt; </w:t>
            </w:r>
            <w:r>
              <w:rPr>
                <w:spacing w:val="-1"/>
              </w:rPr>
              <w:t>自治区打赢蓝天保卫战三年行动计划（</w:t>
            </w:r>
            <w:r>
              <w:rPr>
                <w:rFonts w:ascii="Times New Roman" w:hAnsi="Times New Roman" w:eastAsia="Times New Roman" w:cs="Times New Roman"/>
                <w:spacing w:val="-1"/>
              </w:rPr>
              <w:t>2018-2020</w:t>
            </w:r>
            <w:r>
              <w:rPr>
                <w:spacing w:val="-1"/>
              </w:rPr>
              <w:t>年）</w:t>
            </w:r>
            <w:r>
              <w:rPr>
                <w:rFonts w:ascii="Times New Roman" w:hAnsi="Times New Roman" w:eastAsia="Times New Roman" w:cs="Times New Roman"/>
                <w:spacing w:val="-1"/>
              </w:rPr>
              <w:t>&gt;</w:t>
            </w:r>
            <w:r>
              <w:rPr>
                <w:rFonts w:ascii="Times New Roman" w:hAnsi="Times New Roman" w:eastAsia="Times New Roman" w:cs="Times New Roman"/>
                <w:spacing w:val="15"/>
              </w:rPr>
              <w:t xml:space="preserve"> </w:t>
            </w:r>
            <w:r>
              <w:rPr>
                <w:spacing w:val="-3"/>
              </w:rPr>
              <w:t>的通知》中“加大燃煤小锅炉淘汰力度。县级及以上城市制定实施建成区</w:t>
            </w:r>
            <w:r>
              <w:rPr>
                <w:spacing w:val="12"/>
              </w:rPr>
              <w:t xml:space="preserve"> </w:t>
            </w:r>
            <w:r>
              <w:rPr>
                <w:spacing w:val="-5"/>
              </w:rPr>
              <w:t>燃煤锅炉淘汰计划</w:t>
            </w:r>
            <w:r>
              <w:rPr>
                <w:spacing w:val="-76"/>
              </w:rPr>
              <w:t xml:space="preserve"> </w:t>
            </w:r>
            <w:r>
              <w:rPr>
                <w:spacing w:val="-5"/>
              </w:rPr>
              <w:t>”，“加快清洁能源替代利用</w:t>
            </w:r>
            <w:r>
              <w:rPr>
                <w:spacing w:val="-88"/>
              </w:rPr>
              <w:t xml:space="preserve"> </w:t>
            </w:r>
            <w:r>
              <w:rPr>
                <w:spacing w:val="-5"/>
              </w:rPr>
              <w:t>”，“制定实施自治区清</w:t>
            </w:r>
            <w:r>
              <w:rPr/>
              <w:t xml:space="preserve"> </w:t>
            </w:r>
            <w:r>
              <w:rPr>
                <w:spacing w:val="-4"/>
              </w:rPr>
              <w:t>洁能源消纳行动计划，加大可再生能源消纳力度</w:t>
            </w:r>
            <w:r>
              <w:rPr>
                <w:spacing w:val="-78"/>
              </w:rPr>
              <w:t xml:space="preserve"> </w:t>
            </w:r>
            <w:r>
              <w:rPr>
                <w:spacing w:val="-4"/>
              </w:rPr>
              <w:t>”。本项目生产过程中使</w:t>
            </w:r>
            <w:r>
              <w:rPr/>
              <w:t xml:space="preserve"> </w:t>
            </w:r>
            <w:r>
              <w:rPr>
                <w:spacing w:val="6"/>
              </w:rPr>
              <w:t>用能源为电能。符合《关于印发</w:t>
            </w:r>
            <w:r>
              <w:rPr>
                <w:rFonts w:ascii="Times New Roman" w:hAnsi="Times New Roman" w:eastAsia="Times New Roman" w:cs="Times New Roman"/>
                <w:spacing w:val="6"/>
              </w:rPr>
              <w:t>&lt; </w:t>
            </w:r>
            <w:r>
              <w:rPr>
                <w:spacing w:val="6"/>
              </w:rPr>
              <w:t>自治区打赢蓝天保卫战三年行动计划</w:t>
            </w:r>
          </w:p>
          <w:p>
            <w:pPr>
              <w:pStyle w:val="TableText"/>
              <w:ind w:left="124"/>
              <w:spacing w:line="219" w:lineRule="auto"/>
              <w:rPr/>
            </w:pPr>
            <w:r>
              <w:rPr>
                <w:spacing w:val="-3"/>
              </w:rPr>
              <w:t>（</w:t>
            </w:r>
            <w:r>
              <w:rPr>
                <w:rFonts w:ascii="Times New Roman" w:hAnsi="Times New Roman" w:eastAsia="Times New Roman" w:cs="Times New Roman"/>
                <w:spacing w:val="-3"/>
              </w:rPr>
              <w:t>2018-2020</w:t>
            </w:r>
            <w:r>
              <w:rPr>
                <w:spacing w:val="-3"/>
              </w:rPr>
              <w:t>年）</w:t>
            </w:r>
            <w:r>
              <w:rPr>
                <w:rFonts w:ascii="Times New Roman" w:hAnsi="Times New Roman" w:eastAsia="Times New Roman" w:cs="Times New Roman"/>
                <w:spacing w:val="-3"/>
              </w:rPr>
              <w:t>&gt;</w:t>
            </w:r>
            <w:r>
              <w:rPr>
                <w:rFonts w:ascii="Times New Roman" w:hAnsi="Times New Roman" w:eastAsia="Times New Roman" w:cs="Times New Roman"/>
                <w:spacing w:val="-28"/>
              </w:rPr>
              <w:t xml:space="preserve"> </w:t>
            </w:r>
            <w:r>
              <w:rPr>
                <w:spacing w:val="-3"/>
              </w:rPr>
              <w:t>的通知》。</w:t>
            </w:r>
          </w:p>
          <w:p>
            <w:pPr>
              <w:pStyle w:val="TableText"/>
              <w:ind w:left="604"/>
              <w:spacing w:before="214" w:line="219" w:lineRule="auto"/>
              <w:rPr/>
            </w:pPr>
            <w:r>
              <w:rPr>
                <w:spacing w:val="-3"/>
              </w:rPr>
              <w:t>（</w:t>
            </w:r>
            <w:r>
              <w:rPr>
                <w:rFonts w:ascii="Times New Roman" w:hAnsi="Times New Roman" w:eastAsia="Times New Roman" w:cs="Times New Roman"/>
                <w:spacing w:val="-3"/>
              </w:rPr>
              <w:t>8</w:t>
            </w:r>
            <w:r>
              <w:rPr>
                <w:spacing w:val="-3"/>
              </w:rPr>
              <w:t>）选址符合性</w:t>
            </w:r>
          </w:p>
          <w:p>
            <w:pPr>
              <w:pStyle w:val="TableText"/>
              <w:ind w:left="593"/>
              <w:spacing w:before="217" w:line="499" w:lineRule="exact"/>
              <w:rPr/>
            </w:pPr>
            <w:r>
              <w:rPr>
                <w:spacing w:val="-3"/>
                <w:position w:val="19"/>
              </w:rPr>
              <w:t>本项目为扩建项目，土地类型为建设用地，土地用途为工业用地（见</w:t>
            </w:r>
          </w:p>
          <w:p>
            <w:pPr>
              <w:pStyle w:val="TableText"/>
              <w:ind w:left="131"/>
              <w:spacing w:before="1" w:line="218" w:lineRule="auto"/>
              <w:rPr/>
            </w:pPr>
            <w:r>
              <w:rPr>
                <w:spacing w:val="-8"/>
              </w:rPr>
              <w:t>附件）。</w:t>
            </w:r>
          </w:p>
          <w:p>
            <w:pPr>
              <w:pStyle w:val="TableText"/>
              <w:ind w:left="112" w:right="106" w:firstLine="480"/>
              <w:spacing w:before="214" w:line="385" w:lineRule="auto"/>
              <w:rPr/>
            </w:pPr>
            <w:r>
              <w:rPr>
                <w:spacing w:val="-1"/>
              </w:rPr>
              <w:t>本项目占地面积为</w:t>
            </w:r>
            <w:r>
              <w:rPr>
                <w:rFonts w:ascii="Times New Roman" w:hAnsi="Times New Roman" w:eastAsia="Times New Roman" w:cs="Times New Roman"/>
                <w:spacing w:val="-1"/>
              </w:rPr>
              <w:t>200</w:t>
            </w:r>
            <w:r>
              <w:rPr>
                <w:spacing w:val="-1"/>
              </w:rPr>
              <w:t>㎡</w:t>
            </w:r>
            <w:r>
              <w:rPr>
                <w:spacing w:val="-53"/>
              </w:rPr>
              <w:t xml:space="preserve"> </w:t>
            </w:r>
            <w:r>
              <w:rPr>
                <w:spacing w:val="-1"/>
              </w:rPr>
              <w:t>，位于企业附近无重点文物保护单位、风景</w:t>
            </w:r>
            <w:r>
              <w:rPr/>
              <w:t xml:space="preserve"> </w:t>
            </w:r>
            <w:r>
              <w:rPr>
                <w:spacing w:val="-3"/>
              </w:rPr>
              <w:t>名胜区、革命历史古迹、集中式水源地等环境敏感点。项目选址符合环境</w:t>
            </w:r>
            <w:r>
              <w:rPr>
                <w:spacing w:val="13"/>
              </w:rPr>
              <w:t xml:space="preserve"> </w:t>
            </w:r>
            <w:r>
              <w:rPr>
                <w:spacing w:val="-3"/>
              </w:rPr>
              <w:t>功能区划。所在地具有良好的区位优势，交通便捷、物流通畅、项目所在</w:t>
            </w:r>
            <w:r>
              <w:rPr>
                <w:spacing w:val="13"/>
              </w:rPr>
              <w:t xml:space="preserve"> </w:t>
            </w:r>
            <w:r>
              <w:rPr>
                <w:spacing w:val="-3"/>
              </w:rPr>
              <w:t>地地势平坦，坡度较小。本项目施工期按照本环评要求建设环保设施，废</w:t>
            </w:r>
          </w:p>
          <w:p>
            <w:pPr>
              <w:pStyle w:val="TableText"/>
              <w:ind w:left="113"/>
              <w:spacing w:line="220" w:lineRule="auto"/>
              <w:rPr/>
            </w:pPr>
            <w:r>
              <w:rPr>
                <w:spacing w:val="-1"/>
              </w:rPr>
              <w:t>气可实现达标排放，对周边环境影响较小。</w:t>
            </w:r>
          </w:p>
          <w:p>
            <w:pPr>
              <w:pStyle w:val="TableText"/>
              <w:ind w:left="112" w:right="93" w:firstLine="480"/>
              <w:spacing w:before="212" w:line="385" w:lineRule="auto"/>
              <w:rPr/>
            </w:pPr>
            <w:r>
              <w:rPr>
                <w:spacing w:val="-3"/>
              </w:rPr>
              <w:t>本项目不新增生活污水和生产废水。项目所在区域不属于特殊保护地</w:t>
            </w:r>
            <w:r>
              <w:rPr>
                <w:spacing w:val="6"/>
              </w:rPr>
              <w:t xml:space="preserve"> </w:t>
            </w:r>
            <w:r>
              <w:rPr>
                <w:spacing w:val="-3"/>
              </w:rPr>
              <w:t>区、社会关注区、生活脆弱区和特殊地貌景观区，地区无重点保护生态品</w:t>
            </w:r>
            <w:r>
              <w:rPr>
                <w:spacing w:val="13"/>
              </w:rPr>
              <w:t xml:space="preserve"> </w:t>
            </w:r>
            <w:r>
              <w:rPr>
                <w:spacing w:val="-2"/>
              </w:rPr>
              <w:t>种及濒危生物物种，也无文物古迹等人文景观。因此，从环保</w:t>
            </w:r>
            <w:r>
              <w:rPr>
                <w:spacing w:val="-3"/>
              </w:rPr>
              <w:t>角度考虑，</w:t>
            </w:r>
          </w:p>
          <w:p>
            <w:pPr>
              <w:pStyle w:val="TableText"/>
              <w:ind w:left="116"/>
              <w:spacing w:line="220" w:lineRule="auto"/>
              <w:rPr/>
            </w:pPr>
            <w:r>
              <w:rPr>
                <w:spacing w:val="-2"/>
              </w:rPr>
              <w:t>项目选址可行。</w:t>
            </w:r>
          </w:p>
          <w:p>
            <w:pPr>
              <w:pStyle w:val="TableText"/>
              <w:ind w:left="595"/>
              <w:spacing w:before="213" w:line="502" w:lineRule="exact"/>
              <w:rPr/>
            </w:pPr>
            <w:r>
              <w:rPr>
                <w:spacing w:val="-3"/>
                <w:position w:val="20"/>
              </w:rPr>
              <w:t>综上分析，本项目符合国家产业政策，符合用地总体规划，项目周边</w:t>
            </w:r>
          </w:p>
          <w:p>
            <w:pPr>
              <w:pStyle w:val="TableText"/>
              <w:ind w:left="113"/>
              <w:spacing w:line="220" w:lineRule="auto"/>
              <w:rPr/>
            </w:pPr>
            <w:r>
              <w:rPr>
                <w:spacing w:val="-1"/>
              </w:rPr>
              <w:t>均为工业企业，项目选址较合理。</w:t>
            </w:r>
          </w:p>
          <w:p>
            <w:pPr>
              <w:pStyle w:val="TableText"/>
              <w:ind w:left="604"/>
              <w:spacing w:before="213" w:line="219" w:lineRule="auto"/>
              <w:rPr/>
            </w:pPr>
            <w:r>
              <w:rPr>
                <w:color w:val="FF0000"/>
                <w:spacing w:val="-2"/>
              </w:rPr>
              <w:t>（</w:t>
            </w:r>
            <w:r>
              <w:rPr>
                <w:rFonts w:ascii="Times New Roman" w:hAnsi="Times New Roman" w:eastAsia="Times New Roman" w:cs="Times New Roman"/>
                <w:color w:val="FF0000"/>
                <w:spacing w:val="-2"/>
              </w:rPr>
              <w:t>9</w:t>
            </w:r>
            <w:r>
              <w:rPr>
                <w:color w:val="FF0000"/>
                <w:spacing w:val="-2"/>
              </w:rPr>
              <w:t>）产业布局规划符合性</w:t>
            </w:r>
          </w:p>
          <w:p>
            <w:pPr>
              <w:pStyle w:val="TableText"/>
              <w:ind w:right="34"/>
              <w:spacing w:before="214" w:line="219" w:lineRule="auto"/>
              <w:jc w:val="right"/>
              <w:rPr/>
            </w:pPr>
            <w:r>
              <w:rPr>
                <w:color w:val="FF0000"/>
              </w:rPr>
              <w:t>根据国家发展和改革委会《产业结构调整指导目</w:t>
            </w:r>
            <w:r>
              <w:rPr>
                <w:color w:val="FF0000"/>
                <w:spacing w:val="-1"/>
              </w:rPr>
              <w:t>录（</w:t>
            </w:r>
            <w:r>
              <w:rPr>
                <w:rFonts w:ascii="Times New Roman" w:hAnsi="Times New Roman" w:eastAsia="Times New Roman" w:cs="Times New Roman"/>
                <w:color w:val="FF0000"/>
                <w:spacing w:val="-1"/>
              </w:rPr>
              <w:t>2024</w:t>
            </w:r>
            <w:r>
              <w:rPr>
                <w:color w:val="FF0000"/>
                <w:spacing w:val="-1"/>
              </w:rPr>
              <w:t>年本）》，</w:t>
            </w:r>
          </w:p>
        </w:tc>
      </w:tr>
    </w:tbl>
    <w:p>
      <w:pPr>
        <w:pStyle w:val="BodyText"/>
        <w:rPr/>
      </w:pPr>
      <w:r/>
    </w:p>
    <w:p>
      <w:pPr>
        <w:sectPr>
          <w:footerReference w:type="default" r:id="rId147"/>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3"/>
        <w:gridCol w:w="7823"/>
      </w:tblGrid>
      <w:tr>
        <w:trPr>
          <w:trHeight w:val="13714" w:hRule="atLeast"/>
        </w:trPr>
        <w:tc>
          <w:tcPr>
            <w:tcW w:w="703" w:type="dxa"/>
            <w:vAlign w:val="top"/>
          </w:tcPr>
          <w:p>
            <w:pPr>
              <w:rPr>
                <w:rFonts w:ascii="Arial"/>
                <w:sz w:val="21"/>
              </w:rPr>
            </w:pPr>
            <w:r/>
          </w:p>
        </w:tc>
        <w:tc>
          <w:tcPr>
            <w:tcW w:w="7823" w:type="dxa"/>
            <w:vAlign w:val="top"/>
          </w:tcPr>
          <w:p>
            <w:pPr>
              <w:pStyle w:val="TableText"/>
              <w:ind w:left="114" w:right="106" w:hanging="1"/>
              <w:spacing w:before="200" w:line="384" w:lineRule="auto"/>
              <w:jc w:val="both"/>
              <w:rPr/>
            </w:pPr>
            <w:r>
              <w:rPr>
                <w:color w:val="FF0000"/>
                <w:spacing w:val="-3"/>
              </w:rPr>
              <w:t>其中“第三类 淘汰类，二、落后产品</w:t>
            </w:r>
            <w:r>
              <w:rPr>
                <w:color w:val="FF0000"/>
                <w:spacing w:val="-62"/>
                <w:w w:val="99"/>
              </w:rPr>
              <w:t>，（</w:t>
            </w:r>
            <w:r>
              <w:rPr>
                <w:color w:val="FF0000"/>
                <w:spacing w:val="-3"/>
              </w:rPr>
              <w:t>九）轻工</w:t>
            </w:r>
            <w:r>
              <w:rPr>
                <w:color w:val="FF0000"/>
                <w:spacing w:val="-4"/>
              </w:rPr>
              <w:t>，</w:t>
            </w:r>
            <w:r>
              <w:rPr>
                <w:rFonts w:ascii="Times New Roman" w:hAnsi="Times New Roman" w:eastAsia="Times New Roman" w:cs="Times New Roman"/>
                <w:color w:val="FF0000"/>
                <w:spacing w:val="-4"/>
              </w:rPr>
              <w:t>16</w:t>
            </w:r>
            <w:r>
              <w:rPr>
                <w:color w:val="FF0000"/>
                <w:spacing w:val="-4"/>
              </w:rPr>
              <w:t>、</w:t>
            </w:r>
            <w:r>
              <w:rPr>
                <w:rFonts w:ascii="Times New Roman" w:hAnsi="Times New Roman" w:eastAsia="Times New Roman" w:cs="Times New Roman"/>
                <w:color w:val="FF0000"/>
                <w:spacing w:val="-4"/>
              </w:rPr>
              <w:t>......</w:t>
            </w:r>
            <w:r>
              <w:rPr>
                <w:color w:val="FF0000"/>
                <w:spacing w:val="-4"/>
              </w:rPr>
              <w:t>厚度低于</w:t>
            </w:r>
            <w:r>
              <w:rPr>
                <w:rFonts w:ascii="Times New Roman" w:hAnsi="Times New Roman" w:eastAsia="Times New Roman" w:cs="Times New Roman"/>
                <w:color w:val="FF0000"/>
                <w:spacing w:val="-4"/>
              </w:rPr>
              <w:t>0.01</w:t>
            </w:r>
            <w:r>
              <w:rPr>
                <w:rFonts w:ascii="Times New Roman" w:hAnsi="Times New Roman" w:eastAsia="Times New Roman" w:cs="Times New Roman"/>
                <w:color w:val="FF0000"/>
              </w:rPr>
              <w:t xml:space="preserve"> </w:t>
            </w:r>
            <w:r>
              <w:rPr>
                <w:color w:val="FF0000"/>
              </w:rPr>
              <w:t>毫米的聚乙烯农用地膜</w:t>
            </w:r>
            <w:r>
              <w:rPr>
                <w:color w:val="FF0000"/>
                <w:spacing w:val="-85"/>
              </w:rPr>
              <w:t xml:space="preserve"> </w:t>
            </w:r>
            <w:r>
              <w:rPr>
                <w:color w:val="FF0000"/>
              </w:rPr>
              <w:t>”，本项目产品厚度为</w:t>
            </w:r>
            <w:r>
              <w:rPr>
                <w:rFonts w:ascii="Times New Roman" w:hAnsi="Times New Roman" w:eastAsia="Times New Roman" w:cs="Times New Roman"/>
                <w:color w:val="FF0000"/>
              </w:rPr>
              <w:t>0.01-0.08mm</w:t>
            </w:r>
            <w:r>
              <w:rPr>
                <w:rFonts w:ascii="Times New Roman" w:hAnsi="Times New Roman" w:eastAsia="Times New Roman" w:cs="Times New Roman"/>
                <w:color w:val="FF0000"/>
                <w:spacing w:val="-28"/>
              </w:rPr>
              <w:t xml:space="preserve"> </w:t>
            </w:r>
            <w:r>
              <w:rPr>
                <w:color w:val="FF0000"/>
                <w:spacing w:val="-1"/>
              </w:rPr>
              <w:t>，不属于淘汰</w:t>
            </w:r>
          </w:p>
          <w:p>
            <w:pPr>
              <w:pStyle w:val="TableText"/>
              <w:ind w:left="112"/>
              <w:spacing w:line="219" w:lineRule="auto"/>
              <w:rPr/>
            </w:pPr>
            <w:r>
              <w:rPr>
                <w:color w:val="FF0000"/>
              </w:rPr>
              <w:t>类，也不属于其中的限制类和鼓励类，属于允许</w:t>
            </w:r>
            <w:r>
              <w:rPr>
                <w:color w:val="FF0000"/>
                <w:spacing w:val="-1"/>
              </w:rPr>
              <w:t>类；符合相关产业政策。</w:t>
            </w:r>
          </w:p>
          <w:p>
            <w:pPr>
              <w:pStyle w:val="TableText"/>
              <w:ind w:left="604"/>
              <w:spacing w:before="216" w:line="499" w:lineRule="exact"/>
              <w:rPr/>
            </w:pPr>
            <w:r>
              <w:rPr>
                <w:spacing w:val="-3"/>
                <w:position w:val="19"/>
              </w:rPr>
              <w:t>（</w:t>
            </w:r>
            <w:r>
              <w:rPr>
                <w:rFonts w:ascii="Times New Roman" w:hAnsi="Times New Roman" w:eastAsia="Times New Roman" w:cs="Times New Roman"/>
                <w:spacing w:val="-3"/>
                <w:position w:val="19"/>
              </w:rPr>
              <w:t>10</w:t>
            </w:r>
            <w:r>
              <w:rPr>
                <w:spacing w:val="-3"/>
                <w:position w:val="19"/>
              </w:rPr>
              <w:t>）与《关于加快解决当前挥发性有机物治理突出问题的通知》符</w:t>
            </w:r>
          </w:p>
          <w:p>
            <w:pPr>
              <w:pStyle w:val="TableText"/>
              <w:ind w:left="113"/>
              <w:spacing w:line="220" w:lineRule="auto"/>
              <w:rPr/>
            </w:pPr>
            <w:r>
              <w:rPr>
                <w:spacing w:val="-3"/>
              </w:rPr>
              <w:t>合性分析</w:t>
            </w:r>
          </w:p>
          <w:p>
            <w:pPr>
              <w:pStyle w:val="TableText"/>
              <w:ind w:left="592"/>
              <w:spacing w:before="213" w:line="501" w:lineRule="exact"/>
              <w:rPr/>
            </w:pPr>
            <w:r>
              <w:rPr>
                <w:spacing w:val="-3"/>
                <w:position w:val="20"/>
              </w:rPr>
              <w:t>根据《关于加快解决当前挥发性有机物治理突出问题的通知》文件内</w:t>
            </w:r>
          </w:p>
          <w:p>
            <w:pPr>
              <w:pStyle w:val="TableText"/>
              <w:ind w:left="115"/>
              <w:spacing w:line="218" w:lineRule="auto"/>
              <w:rPr/>
            </w:pPr>
            <w:r>
              <w:rPr>
                <w:spacing w:val="-1"/>
              </w:rPr>
              <w:t>容，与本项目有关的突出问题符合性分析内容见表</w:t>
            </w:r>
            <w:r>
              <w:rPr>
                <w:rFonts w:ascii="Times New Roman" w:hAnsi="Times New Roman" w:eastAsia="Times New Roman" w:cs="Times New Roman"/>
                <w:spacing w:val="-1"/>
              </w:rPr>
              <w:t>1.1-5</w:t>
            </w:r>
            <w:r>
              <w:rPr>
                <w:spacing w:val="-1"/>
              </w:rPr>
              <w:t>。</w:t>
            </w:r>
          </w:p>
          <w:p>
            <w:pPr>
              <w:pStyle w:val="TableText"/>
              <w:ind w:left="592"/>
              <w:spacing w:before="215" w:line="500" w:lineRule="exact"/>
              <w:rPr/>
            </w:pPr>
            <w:r>
              <w:rPr>
                <w:spacing w:val="-3"/>
                <w:position w:val="19"/>
              </w:rPr>
              <w:t>根据符合性分析结果可知，本项目符合《关于加快解决当前挥发性有</w:t>
            </w:r>
          </w:p>
          <w:p>
            <w:pPr>
              <w:pStyle w:val="TableText"/>
              <w:ind w:left="111"/>
              <w:spacing w:line="218" w:lineRule="auto"/>
              <w:rPr/>
            </w:pPr>
            <w:r>
              <w:rPr>
                <w:spacing w:val="-1"/>
              </w:rPr>
              <w:t>机物治理突出问题的通知》文件中指出的突出问题。</w:t>
            </w:r>
          </w:p>
          <w:p>
            <w:pPr>
              <w:pStyle w:val="TableText"/>
              <w:ind w:left="604"/>
              <w:spacing w:before="218" w:line="219" w:lineRule="auto"/>
              <w:rPr/>
            </w:pPr>
            <w:r>
              <w:rPr>
                <w:spacing w:val="-1"/>
              </w:rPr>
              <w:t>（</w:t>
            </w:r>
            <w:r>
              <w:rPr>
                <w:rFonts w:ascii="Times New Roman" w:hAnsi="Times New Roman" w:eastAsia="Times New Roman" w:cs="Times New Roman"/>
                <w:spacing w:val="-1"/>
              </w:rPr>
              <w:t>11</w:t>
            </w:r>
            <w:r>
              <w:rPr>
                <w:spacing w:val="-1"/>
              </w:rPr>
              <w:t>）与《新疆维吾尔自治区环境保护条例》符合性分析</w:t>
            </w:r>
          </w:p>
          <w:p>
            <w:pPr>
              <w:pStyle w:val="TableText"/>
              <w:ind w:right="15"/>
              <w:spacing w:before="214" w:line="219" w:lineRule="auto"/>
              <w:jc w:val="right"/>
              <w:rPr/>
            </w:pPr>
            <w:r>
              <w:rPr/>
              <w:t>本项目与《新疆维吾尔自治区环境保护条例》</w:t>
            </w:r>
            <w:r>
              <w:rPr>
                <w:spacing w:val="-1"/>
              </w:rPr>
              <w:t>符合性分析见表</w:t>
            </w:r>
            <w:r>
              <w:rPr>
                <w:rFonts w:ascii="Times New Roman" w:hAnsi="Times New Roman" w:eastAsia="Times New Roman" w:cs="Times New Roman"/>
                <w:spacing w:val="-1"/>
              </w:rPr>
              <w:t>1.1-6</w:t>
            </w:r>
            <w:r>
              <w:rPr>
                <w:spacing w:val="-1"/>
              </w:rPr>
              <w:t>。</w:t>
            </w:r>
          </w:p>
          <w:p>
            <w:pPr>
              <w:pStyle w:val="TableText"/>
              <w:ind w:left="112" w:right="106" w:firstLine="480"/>
              <w:spacing w:before="212" w:line="385" w:lineRule="auto"/>
              <w:rPr/>
            </w:pPr>
            <w:r>
              <w:rPr>
                <w:spacing w:val="-3"/>
              </w:rPr>
              <w:t>根据文件内容分析，除第五十条内容基本符合，待后续整改外，其他</w:t>
            </w:r>
            <w:r>
              <w:rPr>
                <w:spacing w:val="7"/>
              </w:rPr>
              <w:t xml:space="preserve"> </w:t>
            </w:r>
            <w:r>
              <w:rPr>
                <w:spacing w:val="-4"/>
              </w:rPr>
              <w:t>与本项目有关条例均为符合。由于本项目属于“未批先建</w:t>
            </w:r>
            <w:r>
              <w:rPr>
                <w:spacing w:val="-75"/>
              </w:rPr>
              <w:t xml:space="preserve"> </w:t>
            </w:r>
            <w:r>
              <w:rPr>
                <w:spacing w:val="-4"/>
              </w:rPr>
              <w:t>”项目，未履行</w:t>
            </w:r>
            <w:r>
              <w:rPr/>
              <w:t xml:space="preserve"> </w:t>
            </w:r>
            <w:r>
              <w:rPr>
                <w:spacing w:val="-3"/>
              </w:rPr>
              <w:t>环境保护设施与主体工程同时设计、同时施工、同时投入使用，但目前本</w:t>
            </w:r>
            <w:r>
              <w:rPr>
                <w:spacing w:val="13"/>
              </w:rPr>
              <w:t xml:space="preserve"> </w:t>
            </w:r>
            <w:r>
              <w:rPr>
                <w:spacing w:val="-3"/>
              </w:rPr>
              <w:t>项目已停止施工，正在采取环境影响评价工作审批，待项目取得审批后开</w:t>
            </w:r>
            <w:r>
              <w:rPr>
                <w:spacing w:val="13"/>
              </w:rPr>
              <w:t xml:space="preserve"> </w:t>
            </w:r>
            <w:r>
              <w:rPr>
                <w:spacing w:val="-3"/>
              </w:rPr>
              <w:t>展环保设施的安装，确保环保设备与主体工程同时投入使用。已采取了相</w:t>
            </w:r>
            <w:r>
              <w:rPr>
                <w:spacing w:val="13"/>
              </w:rPr>
              <w:t xml:space="preserve"> </w:t>
            </w:r>
            <w:r>
              <w:rPr>
                <w:spacing w:val="-3"/>
              </w:rPr>
              <w:t>应的治理措施，因此判断，本项目基本符合《新疆维吾尔自治区环境保护</w:t>
            </w:r>
          </w:p>
          <w:p>
            <w:pPr>
              <w:pStyle w:val="TableText"/>
              <w:ind w:left="114"/>
              <w:spacing w:line="219" w:lineRule="auto"/>
              <w:rPr/>
            </w:pPr>
            <w:r>
              <w:rPr>
                <w:spacing w:val="-1"/>
              </w:rPr>
              <w:t>条例》相关要求，待整改。</w:t>
            </w:r>
          </w:p>
          <w:p>
            <w:pPr>
              <w:pStyle w:val="TableText"/>
              <w:ind w:left="604"/>
              <w:spacing w:before="217" w:line="499" w:lineRule="exact"/>
              <w:rPr/>
            </w:pPr>
            <w:r>
              <w:rPr>
                <w:spacing w:val="-4"/>
                <w:position w:val="19"/>
              </w:rPr>
              <w:t>（</w:t>
            </w:r>
            <w:r>
              <w:rPr>
                <w:rFonts w:ascii="Times New Roman" w:hAnsi="Times New Roman" w:eastAsia="Times New Roman" w:cs="Times New Roman"/>
                <w:spacing w:val="-4"/>
                <w:position w:val="19"/>
              </w:rPr>
              <w:t>12</w:t>
            </w:r>
            <w:r>
              <w:rPr>
                <w:spacing w:val="-4"/>
                <w:position w:val="19"/>
              </w:rPr>
              <w:t>）与《昌吉回族自治州生态环境保护与建设“十四五</w:t>
            </w:r>
            <w:r>
              <w:rPr>
                <w:spacing w:val="-88"/>
                <w:position w:val="19"/>
              </w:rPr>
              <w:t xml:space="preserve"> </w:t>
            </w:r>
            <w:r>
              <w:rPr>
                <w:spacing w:val="-4"/>
                <w:position w:val="19"/>
              </w:rPr>
              <w:t>”规划</w:t>
            </w:r>
            <w:r>
              <w:rPr>
                <w:spacing w:val="-5"/>
                <w:position w:val="19"/>
              </w:rPr>
              <w:t>》符</w:t>
            </w:r>
          </w:p>
          <w:p>
            <w:pPr>
              <w:pStyle w:val="TableText"/>
              <w:ind w:left="113"/>
              <w:spacing w:line="220" w:lineRule="auto"/>
              <w:rPr/>
            </w:pPr>
            <w:r>
              <w:rPr>
                <w:spacing w:val="-3"/>
              </w:rPr>
              <w:t>合性分析</w:t>
            </w:r>
          </w:p>
          <w:p>
            <w:pPr>
              <w:pStyle w:val="TableText"/>
              <w:ind w:left="593"/>
              <w:spacing w:before="213" w:line="219" w:lineRule="auto"/>
              <w:rPr/>
            </w:pPr>
            <w:r>
              <w:rPr>
                <w:spacing w:val="-1"/>
              </w:rPr>
              <w:t>本项目涉及的相关条例及条例符合性分析见表</w:t>
            </w:r>
            <w:r>
              <w:rPr>
                <w:rFonts w:ascii="Times New Roman" w:hAnsi="Times New Roman" w:eastAsia="Times New Roman" w:cs="Times New Roman"/>
                <w:spacing w:val="-1"/>
              </w:rPr>
              <w:t>1.1-7</w:t>
            </w:r>
            <w:r>
              <w:rPr>
                <w:spacing w:val="-1"/>
              </w:rPr>
              <w:t>。</w:t>
            </w:r>
          </w:p>
          <w:p>
            <w:pPr>
              <w:pStyle w:val="TableText"/>
              <w:ind w:left="592"/>
              <w:spacing w:before="217" w:line="499" w:lineRule="exact"/>
              <w:rPr/>
            </w:pPr>
            <w:r>
              <w:rPr>
                <w:spacing w:val="-4"/>
                <w:position w:val="19"/>
              </w:rPr>
              <w:t>根据《昌吉回族自治州生态环境保护与建设“十四五</w:t>
            </w:r>
            <w:r>
              <w:rPr>
                <w:spacing w:val="-83"/>
                <w:position w:val="19"/>
              </w:rPr>
              <w:t xml:space="preserve"> </w:t>
            </w:r>
            <w:r>
              <w:rPr>
                <w:spacing w:val="-4"/>
                <w:position w:val="19"/>
              </w:rPr>
              <w:t>”规划》文件对</w:t>
            </w:r>
          </w:p>
          <w:p>
            <w:pPr>
              <w:pStyle w:val="TableText"/>
              <w:ind w:left="138"/>
              <w:spacing w:before="1" w:line="218" w:lineRule="auto"/>
              <w:rPr/>
            </w:pPr>
            <w:r>
              <w:rPr>
                <w:spacing w:val="-3"/>
              </w:rPr>
              <w:t>比分析，本项目符合文件相关要求。</w:t>
            </w:r>
          </w:p>
        </w:tc>
      </w:tr>
    </w:tbl>
    <w:p>
      <w:pPr>
        <w:pStyle w:val="BodyText"/>
        <w:rPr/>
      </w:pPr>
      <w:r/>
    </w:p>
    <w:p>
      <w:pPr>
        <w:sectPr>
          <w:footerReference w:type="default" r:id="rId148"/>
          <w:pgSz w:w="11906" w:h="16839"/>
          <w:pgMar w:top="400" w:right="1687" w:bottom="1211" w:left="1687" w:header="0" w:footer="1049" w:gutter="0"/>
        </w:sectPr>
        <w:rPr/>
      </w:pPr>
    </w:p>
    <w:p>
      <w:pPr>
        <w:pStyle w:val="BodyText"/>
        <w:spacing w:line="285" w:lineRule="auto"/>
        <w:rPr/>
      </w:pPr>
      <w:r/>
    </w:p>
    <w:p>
      <w:pPr>
        <w:pStyle w:val="BodyText"/>
        <w:spacing w:line="285" w:lineRule="auto"/>
        <w:rPr/>
      </w:pPr>
      <w:r/>
    </w:p>
    <w:p>
      <w:pPr>
        <w:pStyle w:val="BodyText"/>
        <w:spacing w:line="285" w:lineRule="auto"/>
        <w:rPr/>
      </w:pPr>
      <w:r/>
    </w:p>
    <w:p>
      <w:pPr>
        <w:pStyle w:val="BodyText"/>
        <w:spacing w:line="285" w:lineRule="auto"/>
        <w:rPr/>
      </w:pPr>
      <w:r/>
    </w:p>
    <w:p>
      <w:pPr>
        <w:pStyle w:val="BodyText"/>
        <w:spacing w:line="286" w:lineRule="auto"/>
        <w:rPr/>
      </w:pPr>
      <w:r/>
    </w:p>
    <w:p>
      <w:pPr>
        <w:ind w:left="3058"/>
        <w:spacing w:before="78" w:line="219"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
        </w:rPr>
        <w:t>表</w:t>
      </w:r>
      <w:r>
        <w:rPr>
          <w:rFonts w:ascii="Times New Roman" w:hAnsi="Times New Roman" w:eastAsia="Times New Roman" w:cs="Times New Roman"/>
          <w:sz w:val="24"/>
          <w:szCs w:val="24"/>
          <w:b/>
          <w:bCs/>
          <w:spacing w:val="1"/>
        </w:rPr>
        <w:t>1.1-5  </w:t>
      </w:r>
      <w:r>
        <w:rPr>
          <w:rFonts w:ascii="SimSun" w:hAnsi="SimSun" w:eastAsia="SimSun" w:cs="SimSun"/>
          <w:sz w:val="24"/>
          <w:szCs w:val="24"/>
          <w14:textOutline w14:w="4358" w14:cap="sq" w14:cmpd="sng">
            <w14:solidFill>
              <w14:srgbClr w14:val="000000"/>
            </w14:solidFill>
            <w14:prstDash w14:val="solid"/>
            <w14:bevel/>
          </w14:textOutline>
          <w:spacing w:val="1"/>
        </w:rPr>
        <w:t>《关于加快解决当前挥发性有</w:t>
      </w:r>
      <w:r>
        <w:rPr>
          <w:rFonts w:ascii="SimSun" w:hAnsi="SimSun" w:eastAsia="SimSun" w:cs="SimSun"/>
          <w:sz w:val="24"/>
          <w:szCs w:val="24"/>
          <w14:textOutline w14:w="4358" w14:cap="sq" w14:cmpd="sng">
            <w14:solidFill>
              <w14:srgbClr w14:val="000000"/>
            </w14:solidFill>
            <w14:prstDash w14:val="solid"/>
            <w14:bevel/>
          </w14:textOutline>
        </w:rPr>
        <w:t>机物治理突出问题的通知》符合性分析</w:t>
      </w:r>
    </w:p>
    <w:p>
      <w:pPr>
        <w:spacing w:line="18" w:lineRule="auto"/>
        <w:rPr>
          <w:rFonts w:ascii="Arial"/>
          <w:sz w:val="2"/>
        </w:rPr>
      </w:pPr>
      <w:r>
        <w:rPr>
          <w:rFonts w:ascii="Arial"/>
          <w:sz w:val="2"/>
        </w:rPr>
      </w:r>
    </w:p>
    <w:tbl>
      <w:tblPr>
        <w:tblStyle w:val="TableNormal"/>
        <w:tblW w:w="14166"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1"/>
        <w:gridCol w:w="7872"/>
        <w:gridCol w:w="4726"/>
        <w:gridCol w:w="917"/>
      </w:tblGrid>
      <w:tr>
        <w:trPr>
          <w:trHeight w:val="368" w:hRule="atLeast"/>
        </w:trPr>
        <w:tc>
          <w:tcPr>
            <w:tcW w:w="651" w:type="dxa"/>
            <w:vAlign w:val="top"/>
            <w:tcBorders>
              <w:left w:val="single" w:color="000000" w:sz="10" w:space="0"/>
              <w:top w:val="single" w:color="000000" w:sz="10" w:space="0"/>
            </w:tcBorders>
          </w:tcPr>
          <w:p>
            <w:pPr>
              <w:pStyle w:val="TableText"/>
              <w:ind w:left="104"/>
              <w:spacing w:before="114" w:line="225" w:lineRule="auto"/>
              <w:rPr>
                <w:sz w:val="20"/>
                <w:szCs w:val="20"/>
              </w:rPr>
            </w:pPr>
            <w:r>
              <w:rPr>
                <w:sz w:val="20"/>
                <w:szCs w:val="20"/>
                <w:spacing w:val="5"/>
              </w:rPr>
              <w:t>序号</w:t>
            </w:r>
          </w:p>
        </w:tc>
        <w:tc>
          <w:tcPr>
            <w:tcW w:w="7872" w:type="dxa"/>
            <w:vAlign w:val="top"/>
            <w:tcBorders>
              <w:top w:val="single" w:color="000000" w:sz="10" w:space="0"/>
            </w:tcBorders>
          </w:tcPr>
          <w:p>
            <w:pPr>
              <w:pStyle w:val="TableText"/>
              <w:ind w:left="3519"/>
              <w:spacing w:before="114" w:line="225" w:lineRule="auto"/>
              <w:rPr>
                <w:sz w:val="20"/>
                <w:szCs w:val="20"/>
              </w:rPr>
            </w:pPr>
            <w:r>
              <w:rPr>
                <w:sz w:val="20"/>
                <w:szCs w:val="20"/>
                <w:spacing w:val="6"/>
              </w:rPr>
              <w:t>文件内容</w:t>
            </w:r>
          </w:p>
        </w:tc>
        <w:tc>
          <w:tcPr>
            <w:tcW w:w="4726" w:type="dxa"/>
            <w:vAlign w:val="top"/>
            <w:tcBorders>
              <w:top w:val="single" w:color="000000" w:sz="10" w:space="0"/>
            </w:tcBorders>
          </w:tcPr>
          <w:p>
            <w:pPr>
              <w:pStyle w:val="TableText"/>
              <w:ind w:left="1641"/>
              <w:spacing w:before="114" w:line="225" w:lineRule="auto"/>
              <w:rPr>
                <w:sz w:val="20"/>
                <w:szCs w:val="20"/>
              </w:rPr>
            </w:pPr>
            <w:r>
              <w:rPr>
                <w:sz w:val="20"/>
                <w:szCs w:val="20"/>
                <w:spacing w:val="8"/>
              </w:rPr>
              <w:t>本项目建设情况</w:t>
            </w:r>
          </w:p>
        </w:tc>
        <w:tc>
          <w:tcPr>
            <w:tcW w:w="917" w:type="dxa"/>
            <w:vAlign w:val="top"/>
            <w:tcBorders>
              <w:right w:val="single" w:color="000000" w:sz="10" w:space="0"/>
              <w:top w:val="single" w:color="000000" w:sz="10" w:space="0"/>
            </w:tcBorders>
          </w:tcPr>
          <w:p>
            <w:pPr>
              <w:pStyle w:val="TableText"/>
              <w:ind w:left="156"/>
              <w:spacing w:before="114" w:line="225" w:lineRule="auto"/>
              <w:rPr>
                <w:sz w:val="20"/>
                <w:szCs w:val="20"/>
              </w:rPr>
            </w:pPr>
            <w:r>
              <w:rPr>
                <w:sz w:val="20"/>
                <w:szCs w:val="20"/>
                <w:spacing w:val="6"/>
              </w:rPr>
              <w:t>符合性</w:t>
            </w:r>
          </w:p>
        </w:tc>
      </w:tr>
      <w:tr>
        <w:trPr>
          <w:trHeight w:val="1699" w:hRule="atLeast"/>
        </w:trPr>
        <w:tc>
          <w:tcPr>
            <w:tcW w:w="651" w:type="dxa"/>
            <w:vAlign w:val="top"/>
            <w:vMerge w:val="restart"/>
            <w:tcBorders>
              <w:left w:val="single" w:color="000000" w:sz="10" w:space="0"/>
              <w:bottom w:val="nil"/>
            </w:tcBorders>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TableText"/>
              <w:ind w:left="105" w:right="121" w:firstLine="3"/>
              <w:spacing w:before="65" w:line="297" w:lineRule="auto"/>
              <w:jc w:val="both"/>
              <w:rPr>
                <w:sz w:val="20"/>
                <w:szCs w:val="20"/>
              </w:rPr>
            </w:pPr>
            <w:r>
              <w:rPr>
                <w:sz w:val="20"/>
                <w:szCs w:val="20"/>
                <w:spacing w:val="3"/>
              </w:rPr>
              <w:t>五废</w:t>
            </w:r>
            <w:r>
              <w:rPr>
                <w:sz w:val="20"/>
                <w:szCs w:val="20"/>
              </w:rPr>
              <w:t xml:space="preserve"> </w:t>
            </w:r>
            <w:r>
              <w:rPr>
                <w:sz w:val="20"/>
                <w:szCs w:val="20"/>
                <w:spacing w:val="4"/>
              </w:rPr>
              <w:t>气收</w:t>
            </w:r>
            <w:r>
              <w:rPr>
                <w:sz w:val="20"/>
                <w:szCs w:val="20"/>
              </w:rPr>
              <w:t xml:space="preserve"> </w:t>
            </w:r>
            <w:r>
              <w:rPr>
                <w:sz w:val="20"/>
                <w:szCs w:val="20"/>
                <w:spacing w:val="4"/>
              </w:rPr>
              <w:t>集率</w:t>
            </w:r>
          </w:p>
        </w:tc>
        <w:tc>
          <w:tcPr>
            <w:tcW w:w="7872" w:type="dxa"/>
            <w:vAlign w:val="top"/>
          </w:tcPr>
          <w:p>
            <w:pPr>
              <w:spacing w:line="352" w:lineRule="auto"/>
              <w:rPr>
                <w:rFonts w:ascii="Arial"/>
                <w:sz w:val="21"/>
              </w:rPr>
            </w:pPr>
            <w:r/>
          </w:p>
          <w:p>
            <w:pPr>
              <w:pStyle w:val="TableText"/>
              <w:ind w:left="104"/>
              <w:spacing w:before="65" w:line="228" w:lineRule="auto"/>
              <w:rPr>
                <w:sz w:val="20"/>
                <w:szCs w:val="20"/>
              </w:rPr>
            </w:pPr>
            <w:r>
              <w:rPr>
                <w:sz w:val="20"/>
                <w:szCs w:val="20"/>
                <w:spacing w:val="10"/>
              </w:rPr>
              <w:t>存在的突出问题。敞开式生产未配备收集设施，未对</w:t>
            </w:r>
            <w:r>
              <w:rPr>
                <w:rFonts w:ascii="Times New Roman" w:hAnsi="Times New Roman" w:eastAsia="Times New Roman" w:cs="Times New Roman"/>
                <w:sz w:val="20"/>
                <w:szCs w:val="20"/>
              </w:rPr>
              <w:t>VOCs</w:t>
            </w:r>
            <w:r>
              <w:rPr>
                <w:sz w:val="20"/>
                <w:szCs w:val="20"/>
                <w:spacing w:val="10"/>
              </w:rPr>
              <w:t>废气进行分质收集，废气</w:t>
            </w:r>
          </w:p>
          <w:p>
            <w:pPr>
              <w:pStyle w:val="TableText"/>
              <w:ind w:left="1842" w:right="104" w:hanging="1732"/>
              <w:spacing w:before="113" w:line="280" w:lineRule="auto"/>
              <w:rPr>
                <w:sz w:val="20"/>
                <w:szCs w:val="20"/>
              </w:rPr>
            </w:pPr>
            <w:r>
              <w:rPr>
                <w:sz w:val="20"/>
                <w:szCs w:val="20"/>
                <w:spacing w:val="7"/>
              </w:rPr>
              <w:t>收集系统排风罩（局部密闭式集气罩）控制风速达不到标准要求，</w:t>
            </w:r>
            <w:r>
              <w:rPr>
                <w:sz w:val="20"/>
                <w:szCs w:val="20"/>
                <w:spacing w:val="6"/>
              </w:rPr>
              <w:t>废气收集系统输送</w:t>
            </w:r>
            <w:r>
              <w:rPr>
                <w:sz w:val="20"/>
                <w:szCs w:val="20"/>
              </w:rPr>
              <w:t xml:space="preserve"> </w:t>
            </w:r>
            <w:r>
              <w:rPr>
                <w:sz w:val="20"/>
                <w:szCs w:val="20"/>
                <w:spacing w:val="8"/>
              </w:rPr>
              <w:t>管道破损、泄漏严重，生产设备密闭不严等。</w:t>
            </w:r>
          </w:p>
        </w:tc>
        <w:tc>
          <w:tcPr>
            <w:tcW w:w="4726" w:type="dxa"/>
            <w:vAlign w:val="top"/>
          </w:tcPr>
          <w:p>
            <w:pPr>
              <w:pStyle w:val="TableText"/>
              <w:ind w:left="119" w:right="95" w:firstLine="3"/>
              <w:spacing w:before="240" w:line="280" w:lineRule="auto"/>
              <w:rPr>
                <w:sz w:val="20"/>
                <w:szCs w:val="20"/>
              </w:rPr>
            </w:pPr>
            <w:r>
              <w:rPr>
                <w:sz w:val="20"/>
                <w:szCs w:val="20"/>
                <w:spacing w:val="10"/>
              </w:rPr>
              <w:t>项目生产运营期对主要产生</w:t>
            </w:r>
            <w:r>
              <w:rPr>
                <w:rFonts w:ascii="Times New Roman" w:hAnsi="Times New Roman" w:eastAsia="Times New Roman" w:cs="Times New Roman"/>
                <w:sz w:val="20"/>
                <w:szCs w:val="20"/>
              </w:rPr>
              <w:t>VOCs</w:t>
            </w:r>
            <w:r>
              <w:rPr>
                <w:sz w:val="20"/>
                <w:szCs w:val="20"/>
                <w:spacing w:val="10"/>
              </w:rPr>
              <w:t>废气工段设置局</w:t>
            </w:r>
            <w:r>
              <w:rPr>
                <w:sz w:val="20"/>
                <w:szCs w:val="20"/>
                <w:spacing w:val="9"/>
              </w:rPr>
              <w:t xml:space="preserve"> </w:t>
            </w:r>
            <w:r>
              <w:rPr>
                <w:sz w:val="20"/>
                <w:szCs w:val="20"/>
                <w:spacing w:val="4"/>
              </w:rPr>
              <w:t>部密闭式集气罩收集废气，项目建设过程中严格按</w:t>
            </w:r>
          </w:p>
          <w:p>
            <w:pPr>
              <w:pStyle w:val="TableText"/>
              <w:ind w:left="274" w:right="95" w:hanging="151"/>
              <w:spacing w:before="113" w:line="280" w:lineRule="auto"/>
              <w:rPr>
                <w:sz w:val="20"/>
                <w:szCs w:val="20"/>
              </w:rPr>
            </w:pPr>
            <w:r>
              <w:rPr>
                <w:sz w:val="20"/>
                <w:szCs w:val="20"/>
                <w:spacing w:val="4"/>
              </w:rPr>
              <w:t>照环评中提出的排风罩控制风速，定期检查输送管</w:t>
            </w:r>
            <w:r>
              <w:rPr>
                <w:sz w:val="20"/>
                <w:szCs w:val="20"/>
                <w:spacing w:val="13"/>
              </w:rPr>
              <w:t xml:space="preserve"> </w:t>
            </w:r>
            <w:r>
              <w:rPr>
                <w:sz w:val="20"/>
                <w:szCs w:val="20"/>
                <w:spacing w:val="8"/>
              </w:rPr>
              <w:t>道破损、泄漏情况，检查生产设施密闭情况。</w:t>
            </w:r>
          </w:p>
        </w:tc>
        <w:tc>
          <w:tcPr>
            <w:tcW w:w="917" w:type="dxa"/>
            <w:vAlign w:val="top"/>
            <w:tcBorders>
              <w:right w:val="single" w:color="000000" w:sz="10" w:space="0"/>
            </w:tcBorders>
          </w:tcPr>
          <w:p>
            <w:pPr>
              <w:spacing w:line="355" w:lineRule="auto"/>
              <w:rPr>
                <w:rFonts w:ascii="Arial"/>
                <w:sz w:val="21"/>
              </w:rPr>
            </w:pPr>
            <w:r/>
          </w:p>
          <w:p>
            <w:pPr>
              <w:spacing w:line="355" w:lineRule="auto"/>
              <w:rPr>
                <w:rFonts w:ascii="Arial"/>
                <w:sz w:val="21"/>
              </w:rPr>
            </w:pPr>
            <w:r/>
          </w:p>
          <w:p>
            <w:pPr>
              <w:pStyle w:val="TableText"/>
              <w:ind w:left="260"/>
              <w:spacing w:before="65" w:line="228" w:lineRule="auto"/>
              <w:rPr>
                <w:sz w:val="20"/>
                <w:szCs w:val="20"/>
              </w:rPr>
            </w:pPr>
            <w:r>
              <w:rPr>
                <w:sz w:val="20"/>
                <w:szCs w:val="20"/>
                <w:spacing w:val="3"/>
              </w:rPr>
              <w:t>符合</w:t>
            </w:r>
          </w:p>
        </w:tc>
      </w:tr>
      <w:tr>
        <w:trPr>
          <w:trHeight w:val="3593" w:hRule="atLeast"/>
        </w:trPr>
        <w:tc>
          <w:tcPr>
            <w:tcW w:w="651" w:type="dxa"/>
            <w:vAlign w:val="top"/>
            <w:vMerge w:val="continue"/>
            <w:tcBorders>
              <w:left w:val="single" w:color="000000" w:sz="10" w:space="0"/>
              <w:top w:val="nil"/>
            </w:tcBorders>
          </w:tcPr>
          <w:p>
            <w:pPr>
              <w:rPr>
                <w:rFonts w:ascii="Arial"/>
                <w:sz w:val="21"/>
              </w:rPr>
            </w:pPr>
            <w:r/>
          </w:p>
        </w:tc>
        <w:tc>
          <w:tcPr>
            <w:tcW w:w="7872" w:type="dxa"/>
            <w:vAlign w:val="top"/>
          </w:tcPr>
          <w:p>
            <w:pPr>
              <w:spacing w:line="407" w:lineRule="auto"/>
              <w:rPr>
                <w:rFonts w:ascii="Arial"/>
                <w:sz w:val="21"/>
              </w:rPr>
            </w:pPr>
            <w:r/>
          </w:p>
          <w:p>
            <w:pPr>
              <w:pStyle w:val="TableText"/>
              <w:ind w:left="110"/>
              <w:spacing w:before="65" w:line="227" w:lineRule="auto"/>
              <w:rPr>
                <w:sz w:val="20"/>
                <w:szCs w:val="20"/>
              </w:rPr>
            </w:pPr>
            <w:r>
              <w:rPr>
                <w:sz w:val="20"/>
                <w:szCs w:val="20"/>
                <w:spacing w:val="10"/>
              </w:rPr>
              <w:t>治理要求。产生</w:t>
            </w:r>
            <w:r>
              <w:rPr>
                <w:rFonts w:ascii="Times New Roman" w:hAnsi="Times New Roman" w:eastAsia="Times New Roman" w:cs="Times New Roman"/>
                <w:sz w:val="20"/>
                <w:szCs w:val="20"/>
              </w:rPr>
              <w:t>VOCs</w:t>
            </w:r>
            <w:r>
              <w:rPr>
                <w:sz w:val="20"/>
                <w:szCs w:val="20"/>
                <w:spacing w:val="10"/>
              </w:rPr>
              <w:t>的生产环节优先采用密闭设备、在密闭空间中操作或采用全密</w:t>
            </w:r>
          </w:p>
          <w:p>
            <w:pPr>
              <w:pStyle w:val="TableText"/>
              <w:ind w:right="9"/>
              <w:spacing w:before="113" w:line="228" w:lineRule="auto"/>
              <w:jc w:val="right"/>
              <w:rPr>
                <w:sz w:val="20"/>
                <w:szCs w:val="20"/>
              </w:rPr>
            </w:pPr>
            <w:r>
              <w:rPr>
                <w:sz w:val="20"/>
                <w:szCs w:val="20"/>
                <w:spacing w:val="3"/>
              </w:rPr>
              <w:t>闭局部密闭式集气罩收集方式，并保持负压运行。无尘等级要求车间需设置成正压的，</w:t>
            </w:r>
          </w:p>
          <w:p>
            <w:pPr>
              <w:pStyle w:val="TableText"/>
              <w:ind w:right="9"/>
              <w:spacing w:before="113" w:line="227" w:lineRule="auto"/>
              <w:jc w:val="right"/>
              <w:rPr>
                <w:sz w:val="20"/>
                <w:szCs w:val="20"/>
              </w:rPr>
            </w:pPr>
            <w:r>
              <w:rPr>
                <w:sz w:val="20"/>
                <w:szCs w:val="20"/>
                <w:spacing w:val="4"/>
              </w:rPr>
              <w:t>宜建设内层正压、外层微负压的双层整体密闭收集空间。对采用局部收集方式的</w:t>
            </w:r>
            <w:r>
              <w:rPr>
                <w:sz w:val="20"/>
                <w:szCs w:val="20"/>
                <w:spacing w:val="3"/>
              </w:rPr>
              <w:t>企业，</w:t>
            </w:r>
          </w:p>
          <w:p>
            <w:pPr>
              <w:pStyle w:val="TableText"/>
              <w:ind w:left="418"/>
              <w:spacing w:before="113" w:line="228" w:lineRule="auto"/>
              <w:rPr>
                <w:sz w:val="20"/>
                <w:szCs w:val="20"/>
              </w:rPr>
            </w:pPr>
            <w:r>
              <w:rPr>
                <w:sz w:val="20"/>
                <w:szCs w:val="20"/>
                <w:spacing w:val="10"/>
              </w:rPr>
              <w:t>距废气收集系统排风罩开口面最远处的</w:t>
            </w:r>
            <w:r>
              <w:rPr>
                <w:rFonts w:ascii="Times New Roman" w:hAnsi="Times New Roman" w:eastAsia="Times New Roman" w:cs="Times New Roman"/>
                <w:sz w:val="20"/>
                <w:szCs w:val="20"/>
              </w:rPr>
              <w:t>VOCs</w:t>
            </w:r>
            <w:r>
              <w:rPr>
                <w:sz w:val="20"/>
                <w:szCs w:val="20"/>
                <w:spacing w:val="10"/>
              </w:rPr>
              <w:t>无组织排放位置控制风速不低于</w:t>
            </w:r>
          </w:p>
          <w:p>
            <w:pPr>
              <w:pStyle w:val="TableText"/>
              <w:ind w:left="101" w:right="104"/>
              <w:spacing w:before="113" w:line="306" w:lineRule="auto"/>
              <w:jc w:val="both"/>
              <w:rPr>
                <w:sz w:val="20"/>
                <w:szCs w:val="20"/>
              </w:rPr>
            </w:pPr>
            <w:r>
              <w:rPr>
                <w:rFonts w:ascii="Times New Roman" w:hAnsi="Times New Roman" w:eastAsia="Times New Roman" w:cs="Times New Roman"/>
                <w:sz w:val="20"/>
                <w:szCs w:val="20"/>
                <w:spacing w:val="8"/>
              </w:rPr>
              <w:t>0.3m/s</w:t>
            </w:r>
            <w:r>
              <w:rPr>
                <w:sz w:val="20"/>
                <w:szCs w:val="20"/>
                <w:spacing w:val="8"/>
              </w:rPr>
              <w:t>；推广以生产线或设备为单位设置隔间，收集风量应确保隔间保持微负压。当</w:t>
            </w:r>
            <w:r>
              <w:rPr>
                <w:sz w:val="20"/>
                <w:szCs w:val="20"/>
              </w:rPr>
              <w:t xml:space="preserve"> </w:t>
            </w:r>
            <w:r>
              <w:rPr>
                <w:sz w:val="20"/>
                <w:szCs w:val="20"/>
                <w:spacing w:val="7"/>
              </w:rPr>
              <w:t>废气产生点较多、彼此距离较远时，在满足设计规范、风压平衡的基础上，适当分设</w:t>
            </w:r>
            <w:r>
              <w:rPr>
                <w:sz w:val="20"/>
                <w:szCs w:val="20"/>
              </w:rPr>
              <w:t xml:space="preserve"> </w:t>
            </w:r>
            <w:r>
              <w:rPr>
                <w:sz w:val="20"/>
                <w:szCs w:val="20"/>
                <w:spacing w:val="10"/>
              </w:rPr>
              <w:t>多套收集系统或中继风机。废气收集系统的输送管道应密闭、无破损。含</w:t>
            </w:r>
            <w:r>
              <w:rPr>
                <w:rFonts w:ascii="Times New Roman" w:hAnsi="Times New Roman" w:eastAsia="Times New Roman" w:cs="Times New Roman"/>
                <w:sz w:val="20"/>
                <w:szCs w:val="20"/>
              </w:rPr>
              <w:t>VOCs</w:t>
            </w:r>
            <w:r>
              <w:rPr>
                <w:sz w:val="20"/>
                <w:szCs w:val="20"/>
                <w:spacing w:val="10"/>
              </w:rPr>
              <w:t>物料</w:t>
            </w:r>
            <w:r>
              <w:rPr>
                <w:sz w:val="20"/>
                <w:szCs w:val="20"/>
                <w:spacing w:val="15"/>
              </w:rPr>
              <w:t xml:space="preserve"> </w:t>
            </w:r>
            <w:r>
              <w:rPr>
                <w:sz w:val="20"/>
                <w:szCs w:val="20"/>
                <w:spacing w:val="11"/>
              </w:rPr>
              <w:t>输送原则上采用重力流或泵送方式；固体物料投加逐步推进采用密闭式投料装置。</w:t>
            </w:r>
          </w:p>
        </w:tc>
        <w:tc>
          <w:tcPr>
            <w:tcW w:w="4726" w:type="dxa"/>
            <w:vAlign w:val="top"/>
          </w:tcPr>
          <w:p>
            <w:pPr>
              <w:pStyle w:val="TableText"/>
              <w:ind w:left="116" w:right="95" w:firstLine="6"/>
              <w:spacing w:before="112" w:line="321" w:lineRule="auto"/>
              <w:jc w:val="both"/>
              <w:rPr>
                <w:sz w:val="20"/>
                <w:szCs w:val="20"/>
              </w:rPr>
            </w:pPr>
            <w:r>
              <w:rPr>
                <w:sz w:val="20"/>
                <w:szCs w:val="20"/>
                <w:spacing w:val="10"/>
              </w:rPr>
              <w:t>项目产生</w:t>
            </w:r>
            <w:r>
              <w:rPr>
                <w:rFonts w:ascii="Times New Roman" w:hAnsi="Times New Roman" w:eastAsia="Times New Roman" w:cs="Times New Roman"/>
                <w:sz w:val="20"/>
                <w:szCs w:val="20"/>
              </w:rPr>
              <w:t>VOCs</w:t>
            </w:r>
            <w:r>
              <w:rPr>
                <w:sz w:val="20"/>
                <w:szCs w:val="20"/>
                <w:spacing w:val="10"/>
              </w:rPr>
              <w:t>的生产环节设置在生产车间内，运</w:t>
            </w:r>
            <w:r>
              <w:rPr>
                <w:sz w:val="20"/>
                <w:szCs w:val="20"/>
                <w:spacing w:val="9"/>
              </w:rPr>
              <w:t xml:space="preserve"> </w:t>
            </w:r>
            <w:r>
              <w:rPr>
                <w:sz w:val="20"/>
                <w:szCs w:val="20"/>
                <w:spacing w:val="10"/>
              </w:rPr>
              <w:t>营期做好设备车间密闭，在密闭空间中操作</w:t>
            </w:r>
            <w:r>
              <w:rPr>
                <w:rFonts w:ascii="Times New Roman" w:hAnsi="Times New Roman" w:eastAsia="Times New Roman" w:cs="Times New Roman"/>
                <w:sz w:val="20"/>
                <w:szCs w:val="20"/>
                <w:spacing w:val="10"/>
              </w:rPr>
              <w:t>.</w:t>
            </w:r>
            <w:r>
              <w:rPr>
                <w:sz w:val="20"/>
                <w:szCs w:val="20"/>
                <w:spacing w:val="10"/>
              </w:rPr>
              <w:t>项目</w:t>
            </w:r>
            <w:r>
              <w:rPr>
                <w:sz w:val="20"/>
                <w:szCs w:val="20"/>
                <w:spacing w:val="9"/>
              </w:rPr>
              <w:t xml:space="preserve"> </w:t>
            </w:r>
            <w:r>
              <w:rPr>
                <w:sz w:val="20"/>
                <w:szCs w:val="20"/>
                <w:spacing w:val="5"/>
              </w:rPr>
              <w:t>废气收集采用局部收集方式，废气收集系统排</w:t>
            </w:r>
            <w:r>
              <w:rPr>
                <w:sz w:val="20"/>
                <w:szCs w:val="20"/>
                <w:spacing w:val="4"/>
              </w:rPr>
              <w:t>风罩</w:t>
            </w:r>
            <w:r>
              <w:rPr>
                <w:sz w:val="20"/>
                <w:szCs w:val="20"/>
              </w:rPr>
              <w:t xml:space="preserve"> </w:t>
            </w:r>
            <w:r>
              <w:rPr>
                <w:sz w:val="20"/>
                <w:szCs w:val="20"/>
                <w:spacing w:val="10"/>
              </w:rPr>
              <w:t>开口面最远处的</w:t>
            </w:r>
            <w:r>
              <w:rPr>
                <w:rFonts w:ascii="Times New Roman" w:hAnsi="Times New Roman" w:eastAsia="Times New Roman" w:cs="Times New Roman"/>
                <w:sz w:val="20"/>
                <w:szCs w:val="20"/>
              </w:rPr>
              <w:t>VOCs</w:t>
            </w:r>
            <w:r>
              <w:rPr>
                <w:sz w:val="20"/>
                <w:szCs w:val="20"/>
                <w:spacing w:val="10"/>
              </w:rPr>
              <w:t>无组织排放位置控制风速不</w:t>
            </w:r>
            <w:r>
              <w:rPr>
                <w:sz w:val="20"/>
                <w:szCs w:val="20"/>
                <w:spacing w:val="16"/>
              </w:rPr>
              <w:t xml:space="preserve"> </w:t>
            </w:r>
            <w:r>
              <w:rPr>
                <w:sz w:val="20"/>
                <w:szCs w:val="20"/>
                <w:spacing w:val="7"/>
              </w:rPr>
              <w:t>低于</w:t>
            </w:r>
            <w:r>
              <w:rPr>
                <w:rFonts w:ascii="Times New Roman" w:hAnsi="Times New Roman" w:eastAsia="Times New Roman" w:cs="Times New Roman"/>
                <w:sz w:val="20"/>
                <w:szCs w:val="20"/>
                <w:spacing w:val="7"/>
              </w:rPr>
              <w:t>0.3m/s</w:t>
            </w:r>
            <w:r>
              <w:rPr>
                <w:sz w:val="20"/>
                <w:szCs w:val="20"/>
                <w:spacing w:val="7"/>
              </w:rPr>
              <w:t>；项目在一个密闭生产车</w:t>
            </w:r>
            <w:r>
              <w:rPr>
                <w:sz w:val="20"/>
                <w:szCs w:val="20"/>
                <w:spacing w:val="6"/>
              </w:rPr>
              <w:t>间内生产，已</w:t>
            </w:r>
            <w:r>
              <w:rPr>
                <w:sz w:val="20"/>
                <w:szCs w:val="20"/>
              </w:rPr>
              <w:t xml:space="preserve"> </w:t>
            </w:r>
            <w:r>
              <w:rPr>
                <w:sz w:val="20"/>
                <w:szCs w:val="20"/>
                <w:spacing w:val="5"/>
              </w:rPr>
              <w:t>采取全密闭措施，经局部密闭式集气罩收集工</w:t>
            </w:r>
            <w:r>
              <w:rPr>
                <w:sz w:val="20"/>
                <w:szCs w:val="20"/>
                <w:spacing w:val="4"/>
              </w:rPr>
              <w:t>段可</w:t>
            </w:r>
            <w:r>
              <w:rPr>
                <w:sz w:val="20"/>
                <w:szCs w:val="20"/>
              </w:rPr>
              <w:t xml:space="preserve"> </w:t>
            </w:r>
            <w:r>
              <w:rPr>
                <w:sz w:val="20"/>
                <w:szCs w:val="20"/>
                <w:spacing w:val="5"/>
              </w:rPr>
              <w:t>确保废气收集在微负压状态。项目运营期企业</w:t>
            </w:r>
            <w:r>
              <w:rPr>
                <w:sz w:val="20"/>
                <w:szCs w:val="20"/>
                <w:spacing w:val="4"/>
              </w:rPr>
              <w:t>应严</w:t>
            </w:r>
            <w:r>
              <w:rPr>
                <w:sz w:val="20"/>
                <w:szCs w:val="20"/>
              </w:rPr>
              <w:t xml:space="preserve"> </w:t>
            </w:r>
            <w:r>
              <w:rPr>
                <w:sz w:val="20"/>
                <w:szCs w:val="20"/>
                <w:spacing w:val="5"/>
              </w:rPr>
              <w:t>格按照排查检查要点一一核查与检验，确保废</w:t>
            </w:r>
            <w:r>
              <w:rPr>
                <w:sz w:val="20"/>
                <w:szCs w:val="20"/>
                <w:spacing w:val="4"/>
              </w:rPr>
              <w:t>气收</w:t>
            </w:r>
            <w:r>
              <w:rPr>
                <w:sz w:val="20"/>
                <w:szCs w:val="20"/>
              </w:rPr>
              <w:t xml:space="preserve"> </w:t>
            </w:r>
            <w:r>
              <w:rPr>
                <w:sz w:val="20"/>
                <w:szCs w:val="20"/>
                <w:spacing w:val="5"/>
              </w:rPr>
              <w:t>集系统的输送管道应密闭、无破损；原料在常</w:t>
            </w:r>
            <w:r>
              <w:rPr>
                <w:sz w:val="20"/>
                <w:szCs w:val="20"/>
                <w:spacing w:val="4"/>
              </w:rPr>
              <w:t>温状</w:t>
            </w:r>
          </w:p>
          <w:p>
            <w:pPr>
              <w:pStyle w:val="TableText"/>
              <w:ind w:left="1273"/>
              <w:spacing w:before="113" w:line="210" w:lineRule="auto"/>
              <w:rPr>
                <w:sz w:val="20"/>
                <w:szCs w:val="20"/>
              </w:rPr>
            </w:pPr>
            <w:r>
              <w:rPr>
                <w:sz w:val="20"/>
                <w:szCs w:val="20"/>
                <w:spacing w:val="10"/>
              </w:rPr>
              <w:t>态下无</w:t>
            </w:r>
            <w:r>
              <w:rPr>
                <w:rFonts w:ascii="Times New Roman" w:hAnsi="Times New Roman" w:eastAsia="Times New Roman" w:cs="Times New Roman"/>
                <w:sz w:val="20"/>
                <w:szCs w:val="20"/>
              </w:rPr>
              <w:t>VOCs</w:t>
            </w:r>
            <w:r>
              <w:rPr>
                <w:sz w:val="20"/>
                <w:szCs w:val="20"/>
                <w:spacing w:val="10"/>
              </w:rPr>
              <w:t>废气排放。</w:t>
            </w:r>
          </w:p>
        </w:tc>
        <w:tc>
          <w:tcPr>
            <w:tcW w:w="917" w:type="dxa"/>
            <w:vAlign w:val="top"/>
            <w:tcBorders>
              <w:right w:val="single" w:color="000000" w:sz="10" w:space="0"/>
            </w:tcBorders>
          </w:tcPr>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left="260"/>
              <w:spacing w:before="65" w:line="228" w:lineRule="auto"/>
              <w:rPr>
                <w:sz w:val="20"/>
                <w:szCs w:val="20"/>
              </w:rPr>
            </w:pPr>
            <w:r>
              <w:rPr>
                <w:sz w:val="20"/>
                <w:szCs w:val="20"/>
                <w:spacing w:val="3"/>
              </w:rPr>
              <w:t>符合</w:t>
            </w:r>
          </w:p>
        </w:tc>
      </w:tr>
      <w:tr>
        <w:trPr>
          <w:trHeight w:val="1440" w:hRule="atLeast"/>
        </w:trPr>
        <w:tc>
          <w:tcPr>
            <w:tcW w:w="651" w:type="dxa"/>
            <w:vAlign w:val="top"/>
            <w:vMerge w:val="restart"/>
            <w:tcBorders>
              <w:left w:val="single" w:color="000000" w:sz="10" w:space="0"/>
              <w:bottom w:val="nil"/>
            </w:tcBorders>
          </w:tcPr>
          <w:p>
            <w:pPr>
              <w:spacing w:line="248" w:lineRule="auto"/>
              <w:rPr>
                <w:rFonts w:ascii="Arial"/>
                <w:sz w:val="21"/>
              </w:rPr>
            </w:pPr>
            <w:r/>
          </w:p>
          <w:p>
            <w:pPr>
              <w:pStyle w:val="TableText"/>
              <w:ind w:left="104" w:right="121" w:firstLine="2"/>
              <w:spacing w:before="65" w:line="306" w:lineRule="auto"/>
              <w:rPr>
                <w:sz w:val="20"/>
                <w:szCs w:val="20"/>
              </w:rPr>
            </w:pPr>
            <w:r>
              <w:rPr>
                <w:sz w:val="20"/>
                <w:szCs w:val="20"/>
                <w:spacing w:val="3"/>
              </w:rPr>
              <w:t>六、</w:t>
            </w:r>
            <w:r>
              <w:rPr>
                <w:sz w:val="20"/>
                <w:szCs w:val="20"/>
              </w:rPr>
              <w:t xml:space="preserve"> </w:t>
            </w:r>
            <w:r>
              <w:rPr>
                <w:sz w:val="20"/>
                <w:szCs w:val="20"/>
                <w:spacing w:val="5"/>
              </w:rPr>
              <w:t>有机</w:t>
            </w:r>
            <w:r>
              <w:rPr>
                <w:sz w:val="20"/>
                <w:szCs w:val="20"/>
              </w:rPr>
              <w:t xml:space="preserve"> </w:t>
            </w:r>
            <w:r>
              <w:rPr>
                <w:sz w:val="20"/>
                <w:szCs w:val="20"/>
                <w:spacing w:val="5"/>
              </w:rPr>
              <w:t>废气</w:t>
            </w:r>
            <w:r>
              <w:rPr>
                <w:sz w:val="20"/>
                <w:szCs w:val="20"/>
              </w:rPr>
              <w:t xml:space="preserve"> </w:t>
            </w:r>
            <w:r>
              <w:rPr>
                <w:sz w:val="20"/>
                <w:szCs w:val="20"/>
                <w:spacing w:val="5"/>
              </w:rPr>
              <w:t>旁路</w:t>
            </w:r>
          </w:p>
        </w:tc>
        <w:tc>
          <w:tcPr>
            <w:tcW w:w="7872" w:type="dxa"/>
            <w:vAlign w:val="top"/>
          </w:tcPr>
          <w:p>
            <w:pPr>
              <w:pStyle w:val="TableText"/>
              <w:ind w:left="101"/>
              <w:spacing w:before="129" w:line="228" w:lineRule="auto"/>
              <w:rPr>
                <w:sz w:val="20"/>
                <w:szCs w:val="20"/>
              </w:rPr>
            </w:pPr>
            <w:r>
              <w:rPr>
                <w:sz w:val="20"/>
                <w:szCs w:val="20"/>
                <w:spacing w:val="7"/>
              </w:rPr>
              <w:t>存在的突出问题。生产设施和治理设施旁路数量多、管线设置隐蔽，未将旁路纳入日</w:t>
            </w:r>
          </w:p>
          <w:p>
            <w:pPr>
              <w:pStyle w:val="TableText"/>
              <w:ind w:right="9"/>
              <w:spacing w:before="113" w:line="228" w:lineRule="auto"/>
              <w:jc w:val="right"/>
              <w:rPr>
                <w:sz w:val="20"/>
                <w:szCs w:val="20"/>
              </w:rPr>
            </w:pPr>
            <w:r>
              <w:rPr>
                <w:sz w:val="20"/>
                <w:szCs w:val="20"/>
                <w:spacing w:val="4"/>
              </w:rPr>
              <w:t>常监管，旁路烟道、阀门漏风严重，部分企业以安全为由通过末端治理设施应</w:t>
            </w:r>
            <w:r>
              <w:rPr>
                <w:sz w:val="20"/>
                <w:szCs w:val="20"/>
                <w:spacing w:val="3"/>
              </w:rPr>
              <w:t>急排口、</w:t>
            </w:r>
          </w:p>
          <w:p>
            <w:pPr>
              <w:pStyle w:val="TableText"/>
              <w:ind w:left="2366" w:right="104" w:hanging="2259"/>
              <w:spacing w:before="113" w:line="268" w:lineRule="auto"/>
              <w:rPr>
                <w:sz w:val="20"/>
                <w:szCs w:val="20"/>
              </w:rPr>
            </w:pPr>
            <w:r>
              <w:rPr>
                <w:sz w:val="20"/>
                <w:szCs w:val="20"/>
                <w:spacing w:val="7"/>
              </w:rPr>
              <w:t>治理设施中间工序直排管线、焦炉热备烟囱等直排、偷排，部分企业伪</w:t>
            </w:r>
            <w:r>
              <w:rPr>
                <w:sz w:val="20"/>
                <w:szCs w:val="20"/>
                <w:spacing w:val="6"/>
              </w:rPr>
              <w:t>造旁路管理台</w:t>
            </w:r>
            <w:r>
              <w:rPr>
                <w:sz w:val="20"/>
                <w:szCs w:val="20"/>
              </w:rPr>
              <w:t xml:space="preserve"> </w:t>
            </w:r>
            <w:r>
              <w:rPr>
                <w:sz w:val="20"/>
                <w:szCs w:val="20"/>
                <w:spacing w:val="8"/>
              </w:rPr>
              <w:t>账或篡改中控系统旁路开启参数。</w:t>
            </w:r>
          </w:p>
        </w:tc>
        <w:tc>
          <w:tcPr>
            <w:tcW w:w="4726" w:type="dxa"/>
            <w:vAlign w:val="top"/>
          </w:tcPr>
          <w:p>
            <w:pPr>
              <w:pStyle w:val="TableText"/>
              <w:ind w:left="118" w:right="45" w:firstLine="1"/>
              <w:spacing w:before="130" w:line="297" w:lineRule="auto"/>
              <w:jc w:val="both"/>
              <w:rPr>
                <w:sz w:val="20"/>
                <w:szCs w:val="20"/>
              </w:rPr>
            </w:pPr>
            <w:r>
              <w:rPr>
                <w:sz w:val="20"/>
                <w:szCs w:val="20"/>
                <w:spacing w:val="7"/>
              </w:rPr>
              <w:t>项目在主要产生废气工段设置局部密闭式集气罩，</w:t>
            </w:r>
            <w:r>
              <w:rPr>
                <w:sz w:val="20"/>
                <w:szCs w:val="20"/>
              </w:rPr>
              <w:t xml:space="preserve"> </w:t>
            </w:r>
            <w:r>
              <w:rPr>
                <w:sz w:val="20"/>
                <w:szCs w:val="20"/>
                <w:spacing w:val="4"/>
              </w:rPr>
              <w:t>无旁路废气，项目运营期，企业应严格按照排查检</w:t>
            </w:r>
            <w:r>
              <w:rPr>
                <w:sz w:val="20"/>
                <w:szCs w:val="20"/>
                <w:spacing w:val="18"/>
              </w:rPr>
              <w:t xml:space="preserve"> </w:t>
            </w:r>
            <w:r>
              <w:rPr>
                <w:sz w:val="20"/>
                <w:szCs w:val="20"/>
                <w:spacing w:val="4"/>
              </w:rPr>
              <w:t>查要点一一核查与检验，确保废气收集系统的输送</w:t>
            </w:r>
          </w:p>
          <w:p>
            <w:pPr>
              <w:pStyle w:val="TableText"/>
              <w:ind w:left="1329"/>
              <w:spacing w:before="112" w:line="204" w:lineRule="auto"/>
              <w:rPr>
                <w:sz w:val="20"/>
                <w:szCs w:val="20"/>
              </w:rPr>
            </w:pPr>
            <w:r>
              <w:rPr>
                <w:sz w:val="20"/>
                <w:szCs w:val="20"/>
                <w:spacing w:val="7"/>
              </w:rPr>
              <w:t>管道应密闭、无破损。</w:t>
            </w:r>
          </w:p>
        </w:tc>
        <w:tc>
          <w:tcPr>
            <w:tcW w:w="917" w:type="dxa"/>
            <w:vAlign w:val="top"/>
            <w:tcBorders>
              <w:right w:val="single" w:color="000000" w:sz="10" w:space="0"/>
            </w:tcBorders>
          </w:tcPr>
          <w:p>
            <w:pPr>
              <w:spacing w:line="300" w:lineRule="auto"/>
              <w:rPr>
                <w:rFonts w:ascii="Arial"/>
                <w:sz w:val="21"/>
              </w:rPr>
            </w:pPr>
            <w:r/>
          </w:p>
          <w:p>
            <w:pPr>
              <w:spacing w:line="300" w:lineRule="auto"/>
              <w:rPr>
                <w:rFonts w:ascii="Arial"/>
                <w:sz w:val="21"/>
              </w:rPr>
            </w:pPr>
            <w:r/>
          </w:p>
          <w:p>
            <w:pPr>
              <w:pStyle w:val="TableText"/>
              <w:ind w:left="260"/>
              <w:spacing w:before="65" w:line="228" w:lineRule="auto"/>
              <w:rPr>
                <w:sz w:val="20"/>
                <w:szCs w:val="20"/>
              </w:rPr>
            </w:pPr>
            <w:r>
              <w:rPr>
                <w:sz w:val="20"/>
                <w:szCs w:val="20"/>
                <w:spacing w:val="3"/>
              </w:rPr>
              <w:t>符合</w:t>
            </w:r>
          </w:p>
        </w:tc>
      </w:tr>
      <w:tr>
        <w:trPr>
          <w:trHeight w:val="386" w:hRule="atLeast"/>
        </w:trPr>
        <w:tc>
          <w:tcPr>
            <w:tcW w:w="651" w:type="dxa"/>
            <w:vAlign w:val="top"/>
            <w:vMerge w:val="continue"/>
            <w:tcBorders>
              <w:left w:val="single" w:color="000000" w:sz="10" w:space="0"/>
              <w:bottom w:val="single" w:color="000000" w:sz="10" w:space="0"/>
              <w:top w:val="nil"/>
            </w:tcBorders>
          </w:tcPr>
          <w:p>
            <w:pPr>
              <w:rPr>
                <w:rFonts w:ascii="Arial"/>
                <w:sz w:val="21"/>
              </w:rPr>
            </w:pPr>
            <w:r/>
          </w:p>
        </w:tc>
        <w:tc>
          <w:tcPr>
            <w:tcW w:w="7872" w:type="dxa"/>
            <w:vAlign w:val="top"/>
            <w:tcBorders>
              <w:bottom w:val="single" w:color="000000" w:sz="10" w:space="0"/>
            </w:tcBorders>
          </w:tcPr>
          <w:p>
            <w:pPr>
              <w:pStyle w:val="TableText"/>
              <w:ind w:left="107"/>
              <w:spacing w:before="134" w:line="223" w:lineRule="auto"/>
              <w:rPr>
                <w:sz w:val="20"/>
                <w:szCs w:val="20"/>
              </w:rPr>
            </w:pPr>
            <w:r>
              <w:rPr>
                <w:sz w:val="20"/>
                <w:szCs w:val="20"/>
                <w:spacing w:val="7"/>
              </w:rPr>
              <w:t>治理要求。对生产系统和治理设施旁路进行系统评估，除保障安全生产</w:t>
            </w:r>
            <w:r>
              <w:rPr>
                <w:sz w:val="20"/>
                <w:szCs w:val="20"/>
                <w:spacing w:val="6"/>
              </w:rPr>
              <w:t>必须保留的应</w:t>
            </w:r>
          </w:p>
        </w:tc>
        <w:tc>
          <w:tcPr>
            <w:tcW w:w="4726" w:type="dxa"/>
            <w:vAlign w:val="top"/>
            <w:tcBorders>
              <w:bottom w:val="single" w:color="000000" w:sz="10" w:space="0"/>
            </w:tcBorders>
          </w:tcPr>
          <w:p>
            <w:pPr>
              <w:pStyle w:val="TableText"/>
              <w:ind w:left="173"/>
              <w:spacing w:before="134" w:line="223" w:lineRule="auto"/>
              <w:rPr>
                <w:sz w:val="20"/>
                <w:szCs w:val="20"/>
              </w:rPr>
            </w:pPr>
            <w:r>
              <w:rPr>
                <w:sz w:val="20"/>
                <w:szCs w:val="20"/>
                <w:spacing w:val="9"/>
              </w:rPr>
              <w:t>项目运营期企业应严格按照排查检查要点一一核</w:t>
            </w:r>
          </w:p>
        </w:tc>
        <w:tc>
          <w:tcPr>
            <w:tcW w:w="917" w:type="dxa"/>
            <w:vAlign w:val="top"/>
            <w:tcBorders>
              <w:bottom w:val="single" w:color="000000" w:sz="10" w:space="0"/>
              <w:right w:val="single" w:color="000000" w:sz="10" w:space="0"/>
            </w:tcBorders>
          </w:tcPr>
          <w:p>
            <w:pPr>
              <w:pStyle w:val="TableText"/>
              <w:ind w:left="260"/>
              <w:spacing w:before="134" w:line="223" w:lineRule="auto"/>
              <w:rPr>
                <w:sz w:val="20"/>
                <w:szCs w:val="20"/>
              </w:rPr>
            </w:pPr>
            <w:r>
              <w:rPr>
                <w:sz w:val="20"/>
                <w:szCs w:val="20"/>
                <w:spacing w:val="3"/>
              </w:rPr>
              <w:t>符合</w:t>
            </w:r>
          </w:p>
        </w:tc>
      </w:tr>
    </w:tbl>
    <w:p>
      <w:pPr>
        <w:pStyle w:val="BodyText"/>
        <w:rPr/>
      </w:pPr>
      <w:r/>
    </w:p>
    <w:p>
      <w:pPr>
        <w:sectPr>
          <w:footerReference w:type="default" r:id="rId149"/>
          <w:pgSz w:w="16839" w:h="11906"/>
          <w:pgMar w:top="400" w:right="1323" w:bottom="1211" w:left="1322" w:header="0" w:footer="1049" w:gutter="0"/>
        </w:sectPr>
        <w:rPr/>
      </w:pPr>
    </w:p>
    <w:p>
      <w:pPr>
        <w:spacing w:before="39"/>
        <w:rPr/>
      </w:pPr>
      <w:r/>
    </w:p>
    <w:p>
      <w:pPr>
        <w:spacing w:before="39"/>
        <w:rPr/>
      </w:pPr>
      <w:r/>
    </w:p>
    <w:p>
      <w:pPr>
        <w:spacing w:before="38"/>
        <w:rPr/>
      </w:pPr>
      <w:r/>
    </w:p>
    <w:p>
      <w:pPr>
        <w:spacing w:before="38"/>
        <w:rPr/>
      </w:pPr>
      <w:r/>
    </w:p>
    <w:p>
      <w:pPr>
        <w:spacing w:before="38"/>
        <w:rPr/>
      </w:pPr>
      <w:r/>
    </w:p>
    <w:tbl>
      <w:tblPr>
        <w:tblStyle w:val="TableNormal"/>
        <w:tblW w:w="14166"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1"/>
        <w:gridCol w:w="7872"/>
        <w:gridCol w:w="4726"/>
        <w:gridCol w:w="917"/>
      </w:tblGrid>
      <w:tr>
        <w:trPr>
          <w:trHeight w:val="2502" w:hRule="atLeast"/>
        </w:trPr>
        <w:tc>
          <w:tcPr>
            <w:tcW w:w="651" w:type="dxa"/>
            <w:vAlign w:val="top"/>
            <w:tcBorders>
              <w:left w:val="single" w:color="000000" w:sz="10" w:space="0"/>
              <w:top w:val="single" w:color="000000" w:sz="10" w:space="0"/>
            </w:tcBorders>
          </w:tcPr>
          <w:p>
            <w:pPr>
              <w:rPr>
                <w:rFonts w:ascii="Arial"/>
                <w:sz w:val="21"/>
              </w:rPr>
            </w:pPr>
            <w:r/>
          </w:p>
        </w:tc>
        <w:tc>
          <w:tcPr>
            <w:tcW w:w="7872" w:type="dxa"/>
            <w:vAlign w:val="top"/>
            <w:tcBorders>
              <w:top w:val="single" w:color="000000" w:sz="10" w:space="0"/>
            </w:tcBorders>
          </w:tcPr>
          <w:p>
            <w:pPr>
              <w:pStyle w:val="TableText"/>
              <w:ind w:left="101" w:right="104" w:firstLine="8"/>
              <w:spacing w:before="96" w:line="311" w:lineRule="auto"/>
              <w:jc w:val="both"/>
              <w:rPr>
                <w:sz w:val="20"/>
                <w:szCs w:val="20"/>
              </w:rPr>
            </w:pPr>
            <w:r>
              <w:rPr>
                <w:sz w:val="20"/>
                <w:szCs w:val="20"/>
                <w:spacing w:val="7"/>
              </w:rPr>
              <w:t>急类旁路外，应采取彻底拆除、切断、物理隔离等方式取缔旁路（含</w:t>
            </w:r>
            <w:r>
              <w:rPr>
                <w:sz w:val="20"/>
                <w:szCs w:val="20"/>
                <w:spacing w:val="6"/>
              </w:rPr>
              <w:t>生产车间、生产</w:t>
            </w:r>
            <w:r>
              <w:rPr>
                <w:sz w:val="20"/>
                <w:szCs w:val="20"/>
              </w:rPr>
              <w:t xml:space="preserve"> </w:t>
            </w:r>
            <w:r>
              <w:rPr>
                <w:sz w:val="20"/>
                <w:szCs w:val="20"/>
                <w:spacing w:val="7"/>
              </w:rPr>
              <w:t>装置建设的直排管线等）。对于确需保留的应急类旁路，企业应向当地生态环境部门</w:t>
            </w:r>
            <w:r>
              <w:rPr>
                <w:sz w:val="20"/>
                <w:szCs w:val="20"/>
              </w:rPr>
              <w:t xml:space="preserve"> </w:t>
            </w:r>
            <w:r>
              <w:rPr>
                <w:sz w:val="20"/>
                <w:szCs w:val="20"/>
                <w:spacing w:val="7"/>
              </w:rPr>
              <w:t>报备，在非紧急情况下保持关闭并铅封，通过安装自动监测设备、流量计等方式加强</w:t>
            </w:r>
            <w:r>
              <w:rPr>
                <w:sz w:val="20"/>
                <w:szCs w:val="20"/>
                <w:spacing w:val="1"/>
              </w:rPr>
              <w:t xml:space="preserve"> </w:t>
            </w:r>
            <w:r>
              <w:rPr>
                <w:sz w:val="20"/>
                <w:szCs w:val="20"/>
                <w:spacing w:val="7"/>
              </w:rPr>
              <w:t>监管，并保存历史记录，开启后应及时向当地生态环境部门报告，做好台账记录；阀</w:t>
            </w:r>
            <w:r>
              <w:rPr>
                <w:sz w:val="20"/>
                <w:szCs w:val="20"/>
                <w:spacing w:val="1"/>
              </w:rPr>
              <w:t xml:space="preserve"> </w:t>
            </w:r>
            <w:r>
              <w:rPr>
                <w:sz w:val="20"/>
                <w:szCs w:val="20"/>
                <w:spacing w:val="10"/>
              </w:rPr>
              <w:t>门腐蚀、损坏后应及时更换，鼓励选用泄漏率小于</w:t>
            </w:r>
            <w:r>
              <w:rPr>
                <w:rFonts w:ascii="Times New Roman" w:hAnsi="Times New Roman" w:eastAsia="Times New Roman" w:cs="Times New Roman"/>
                <w:sz w:val="20"/>
                <w:szCs w:val="20"/>
                <w:spacing w:val="10"/>
              </w:rPr>
              <w:t>0.5%</w:t>
            </w:r>
            <w:r>
              <w:rPr>
                <w:sz w:val="20"/>
                <w:szCs w:val="20"/>
                <w:spacing w:val="10"/>
              </w:rPr>
              <w:t>的阀门；建设有中控系统的</w:t>
            </w:r>
          </w:p>
          <w:p>
            <w:pPr>
              <w:pStyle w:val="TableText"/>
              <w:ind w:left="207" w:right="104" w:hanging="101"/>
              <w:spacing w:before="113" w:line="276" w:lineRule="auto"/>
              <w:rPr>
                <w:sz w:val="20"/>
                <w:szCs w:val="20"/>
              </w:rPr>
            </w:pPr>
            <w:r>
              <w:rPr>
                <w:sz w:val="20"/>
                <w:szCs w:val="20"/>
                <w:spacing w:val="7"/>
              </w:rPr>
              <w:t>企业，鼓励在旁路设置感应式阀门，阀门开启状态、开度等信号接入中控系</w:t>
            </w:r>
            <w:r>
              <w:rPr>
                <w:sz w:val="20"/>
                <w:szCs w:val="20"/>
                <w:spacing w:val="6"/>
              </w:rPr>
              <w:t>统，历史</w:t>
            </w:r>
            <w:r>
              <w:rPr>
                <w:sz w:val="20"/>
                <w:szCs w:val="20"/>
              </w:rPr>
              <w:t xml:space="preserve"> </w:t>
            </w:r>
            <w:r>
              <w:rPr>
                <w:sz w:val="20"/>
                <w:szCs w:val="20"/>
                <w:spacing w:val="9"/>
              </w:rPr>
              <w:t>记录至少保存</w:t>
            </w:r>
            <w:r>
              <w:rPr>
                <w:rFonts w:ascii="Times New Roman" w:hAnsi="Times New Roman" w:eastAsia="Times New Roman" w:cs="Times New Roman"/>
                <w:sz w:val="20"/>
                <w:szCs w:val="20"/>
                <w:spacing w:val="9"/>
              </w:rPr>
              <w:t>5</w:t>
            </w:r>
            <w:r>
              <w:rPr>
                <w:sz w:val="20"/>
                <w:szCs w:val="20"/>
                <w:spacing w:val="9"/>
              </w:rPr>
              <w:t>年。在保证安全的前提下，鼓励对旁路废气进行处理，防止直排。</w:t>
            </w:r>
          </w:p>
        </w:tc>
        <w:tc>
          <w:tcPr>
            <w:tcW w:w="4726" w:type="dxa"/>
            <w:vAlign w:val="top"/>
            <w:tcBorders>
              <w:top w:val="single" w:color="000000" w:sz="10" w:space="0"/>
            </w:tcBorders>
          </w:tcPr>
          <w:p>
            <w:pPr>
              <w:pStyle w:val="TableText"/>
              <w:ind w:left="118" w:right="29"/>
              <w:spacing w:before="95" w:line="297" w:lineRule="auto"/>
              <w:jc w:val="both"/>
              <w:rPr>
                <w:sz w:val="20"/>
                <w:szCs w:val="20"/>
              </w:rPr>
            </w:pPr>
            <w:r>
              <w:rPr>
                <w:sz w:val="20"/>
                <w:szCs w:val="20"/>
                <w:spacing w:val="7"/>
              </w:rPr>
              <w:t>查与检验，确保废气收集系统的输送管道应密闭、</w:t>
            </w:r>
            <w:r>
              <w:rPr>
                <w:sz w:val="20"/>
                <w:szCs w:val="20"/>
                <w:spacing w:val="17"/>
              </w:rPr>
              <w:t xml:space="preserve"> </w:t>
            </w:r>
            <w:r>
              <w:rPr>
                <w:sz w:val="20"/>
                <w:szCs w:val="20"/>
                <w:spacing w:val="4"/>
              </w:rPr>
              <w:t>无破损；严格按照文件中要求建设，项目不设置应 </w:t>
            </w:r>
            <w:r>
              <w:rPr>
                <w:sz w:val="20"/>
                <w:szCs w:val="20"/>
                <w:spacing w:val="4"/>
              </w:rPr>
              <w:t>急类旁路，在确需设置情况，严格按照治理要求做</w:t>
            </w:r>
          </w:p>
          <w:p>
            <w:pPr>
              <w:pStyle w:val="TableText"/>
              <w:ind w:left="1429"/>
              <w:spacing w:before="113" w:line="228" w:lineRule="auto"/>
              <w:rPr>
                <w:sz w:val="20"/>
                <w:szCs w:val="20"/>
              </w:rPr>
            </w:pPr>
            <w:r>
              <w:rPr>
                <w:sz w:val="20"/>
                <w:szCs w:val="20"/>
                <w:spacing w:val="7"/>
              </w:rPr>
              <w:t>好报备和记录工作。</w:t>
            </w:r>
          </w:p>
        </w:tc>
        <w:tc>
          <w:tcPr>
            <w:tcW w:w="917" w:type="dxa"/>
            <w:vAlign w:val="top"/>
            <w:tcBorders>
              <w:right w:val="single" w:color="000000" w:sz="10" w:space="0"/>
              <w:top w:val="single" w:color="000000" w:sz="10" w:space="0"/>
            </w:tcBorders>
          </w:tcPr>
          <w:p>
            <w:pPr>
              <w:rPr>
                <w:rFonts w:ascii="Arial"/>
                <w:sz w:val="21"/>
              </w:rPr>
            </w:pPr>
            <w:r/>
          </w:p>
        </w:tc>
      </w:tr>
      <w:tr>
        <w:trPr>
          <w:trHeight w:val="1081" w:hRule="atLeast"/>
        </w:trPr>
        <w:tc>
          <w:tcPr>
            <w:tcW w:w="651" w:type="dxa"/>
            <w:vAlign w:val="top"/>
            <w:vMerge w:val="restart"/>
            <w:tcBorders>
              <w:left w:val="single" w:color="000000" w:sz="10" w:space="0"/>
              <w:bottom w:val="nil"/>
            </w:tcBorders>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04" w:right="121"/>
              <w:spacing w:before="65" w:line="312" w:lineRule="auto"/>
              <w:rPr>
                <w:sz w:val="20"/>
                <w:szCs w:val="20"/>
              </w:rPr>
            </w:pPr>
            <w:r>
              <w:rPr>
                <w:sz w:val="20"/>
                <w:szCs w:val="20"/>
                <w:spacing w:val="5"/>
              </w:rPr>
              <w:t>七、</w:t>
            </w:r>
            <w:r>
              <w:rPr>
                <w:sz w:val="20"/>
                <w:szCs w:val="20"/>
              </w:rPr>
              <w:t xml:space="preserve"> </w:t>
            </w:r>
            <w:r>
              <w:rPr>
                <w:sz w:val="20"/>
                <w:szCs w:val="20"/>
                <w:spacing w:val="5"/>
              </w:rPr>
              <w:t>有机</w:t>
            </w:r>
            <w:r>
              <w:rPr>
                <w:sz w:val="20"/>
                <w:szCs w:val="20"/>
              </w:rPr>
              <w:t xml:space="preserve"> </w:t>
            </w:r>
            <w:r>
              <w:rPr>
                <w:sz w:val="20"/>
                <w:szCs w:val="20"/>
                <w:spacing w:val="5"/>
              </w:rPr>
              <w:t>废气</w:t>
            </w:r>
            <w:r>
              <w:rPr>
                <w:sz w:val="20"/>
                <w:szCs w:val="20"/>
              </w:rPr>
              <w:t xml:space="preserve"> </w:t>
            </w:r>
            <w:r>
              <w:rPr>
                <w:sz w:val="20"/>
                <w:szCs w:val="20"/>
                <w:spacing w:val="5"/>
              </w:rPr>
              <w:t>治理</w:t>
            </w:r>
            <w:r>
              <w:rPr>
                <w:sz w:val="20"/>
                <w:szCs w:val="20"/>
              </w:rPr>
              <w:t xml:space="preserve"> </w:t>
            </w:r>
            <w:r>
              <w:rPr>
                <w:sz w:val="20"/>
                <w:szCs w:val="20"/>
                <w:spacing w:val="5"/>
              </w:rPr>
              <w:t>设施</w:t>
            </w:r>
          </w:p>
        </w:tc>
        <w:tc>
          <w:tcPr>
            <w:tcW w:w="7872" w:type="dxa"/>
            <w:vAlign w:val="top"/>
          </w:tcPr>
          <w:p>
            <w:pPr>
              <w:pStyle w:val="TableText"/>
              <w:ind w:left="101"/>
              <w:spacing w:before="116" w:line="227" w:lineRule="auto"/>
              <w:rPr>
                <w:sz w:val="20"/>
                <w:szCs w:val="20"/>
              </w:rPr>
            </w:pPr>
            <w:r>
              <w:rPr>
                <w:sz w:val="20"/>
                <w:szCs w:val="20"/>
                <w:spacing w:val="7"/>
              </w:rPr>
              <w:t>存在的突出问题。治理设施设计不规范、与生产系统不匹配；光催化、光氧化、低温</w:t>
            </w:r>
          </w:p>
          <w:p>
            <w:pPr>
              <w:pStyle w:val="TableText"/>
              <w:ind w:left="999" w:right="33" w:hanging="895"/>
              <w:spacing w:before="114" w:line="274" w:lineRule="auto"/>
              <w:rPr>
                <w:sz w:val="20"/>
                <w:szCs w:val="20"/>
              </w:rPr>
            </w:pPr>
            <w:r>
              <w:rPr>
                <w:sz w:val="20"/>
                <w:szCs w:val="20"/>
                <w:spacing w:val="3"/>
              </w:rPr>
              <w:t>等离子等低效技术使用占比大、治理效果差；治理设施建设质量良莠不齐，应付治理、</w:t>
            </w:r>
            <w:r>
              <w:rPr>
                <w:sz w:val="20"/>
                <w:szCs w:val="20"/>
                <w:spacing w:val="14"/>
              </w:rPr>
              <w:t xml:space="preserve"> </w:t>
            </w:r>
            <w:r>
              <w:rPr>
                <w:sz w:val="20"/>
                <w:szCs w:val="20"/>
                <w:spacing w:val="9"/>
              </w:rPr>
              <w:t>无效治理等现象突出；治理设施运行不规范，定期维护不到位。</w:t>
            </w:r>
          </w:p>
        </w:tc>
        <w:tc>
          <w:tcPr>
            <w:tcW w:w="4726" w:type="dxa"/>
            <w:vAlign w:val="top"/>
          </w:tcPr>
          <w:p>
            <w:pPr>
              <w:pStyle w:val="TableText"/>
              <w:ind w:left="218"/>
              <w:spacing w:before="116" w:line="227" w:lineRule="auto"/>
              <w:rPr>
                <w:sz w:val="20"/>
                <w:szCs w:val="20"/>
              </w:rPr>
            </w:pPr>
            <w:r>
              <w:rPr>
                <w:sz w:val="20"/>
                <w:szCs w:val="20"/>
                <w:spacing w:val="9"/>
              </w:rPr>
              <w:t>项目废气治理措施采用活性炭吸附</w:t>
            </w:r>
            <w:r>
              <w:rPr>
                <w:rFonts w:ascii="Times New Roman" w:hAnsi="Times New Roman" w:eastAsia="Times New Roman" w:cs="Times New Roman"/>
                <w:sz w:val="20"/>
                <w:szCs w:val="20"/>
                <w:spacing w:val="9"/>
              </w:rPr>
              <w:t>+</w:t>
            </w:r>
            <w:r>
              <w:rPr>
                <w:sz w:val="20"/>
                <w:szCs w:val="20"/>
                <w:spacing w:val="9"/>
              </w:rPr>
              <w:t>直接催化燃</w:t>
            </w:r>
          </w:p>
          <w:p>
            <w:pPr>
              <w:pStyle w:val="TableText"/>
              <w:ind w:left="596" w:right="95" w:hanging="480"/>
              <w:spacing w:before="114" w:line="274" w:lineRule="auto"/>
              <w:rPr>
                <w:sz w:val="20"/>
                <w:szCs w:val="20"/>
              </w:rPr>
            </w:pPr>
            <w:r>
              <w:rPr>
                <w:sz w:val="20"/>
                <w:szCs w:val="20"/>
                <w:spacing w:val="5"/>
              </w:rPr>
              <w:t>烧法工艺，未使用文件中提出的低效技术，项</w:t>
            </w:r>
            <w:r>
              <w:rPr>
                <w:sz w:val="20"/>
                <w:szCs w:val="20"/>
                <w:spacing w:val="4"/>
              </w:rPr>
              <w:t>目运</w:t>
            </w:r>
            <w:r>
              <w:rPr>
                <w:sz w:val="20"/>
                <w:szCs w:val="20"/>
              </w:rPr>
              <w:t xml:space="preserve"> </w:t>
            </w:r>
            <w:r>
              <w:rPr>
                <w:sz w:val="20"/>
                <w:szCs w:val="20"/>
                <w:spacing w:val="8"/>
              </w:rPr>
              <w:t>营阶段做好规范运行和定期维护工作。</w:t>
            </w:r>
          </w:p>
        </w:tc>
        <w:tc>
          <w:tcPr>
            <w:tcW w:w="917" w:type="dxa"/>
            <w:vAlign w:val="top"/>
            <w:tcBorders>
              <w:right w:val="single" w:color="000000" w:sz="10" w:space="0"/>
            </w:tcBorders>
          </w:tcPr>
          <w:p>
            <w:pPr>
              <w:spacing w:line="408" w:lineRule="auto"/>
              <w:rPr>
                <w:rFonts w:ascii="Arial"/>
                <w:sz w:val="21"/>
              </w:rPr>
            </w:pPr>
            <w:r/>
          </w:p>
          <w:p>
            <w:pPr>
              <w:pStyle w:val="TableText"/>
              <w:ind w:left="260"/>
              <w:spacing w:before="65" w:line="228" w:lineRule="auto"/>
              <w:rPr>
                <w:sz w:val="20"/>
                <w:szCs w:val="20"/>
              </w:rPr>
            </w:pPr>
            <w:r>
              <w:rPr>
                <w:sz w:val="20"/>
                <w:szCs w:val="20"/>
                <w:spacing w:val="3"/>
              </w:rPr>
              <w:t>符合</w:t>
            </w:r>
          </w:p>
        </w:tc>
      </w:tr>
      <w:tr>
        <w:trPr>
          <w:trHeight w:val="4333" w:hRule="atLeast"/>
        </w:trPr>
        <w:tc>
          <w:tcPr>
            <w:tcW w:w="651" w:type="dxa"/>
            <w:vAlign w:val="top"/>
            <w:vMerge w:val="continue"/>
            <w:tcBorders>
              <w:left w:val="single" w:color="000000" w:sz="10" w:space="0"/>
              <w:bottom w:val="single" w:color="000000" w:sz="10" w:space="0"/>
              <w:top w:val="nil"/>
            </w:tcBorders>
          </w:tcPr>
          <w:p>
            <w:pPr>
              <w:rPr>
                <w:rFonts w:ascii="Arial"/>
                <w:sz w:val="21"/>
              </w:rPr>
            </w:pPr>
            <w:r/>
          </w:p>
        </w:tc>
        <w:tc>
          <w:tcPr>
            <w:tcW w:w="7872" w:type="dxa"/>
            <w:vAlign w:val="top"/>
            <w:tcBorders>
              <w:bottom w:val="single" w:color="000000" w:sz="10" w:space="0"/>
            </w:tcBorders>
          </w:tcPr>
          <w:p>
            <w:pPr>
              <w:pStyle w:val="TableText"/>
              <w:ind w:left="105" w:right="104" w:firstLine="4"/>
              <w:spacing w:before="120" w:line="280" w:lineRule="auto"/>
              <w:rPr>
                <w:sz w:val="20"/>
                <w:szCs w:val="20"/>
              </w:rPr>
            </w:pPr>
            <w:r>
              <w:rPr>
                <w:sz w:val="20"/>
                <w:szCs w:val="20"/>
                <w:spacing w:val="10"/>
              </w:rPr>
              <w:t>治理要求。新建治理设施或对现有治理设施实施改造，应依据排放废气特征、</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8"/>
              </w:rPr>
              <w:t xml:space="preserve"> </w:t>
            </w:r>
            <w:r>
              <w:rPr>
                <w:sz w:val="20"/>
                <w:szCs w:val="20"/>
                <w:spacing w:val="7"/>
              </w:rPr>
              <w:t>组分及浓度、生产工况等，合理选择治理技术；对治理难度大、单一治理工艺</w:t>
            </w:r>
            <w:r>
              <w:rPr>
                <w:sz w:val="20"/>
                <w:szCs w:val="20"/>
                <w:spacing w:val="6"/>
              </w:rPr>
              <w:t>难以稳</w:t>
            </w:r>
          </w:p>
          <w:p>
            <w:pPr>
              <w:pStyle w:val="TableText"/>
              <w:ind w:left="2784" w:right="33" w:hanging="2677"/>
              <w:spacing w:before="112" w:line="280" w:lineRule="auto"/>
              <w:rPr>
                <w:sz w:val="20"/>
                <w:szCs w:val="20"/>
              </w:rPr>
            </w:pPr>
            <w:r>
              <w:rPr>
                <w:sz w:val="20"/>
                <w:szCs w:val="20"/>
                <w:spacing w:val="3"/>
              </w:rPr>
              <w:t>定达标的，宜采用多种技术的组合工艺；除恶臭异味治理外，一般不使用低温等离子、</w:t>
            </w:r>
            <w:r>
              <w:rPr>
                <w:sz w:val="20"/>
                <w:szCs w:val="20"/>
                <w:spacing w:val="10"/>
              </w:rPr>
              <w:t xml:space="preserve"> </w:t>
            </w:r>
            <w:r>
              <w:rPr>
                <w:sz w:val="20"/>
                <w:szCs w:val="20"/>
                <w:spacing w:val="7"/>
              </w:rPr>
              <w:t>光催化、光氧化等技术。</w:t>
            </w:r>
          </w:p>
          <w:p>
            <w:pPr>
              <w:pStyle w:val="TableText"/>
              <w:ind w:left="103" w:right="33" w:hanging="1"/>
              <w:spacing w:before="112" w:line="315" w:lineRule="auto"/>
              <w:jc w:val="both"/>
              <w:rPr>
                <w:sz w:val="20"/>
                <w:szCs w:val="20"/>
              </w:rPr>
            </w:pPr>
            <w:r>
              <w:rPr>
                <w:sz w:val="20"/>
                <w:szCs w:val="20"/>
                <w:spacing w:val="6"/>
              </w:rPr>
              <w:t>加强运行维护管理，做到治理设施较生产设备“先启后停</w:t>
            </w:r>
            <w:r>
              <w:rPr>
                <w:sz w:val="20"/>
                <w:szCs w:val="20"/>
                <w:spacing w:val="-70"/>
              </w:rPr>
              <w:t xml:space="preserve"> </w:t>
            </w:r>
            <w:r>
              <w:rPr>
                <w:sz w:val="20"/>
                <w:szCs w:val="20"/>
                <w:spacing w:val="6"/>
              </w:rPr>
              <w:t>”，在治</w:t>
            </w:r>
            <w:r>
              <w:rPr>
                <w:sz w:val="20"/>
                <w:szCs w:val="20"/>
                <w:spacing w:val="5"/>
              </w:rPr>
              <w:t>理设施达到正常运 </w:t>
            </w:r>
            <w:r>
              <w:rPr>
                <w:sz w:val="20"/>
                <w:szCs w:val="20"/>
                <w:spacing w:val="10"/>
              </w:rPr>
              <w:t>行条件后方可启动生产设备，在生产设备停止、残留</w:t>
            </w:r>
            <w:r>
              <w:rPr>
                <w:rFonts w:ascii="Times New Roman" w:hAnsi="Times New Roman" w:eastAsia="Times New Roman" w:cs="Times New Roman"/>
                <w:sz w:val="20"/>
                <w:szCs w:val="20"/>
              </w:rPr>
              <w:t>VOCs</w:t>
            </w:r>
            <w:r>
              <w:rPr>
                <w:sz w:val="20"/>
                <w:szCs w:val="20"/>
                <w:spacing w:val="10"/>
              </w:rPr>
              <w:t>废气收集处理完毕后，</w:t>
            </w:r>
            <w:r>
              <w:rPr>
                <w:sz w:val="20"/>
                <w:szCs w:val="20"/>
                <w:spacing w:val="9"/>
              </w:rPr>
              <w:t>方 </w:t>
            </w:r>
            <w:r>
              <w:rPr>
                <w:sz w:val="20"/>
                <w:szCs w:val="20"/>
                <w:spacing w:val="3"/>
              </w:rPr>
              <w:t>可停运治理设施；及时清理、更换吸附剂、吸收剂、催化剂、蓄热体、过滤棉、灯管、</w:t>
            </w:r>
            <w:r>
              <w:rPr>
                <w:sz w:val="20"/>
                <w:szCs w:val="20"/>
                <w:spacing w:val="14"/>
              </w:rPr>
              <w:t xml:space="preserve"> </w:t>
            </w:r>
            <w:r>
              <w:rPr>
                <w:sz w:val="20"/>
                <w:szCs w:val="20"/>
                <w:spacing w:val="7"/>
              </w:rPr>
              <w:t>电器元件等治理设施耗材，确保设施能够稳定</w:t>
            </w:r>
            <w:r>
              <w:rPr>
                <w:sz w:val="20"/>
                <w:szCs w:val="20"/>
                <w:spacing w:val="6"/>
              </w:rPr>
              <w:t>高效运行；做好生产设备和治理设施启 </w:t>
            </w:r>
            <w:r>
              <w:rPr>
                <w:sz w:val="20"/>
                <w:szCs w:val="20"/>
                <w:spacing w:val="10"/>
              </w:rPr>
              <w:t>停机时间、检维修情况、治理设施耗材维护更换、处置</w:t>
            </w:r>
            <w:r>
              <w:rPr>
                <w:sz w:val="20"/>
                <w:szCs w:val="20"/>
                <w:spacing w:val="9"/>
              </w:rPr>
              <w:t>情况等台账记录；对于</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9"/>
              </w:rPr>
              <w:t xml:space="preserve">  </w:t>
            </w:r>
            <w:r>
              <w:rPr>
                <w:sz w:val="20"/>
                <w:szCs w:val="20"/>
                <w:spacing w:val="7"/>
              </w:rPr>
              <w:t>治理设施产生的废过滤棉、废催化剂、废吸附剂、废吸收剂、废有机溶剂等，应</w:t>
            </w:r>
            <w:r>
              <w:rPr>
                <w:sz w:val="20"/>
                <w:szCs w:val="20"/>
                <w:spacing w:val="6"/>
              </w:rPr>
              <w:t>及时</w:t>
            </w:r>
          </w:p>
          <w:p>
            <w:pPr>
              <w:pStyle w:val="TableText"/>
              <w:ind w:left="1523"/>
              <w:spacing w:before="114" w:line="228" w:lineRule="auto"/>
              <w:rPr>
                <w:sz w:val="20"/>
                <w:szCs w:val="20"/>
              </w:rPr>
            </w:pPr>
            <w:r>
              <w:rPr>
                <w:sz w:val="20"/>
                <w:szCs w:val="20"/>
                <w:spacing w:val="9"/>
              </w:rPr>
              <w:t>清运，属于危险废物的应交有资质的单位处理处置。</w:t>
            </w:r>
          </w:p>
          <w:p>
            <w:pPr>
              <w:pStyle w:val="TableText"/>
              <w:ind w:left="101"/>
              <w:spacing w:before="112" w:line="224" w:lineRule="auto"/>
              <w:rPr>
                <w:sz w:val="20"/>
                <w:szCs w:val="20"/>
              </w:rPr>
            </w:pPr>
            <w:r>
              <w:rPr>
                <w:sz w:val="20"/>
                <w:szCs w:val="20"/>
                <w:spacing w:val="7"/>
              </w:rPr>
              <w:t>采用活性炭吸附工艺的企业，应根据废气排放特征，按照相关工程技术规范设计净化</w:t>
            </w:r>
          </w:p>
        </w:tc>
        <w:tc>
          <w:tcPr>
            <w:tcW w:w="4726" w:type="dxa"/>
            <w:vAlign w:val="top"/>
            <w:tcBorders>
              <w:bottom w:val="single" w:color="000000" w:sz="10" w:space="0"/>
            </w:tcBorders>
          </w:tcPr>
          <w:p>
            <w:pPr>
              <w:pStyle w:val="TableText"/>
              <w:ind w:left="116" w:right="42" w:firstLine="4"/>
              <w:spacing w:before="117" w:line="323" w:lineRule="auto"/>
              <w:jc w:val="both"/>
              <w:rPr>
                <w:sz w:val="20"/>
                <w:szCs w:val="20"/>
              </w:rPr>
            </w:pPr>
            <w:r>
              <w:rPr>
                <w:sz w:val="20"/>
                <w:szCs w:val="20"/>
                <w:spacing w:val="8"/>
              </w:rPr>
              <w:t>项目废气治理措施采用“活性炭吸附</w:t>
            </w:r>
            <w:r>
              <w:rPr>
                <w:rFonts w:ascii="Times New Roman" w:hAnsi="Times New Roman" w:eastAsia="Times New Roman" w:cs="Times New Roman"/>
                <w:sz w:val="20"/>
                <w:szCs w:val="20"/>
                <w:spacing w:val="8"/>
              </w:rPr>
              <w:t>+</w:t>
            </w:r>
            <w:r>
              <w:rPr>
                <w:sz w:val="20"/>
                <w:szCs w:val="20"/>
                <w:spacing w:val="8"/>
              </w:rPr>
              <w:t>直接催化燃</w:t>
            </w:r>
            <w:r>
              <w:rPr>
                <w:sz w:val="20"/>
                <w:szCs w:val="20"/>
                <w:spacing w:val="15"/>
              </w:rPr>
              <w:t xml:space="preserve"> </w:t>
            </w:r>
            <w:r>
              <w:rPr>
                <w:sz w:val="20"/>
                <w:szCs w:val="20"/>
                <w:spacing w:val="3"/>
              </w:rPr>
              <w:t>烧法</w:t>
            </w:r>
            <w:r>
              <w:rPr>
                <w:sz w:val="20"/>
                <w:szCs w:val="20"/>
                <w:spacing w:val="-60"/>
              </w:rPr>
              <w:t xml:space="preserve"> </w:t>
            </w:r>
            <w:r>
              <w:rPr>
                <w:sz w:val="20"/>
                <w:szCs w:val="20"/>
                <w:spacing w:val="3"/>
              </w:rPr>
              <w:t>”技术，符合文件中“宜采用多种技术的组合</w:t>
            </w:r>
            <w:r>
              <w:rPr>
                <w:sz w:val="20"/>
                <w:szCs w:val="20"/>
              </w:rPr>
              <w:t xml:space="preserve"> </w:t>
            </w:r>
            <w:r>
              <w:rPr>
                <w:sz w:val="20"/>
                <w:szCs w:val="20"/>
                <w:spacing w:val="3"/>
              </w:rPr>
              <w:t>工艺</w:t>
            </w:r>
            <w:r>
              <w:rPr>
                <w:sz w:val="20"/>
                <w:szCs w:val="20"/>
                <w:spacing w:val="-60"/>
              </w:rPr>
              <w:t xml:space="preserve"> </w:t>
            </w:r>
            <w:r>
              <w:rPr>
                <w:sz w:val="20"/>
                <w:szCs w:val="20"/>
                <w:spacing w:val="3"/>
              </w:rPr>
              <w:t>”，运营期加强运行维护管理，做到治理设施</w:t>
            </w:r>
            <w:r>
              <w:rPr>
                <w:sz w:val="20"/>
                <w:szCs w:val="20"/>
              </w:rPr>
              <w:t xml:space="preserve"> </w:t>
            </w:r>
            <w:r>
              <w:rPr>
                <w:sz w:val="20"/>
                <w:szCs w:val="20"/>
                <w:spacing w:val="3"/>
              </w:rPr>
              <w:t>较生产设备“先启后停</w:t>
            </w:r>
            <w:r>
              <w:rPr>
                <w:sz w:val="20"/>
                <w:szCs w:val="20"/>
                <w:spacing w:val="-60"/>
              </w:rPr>
              <w:t xml:space="preserve"> </w:t>
            </w:r>
            <w:r>
              <w:rPr>
                <w:sz w:val="20"/>
                <w:szCs w:val="20"/>
                <w:spacing w:val="3"/>
              </w:rPr>
              <w:t>”，在治理设施达到正常运</w:t>
            </w:r>
            <w:r>
              <w:rPr>
                <w:sz w:val="20"/>
                <w:szCs w:val="20"/>
              </w:rPr>
              <w:t xml:space="preserve"> </w:t>
            </w:r>
            <w:r>
              <w:rPr>
                <w:sz w:val="20"/>
                <w:szCs w:val="20"/>
                <w:spacing w:val="5"/>
              </w:rPr>
              <w:t>行条件后方可启动生产设备，在生产设备停止</w:t>
            </w:r>
            <w:r>
              <w:rPr>
                <w:sz w:val="20"/>
                <w:szCs w:val="20"/>
                <w:spacing w:val="4"/>
              </w:rPr>
              <w:t>、残</w:t>
            </w:r>
            <w:r>
              <w:rPr>
                <w:sz w:val="20"/>
                <w:szCs w:val="20"/>
              </w:rPr>
              <w:t xml:space="preserve"> </w:t>
            </w:r>
            <w:r>
              <w:rPr>
                <w:sz w:val="20"/>
                <w:szCs w:val="20"/>
                <w:spacing w:val="3"/>
              </w:rPr>
              <w:t>留</w:t>
            </w:r>
            <w:r>
              <w:rPr>
                <w:rFonts w:ascii="Times New Roman" w:hAnsi="Times New Roman" w:eastAsia="Times New Roman" w:cs="Times New Roman"/>
                <w:sz w:val="20"/>
                <w:szCs w:val="20"/>
              </w:rPr>
              <w:t>VOCs</w:t>
            </w:r>
            <w:r>
              <w:rPr>
                <w:sz w:val="20"/>
                <w:szCs w:val="20"/>
                <w:spacing w:val="3"/>
              </w:rPr>
              <w:t>废气收集处理完毕后，方可停运治理设施；</w:t>
            </w:r>
            <w:r>
              <w:rPr>
                <w:sz w:val="20"/>
                <w:szCs w:val="20"/>
              </w:rPr>
              <w:t xml:space="preserve"> </w:t>
            </w:r>
            <w:r>
              <w:rPr>
                <w:sz w:val="20"/>
                <w:szCs w:val="20"/>
                <w:spacing w:val="7"/>
              </w:rPr>
              <w:t>及时清理、更换吸附剂、催化剂等治理设施耗材，</w:t>
            </w:r>
            <w:r>
              <w:rPr>
                <w:sz w:val="20"/>
                <w:szCs w:val="20"/>
                <w:spacing w:val="6"/>
              </w:rPr>
              <w:t xml:space="preserve"> </w:t>
            </w:r>
            <w:r>
              <w:rPr>
                <w:sz w:val="20"/>
                <w:szCs w:val="20"/>
                <w:spacing w:val="5"/>
              </w:rPr>
              <w:t>确保设施能够稳定高效运行；做好生产设备和</w:t>
            </w:r>
            <w:r>
              <w:rPr>
                <w:sz w:val="20"/>
                <w:szCs w:val="20"/>
                <w:spacing w:val="4"/>
              </w:rPr>
              <w:t>治理</w:t>
            </w:r>
            <w:r>
              <w:rPr>
                <w:sz w:val="20"/>
                <w:szCs w:val="20"/>
              </w:rPr>
              <w:t xml:space="preserve"> </w:t>
            </w:r>
            <w:r>
              <w:rPr>
                <w:sz w:val="20"/>
                <w:szCs w:val="20"/>
                <w:spacing w:val="5"/>
              </w:rPr>
              <w:t>设施启停机时间、检维修情况、治理设施耗材</w:t>
            </w:r>
            <w:r>
              <w:rPr>
                <w:sz w:val="20"/>
                <w:szCs w:val="20"/>
                <w:spacing w:val="4"/>
              </w:rPr>
              <w:t>维护</w:t>
            </w:r>
            <w:r>
              <w:rPr>
                <w:sz w:val="20"/>
                <w:szCs w:val="20"/>
              </w:rPr>
              <w:t xml:space="preserve"> </w:t>
            </w:r>
            <w:r>
              <w:rPr>
                <w:sz w:val="20"/>
                <w:szCs w:val="20"/>
                <w:spacing w:val="10"/>
              </w:rPr>
              <w:t>更换、处置情况等台账记录；对于</w:t>
            </w:r>
            <w:r>
              <w:rPr>
                <w:rFonts w:ascii="Times New Roman" w:hAnsi="Times New Roman" w:eastAsia="Times New Roman" w:cs="Times New Roman"/>
                <w:sz w:val="20"/>
                <w:szCs w:val="20"/>
              </w:rPr>
              <w:t>VOCs</w:t>
            </w:r>
            <w:r>
              <w:rPr>
                <w:sz w:val="20"/>
                <w:szCs w:val="20"/>
                <w:spacing w:val="10"/>
              </w:rPr>
              <w:t>治理设施</w:t>
            </w:r>
            <w:r>
              <w:rPr>
                <w:sz w:val="20"/>
                <w:szCs w:val="20"/>
                <w:spacing w:val="16"/>
              </w:rPr>
              <w:t xml:space="preserve"> </w:t>
            </w:r>
            <w:r>
              <w:rPr>
                <w:sz w:val="20"/>
                <w:szCs w:val="20"/>
                <w:spacing w:val="5"/>
              </w:rPr>
              <w:t>产生的废吸附剂及时清运，属于危险废物的应</w:t>
            </w:r>
            <w:r>
              <w:rPr>
                <w:sz w:val="20"/>
                <w:szCs w:val="20"/>
                <w:spacing w:val="4"/>
              </w:rPr>
              <w:t>交有</w:t>
            </w:r>
          </w:p>
          <w:p>
            <w:pPr>
              <w:pStyle w:val="TableText"/>
              <w:ind w:left="1333"/>
              <w:spacing w:before="114" w:line="224" w:lineRule="auto"/>
              <w:rPr>
                <w:sz w:val="20"/>
                <w:szCs w:val="20"/>
              </w:rPr>
            </w:pPr>
            <w:r>
              <w:rPr>
                <w:sz w:val="20"/>
                <w:szCs w:val="20"/>
                <w:spacing w:val="7"/>
              </w:rPr>
              <w:t>资质的单位处理处置。</w:t>
            </w:r>
          </w:p>
        </w:tc>
        <w:tc>
          <w:tcPr>
            <w:tcW w:w="917" w:type="dxa"/>
            <w:vAlign w:val="top"/>
            <w:tcBorders>
              <w:bottom w:val="single" w:color="000000" w:sz="10" w:space="0"/>
              <w:right w:val="single" w:color="000000" w:sz="10" w:space="0"/>
            </w:tcBorders>
          </w:tcPr>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260"/>
              <w:spacing w:before="65" w:line="228" w:lineRule="auto"/>
              <w:rPr>
                <w:sz w:val="20"/>
                <w:szCs w:val="20"/>
              </w:rPr>
            </w:pPr>
            <w:r>
              <w:rPr>
                <w:sz w:val="20"/>
                <w:szCs w:val="20"/>
                <w:spacing w:val="3"/>
              </w:rPr>
              <w:t>符合</w:t>
            </w:r>
          </w:p>
        </w:tc>
      </w:tr>
    </w:tbl>
    <w:p>
      <w:pPr>
        <w:pStyle w:val="BodyText"/>
        <w:rPr/>
      </w:pPr>
      <w:r/>
    </w:p>
    <w:p>
      <w:pPr>
        <w:sectPr>
          <w:footerReference w:type="default" r:id="rId150"/>
          <w:pgSz w:w="16839" w:h="11906"/>
          <w:pgMar w:top="400" w:right="1323" w:bottom="1211" w:left="1322" w:header="0" w:footer="1049" w:gutter="0"/>
        </w:sectPr>
        <w:rPr/>
      </w:pPr>
    </w:p>
    <w:p>
      <w:pPr>
        <w:spacing w:before="39"/>
        <w:rPr/>
      </w:pPr>
      <w:r/>
    </w:p>
    <w:p>
      <w:pPr>
        <w:spacing w:before="39"/>
        <w:rPr/>
      </w:pPr>
      <w:r/>
    </w:p>
    <w:p>
      <w:pPr>
        <w:spacing w:before="38"/>
        <w:rPr/>
      </w:pPr>
      <w:r/>
    </w:p>
    <w:p>
      <w:pPr>
        <w:spacing w:before="38"/>
        <w:rPr/>
      </w:pPr>
      <w:r/>
    </w:p>
    <w:p>
      <w:pPr>
        <w:spacing w:before="38"/>
        <w:rPr/>
      </w:pPr>
      <w:r/>
    </w:p>
    <w:tbl>
      <w:tblPr>
        <w:tblStyle w:val="TableNormal"/>
        <w:tblW w:w="14166"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1"/>
        <w:gridCol w:w="7872"/>
        <w:gridCol w:w="4726"/>
        <w:gridCol w:w="917"/>
      </w:tblGrid>
      <w:tr>
        <w:trPr>
          <w:trHeight w:val="3937" w:hRule="atLeast"/>
        </w:trPr>
        <w:tc>
          <w:tcPr>
            <w:tcW w:w="651" w:type="dxa"/>
            <w:vAlign w:val="top"/>
            <w:tcBorders>
              <w:left w:val="single" w:color="000000" w:sz="10" w:space="0"/>
              <w:top w:val="single" w:color="000000" w:sz="10" w:space="0"/>
            </w:tcBorders>
          </w:tcPr>
          <w:p>
            <w:pPr>
              <w:rPr>
                <w:rFonts w:ascii="Arial"/>
                <w:sz w:val="21"/>
              </w:rPr>
            </w:pPr>
            <w:r/>
          </w:p>
        </w:tc>
        <w:tc>
          <w:tcPr>
            <w:tcW w:w="7872" w:type="dxa"/>
            <w:vAlign w:val="top"/>
            <w:tcBorders>
              <w:top w:val="single" w:color="000000" w:sz="10" w:space="0"/>
            </w:tcBorders>
          </w:tcPr>
          <w:p>
            <w:pPr>
              <w:pStyle w:val="TableText"/>
              <w:ind w:left="101" w:right="104" w:firstLine="3"/>
              <w:spacing w:before="95" w:line="311" w:lineRule="auto"/>
              <w:jc w:val="both"/>
              <w:rPr>
                <w:sz w:val="20"/>
                <w:szCs w:val="20"/>
              </w:rPr>
            </w:pPr>
            <w:r>
              <w:rPr>
                <w:sz w:val="20"/>
                <w:szCs w:val="20"/>
                <w:spacing w:val="7"/>
              </w:rPr>
              <w:t>工艺和设备，使废气在吸附装置中有足够的停留时间，选择符合相关产品质量</w:t>
            </w:r>
            <w:r>
              <w:rPr>
                <w:sz w:val="20"/>
                <w:szCs w:val="20"/>
                <w:spacing w:val="6"/>
              </w:rPr>
              <w:t>标准的</w:t>
            </w:r>
            <w:r>
              <w:rPr>
                <w:sz w:val="20"/>
                <w:szCs w:val="20"/>
              </w:rPr>
              <w:t xml:space="preserve"> </w:t>
            </w:r>
            <w:r>
              <w:rPr>
                <w:sz w:val="20"/>
                <w:szCs w:val="20"/>
                <w:spacing w:val="11"/>
              </w:rPr>
              <w:t>活性炭，并足额充填、及时更换。采用颗粒活性炭作为吸附剂时，其碘值不宜低于</w:t>
            </w:r>
            <w:r>
              <w:rPr>
                <w:sz w:val="20"/>
                <w:szCs w:val="20"/>
                <w:spacing w:val="8"/>
              </w:rPr>
              <w:t xml:space="preserve"> </w:t>
            </w:r>
            <w:r>
              <w:rPr>
                <w:rFonts w:ascii="Times New Roman" w:hAnsi="Times New Roman" w:eastAsia="Times New Roman" w:cs="Times New Roman"/>
                <w:sz w:val="20"/>
                <w:szCs w:val="20"/>
                <w:spacing w:val="10"/>
              </w:rPr>
              <w:t>800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10"/>
              </w:rPr>
              <w:t>/g</w:t>
            </w:r>
            <w:r>
              <w:rPr>
                <w:sz w:val="20"/>
                <w:szCs w:val="20"/>
                <w:spacing w:val="10"/>
              </w:rPr>
              <w:t>；采用蜂窝活性炭作为吸附剂时，其碘值不宜低于</w:t>
            </w:r>
            <w:r>
              <w:rPr>
                <w:rFonts w:ascii="Times New Roman" w:hAnsi="Times New Roman" w:eastAsia="Times New Roman" w:cs="Times New Roman"/>
                <w:sz w:val="20"/>
                <w:szCs w:val="20"/>
                <w:spacing w:val="10"/>
              </w:rPr>
              <w:t>650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10"/>
              </w:rPr>
              <w:t>/g</w:t>
            </w:r>
            <w:r>
              <w:rPr>
                <w:sz w:val="20"/>
                <w:szCs w:val="20"/>
                <w:spacing w:val="10"/>
              </w:rPr>
              <w:t>；采用活性炭纤</w:t>
            </w:r>
            <w:r>
              <w:rPr>
                <w:sz w:val="20"/>
                <w:szCs w:val="20"/>
                <w:spacing w:val="4"/>
              </w:rPr>
              <w:t xml:space="preserve"> </w:t>
            </w:r>
            <w:r>
              <w:rPr>
                <w:sz w:val="20"/>
                <w:szCs w:val="20"/>
                <w:spacing w:val="8"/>
              </w:rPr>
              <w:t>维作为吸附剂时，其比表面积不低于</w:t>
            </w:r>
            <w:r>
              <w:rPr>
                <w:rFonts w:ascii="Times New Roman" w:hAnsi="Times New Roman" w:eastAsia="Times New Roman" w:cs="Times New Roman"/>
                <w:sz w:val="20"/>
                <w:szCs w:val="20"/>
                <w:spacing w:val="8"/>
              </w:rPr>
              <w:t>1100m</w:t>
            </w:r>
            <w:r>
              <w:rPr>
                <w:rFonts w:ascii="Times New Roman" w:hAnsi="Times New Roman" w:eastAsia="Times New Roman" w:cs="Times New Roman"/>
                <w:sz w:val="13"/>
                <w:szCs w:val="13"/>
                <w:spacing w:val="8"/>
                <w:position w:val="6"/>
              </w:rPr>
              <w:t>2</w:t>
            </w:r>
            <w:r>
              <w:rPr>
                <w:rFonts w:ascii="Times New Roman" w:hAnsi="Times New Roman" w:eastAsia="Times New Roman" w:cs="Times New Roman"/>
                <w:sz w:val="20"/>
                <w:szCs w:val="20"/>
                <w:spacing w:val="8"/>
              </w:rPr>
              <w:t>/g</w:t>
            </w:r>
            <w:r>
              <w:rPr>
                <w:sz w:val="20"/>
                <w:szCs w:val="20"/>
                <w:spacing w:val="8"/>
              </w:rPr>
              <w:t>（</w:t>
            </w:r>
            <w:r>
              <w:rPr>
                <w:rFonts w:ascii="Times New Roman" w:hAnsi="Times New Roman" w:eastAsia="Times New Roman" w:cs="Times New Roman"/>
                <w:sz w:val="20"/>
                <w:szCs w:val="20"/>
              </w:rPr>
              <w:t>BET</w:t>
            </w:r>
            <w:r>
              <w:rPr>
                <w:sz w:val="20"/>
                <w:szCs w:val="20"/>
                <w:spacing w:val="8"/>
              </w:rPr>
              <w:t>法）。一次性活</w:t>
            </w:r>
            <w:r>
              <w:rPr>
                <w:sz w:val="20"/>
                <w:szCs w:val="20"/>
                <w:spacing w:val="7"/>
              </w:rPr>
              <w:t>性炭吸附工艺宜</w:t>
            </w:r>
            <w:r>
              <w:rPr>
                <w:sz w:val="20"/>
                <w:szCs w:val="20"/>
              </w:rPr>
              <w:t xml:space="preserve"> </w:t>
            </w:r>
            <w:r>
              <w:rPr>
                <w:sz w:val="20"/>
                <w:szCs w:val="20"/>
                <w:spacing w:val="7"/>
              </w:rPr>
              <w:t>采用颗粒活性炭作为吸附剂。活性炭、活性炭纤维产品销售时应提供产品质量证明材</w:t>
            </w:r>
          </w:p>
          <w:p>
            <w:pPr>
              <w:pStyle w:val="TableText"/>
              <w:ind w:left="3726"/>
              <w:spacing w:before="114" w:line="228" w:lineRule="auto"/>
              <w:rPr>
                <w:sz w:val="20"/>
                <w:szCs w:val="20"/>
              </w:rPr>
            </w:pPr>
            <w:r>
              <w:rPr>
                <w:sz w:val="20"/>
                <w:szCs w:val="20"/>
              </w:rPr>
              <w:t>料。</w:t>
            </w:r>
          </w:p>
          <w:p>
            <w:pPr>
              <w:pStyle w:val="TableText"/>
              <w:ind w:left="101" w:right="49"/>
              <w:spacing w:before="113" w:line="297" w:lineRule="auto"/>
              <w:jc w:val="both"/>
              <w:rPr>
                <w:sz w:val="20"/>
                <w:szCs w:val="20"/>
              </w:rPr>
            </w:pPr>
            <w:r>
              <w:rPr>
                <w:sz w:val="20"/>
                <w:szCs w:val="20"/>
                <w:spacing w:val="7"/>
              </w:rPr>
              <w:t>采用催化燃烧工艺的企业应使用合格的催化剂并足额添加，催化剂床层的设计空速宜</w:t>
            </w:r>
            <w:r>
              <w:rPr>
                <w:sz w:val="20"/>
                <w:szCs w:val="20"/>
              </w:rPr>
              <w:t xml:space="preserve"> </w:t>
            </w:r>
            <w:r>
              <w:rPr>
                <w:sz w:val="20"/>
                <w:szCs w:val="20"/>
                <w:spacing w:val="6"/>
              </w:rPr>
              <w:t>低于</w:t>
            </w:r>
            <w:r>
              <w:rPr>
                <w:rFonts w:ascii="Times New Roman" w:hAnsi="Times New Roman" w:eastAsia="Times New Roman" w:cs="Times New Roman"/>
                <w:sz w:val="20"/>
                <w:szCs w:val="20"/>
                <w:spacing w:val="6"/>
              </w:rPr>
              <w:t>40000h-</w:t>
            </w:r>
            <w:r>
              <w:rPr>
                <w:rFonts w:ascii="Times New Roman" w:hAnsi="Times New Roman" w:eastAsia="Times New Roman" w:cs="Times New Roman"/>
                <w:sz w:val="20"/>
                <w:szCs w:val="20"/>
                <w:spacing w:val="-28"/>
              </w:rPr>
              <w:t xml:space="preserve"> </w:t>
            </w:r>
            <w:r>
              <w:rPr>
                <w:rFonts w:ascii="Times New Roman" w:hAnsi="Times New Roman" w:eastAsia="Times New Roman" w:cs="Times New Roman"/>
                <w:sz w:val="20"/>
                <w:szCs w:val="20"/>
                <w:spacing w:val="6"/>
              </w:rPr>
              <w:t>1</w:t>
            </w:r>
            <w:r>
              <w:rPr>
                <w:sz w:val="20"/>
                <w:szCs w:val="20"/>
                <w:spacing w:val="6"/>
              </w:rPr>
              <w:t>。采用非连续吸脱附治理工艺的，应按设计要</w:t>
            </w:r>
            <w:r>
              <w:rPr>
                <w:sz w:val="20"/>
                <w:szCs w:val="20"/>
                <w:spacing w:val="5"/>
              </w:rPr>
              <w:t>求及时解吸吸附的</w:t>
            </w:r>
            <w:r>
              <w:rPr>
                <w:rFonts w:ascii="Times New Roman" w:hAnsi="Times New Roman" w:eastAsia="Times New Roman" w:cs="Times New Roman"/>
                <w:sz w:val="20"/>
                <w:szCs w:val="20"/>
              </w:rPr>
              <w:t>VOCs</w:t>
            </w:r>
            <w:r>
              <w:rPr>
                <w:sz w:val="20"/>
                <w:szCs w:val="20"/>
                <w:spacing w:val="5"/>
              </w:rPr>
              <w:t>，</w:t>
            </w:r>
            <w:r>
              <w:rPr>
                <w:sz w:val="20"/>
                <w:szCs w:val="20"/>
              </w:rPr>
              <w:t xml:space="preserve"> </w:t>
            </w:r>
            <w:r>
              <w:rPr>
                <w:sz w:val="20"/>
                <w:szCs w:val="20"/>
                <w:spacing w:val="7"/>
              </w:rPr>
              <w:t>解吸气体应保证采用高效处理工艺处理后达标排放。蓄热式燃烧装置（</w:t>
            </w:r>
            <w:r>
              <w:rPr>
                <w:rFonts w:ascii="Times New Roman" w:hAnsi="Times New Roman" w:eastAsia="Times New Roman" w:cs="Times New Roman"/>
                <w:sz w:val="20"/>
                <w:szCs w:val="20"/>
              </w:rPr>
              <w:t>RTO</w:t>
            </w:r>
            <w:r>
              <w:rPr>
                <w:sz w:val="20"/>
                <w:szCs w:val="20"/>
                <w:spacing w:val="7"/>
              </w:rPr>
              <w:t>）燃烧温</w:t>
            </w:r>
          </w:p>
          <w:p>
            <w:pPr>
              <w:pStyle w:val="TableText"/>
              <w:ind w:left="2993" w:right="121" w:hanging="2877"/>
              <w:spacing w:before="113" w:line="274" w:lineRule="auto"/>
              <w:rPr>
                <w:sz w:val="20"/>
                <w:szCs w:val="20"/>
              </w:rPr>
            </w:pPr>
            <w:r>
              <w:rPr>
                <w:sz w:val="20"/>
                <w:szCs w:val="20"/>
                <w:spacing w:val="5"/>
              </w:rPr>
              <w:t>度一般不低于</w:t>
            </w:r>
            <w:r>
              <w:rPr>
                <w:rFonts w:ascii="Times New Roman" w:hAnsi="Times New Roman" w:eastAsia="Times New Roman" w:cs="Times New Roman"/>
                <w:sz w:val="20"/>
                <w:szCs w:val="20"/>
                <w:spacing w:val="5"/>
              </w:rPr>
              <w:t>760</w:t>
            </w:r>
            <w:r>
              <w:rPr>
                <w:sz w:val="20"/>
                <w:szCs w:val="20"/>
                <w:spacing w:val="5"/>
              </w:rPr>
              <w:t>℃</w:t>
            </w:r>
            <w:r>
              <w:rPr>
                <w:sz w:val="20"/>
                <w:szCs w:val="20"/>
                <w:spacing w:val="-75"/>
              </w:rPr>
              <w:t xml:space="preserve"> </w:t>
            </w:r>
            <w:r>
              <w:rPr>
                <w:sz w:val="20"/>
                <w:szCs w:val="20"/>
                <w:spacing w:val="5"/>
              </w:rPr>
              <w:t>,</w:t>
            </w:r>
            <w:r>
              <w:rPr>
                <w:sz w:val="20"/>
                <w:szCs w:val="20"/>
                <w:spacing w:val="59"/>
              </w:rPr>
              <w:t xml:space="preserve"> </w:t>
            </w:r>
            <w:r>
              <w:rPr>
                <w:sz w:val="20"/>
                <w:szCs w:val="20"/>
                <w:spacing w:val="5"/>
              </w:rPr>
              <w:t>催化燃烧装置（</w:t>
            </w:r>
            <w:r>
              <w:rPr>
                <w:rFonts w:ascii="Times New Roman" w:hAnsi="Times New Roman" w:eastAsia="Times New Roman" w:cs="Times New Roman"/>
                <w:sz w:val="20"/>
                <w:szCs w:val="20"/>
              </w:rPr>
              <w:t>CO</w:t>
            </w:r>
            <w:r>
              <w:rPr>
                <w:sz w:val="20"/>
                <w:szCs w:val="20"/>
                <w:spacing w:val="5"/>
              </w:rPr>
              <w:t>）燃烧温度一般不低于</w:t>
            </w:r>
            <w:r>
              <w:rPr>
                <w:rFonts w:ascii="Times New Roman" w:hAnsi="Times New Roman" w:eastAsia="Times New Roman" w:cs="Times New Roman"/>
                <w:sz w:val="20"/>
                <w:szCs w:val="20"/>
                <w:spacing w:val="5"/>
              </w:rPr>
              <w:t>30</w:t>
            </w:r>
            <w:r>
              <w:rPr>
                <w:rFonts w:ascii="Times New Roman" w:hAnsi="Times New Roman" w:eastAsia="Times New Roman" w:cs="Times New Roman"/>
                <w:sz w:val="20"/>
                <w:szCs w:val="20"/>
                <w:spacing w:val="4"/>
              </w:rPr>
              <w:t>0</w:t>
            </w:r>
            <w:r>
              <w:rPr>
                <w:sz w:val="20"/>
                <w:szCs w:val="20"/>
                <w:spacing w:val="4"/>
              </w:rPr>
              <w:t>℃</w:t>
            </w:r>
            <w:r>
              <w:rPr>
                <w:sz w:val="20"/>
                <w:szCs w:val="20"/>
                <w:spacing w:val="-75"/>
              </w:rPr>
              <w:t xml:space="preserve"> </w:t>
            </w:r>
            <w:r>
              <w:rPr>
                <w:sz w:val="20"/>
                <w:szCs w:val="20"/>
                <w:spacing w:val="4"/>
              </w:rPr>
              <w:t>,</w:t>
            </w:r>
            <w:r>
              <w:rPr>
                <w:sz w:val="20"/>
                <w:szCs w:val="20"/>
                <w:spacing w:val="59"/>
              </w:rPr>
              <w:t xml:space="preserve"> </w:t>
            </w:r>
            <w:r>
              <w:rPr>
                <w:sz w:val="20"/>
                <w:szCs w:val="20"/>
                <w:spacing w:val="4"/>
              </w:rPr>
              <w:t>相关温度参</w:t>
            </w:r>
            <w:r>
              <w:rPr>
                <w:sz w:val="20"/>
                <w:szCs w:val="20"/>
              </w:rPr>
              <w:t xml:space="preserve"> </w:t>
            </w:r>
            <w:r>
              <w:rPr>
                <w:sz w:val="20"/>
                <w:szCs w:val="20"/>
                <w:spacing w:val="7"/>
              </w:rPr>
              <w:t>数应自动记录存储。</w:t>
            </w:r>
          </w:p>
        </w:tc>
        <w:tc>
          <w:tcPr>
            <w:tcW w:w="4726" w:type="dxa"/>
            <w:vAlign w:val="top"/>
            <w:tcBorders>
              <w:top w:val="single" w:color="000000" w:sz="10" w:space="0"/>
            </w:tcBorders>
          </w:tcPr>
          <w:p>
            <w:pPr>
              <w:pStyle w:val="TableText"/>
              <w:ind w:left="118" w:right="95" w:hanging="1"/>
              <w:spacing w:before="97" w:line="316" w:lineRule="auto"/>
              <w:jc w:val="both"/>
              <w:rPr>
                <w:sz w:val="20"/>
                <w:szCs w:val="20"/>
              </w:rPr>
            </w:pPr>
            <w:r>
              <w:rPr>
                <w:sz w:val="20"/>
                <w:szCs w:val="20"/>
                <w:spacing w:val="5"/>
              </w:rPr>
              <w:t>本项目采用活性炭吸附</w:t>
            </w:r>
            <w:r>
              <w:rPr>
                <w:rFonts w:ascii="Times New Roman" w:hAnsi="Times New Roman" w:eastAsia="Times New Roman" w:cs="Times New Roman"/>
                <w:sz w:val="20"/>
                <w:szCs w:val="20"/>
                <w:spacing w:val="5"/>
              </w:rPr>
              <w:t>+</w:t>
            </w:r>
            <w:r>
              <w:rPr>
                <w:sz w:val="20"/>
                <w:szCs w:val="20"/>
                <w:spacing w:val="5"/>
              </w:rPr>
              <w:t>直接催化燃烧法（</w:t>
            </w:r>
            <w:r>
              <w:rPr>
                <w:rFonts w:ascii="Times New Roman" w:hAnsi="Times New Roman" w:eastAsia="Times New Roman" w:cs="Times New Roman"/>
                <w:sz w:val="20"/>
                <w:szCs w:val="20"/>
              </w:rPr>
              <w:t>CO</w:t>
            </w:r>
            <w:r>
              <w:rPr>
                <w:sz w:val="20"/>
                <w:szCs w:val="20"/>
                <w:spacing w:val="5"/>
              </w:rPr>
              <w:t>）工</w:t>
            </w:r>
            <w:r>
              <w:rPr>
                <w:sz w:val="20"/>
                <w:szCs w:val="20"/>
                <w:spacing w:val="11"/>
              </w:rPr>
              <w:t xml:space="preserve"> </w:t>
            </w:r>
            <w:r>
              <w:rPr>
                <w:sz w:val="20"/>
                <w:szCs w:val="20"/>
                <w:spacing w:val="4"/>
              </w:rPr>
              <w:t>艺，应根据废气排放特征，按照相关工程技术规范</w:t>
            </w:r>
            <w:r>
              <w:rPr>
                <w:sz w:val="20"/>
                <w:szCs w:val="20"/>
                <w:spacing w:val="17"/>
              </w:rPr>
              <w:t xml:space="preserve"> </w:t>
            </w:r>
            <w:r>
              <w:rPr>
                <w:sz w:val="20"/>
                <w:szCs w:val="20"/>
                <w:spacing w:val="4"/>
              </w:rPr>
              <w:t>设计净化工艺和设备，使废气在吸附装置中有足够</w:t>
            </w:r>
            <w:r>
              <w:rPr>
                <w:sz w:val="20"/>
                <w:szCs w:val="20"/>
                <w:spacing w:val="17"/>
              </w:rPr>
              <w:t xml:space="preserve"> </w:t>
            </w:r>
            <w:r>
              <w:rPr>
                <w:sz w:val="20"/>
                <w:szCs w:val="20"/>
                <w:spacing w:val="4"/>
              </w:rPr>
              <w:t>的停留时间，选择符合相关产品质量标准的活性炭</w:t>
            </w:r>
            <w:r>
              <w:rPr>
                <w:sz w:val="20"/>
                <w:szCs w:val="20"/>
                <w:spacing w:val="17"/>
              </w:rPr>
              <w:t xml:space="preserve"> </w:t>
            </w:r>
            <w:r>
              <w:rPr>
                <w:sz w:val="20"/>
                <w:szCs w:val="20"/>
                <w:spacing w:val="4"/>
              </w:rPr>
              <w:t>吸附，并足额充填、及时更换。采用颗粒活性炭作</w:t>
            </w:r>
            <w:r>
              <w:rPr>
                <w:sz w:val="20"/>
                <w:szCs w:val="20"/>
                <w:spacing w:val="14"/>
              </w:rPr>
              <w:t xml:space="preserve"> </w:t>
            </w:r>
            <w:r>
              <w:rPr>
                <w:sz w:val="20"/>
                <w:szCs w:val="20"/>
                <w:spacing w:val="8"/>
              </w:rPr>
              <w:t>为吸附剂时，其碘值不低于</w:t>
            </w:r>
            <w:r>
              <w:rPr>
                <w:rFonts w:ascii="Times New Roman" w:hAnsi="Times New Roman" w:eastAsia="Times New Roman" w:cs="Times New Roman"/>
                <w:sz w:val="20"/>
                <w:szCs w:val="20"/>
                <w:spacing w:val="8"/>
              </w:rPr>
              <w:t>800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8"/>
              </w:rPr>
              <w:t>/g</w:t>
            </w:r>
            <w:r>
              <w:rPr>
                <w:sz w:val="20"/>
                <w:szCs w:val="20"/>
                <w:spacing w:val="8"/>
              </w:rPr>
              <w:t>；采用蜂窝活</w:t>
            </w:r>
            <w:r>
              <w:rPr>
                <w:sz w:val="20"/>
                <w:szCs w:val="20"/>
                <w:spacing w:val="10"/>
              </w:rPr>
              <w:t xml:space="preserve"> </w:t>
            </w:r>
            <w:r>
              <w:rPr>
                <w:sz w:val="20"/>
                <w:szCs w:val="20"/>
                <w:spacing w:val="8"/>
              </w:rPr>
              <w:t>性炭作为吸附剂时，其碘值不低于</w:t>
            </w:r>
            <w:r>
              <w:rPr>
                <w:rFonts w:ascii="Times New Roman" w:hAnsi="Times New Roman" w:eastAsia="Times New Roman" w:cs="Times New Roman"/>
                <w:sz w:val="20"/>
                <w:szCs w:val="20"/>
                <w:spacing w:val="8"/>
              </w:rPr>
              <w:t>650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8"/>
              </w:rPr>
              <w:t>/g</w:t>
            </w:r>
            <w:r>
              <w:rPr>
                <w:sz w:val="20"/>
                <w:szCs w:val="20"/>
                <w:spacing w:val="8"/>
              </w:rPr>
              <w:t>；催化</w:t>
            </w:r>
          </w:p>
          <w:p>
            <w:pPr>
              <w:pStyle w:val="TableText"/>
              <w:ind w:left="497"/>
              <w:spacing w:before="120" w:line="227" w:lineRule="auto"/>
              <w:rPr>
                <w:sz w:val="20"/>
                <w:szCs w:val="20"/>
              </w:rPr>
            </w:pPr>
            <w:r>
              <w:rPr>
                <w:sz w:val="20"/>
                <w:szCs w:val="20"/>
                <w:spacing w:val="8"/>
              </w:rPr>
              <w:t>燃烧装置（</w:t>
            </w:r>
            <w:r>
              <w:rPr>
                <w:rFonts w:ascii="Times New Roman" w:hAnsi="Times New Roman" w:eastAsia="Times New Roman" w:cs="Times New Roman"/>
                <w:sz w:val="20"/>
                <w:szCs w:val="20"/>
              </w:rPr>
              <w:t>CO</w:t>
            </w:r>
            <w:r>
              <w:rPr>
                <w:sz w:val="20"/>
                <w:szCs w:val="20"/>
                <w:spacing w:val="8"/>
              </w:rPr>
              <w:t>）燃烧温度不低于</w:t>
            </w:r>
            <w:r>
              <w:rPr>
                <w:rFonts w:ascii="Times New Roman" w:hAnsi="Times New Roman" w:eastAsia="Times New Roman" w:cs="Times New Roman"/>
                <w:sz w:val="20"/>
                <w:szCs w:val="20"/>
                <w:spacing w:val="8"/>
              </w:rPr>
              <w:t>300</w:t>
            </w:r>
            <w:r>
              <w:rPr>
                <w:sz w:val="20"/>
                <w:szCs w:val="20"/>
                <w:spacing w:val="8"/>
              </w:rPr>
              <w:t>℃。</w:t>
            </w:r>
          </w:p>
        </w:tc>
        <w:tc>
          <w:tcPr>
            <w:tcW w:w="917" w:type="dxa"/>
            <w:vAlign w:val="top"/>
            <w:tcBorders>
              <w:right w:val="single" w:color="000000" w:sz="10" w:space="0"/>
              <w:top w:val="single" w:color="000000" w:sz="10" w:space="0"/>
            </w:tcBorders>
          </w:tcPr>
          <w:p>
            <w:pPr>
              <w:rPr>
                <w:rFonts w:ascii="Arial"/>
                <w:sz w:val="21"/>
              </w:rPr>
            </w:pPr>
            <w:r/>
          </w:p>
        </w:tc>
      </w:tr>
      <w:tr>
        <w:trPr>
          <w:trHeight w:val="1605" w:hRule="atLeast"/>
        </w:trPr>
        <w:tc>
          <w:tcPr>
            <w:tcW w:w="651" w:type="dxa"/>
            <w:vAlign w:val="top"/>
            <w:vMerge w:val="restart"/>
            <w:tcBorders>
              <w:left w:val="single" w:color="000000" w:sz="10" w:space="0"/>
              <w:bottom w:val="nil"/>
            </w:tcBorders>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pStyle w:val="TableText"/>
              <w:ind w:left="108" w:right="121" w:firstLine="1"/>
              <w:spacing w:before="65" w:line="306" w:lineRule="auto"/>
              <w:rPr>
                <w:sz w:val="20"/>
                <w:szCs w:val="20"/>
              </w:rPr>
            </w:pPr>
            <w:r>
              <w:rPr>
                <w:sz w:val="20"/>
                <w:szCs w:val="20"/>
                <w:spacing w:val="2"/>
              </w:rPr>
              <w:t>九、</w:t>
            </w:r>
            <w:r>
              <w:rPr>
                <w:sz w:val="20"/>
                <w:szCs w:val="20"/>
              </w:rPr>
              <w:t xml:space="preserve"> </w:t>
            </w:r>
            <w:r>
              <w:rPr>
                <w:sz w:val="20"/>
                <w:szCs w:val="20"/>
                <w:spacing w:val="3"/>
              </w:rPr>
              <w:t>非正</w:t>
            </w:r>
            <w:r>
              <w:rPr>
                <w:sz w:val="20"/>
                <w:szCs w:val="20"/>
              </w:rPr>
              <w:t xml:space="preserve"> </w:t>
            </w:r>
            <w:r>
              <w:rPr>
                <w:sz w:val="20"/>
                <w:szCs w:val="20"/>
                <w:spacing w:val="3"/>
              </w:rPr>
              <w:t>常工</w:t>
            </w:r>
            <w:r>
              <w:rPr>
                <w:sz w:val="20"/>
                <w:szCs w:val="20"/>
              </w:rPr>
              <w:t xml:space="preserve"> </w:t>
            </w:r>
            <w:r>
              <w:rPr>
                <w:sz w:val="20"/>
                <w:szCs w:val="20"/>
                <w:spacing w:val="35"/>
                <w:w w:val="134"/>
              </w:rPr>
              <w:t>况</w:t>
            </w:r>
          </w:p>
        </w:tc>
        <w:tc>
          <w:tcPr>
            <w:tcW w:w="7872" w:type="dxa"/>
            <w:vAlign w:val="top"/>
          </w:tcPr>
          <w:p>
            <w:pPr>
              <w:spacing w:line="315" w:lineRule="auto"/>
              <w:rPr>
                <w:rFonts w:ascii="Arial"/>
                <w:sz w:val="21"/>
              </w:rPr>
            </w:pPr>
            <w:r/>
          </w:p>
          <w:p>
            <w:pPr>
              <w:pStyle w:val="TableText"/>
              <w:ind w:left="104"/>
              <w:spacing w:before="65" w:line="228" w:lineRule="auto"/>
              <w:rPr>
                <w:sz w:val="20"/>
                <w:szCs w:val="20"/>
              </w:rPr>
            </w:pPr>
            <w:r>
              <w:rPr>
                <w:sz w:val="20"/>
                <w:szCs w:val="20"/>
                <w:spacing w:val="10"/>
              </w:rPr>
              <w:t>存在的突出问题。开停工、检维修、设备调试、生产异常等非正常工况</w:t>
            </w:r>
            <w:r>
              <w:rPr>
                <w:rFonts w:ascii="Times New Roman" w:hAnsi="Times New Roman" w:eastAsia="Times New Roman" w:cs="Times New Roman"/>
                <w:sz w:val="20"/>
                <w:szCs w:val="20"/>
              </w:rPr>
              <w:t>VOCs</w:t>
            </w:r>
            <w:r>
              <w:rPr>
                <w:sz w:val="20"/>
                <w:szCs w:val="20"/>
                <w:spacing w:val="10"/>
              </w:rPr>
              <w:t>管控不</w:t>
            </w:r>
          </w:p>
          <w:p>
            <w:pPr>
              <w:pStyle w:val="TableText"/>
              <w:ind w:left="736" w:right="104" w:hanging="628"/>
              <w:spacing w:before="112" w:line="280" w:lineRule="auto"/>
              <w:rPr>
                <w:sz w:val="20"/>
                <w:szCs w:val="20"/>
              </w:rPr>
            </w:pPr>
            <w:r>
              <w:rPr>
                <w:sz w:val="20"/>
                <w:szCs w:val="20"/>
                <w:spacing w:val="7"/>
              </w:rPr>
              <w:t>到位；部分企业清洗、退料、吹扫、放空、晾干等环节敞开式作业，</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7"/>
              </w:rPr>
              <w:t xml:space="preserve">  </w:t>
            </w:r>
            <w:r>
              <w:rPr>
                <w:sz w:val="20"/>
                <w:szCs w:val="20"/>
                <w:spacing w:val="7"/>
              </w:rPr>
              <w:t>直排；部</w:t>
            </w:r>
            <w:r>
              <w:rPr>
                <w:sz w:val="20"/>
                <w:szCs w:val="20"/>
                <w:spacing w:val="1"/>
              </w:rPr>
              <w:t xml:space="preserve"> </w:t>
            </w:r>
            <w:r>
              <w:rPr>
                <w:sz w:val="20"/>
                <w:szCs w:val="20"/>
                <w:spacing w:val="10"/>
              </w:rPr>
              <w:t>分企业火炬系统监控不到位，有机废气未充分燃烧，</w:t>
            </w:r>
            <w:r>
              <w:rPr>
                <w:rFonts w:ascii="Times New Roman" w:hAnsi="Times New Roman" w:eastAsia="Times New Roman" w:cs="Times New Roman"/>
                <w:sz w:val="20"/>
                <w:szCs w:val="20"/>
              </w:rPr>
              <w:t>VOCs</w:t>
            </w:r>
            <w:r>
              <w:rPr>
                <w:sz w:val="20"/>
                <w:szCs w:val="20"/>
                <w:spacing w:val="10"/>
              </w:rPr>
              <w:t>大量排放。</w:t>
            </w:r>
          </w:p>
        </w:tc>
        <w:tc>
          <w:tcPr>
            <w:tcW w:w="4726" w:type="dxa"/>
            <w:vAlign w:val="top"/>
          </w:tcPr>
          <w:p>
            <w:pPr>
              <w:pStyle w:val="TableText"/>
              <w:ind w:left="107" w:right="95" w:firstLine="119"/>
              <w:spacing w:before="204" w:line="297" w:lineRule="auto"/>
              <w:rPr>
                <w:sz w:val="20"/>
                <w:szCs w:val="20"/>
              </w:rPr>
            </w:pPr>
            <w:r>
              <w:rPr>
                <w:sz w:val="20"/>
                <w:szCs w:val="20"/>
                <w:spacing w:val="10"/>
              </w:rPr>
              <w:t>非正常工况</w:t>
            </w:r>
            <w:r>
              <w:rPr>
                <w:rFonts w:ascii="Times New Roman" w:hAnsi="Times New Roman" w:eastAsia="Times New Roman" w:cs="Times New Roman"/>
                <w:sz w:val="20"/>
                <w:szCs w:val="20"/>
              </w:rPr>
              <w:t>VOCs</w:t>
            </w:r>
            <w:r>
              <w:rPr>
                <w:sz w:val="20"/>
                <w:szCs w:val="20"/>
                <w:spacing w:val="10"/>
              </w:rPr>
              <w:t>管控做到治理设施较生产设备</w:t>
            </w:r>
            <w:r>
              <w:rPr>
                <w:sz w:val="20"/>
                <w:szCs w:val="20"/>
                <w:spacing w:val="6"/>
              </w:rPr>
              <w:t xml:space="preserve">  </w:t>
            </w:r>
            <w:r>
              <w:rPr>
                <w:sz w:val="20"/>
                <w:szCs w:val="20"/>
                <w:spacing w:val="4"/>
              </w:rPr>
              <w:t>“先启后停</w:t>
            </w:r>
            <w:r>
              <w:rPr>
                <w:sz w:val="20"/>
                <w:szCs w:val="20"/>
                <w:spacing w:val="-70"/>
              </w:rPr>
              <w:t xml:space="preserve"> </w:t>
            </w:r>
            <w:r>
              <w:rPr>
                <w:sz w:val="20"/>
                <w:szCs w:val="20"/>
                <w:spacing w:val="4"/>
              </w:rPr>
              <w:t>”，在治理设施达到正常运行条件后方</w:t>
            </w:r>
            <w:r>
              <w:rPr>
                <w:sz w:val="20"/>
                <w:szCs w:val="20"/>
              </w:rPr>
              <w:t xml:space="preserve"> </w:t>
            </w:r>
            <w:r>
              <w:rPr>
                <w:sz w:val="20"/>
                <w:szCs w:val="20"/>
                <w:spacing w:val="11"/>
              </w:rPr>
              <w:t>可启动生产设备，在生产设备停止、残留</w:t>
            </w:r>
            <w:r>
              <w:rPr>
                <w:rFonts w:ascii="Times New Roman" w:hAnsi="Times New Roman" w:eastAsia="Times New Roman" w:cs="Times New Roman"/>
                <w:sz w:val="20"/>
                <w:szCs w:val="20"/>
              </w:rPr>
              <w:t>VOCs</w:t>
            </w:r>
            <w:r>
              <w:rPr>
                <w:sz w:val="20"/>
                <w:szCs w:val="20"/>
                <w:spacing w:val="11"/>
              </w:rPr>
              <w:t>废</w:t>
            </w:r>
          </w:p>
          <w:p>
            <w:pPr>
              <w:pStyle w:val="TableText"/>
              <w:ind w:left="485"/>
              <w:spacing w:before="113" w:line="228" w:lineRule="auto"/>
              <w:rPr>
                <w:sz w:val="20"/>
                <w:szCs w:val="20"/>
              </w:rPr>
            </w:pPr>
            <w:r>
              <w:rPr>
                <w:sz w:val="20"/>
                <w:szCs w:val="20"/>
                <w:spacing w:val="8"/>
              </w:rPr>
              <w:t>气收集处理完毕后，方可停运治理设施。</w:t>
            </w:r>
          </w:p>
        </w:tc>
        <w:tc>
          <w:tcPr>
            <w:tcW w:w="917" w:type="dxa"/>
            <w:vAlign w:val="top"/>
            <w:tcBorders>
              <w:right w:val="single" w:color="000000" w:sz="10" w:space="0"/>
            </w:tcBorders>
          </w:tcPr>
          <w:p>
            <w:pPr>
              <w:spacing w:line="336" w:lineRule="auto"/>
              <w:rPr>
                <w:rFonts w:ascii="Arial"/>
                <w:sz w:val="21"/>
              </w:rPr>
            </w:pPr>
            <w:r/>
          </w:p>
          <w:p>
            <w:pPr>
              <w:spacing w:line="337" w:lineRule="auto"/>
              <w:rPr>
                <w:rFonts w:ascii="Arial"/>
                <w:sz w:val="21"/>
              </w:rPr>
            </w:pPr>
            <w:r/>
          </w:p>
          <w:p>
            <w:pPr>
              <w:pStyle w:val="TableText"/>
              <w:ind w:left="260"/>
              <w:spacing w:before="65" w:line="228" w:lineRule="auto"/>
              <w:rPr>
                <w:sz w:val="20"/>
                <w:szCs w:val="20"/>
              </w:rPr>
            </w:pPr>
            <w:r>
              <w:rPr>
                <w:sz w:val="20"/>
                <w:szCs w:val="20"/>
                <w:spacing w:val="3"/>
              </w:rPr>
              <w:t>符合</w:t>
            </w:r>
          </w:p>
        </w:tc>
      </w:tr>
      <w:tr>
        <w:trPr>
          <w:trHeight w:val="2569" w:hRule="atLeast"/>
        </w:trPr>
        <w:tc>
          <w:tcPr>
            <w:tcW w:w="651" w:type="dxa"/>
            <w:vAlign w:val="top"/>
            <w:vMerge w:val="continue"/>
            <w:tcBorders>
              <w:left w:val="single" w:color="000000" w:sz="10" w:space="0"/>
              <w:bottom w:val="single" w:color="000000" w:sz="10" w:space="0"/>
              <w:top w:val="nil"/>
            </w:tcBorders>
          </w:tcPr>
          <w:p>
            <w:pPr>
              <w:rPr>
                <w:rFonts w:ascii="Arial"/>
                <w:sz w:val="21"/>
              </w:rPr>
            </w:pPr>
            <w:r/>
          </w:p>
        </w:tc>
        <w:tc>
          <w:tcPr>
            <w:tcW w:w="7872" w:type="dxa"/>
            <w:vAlign w:val="top"/>
            <w:tcBorders>
              <w:bottom w:val="single" w:color="000000" w:sz="10" w:space="0"/>
            </w:tcBorders>
          </w:tcPr>
          <w:p>
            <w:pPr>
              <w:pStyle w:val="TableText"/>
              <w:ind w:left="104" w:right="33" w:firstLine="3"/>
              <w:spacing w:before="129" w:line="317" w:lineRule="auto"/>
              <w:jc w:val="both"/>
              <w:rPr>
                <w:sz w:val="20"/>
                <w:szCs w:val="20"/>
              </w:rPr>
            </w:pPr>
            <w:r>
              <w:rPr>
                <w:sz w:val="20"/>
                <w:szCs w:val="20"/>
                <w:spacing w:val="6"/>
              </w:rPr>
              <w:t>治理要求。石化、化工企业提前向当地生态环境部门报告检维修计划，制定非正常工 </w:t>
            </w:r>
            <w:r>
              <w:rPr>
                <w:sz w:val="20"/>
                <w:szCs w:val="20"/>
                <w:spacing w:val="6"/>
              </w:rPr>
              <w:t>况</w:t>
            </w:r>
            <w:r>
              <w:rPr>
                <w:rFonts w:ascii="Times New Roman" w:hAnsi="Times New Roman" w:eastAsia="Times New Roman" w:cs="Times New Roman"/>
                <w:sz w:val="20"/>
                <w:szCs w:val="20"/>
              </w:rPr>
              <w:t>VOCs</w:t>
            </w:r>
            <w:r>
              <w:rPr>
                <w:sz w:val="20"/>
                <w:szCs w:val="20"/>
                <w:spacing w:val="6"/>
              </w:rPr>
              <w:t>管控规程，严格按照规程进行操作。企业开停工、检维修期间，退料、清洗、</w:t>
            </w:r>
            <w:r>
              <w:rPr>
                <w:sz w:val="20"/>
                <w:szCs w:val="20"/>
                <w:spacing w:val="18"/>
              </w:rPr>
              <w:t xml:space="preserve"> </w:t>
            </w:r>
            <w:r>
              <w:rPr>
                <w:sz w:val="20"/>
                <w:szCs w:val="20"/>
                <w:spacing w:val="10"/>
              </w:rPr>
              <w:t>吹扫等作业产生的</w:t>
            </w:r>
            <w:r>
              <w:rPr>
                <w:rFonts w:ascii="Times New Roman" w:hAnsi="Times New Roman" w:eastAsia="Times New Roman" w:cs="Times New Roman"/>
                <w:sz w:val="20"/>
                <w:szCs w:val="20"/>
              </w:rPr>
              <w:t>VOCs</w:t>
            </w:r>
            <w:r>
              <w:rPr>
                <w:sz w:val="20"/>
                <w:szCs w:val="20"/>
                <w:spacing w:val="10"/>
              </w:rPr>
              <w:t>废气应及时收集处理，确保满足标准要求。停工退料时应</w:t>
            </w:r>
            <w:r>
              <w:rPr>
                <w:sz w:val="20"/>
                <w:szCs w:val="20"/>
                <w:spacing w:val="9"/>
              </w:rPr>
              <w:t>密 </w:t>
            </w:r>
            <w:r>
              <w:rPr>
                <w:sz w:val="20"/>
                <w:szCs w:val="20"/>
                <w:spacing w:val="9"/>
              </w:rPr>
              <w:t>闭吹扫，最大化回收物料；产生的不凝气应分类进入管网，通过加热炉、</w:t>
            </w:r>
            <w:r>
              <w:rPr>
                <w:sz w:val="20"/>
                <w:szCs w:val="20"/>
                <w:spacing w:val="8"/>
              </w:rPr>
              <w:t>火炬系统、</w:t>
            </w:r>
            <w:r>
              <w:rPr>
                <w:sz w:val="20"/>
                <w:szCs w:val="20"/>
              </w:rPr>
              <w:t xml:space="preserve"> </w:t>
            </w:r>
            <w:r>
              <w:rPr>
                <w:sz w:val="20"/>
                <w:szCs w:val="20"/>
                <w:spacing w:val="7"/>
              </w:rPr>
              <w:t>治理设施或带有恶臭和</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7"/>
              </w:rPr>
              <w:t xml:space="preserve">  </w:t>
            </w:r>
            <w:r>
              <w:rPr>
                <w:sz w:val="20"/>
                <w:szCs w:val="20"/>
                <w:spacing w:val="7"/>
              </w:rPr>
              <w:t>废气治理装置的污油罐、污水处</w:t>
            </w:r>
            <w:r>
              <w:rPr>
                <w:sz w:val="20"/>
                <w:szCs w:val="20"/>
                <w:spacing w:val="6"/>
              </w:rPr>
              <w:t>理设施、酸性水罐等进 </w:t>
            </w:r>
            <w:r>
              <w:rPr>
                <w:sz w:val="20"/>
                <w:szCs w:val="20"/>
                <w:spacing w:val="7"/>
              </w:rPr>
              <w:t>行收集处置。在难以建立蒸罐、清洗、吹扫产</w:t>
            </w:r>
            <w:r>
              <w:rPr>
                <w:sz w:val="20"/>
                <w:szCs w:val="20"/>
                <w:spacing w:val="6"/>
              </w:rPr>
              <w:t>物密闭排放管网的情况下，可采用移动 </w:t>
            </w:r>
            <w:r>
              <w:rPr>
                <w:sz w:val="20"/>
                <w:szCs w:val="20"/>
                <w:spacing w:val="7"/>
              </w:rPr>
              <w:t>式设备处理检维修过程排放的废气。蒸罐、清洗、吹扫产物全部处置完毕后，方</w:t>
            </w:r>
            <w:r>
              <w:rPr>
                <w:sz w:val="20"/>
                <w:szCs w:val="20"/>
                <w:spacing w:val="6"/>
              </w:rPr>
              <w:t>可停</w:t>
            </w:r>
          </w:p>
        </w:tc>
        <w:tc>
          <w:tcPr>
            <w:tcW w:w="4726" w:type="dxa"/>
            <w:vAlign w:val="top"/>
            <w:tcBorders>
              <w:bottom w:val="single" w:color="000000" w:sz="10" w:space="0"/>
            </w:tcBorders>
          </w:tcPr>
          <w:p>
            <w:pPr>
              <w:spacing w:line="419" w:lineRule="auto"/>
              <w:rPr>
                <w:rFonts w:ascii="Arial"/>
                <w:sz w:val="21"/>
              </w:rPr>
            </w:pPr>
            <w:r/>
          </w:p>
          <w:p>
            <w:pPr>
              <w:pStyle w:val="TableText"/>
              <w:ind w:left="117" w:right="95" w:firstLine="3"/>
              <w:spacing w:before="65" w:line="306" w:lineRule="auto"/>
              <w:jc w:val="both"/>
              <w:rPr>
                <w:sz w:val="20"/>
                <w:szCs w:val="20"/>
              </w:rPr>
            </w:pPr>
            <w:r>
              <w:rPr>
                <w:sz w:val="20"/>
                <w:szCs w:val="20"/>
                <w:spacing w:val="4"/>
              </w:rPr>
              <w:t>项目不属于石化、化工企业，企业开停工、检维修</w:t>
            </w:r>
            <w:r>
              <w:rPr>
                <w:sz w:val="20"/>
                <w:szCs w:val="20"/>
                <w:spacing w:val="16"/>
              </w:rPr>
              <w:t xml:space="preserve"> </w:t>
            </w:r>
            <w:r>
              <w:rPr>
                <w:sz w:val="20"/>
                <w:szCs w:val="20"/>
                <w:spacing w:val="10"/>
              </w:rPr>
              <w:t>期间，退料、清洗、吹扫等作业产生的</w:t>
            </w:r>
            <w:r>
              <w:rPr>
                <w:rFonts w:ascii="Times New Roman" w:hAnsi="Times New Roman" w:eastAsia="Times New Roman" w:cs="Times New Roman"/>
                <w:sz w:val="20"/>
                <w:szCs w:val="20"/>
              </w:rPr>
              <w:t>VOCs</w:t>
            </w:r>
            <w:r>
              <w:rPr>
                <w:sz w:val="20"/>
                <w:szCs w:val="20"/>
                <w:spacing w:val="10"/>
              </w:rPr>
              <w:t>废气</w:t>
            </w:r>
            <w:r>
              <w:rPr>
                <w:sz w:val="20"/>
                <w:szCs w:val="20"/>
                <w:spacing w:val="15"/>
              </w:rPr>
              <w:t xml:space="preserve"> </w:t>
            </w:r>
            <w:r>
              <w:rPr>
                <w:sz w:val="20"/>
                <w:szCs w:val="20"/>
                <w:spacing w:val="5"/>
              </w:rPr>
              <w:t>应及时收集处理，确保满足标准要求。在停</w:t>
            </w:r>
            <w:r>
              <w:rPr>
                <w:sz w:val="20"/>
                <w:szCs w:val="20"/>
                <w:spacing w:val="4"/>
              </w:rPr>
              <w:t>工检维</w:t>
            </w:r>
            <w:r>
              <w:rPr>
                <w:sz w:val="20"/>
                <w:szCs w:val="20"/>
              </w:rPr>
              <w:t xml:space="preserve"> </w:t>
            </w:r>
            <w:r>
              <w:rPr>
                <w:sz w:val="20"/>
                <w:szCs w:val="20"/>
                <w:spacing w:val="4"/>
              </w:rPr>
              <w:t>修阶段，环保装置、气柜、火炬等应在生产装置开</w:t>
            </w:r>
          </w:p>
          <w:p>
            <w:pPr>
              <w:pStyle w:val="TableText"/>
              <w:ind w:left="1537"/>
              <w:spacing w:before="113" w:line="228" w:lineRule="auto"/>
              <w:rPr>
                <w:sz w:val="20"/>
                <w:szCs w:val="20"/>
              </w:rPr>
            </w:pPr>
            <w:r>
              <w:rPr>
                <w:sz w:val="20"/>
                <w:szCs w:val="20"/>
                <w:spacing w:val="7"/>
              </w:rPr>
              <w:t>车前完成检维修。</w:t>
            </w:r>
          </w:p>
        </w:tc>
        <w:tc>
          <w:tcPr>
            <w:tcW w:w="917" w:type="dxa"/>
            <w:vAlign w:val="top"/>
            <w:tcBorders>
              <w:bottom w:val="single" w:color="000000" w:sz="10" w:space="0"/>
              <w:right w:val="single" w:color="000000" w:sz="10" w:space="0"/>
            </w:tcBorders>
          </w:tcPr>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pStyle w:val="TableText"/>
              <w:ind w:left="260"/>
              <w:spacing w:before="65" w:line="228" w:lineRule="auto"/>
              <w:rPr>
                <w:sz w:val="20"/>
                <w:szCs w:val="20"/>
              </w:rPr>
            </w:pPr>
            <w:r>
              <w:rPr>
                <w:sz w:val="20"/>
                <w:szCs w:val="20"/>
                <w:spacing w:val="3"/>
              </w:rPr>
              <w:t>符合</w:t>
            </w:r>
          </w:p>
        </w:tc>
      </w:tr>
    </w:tbl>
    <w:p>
      <w:pPr>
        <w:pStyle w:val="BodyText"/>
        <w:rPr/>
      </w:pPr>
      <w:r/>
    </w:p>
    <w:p>
      <w:pPr>
        <w:sectPr>
          <w:footerReference w:type="default" r:id="rId151"/>
          <w:pgSz w:w="16839" w:h="11906"/>
          <w:pgMar w:top="400" w:right="1323" w:bottom="1211" w:left="1322" w:header="0" w:footer="1049" w:gutter="0"/>
        </w:sectPr>
        <w:rPr/>
      </w:pPr>
    </w:p>
    <w:p>
      <w:pPr>
        <w:spacing w:before="39"/>
        <w:rPr/>
      </w:pPr>
      <w:r/>
    </w:p>
    <w:p>
      <w:pPr>
        <w:spacing w:before="39"/>
        <w:rPr/>
      </w:pPr>
      <w:r/>
    </w:p>
    <w:p>
      <w:pPr>
        <w:spacing w:before="38"/>
        <w:rPr/>
      </w:pPr>
      <w:r/>
    </w:p>
    <w:p>
      <w:pPr>
        <w:spacing w:before="38"/>
        <w:rPr/>
      </w:pPr>
      <w:r/>
    </w:p>
    <w:p>
      <w:pPr>
        <w:spacing w:before="38"/>
        <w:rPr/>
      </w:pPr>
      <w:r/>
    </w:p>
    <w:tbl>
      <w:tblPr>
        <w:tblStyle w:val="TableNormal"/>
        <w:tblW w:w="14166" w:type="dxa"/>
        <w:tblInd w:w="17"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651"/>
        <w:gridCol w:w="7872"/>
        <w:gridCol w:w="4726"/>
        <w:gridCol w:w="917"/>
      </w:tblGrid>
      <w:tr>
        <w:trPr>
          <w:trHeight w:val="3228" w:hRule="atLeast"/>
        </w:trPr>
        <w:tc>
          <w:tcPr>
            <w:tcW w:w="651" w:type="dxa"/>
            <w:vAlign w:val="top"/>
            <w:tcBorders>
              <w:right w:val="single" w:color="000000" w:sz="2" w:space="0"/>
            </w:tcBorders>
          </w:tcPr>
          <w:p>
            <w:pPr>
              <w:rPr>
                <w:rFonts w:ascii="Arial"/>
                <w:sz w:val="21"/>
              </w:rPr>
            </w:pPr>
            <w:r/>
          </w:p>
        </w:tc>
        <w:tc>
          <w:tcPr>
            <w:tcW w:w="7872" w:type="dxa"/>
            <w:vAlign w:val="top"/>
            <w:tcBorders>
              <w:left w:val="single" w:color="000000" w:sz="2" w:space="0"/>
              <w:right w:val="single" w:color="000000" w:sz="2" w:space="0"/>
            </w:tcBorders>
          </w:tcPr>
          <w:p>
            <w:pPr>
              <w:pStyle w:val="TableText"/>
              <w:ind w:left="101" w:right="33"/>
              <w:spacing w:before="96" w:line="319" w:lineRule="auto"/>
              <w:jc w:val="both"/>
              <w:rPr>
                <w:sz w:val="20"/>
                <w:szCs w:val="20"/>
              </w:rPr>
            </w:pPr>
            <w:r>
              <w:rPr>
                <w:sz w:val="20"/>
                <w:szCs w:val="20"/>
                <w:spacing w:val="-1"/>
              </w:rPr>
              <w:t>运配套治理设施、气柜、火炬等。加强放空气体</w:t>
            </w:r>
            <w:r>
              <w:rPr>
                <w:rFonts w:ascii="Times New Roman" w:hAnsi="Times New Roman" w:eastAsia="Times New Roman" w:cs="Times New Roman"/>
                <w:sz w:val="20"/>
                <w:szCs w:val="20"/>
                <w:spacing w:val="-1"/>
              </w:rPr>
              <w:t>VOCs</w:t>
            </w:r>
            <w:r>
              <w:rPr>
                <w:sz w:val="20"/>
                <w:szCs w:val="20"/>
                <w:spacing w:val="-1"/>
              </w:rPr>
              <w:t>浓度监测，一般低于</w:t>
            </w:r>
            <w:r>
              <w:rPr>
                <w:rFonts w:ascii="Times New Roman" w:hAnsi="Times New Roman" w:eastAsia="Times New Roman" w:cs="Times New Roman"/>
                <w:sz w:val="20"/>
                <w:szCs w:val="20"/>
                <w:spacing w:val="-1"/>
              </w:rPr>
              <w:t>200</w:t>
            </w:r>
            <w:r>
              <w:rPr>
                <w:sz w:val="20"/>
                <w:szCs w:val="20"/>
                <w:spacing w:val="-1"/>
              </w:rPr>
              <w:t>μ</w:t>
            </w:r>
            <w:r>
              <w:rPr>
                <w:rFonts w:ascii="Times New Roman" w:hAnsi="Times New Roman" w:eastAsia="Times New Roman" w:cs="Times New Roman"/>
                <w:sz w:val="20"/>
                <w:szCs w:val="20"/>
                <w:spacing w:val="-1"/>
              </w:rPr>
              <w:t>mol/mol  </w:t>
            </w:r>
            <w:r>
              <w:rPr>
                <w:sz w:val="20"/>
                <w:szCs w:val="20"/>
                <w:spacing w:val="9"/>
              </w:rPr>
              <w:t>或</w:t>
            </w:r>
            <w:r>
              <w:rPr>
                <w:rFonts w:ascii="Times New Roman" w:hAnsi="Times New Roman" w:eastAsia="Times New Roman" w:cs="Times New Roman"/>
                <w:sz w:val="20"/>
                <w:szCs w:val="20"/>
                <w:spacing w:val="9"/>
              </w:rPr>
              <w:t>0.2%</w:t>
            </w:r>
            <w:r>
              <w:rPr>
                <w:sz w:val="20"/>
                <w:szCs w:val="20"/>
                <w:spacing w:val="9"/>
              </w:rPr>
              <w:t>爆炸下限浓度后再进行放空作业，减少设备拆解过程中</w:t>
            </w:r>
            <w:r>
              <w:rPr>
                <w:rFonts w:ascii="Times New Roman" w:hAnsi="Times New Roman" w:eastAsia="Times New Roman" w:cs="Times New Roman"/>
                <w:sz w:val="20"/>
                <w:szCs w:val="20"/>
              </w:rPr>
              <w:t>VOCs</w:t>
            </w:r>
            <w:r>
              <w:rPr>
                <w:sz w:val="20"/>
                <w:szCs w:val="20"/>
                <w:spacing w:val="9"/>
              </w:rPr>
              <w:t>排放。在停工检 </w:t>
            </w:r>
            <w:r>
              <w:rPr>
                <w:sz w:val="20"/>
                <w:szCs w:val="20"/>
                <w:spacing w:val="3"/>
              </w:rPr>
              <w:t>维修阶段，环保装置、气柜、火炬等应在生产装置开车前完成检维修；在开机进料时，</w:t>
            </w:r>
            <w:r>
              <w:rPr>
                <w:sz w:val="20"/>
                <w:szCs w:val="20"/>
                <w:spacing w:val="16"/>
              </w:rPr>
              <w:t xml:space="preserve"> </w:t>
            </w:r>
            <w:r>
              <w:rPr>
                <w:sz w:val="20"/>
                <w:szCs w:val="20"/>
                <w:spacing w:val="7"/>
              </w:rPr>
              <w:t>应将置换出的废气排入火炬系统或采用其他有效方</w:t>
            </w:r>
            <w:r>
              <w:rPr>
                <w:sz w:val="20"/>
                <w:szCs w:val="20"/>
                <w:spacing w:val="6"/>
              </w:rPr>
              <w:t>法进行处理；开工初始阶段产生的 </w:t>
            </w:r>
            <w:r>
              <w:rPr>
                <w:sz w:val="20"/>
                <w:szCs w:val="20"/>
                <w:spacing w:val="3"/>
              </w:rPr>
              <w:t>不合格产品应妥善处理，不得直排。企业检维修期间，当地生态环境部门可利用走航、</w:t>
            </w:r>
            <w:r>
              <w:rPr>
                <w:sz w:val="20"/>
                <w:szCs w:val="20"/>
                <w:spacing w:val="16"/>
              </w:rPr>
              <w:t xml:space="preserve"> </w:t>
            </w:r>
            <w:r>
              <w:rPr>
                <w:sz w:val="20"/>
                <w:szCs w:val="20"/>
                <w:spacing w:val="7"/>
              </w:rPr>
              <w:t>网格化监测等方式加强监管，必要时可实施驻厂监</w:t>
            </w:r>
            <w:r>
              <w:rPr>
                <w:sz w:val="20"/>
                <w:szCs w:val="20"/>
                <w:spacing w:val="6"/>
              </w:rPr>
              <w:t>管。石化、化工企业应加强可燃性 </w:t>
            </w:r>
            <w:r>
              <w:rPr>
                <w:sz w:val="20"/>
                <w:szCs w:val="20"/>
                <w:spacing w:val="7"/>
              </w:rPr>
              <w:t>气体的回收，火炬燃烧装置一般只用于应急处置，</w:t>
            </w:r>
            <w:r>
              <w:rPr>
                <w:sz w:val="20"/>
                <w:szCs w:val="20"/>
                <w:spacing w:val="6"/>
              </w:rPr>
              <w:t>不作为日常大气污染处理设施；企 </w:t>
            </w:r>
            <w:r>
              <w:rPr>
                <w:sz w:val="20"/>
                <w:szCs w:val="20"/>
                <w:spacing w:val="7"/>
              </w:rPr>
              <w:t>业应按标准要求在火炬系统安装温度监控、废气流量计、助燃气体流量计等，鼓励安</w:t>
            </w:r>
          </w:p>
          <w:p>
            <w:pPr>
              <w:pStyle w:val="TableText"/>
              <w:ind w:left="683"/>
              <w:spacing w:before="113" w:line="225" w:lineRule="auto"/>
              <w:rPr>
                <w:sz w:val="20"/>
                <w:szCs w:val="20"/>
              </w:rPr>
            </w:pPr>
            <w:r>
              <w:rPr>
                <w:sz w:val="20"/>
                <w:szCs w:val="20"/>
                <w:spacing w:val="9"/>
              </w:rPr>
              <w:t>装热值检测仪；火炬排放废气热值达不到要求时应及时补充助燃气体。</w:t>
            </w:r>
          </w:p>
        </w:tc>
        <w:tc>
          <w:tcPr>
            <w:tcW w:w="4726" w:type="dxa"/>
            <w:vAlign w:val="top"/>
            <w:tcBorders>
              <w:left w:val="single" w:color="000000" w:sz="2" w:space="0"/>
              <w:right w:val="single" w:color="000000" w:sz="2" w:space="0"/>
            </w:tcBorders>
          </w:tcPr>
          <w:p>
            <w:pPr>
              <w:rPr>
                <w:rFonts w:ascii="Arial"/>
                <w:sz w:val="21"/>
              </w:rPr>
            </w:pPr>
            <w:r/>
          </w:p>
        </w:tc>
        <w:tc>
          <w:tcPr>
            <w:tcW w:w="917" w:type="dxa"/>
            <w:vAlign w:val="top"/>
            <w:tcBorders>
              <w:left w:val="single" w:color="000000" w:sz="2" w:space="0"/>
            </w:tcBorders>
          </w:tcPr>
          <w:p>
            <w:pPr>
              <w:rPr>
                <w:rFonts w:ascii="Arial"/>
                <w:sz w:val="21"/>
              </w:rPr>
            </w:pPr>
            <w:r/>
          </w:p>
        </w:tc>
      </w:tr>
    </w:tbl>
    <w:p>
      <w:pPr>
        <w:ind w:left="4028"/>
        <w:spacing w:before="116" w:line="219"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sz w:val="24"/>
          <w:szCs w:val="24"/>
          <w:b/>
          <w:bCs/>
        </w:rPr>
        <w:t>1.1-6  </w:t>
      </w:r>
      <w:r>
        <w:rPr>
          <w:rFonts w:ascii="SimSun" w:hAnsi="SimSun" w:eastAsia="SimSun" w:cs="SimSun"/>
          <w:sz w:val="24"/>
          <w:szCs w:val="24"/>
          <w14:textOutline w14:w="4358" w14:cap="sq" w14:cmpd="sng">
            <w14:solidFill>
              <w14:srgbClr w14:val="000000"/>
            </w14:solidFill>
            <w14:prstDash w14:val="solid"/>
            <w14:bevel/>
          </w14:textOutline>
        </w:rPr>
        <w:t>与《新疆维吾尔自治区环境保护条例》符合性分析</w:t>
      </w:r>
    </w:p>
    <w:tbl>
      <w:tblPr>
        <w:tblStyle w:val="TableNormal"/>
        <w:tblW w:w="14177"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83"/>
        <w:gridCol w:w="5804"/>
        <w:gridCol w:w="6201"/>
        <w:gridCol w:w="889"/>
      </w:tblGrid>
      <w:tr>
        <w:trPr>
          <w:trHeight w:val="367" w:hRule="atLeast"/>
        </w:trPr>
        <w:tc>
          <w:tcPr>
            <w:tcW w:w="1283" w:type="dxa"/>
            <w:vAlign w:val="top"/>
            <w:tcBorders>
              <w:left w:val="single" w:color="000000" w:sz="10" w:space="0"/>
              <w:top w:val="single" w:color="000000" w:sz="10" w:space="0"/>
            </w:tcBorders>
          </w:tcPr>
          <w:p>
            <w:pPr>
              <w:pStyle w:val="TableText"/>
              <w:ind w:left="215"/>
              <w:spacing w:before="112" w:line="226" w:lineRule="auto"/>
              <w:rPr>
                <w:sz w:val="20"/>
                <w:szCs w:val="20"/>
              </w:rPr>
            </w:pPr>
            <w:r>
              <w:rPr>
                <w:sz w:val="20"/>
                <w:szCs w:val="20"/>
                <w:spacing w:val="6"/>
              </w:rPr>
              <w:t>条例序号</w:t>
            </w:r>
          </w:p>
        </w:tc>
        <w:tc>
          <w:tcPr>
            <w:tcW w:w="5804" w:type="dxa"/>
            <w:vAlign w:val="top"/>
            <w:tcBorders>
              <w:top w:val="single" w:color="000000" w:sz="10" w:space="0"/>
            </w:tcBorders>
          </w:tcPr>
          <w:p>
            <w:pPr>
              <w:pStyle w:val="TableText"/>
              <w:ind w:left="2508"/>
              <w:spacing w:before="112" w:line="226" w:lineRule="auto"/>
              <w:rPr>
                <w:sz w:val="20"/>
                <w:szCs w:val="20"/>
              </w:rPr>
            </w:pPr>
            <w:r>
              <w:rPr>
                <w:sz w:val="20"/>
                <w:szCs w:val="20"/>
                <w:spacing w:val="1"/>
              </w:rPr>
              <w:t>内容要求</w:t>
            </w:r>
          </w:p>
        </w:tc>
        <w:tc>
          <w:tcPr>
            <w:tcW w:w="6201" w:type="dxa"/>
            <w:vAlign w:val="top"/>
            <w:tcBorders>
              <w:top w:val="single" w:color="000000" w:sz="10" w:space="0"/>
            </w:tcBorders>
          </w:tcPr>
          <w:p>
            <w:pPr>
              <w:pStyle w:val="TableText"/>
              <w:ind w:left="2485"/>
              <w:spacing w:before="112" w:line="226" w:lineRule="auto"/>
              <w:rPr>
                <w:sz w:val="20"/>
                <w:szCs w:val="20"/>
              </w:rPr>
            </w:pPr>
            <w:r>
              <w:rPr>
                <w:sz w:val="20"/>
                <w:szCs w:val="20"/>
                <w:spacing w:val="7"/>
              </w:rPr>
              <w:t>项目建设情况</w:t>
            </w:r>
          </w:p>
        </w:tc>
        <w:tc>
          <w:tcPr>
            <w:tcW w:w="889" w:type="dxa"/>
            <w:vAlign w:val="top"/>
            <w:tcBorders>
              <w:right w:val="single" w:color="000000" w:sz="10" w:space="0"/>
              <w:top w:val="single" w:color="000000" w:sz="10" w:space="0"/>
            </w:tcBorders>
          </w:tcPr>
          <w:p>
            <w:pPr>
              <w:pStyle w:val="TableText"/>
              <w:ind w:left="142"/>
              <w:spacing w:before="112" w:line="226" w:lineRule="auto"/>
              <w:rPr>
                <w:sz w:val="20"/>
                <w:szCs w:val="20"/>
              </w:rPr>
            </w:pPr>
            <w:r>
              <w:rPr>
                <w:sz w:val="20"/>
                <w:szCs w:val="20"/>
                <w:spacing w:val="6"/>
              </w:rPr>
              <w:t>符合性</w:t>
            </w:r>
          </w:p>
        </w:tc>
      </w:tr>
      <w:tr>
        <w:trPr>
          <w:trHeight w:val="1437" w:hRule="atLeast"/>
        </w:trPr>
        <w:tc>
          <w:tcPr>
            <w:tcW w:w="1283" w:type="dxa"/>
            <w:vAlign w:val="top"/>
            <w:tcBorders>
              <w:left w:val="single" w:color="000000" w:sz="10" w:space="0"/>
            </w:tcBorders>
          </w:tcPr>
          <w:p>
            <w:pPr>
              <w:pStyle w:val="TableText"/>
              <w:ind w:left="107"/>
              <w:spacing w:before="112" w:line="228" w:lineRule="auto"/>
              <w:rPr>
                <w:sz w:val="20"/>
                <w:szCs w:val="20"/>
              </w:rPr>
            </w:pPr>
            <w:r>
              <w:rPr>
                <w:sz w:val="20"/>
                <w:szCs w:val="20"/>
                <w:spacing w:val="8"/>
              </w:rPr>
              <w:t>第四十三条</w:t>
            </w:r>
          </w:p>
        </w:tc>
        <w:tc>
          <w:tcPr>
            <w:tcW w:w="5804" w:type="dxa"/>
            <w:vAlign w:val="top"/>
          </w:tcPr>
          <w:p>
            <w:pPr>
              <w:pStyle w:val="TableText"/>
              <w:ind w:left="2271" w:right="177" w:hanging="2100"/>
              <w:spacing w:before="113" w:line="280" w:lineRule="auto"/>
              <w:rPr>
                <w:sz w:val="20"/>
                <w:szCs w:val="20"/>
              </w:rPr>
            </w:pPr>
            <w:r>
              <w:rPr>
                <w:sz w:val="20"/>
                <w:szCs w:val="20"/>
                <w:spacing w:val="9"/>
              </w:rPr>
              <w:t>排放污染物的企业事业单位和其他生产经营者应当依法取得</w:t>
            </w:r>
            <w:r>
              <w:rPr>
                <w:sz w:val="20"/>
                <w:szCs w:val="20"/>
                <w:spacing w:val="14"/>
              </w:rPr>
              <w:t xml:space="preserve"> </w:t>
            </w:r>
            <w:r>
              <w:rPr>
                <w:sz w:val="20"/>
                <w:szCs w:val="20"/>
                <w:spacing w:val="6"/>
              </w:rPr>
              <w:t>排污许可证。</w:t>
            </w:r>
          </w:p>
          <w:p>
            <w:pPr>
              <w:pStyle w:val="TableText"/>
              <w:ind w:left="1537" w:right="177" w:hanging="1366"/>
              <w:spacing w:before="113" w:line="274" w:lineRule="auto"/>
              <w:rPr>
                <w:sz w:val="20"/>
                <w:szCs w:val="20"/>
              </w:rPr>
            </w:pPr>
            <w:r>
              <w:rPr>
                <w:sz w:val="20"/>
                <w:szCs w:val="20"/>
                <w:spacing w:val="9"/>
              </w:rPr>
              <w:t>排放污染物应当符合国家或者自治区规定的污染物排放标准</w:t>
            </w:r>
            <w:r>
              <w:rPr>
                <w:sz w:val="20"/>
                <w:szCs w:val="20"/>
                <w:spacing w:val="14"/>
              </w:rPr>
              <w:t xml:space="preserve"> </w:t>
            </w:r>
            <w:r>
              <w:rPr>
                <w:sz w:val="20"/>
                <w:szCs w:val="20"/>
                <w:spacing w:val="8"/>
              </w:rPr>
              <w:t>和重点污染物总量控制指标。</w:t>
            </w:r>
          </w:p>
        </w:tc>
        <w:tc>
          <w:tcPr>
            <w:tcW w:w="6201" w:type="dxa"/>
            <w:vAlign w:val="top"/>
          </w:tcPr>
          <w:p>
            <w:pPr>
              <w:pStyle w:val="TableText"/>
              <w:ind w:left="114"/>
              <w:spacing w:before="112" w:line="227" w:lineRule="auto"/>
              <w:rPr>
                <w:sz w:val="20"/>
                <w:szCs w:val="20"/>
              </w:rPr>
            </w:pPr>
            <w:r>
              <w:rPr>
                <w:sz w:val="20"/>
                <w:szCs w:val="20"/>
                <w:spacing w:val="6"/>
              </w:rPr>
              <w:t>本企业已申领排污许可证，见附件。经污染物排放量计算，本项目</w:t>
            </w:r>
          </w:p>
          <w:p>
            <w:pPr>
              <w:pStyle w:val="TableText"/>
              <w:ind w:left="115"/>
              <w:spacing w:before="113" w:line="228" w:lineRule="auto"/>
              <w:rPr>
                <w:sz w:val="20"/>
                <w:szCs w:val="20"/>
              </w:rPr>
            </w:pPr>
            <w:r>
              <w:rPr>
                <w:sz w:val="20"/>
                <w:szCs w:val="20"/>
                <w:spacing w:val="6"/>
              </w:rPr>
              <w:t>污染物均可满足相应污染物排放标准限值。项目位于呼图壁县，属</w:t>
            </w:r>
          </w:p>
          <w:p>
            <w:pPr>
              <w:pStyle w:val="TableText"/>
              <w:ind w:left="2172" w:right="95" w:hanging="2056"/>
              <w:spacing w:before="114" w:line="274" w:lineRule="auto"/>
              <w:rPr>
                <w:sz w:val="20"/>
                <w:szCs w:val="20"/>
              </w:rPr>
            </w:pPr>
            <w:r>
              <w:rPr>
                <w:sz w:val="20"/>
                <w:szCs w:val="20"/>
                <w:spacing w:val="6"/>
              </w:rPr>
              <w:t>于重点管控区，主要产生的非甲烷总烃废气属于重点污染物，采取</w:t>
            </w:r>
            <w:r>
              <w:rPr>
                <w:sz w:val="20"/>
                <w:szCs w:val="20"/>
                <w:spacing w:val="8"/>
              </w:rPr>
              <w:t xml:space="preserve"> </w:t>
            </w:r>
            <w:r>
              <w:rPr>
                <w:sz w:val="20"/>
                <w:szCs w:val="20"/>
                <w:spacing w:val="7"/>
              </w:rPr>
              <w:t>总量控制指标申请。</w:t>
            </w:r>
          </w:p>
        </w:tc>
        <w:tc>
          <w:tcPr>
            <w:tcW w:w="889" w:type="dxa"/>
            <w:vAlign w:val="top"/>
            <w:tcBorders>
              <w:right w:val="single" w:color="000000" w:sz="10" w:space="0"/>
            </w:tcBorders>
          </w:tcPr>
          <w:p>
            <w:pPr>
              <w:pStyle w:val="TableText"/>
              <w:ind w:left="247"/>
              <w:spacing w:before="112" w:line="228" w:lineRule="auto"/>
              <w:rPr>
                <w:sz w:val="20"/>
                <w:szCs w:val="20"/>
              </w:rPr>
            </w:pPr>
            <w:r>
              <w:rPr>
                <w:sz w:val="20"/>
                <w:szCs w:val="20"/>
                <w:spacing w:val="3"/>
              </w:rPr>
              <w:t>符合</w:t>
            </w:r>
          </w:p>
        </w:tc>
      </w:tr>
      <w:tr>
        <w:trPr>
          <w:trHeight w:val="2532" w:hRule="atLeast"/>
        </w:trPr>
        <w:tc>
          <w:tcPr>
            <w:tcW w:w="1283" w:type="dxa"/>
            <w:vAlign w:val="top"/>
            <w:tcBorders>
              <w:left w:val="single" w:color="000000" w:sz="10" w:space="0"/>
              <w:bottom w:val="single" w:color="000000" w:sz="10" w:space="0"/>
            </w:tcBorders>
          </w:tcPr>
          <w:p>
            <w:pPr>
              <w:pStyle w:val="TableText"/>
              <w:ind w:left="107"/>
              <w:spacing w:before="119" w:line="228" w:lineRule="auto"/>
              <w:rPr>
                <w:sz w:val="20"/>
                <w:szCs w:val="20"/>
              </w:rPr>
            </w:pPr>
            <w:r>
              <w:rPr>
                <w:sz w:val="20"/>
                <w:szCs w:val="20"/>
                <w:spacing w:val="8"/>
              </w:rPr>
              <w:t>第四十四条</w:t>
            </w:r>
          </w:p>
        </w:tc>
        <w:tc>
          <w:tcPr>
            <w:tcW w:w="5804" w:type="dxa"/>
            <w:vAlign w:val="top"/>
            <w:tcBorders>
              <w:bottom w:val="single" w:color="000000" w:sz="10" w:space="0"/>
            </w:tcBorders>
          </w:tcPr>
          <w:p>
            <w:pPr>
              <w:pStyle w:val="TableText"/>
              <w:ind w:left="700"/>
              <w:spacing w:before="119" w:line="228" w:lineRule="auto"/>
              <w:rPr>
                <w:sz w:val="20"/>
                <w:szCs w:val="20"/>
              </w:rPr>
            </w:pPr>
            <w:r>
              <w:rPr>
                <w:sz w:val="20"/>
                <w:szCs w:val="20"/>
                <w:spacing w:val="8"/>
              </w:rPr>
              <w:t>企业事业单位应当履行下列环境保护工作责任：</w:t>
            </w:r>
          </w:p>
          <w:p>
            <w:pPr>
              <w:pStyle w:val="TableText"/>
              <w:ind w:left="104" w:right="18" w:firstLine="10"/>
              <w:spacing w:before="114" w:line="314" w:lineRule="auto"/>
              <w:jc w:val="both"/>
              <w:rPr>
                <w:sz w:val="20"/>
                <w:szCs w:val="20"/>
              </w:rPr>
            </w:pPr>
            <w:r>
              <w:rPr>
                <w:sz w:val="20"/>
                <w:szCs w:val="20"/>
                <w:spacing w:val="6"/>
              </w:rPr>
              <w:t>（一）建立并落实环境保护责任制，明确单位负责人和相关人</w:t>
            </w:r>
            <w:r>
              <w:rPr>
                <w:sz w:val="20"/>
                <w:szCs w:val="20"/>
                <w:spacing w:val="7"/>
              </w:rPr>
              <w:t xml:space="preserve">  </w:t>
            </w:r>
            <w:r>
              <w:rPr>
                <w:sz w:val="20"/>
                <w:szCs w:val="20"/>
                <w:spacing w:val="10"/>
              </w:rPr>
              <w:t>员的环境保护责任</w:t>
            </w:r>
            <w:r>
              <w:rPr>
                <w:sz w:val="20"/>
                <w:szCs w:val="20"/>
                <w:spacing w:val="-30"/>
              </w:rPr>
              <w:t>；（</w:t>
            </w:r>
            <w:r>
              <w:rPr>
                <w:sz w:val="20"/>
                <w:szCs w:val="20"/>
                <w:spacing w:val="10"/>
              </w:rPr>
              <w:t>二）建立内部环境保护工作机</w:t>
            </w:r>
            <w:r>
              <w:rPr>
                <w:sz w:val="20"/>
                <w:szCs w:val="20"/>
                <w:spacing w:val="9"/>
              </w:rPr>
              <w:t>构或者确</w:t>
            </w:r>
            <w:r>
              <w:rPr>
                <w:sz w:val="20"/>
                <w:szCs w:val="20"/>
              </w:rPr>
              <w:t xml:space="preserve">  </w:t>
            </w:r>
            <w:r>
              <w:rPr>
                <w:sz w:val="20"/>
                <w:szCs w:val="20"/>
                <w:spacing w:val="8"/>
              </w:rPr>
              <w:t>定环境保护工作人员</w:t>
            </w:r>
            <w:r>
              <w:rPr>
                <w:sz w:val="20"/>
                <w:szCs w:val="20"/>
                <w:spacing w:val="-50"/>
                <w:w w:val="93"/>
              </w:rPr>
              <w:t>；（</w:t>
            </w:r>
            <w:r>
              <w:rPr>
                <w:sz w:val="20"/>
                <w:szCs w:val="20"/>
                <w:spacing w:val="8"/>
              </w:rPr>
              <w:t>三）制定完善内部环境保护</w:t>
            </w:r>
            <w:r>
              <w:rPr>
                <w:sz w:val="20"/>
                <w:szCs w:val="20"/>
                <w:spacing w:val="7"/>
              </w:rPr>
              <w:t>管理制度、</w:t>
            </w:r>
            <w:r>
              <w:rPr>
                <w:sz w:val="20"/>
                <w:szCs w:val="20"/>
              </w:rPr>
              <w:t xml:space="preserve"> </w:t>
            </w:r>
            <w:r>
              <w:rPr>
                <w:sz w:val="20"/>
                <w:szCs w:val="20"/>
                <w:spacing w:val="10"/>
              </w:rPr>
              <w:t>污染防治设施操作规程</w:t>
            </w:r>
            <w:r>
              <w:rPr>
                <w:sz w:val="20"/>
                <w:szCs w:val="20"/>
                <w:spacing w:val="-30"/>
              </w:rPr>
              <w:t>；（</w:t>
            </w:r>
            <w:r>
              <w:rPr>
                <w:sz w:val="20"/>
                <w:szCs w:val="20"/>
                <w:spacing w:val="10"/>
              </w:rPr>
              <w:t>四）保证生产环节符合环</w:t>
            </w:r>
            <w:r>
              <w:rPr>
                <w:sz w:val="20"/>
                <w:szCs w:val="20"/>
                <w:spacing w:val="9"/>
              </w:rPr>
              <w:t>境保护法</w:t>
            </w:r>
            <w:r>
              <w:rPr>
                <w:sz w:val="20"/>
                <w:szCs w:val="20"/>
              </w:rPr>
              <w:t xml:space="preserve">  </w:t>
            </w:r>
            <w:r>
              <w:rPr>
                <w:sz w:val="20"/>
                <w:szCs w:val="20"/>
                <w:spacing w:val="7"/>
              </w:rPr>
              <w:t>律法规和技术规范的要求，保障污染防治设施正常运行</w:t>
            </w:r>
            <w:r>
              <w:rPr>
                <w:sz w:val="20"/>
                <w:szCs w:val="20"/>
                <w:spacing w:val="-54"/>
              </w:rPr>
              <w:t>；（</w:t>
            </w:r>
            <w:r>
              <w:rPr>
                <w:sz w:val="20"/>
                <w:szCs w:val="20"/>
                <w:spacing w:val="7"/>
              </w:rPr>
              <w:t>五）</w:t>
            </w:r>
            <w:r>
              <w:rPr>
                <w:sz w:val="20"/>
                <w:szCs w:val="20"/>
                <w:spacing w:val="1"/>
              </w:rPr>
              <w:t xml:space="preserve"> </w:t>
            </w:r>
            <w:r>
              <w:rPr>
                <w:sz w:val="20"/>
                <w:szCs w:val="20"/>
                <w:spacing w:val="10"/>
              </w:rPr>
              <w:t>建立环境保护工作档案</w:t>
            </w:r>
            <w:r>
              <w:rPr>
                <w:sz w:val="20"/>
                <w:szCs w:val="20"/>
                <w:spacing w:val="-30"/>
              </w:rPr>
              <w:t>；（</w:t>
            </w:r>
            <w:r>
              <w:rPr>
                <w:sz w:val="20"/>
                <w:szCs w:val="20"/>
                <w:spacing w:val="10"/>
              </w:rPr>
              <w:t>六）建立健全环境应急和</w:t>
            </w:r>
            <w:r>
              <w:rPr>
                <w:sz w:val="20"/>
                <w:szCs w:val="20"/>
                <w:spacing w:val="9"/>
              </w:rPr>
              <w:t>环境风险</w:t>
            </w:r>
          </w:p>
        </w:tc>
        <w:tc>
          <w:tcPr>
            <w:tcW w:w="6201" w:type="dxa"/>
            <w:vAlign w:val="top"/>
            <w:tcBorders>
              <w:bottom w:val="single" w:color="000000" w:sz="10" w:space="0"/>
            </w:tcBorders>
          </w:tcPr>
          <w:p>
            <w:pPr>
              <w:pStyle w:val="TableText"/>
              <w:ind w:left="112" w:right="55" w:firstLine="4"/>
              <w:spacing w:before="118" w:line="317" w:lineRule="auto"/>
              <w:jc w:val="both"/>
              <w:rPr>
                <w:sz w:val="20"/>
                <w:szCs w:val="20"/>
              </w:rPr>
            </w:pPr>
            <w:r>
              <w:rPr>
                <w:sz w:val="20"/>
                <w:szCs w:val="20"/>
                <w:spacing w:val="6"/>
              </w:rPr>
              <w:t>企业已建立环境保护责任制，单位主要负责人为企业法人，企业负</w:t>
            </w:r>
            <w:r>
              <w:rPr>
                <w:sz w:val="20"/>
                <w:szCs w:val="20"/>
                <w:spacing w:val="8"/>
              </w:rPr>
              <w:t xml:space="preserve"> </w:t>
            </w:r>
            <w:r>
              <w:rPr>
                <w:sz w:val="20"/>
                <w:szCs w:val="20"/>
                <w:spacing w:val="6"/>
              </w:rPr>
              <w:t>责人以及企业员工具有环境保护责任；</w:t>
            </w:r>
            <w:r>
              <w:rPr>
                <w:sz w:val="20"/>
                <w:szCs w:val="20"/>
                <w:spacing w:val="-47"/>
              </w:rPr>
              <w:t xml:space="preserve"> </w:t>
            </w:r>
            <w:r>
              <w:rPr>
                <w:sz w:val="20"/>
                <w:szCs w:val="20"/>
                <w:spacing w:val="6"/>
              </w:rPr>
              <w:t>已确定环境保护工作人员；</w:t>
            </w:r>
            <w:r>
              <w:rPr>
                <w:sz w:val="20"/>
                <w:szCs w:val="20"/>
              </w:rPr>
              <w:t xml:space="preserve"> </w:t>
            </w:r>
            <w:r>
              <w:rPr>
                <w:sz w:val="20"/>
                <w:szCs w:val="20"/>
                <w:spacing w:val="12"/>
              </w:rPr>
              <w:t>已制定并逐步完善内部环境保护管理制度、污染</w:t>
            </w:r>
            <w:r>
              <w:rPr>
                <w:sz w:val="20"/>
                <w:szCs w:val="20"/>
                <w:spacing w:val="11"/>
              </w:rPr>
              <w:t>防治设施操作规</w:t>
            </w:r>
            <w:r>
              <w:rPr>
                <w:sz w:val="20"/>
                <w:szCs w:val="20"/>
              </w:rPr>
              <w:t xml:space="preserve">  </w:t>
            </w:r>
            <w:r>
              <w:rPr>
                <w:sz w:val="20"/>
                <w:szCs w:val="20"/>
                <w:spacing w:val="6"/>
              </w:rPr>
              <w:t>程；生产环节符合环境保护法律法规和技术规范的要求，污染防治</w:t>
            </w:r>
            <w:r>
              <w:rPr>
                <w:sz w:val="20"/>
                <w:szCs w:val="20"/>
                <w:spacing w:val="13"/>
              </w:rPr>
              <w:t xml:space="preserve"> </w:t>
            </w:r>
            <w:r>
              <w:rPr>
                <w:sz w:val="20"/>
                <w:szCs w:val="20"/>
                <w:spacing w:val="6"/>
              </w:rPr>
              <w:t>设施正常运行；已建立环境保护工作档案；已编制突发环境事件应</w:t>
            </w:r>
            <w:r>
              <w:rPr>
                <w:sz w:val="20"/>
                <w:szCs w:val="20"/>
                <w:spacing w:val="13"/>
              </w:rPr>
              <w:t xml:space="preserve"> </w:t>
            </w:r>
            <w:r>
              <w:rPr>
                <w:sz w:val="20"/>
                <w:szCs w:val="20"/>
                <w:spacing w:val="6"/>
              </w:rPr>
              <w:t>急预案，定期开展应急演练；已建立健全环境应急和环境风险防范</w:t>
            </w:r>
            <w:r>
              <w:rPr>
                <w:sz w:val="20"/>
                <w:szCs w:val="20"/>
                <w:spacing w:val="12"/>
              </w:rPr>
              <w:t xml:space="preserve"> </w:t>
            </w:r>
            <w:r>
              <w:rPr>
                <w:sz w:val="20"/>
                <w:szCs w:val="20"/>
                <w:spacing w:val="6"/>
              </w:rPr>
              <w:t>机制；定期开展环境保护法律法规和技术规范相关内容学习。明确</w:t>
            </w:r>
          </w:p>
        </w:tc>
        <w:tc>
          <w:tcPr>
            <w:tcW w:w="889" w:type="dxa"/>
            <w:vAlign w:val="top"/>
            <w:tcBorders>
              <w:bottom w:val="single" w:color="000000" w:sz="10" w:space="0"/>
              <w:right w:val="single" w:color="000000" w:sz="10" w:space="0"/>
            </w:tcBorders>
          </w:tcPr>
          <w:p>
            <w:pPr>
              <w:pStyle w:val="TableText"/>
              <w:ind w:left="247"/>
              <w:spacing w:before="119" w:line="228" w:lineRule="auto"/>
              <w:rPr>
                <w:sz w:val="20"/>
                <w:szCs w:val="20"/>
              </w:rPr>
            </w:pPr>
            <w:r>
              <w:rPr>
                <w:sz w:val="20"/>
                <w:szCs w:val="20"/>
                <w:spacing w:val="3"/>
              </w:rPr>
              <w:t>符合</w:t>
            </w:r>
          </w:p>
        </w:tc>
      </w:tr>
    </w:tbl>
    <w:p>
      <w:pPr>
        <w:pStyle w:val="BodyText"/>
        <w:rPr/>
      </w:pPr>
      <w:r/>
    </w:p>
    <w:p>
      <w:pPr>
        <w:sectPr>
          <w:footerReference w:type="default" r:id="rId152"/>
          <w:pgSz w:w="16839" w:h="11906"/>
          <w:pgMar w:top="400" w:right="1317" w:bottom="1211" w:left="1317" w:header="0" w:footer="1049" w:gutter="0"/>
        </w:sectPr>
        <w:rPr/>
      </w:pPr>
    </w:p>
    <w:p>
      <w:pPr>
        <w:spacing w:before="39"/>
        <w:rPr/>
      </w:pPr>
      <w:r/>
    </w:p>
    <w:p>
      <w:pPr>
        <w:spacing w:before="39"/>
        <w:rPr/>
      </w:pPr>
      <w:r/>
    </w:p>
    <w:p>
      <w:pPr>
        <w:spacing w:before="38"/>
        <w:rPr/>
      </w:pPr>
      <w:r/>
    </w:p>
    <w:p>
      <w:pPr>
        <w:spacing w:before="38"/>
        <w:rPr/>
      </w:pPr>
      <w:r/>
    </w:p>
    <w:p>
      <w:pPr>
        <w:spacing w:before="38"/>
        <w:rPr/>
      </w:pPr>
      <w:r/>
    </w:p>
    <w:tbl>
      <w:tblPr>
        <w:tblStyle w:val="TableNormal"/>
        <w:tblW w:w="14177"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83"/>
        <w:gridCol w:w="5804"/>
        <w:gridCol w:w="6201"/>
        <w:gridCol w:w="889"/>
      </w:tblGrid>
      <w:tr>
        <w:trPr>
          <w:trHeight w:val="1422" w:hRule="atLeast"/>
        </w:trPr>
        <w:tc>
          <w:tcPr>
            <w:tcW w:w="1283" w:type="dxa"/>
            <w:vAlign w:val="top"/>
            <w:tcBorders>
              <w:left w:val="single" w:color="000000" w:sz="10" w:space="0"/>
              <w:top w:val="single" w:color="000000" w:sz="10" w:space="0"/>
            </w:tcBorders>
          </w:tcPr>
          <w:p>
            <w:pPr>
              <w:rPr>
                <w:rFonts w:ascii="Arial"/>
                <w:sz w:val="21"/>
              </w:rPr>
            </w:pPr>
            <w:r/>
          </w:p>
        </w:tc>
        <w:tc>
          <w:tcPr>
            <w:tcW w:w="5804" w:type="dxa"/>
            <w:vAlign w:val="top"/>
            <w:tcBorders>
              <w:top w:val="single" w:color="000000" w:sz="10" w:space="0"/>
            </w:tcBorders>
          </w:tcPr>
          <w:p>
            <w:pPr>
              <w:pStyle w:val="TableText"/>
              <w:ind w:left="105" w:right="105" w:firstLine="12"/>
              <w:spacing w:before="95" w:line="297" w:lineRule="auto"/>
              <w:jc w:val="both"/>
              <w:rPr>
                <w:sz w:val="20"/>
                <w:szCs w:val="20"/>
              </w:rPr>
            </w:pPr>
            <w:r>
              <w:rPr>
                <w:sz w:val="20"/>
                <w:szCs w:val="20"/>
                <w:spacing w:val="8"/>
              </w:rPr>
              <w:t>防范机制，及时消除环境安全隐患</w:t>
            </w:r>
            <w:r>
              <w:rPr>
                <w:sz w:val="20"/>
                <w:szCs w:val="20"/>
                <w:spacing w:val="-14"/>
              </w:rPr>
              <w:t>；（</w:t>
            </w:r>
            <w:r>
              <w:rPr>
                <w:sz w:val="20"/>
                <w:szCs w:val="20"/>
                <w:spacing w:val="8"/>
              </w:rPr>
              <w:t>七）其他应当履行的环</w:t>
            </w:r>
            <w:r>
              <w:rPr>
                <w:sz w:val="20"/>
                <w:szCs w:val="20"/>
              </w:rPr>
              <w:t xml:space="preserve"> </w:t>
            </w:r>
            <w:r>
              <w:rPr>
                <w:sz w:val="20"/>
                <w:szCs w:val="20"/>
                <w:spacing w:val="7"/>
              </w:rPr>
              <w:t>境保护工作责任。其他生产经营者应当明确有关人员的</w:t>
            </w:r>
            <w:r>
              <w:rPr>
                <w:sz w:val="20"/>
                <w:szCs w:val="20"/>
                <w:spacing w:val="6"/>
              </w:rPr>
              <w:t>环境保</w:t>
            </w:r>
            <w:r>
              <w:rPr>
                <w:sz w:val="20"/>
                <w:szCs w:val="20"/>
              </w:rPr>
              <w:t xml:space="preserve"> </w:t>
            </w:r>
            <w:r>
              <w:rPr>
                <w:sz w:val="20"/>
                <w:szCs w:val="20"/>
                <w:spacing w:val="7"/>
              </w:rPr>
              <w:t>护责任，并按照环境保护法律法规和技术规范的要求从</w:t>
            </w:r>
            <w:r>
              <w:rPr>
                <w:sz w:val="20"/>
                <w:szCs w:val="20"/>
                <w:spacing w:val="6"/>
              </w:rPr>
              <w:t>事生产</w:t>
            </w:r>
          </w:p>
          <w:p>
            <w:pPr>
              <w:pStyle w:val="TableText"/>
              <w:ind w:left="2379"/>
              <w:spacing w:before="112" w:line="220" w:lineRule="auto"/>
              <w:rPr>
                <w:sz w:val="20"/>
                <w:szCs w:val="20"/>
              </w:rPr>
            </w:pPr>
            <w:r>
              <w:rPr>
                <w:sz w:val="20"/>
                <w:szCs w:val="20"/>
                <w:spacing w:val="5"/>
              </w:rPr>
              <w:t>经营活动。</w:t>
            </w:r>
          </w:p>
        </w:tc>
        <w:tc>
          <w:tcPr>
            <w:tcW w:w="6201" w:type="dxa"/>
            <w:vAlign w:val="top"/>
            <w:tcBorders>
              <w:top w:val="single" w:color="000000" w:sz="10" w:space="0"/>
            </w:tcBorders>
          </w:tcPr>
          <w:p>
            <w:pPr>
              <w:pStyle w:val="TableText"/>
              <w:ind w:left="1766"/>
              <w:spacing w:before="93" w:line="228" w:lineRule="auto"/>
              <w:rPr>
                <w:sz w:val="20"/>
                <w:szCs w:val="20"/>
              </w:rPr>
            </w:pPr>
            <w:r>
              <w:rPr>
                <w:sz w:val="20"/>
                <w:szCs w:val="20"/>
                <w:spacing w:val="6"/>
              </w:rPr>
              <w:t>了有关人员的环境保护责任。</w:t>
            </w:r>
          </w:p>
        </w:tc>
        <w:tc>
          <w:tcPr>
            <w:tcW w:w="889" w:type="dxa"/>
            <w:vAlign w:val="top"/>
            <w:tcBorders>
              <w:right w:val="single" w:color="000000" w:sz="10" w:space="0"/>
              <w:top w:val="single" w:color="000000" w:sz="10" w:space="0"/>
            </w:tcBorders>
          </w:tcPr>
          <w:p>
            <w:pPr>
              <w:rPr>
                <w:rFonts w:ascii="Arial"/>
                <w:sz w:val="21"/>
              </w:rPr>
            </w:pPr>
            <w:r/>
          </w:p>
        </w:tc>
      </w:tr>
      <w:tr>
        <w:trPr>
          <w:trHeight w:val="1440" w:hRule="atLeast"/>
        </w:trPr>
        <w:tc>
          <w:tcPr>
            <w:tcW w:w="1283" w:type="dxa"/>
            <w:vAlign w:val="top"/>
            <w:tcBorders>
              <w:left w:val="single" w:color="000000" w:sz="10" w:space="0"/>
            </w:tcBorders>
          </w:tcPr>
          <w:p>
            <w:pPr>
              <w:pStyle w:val="TableText"/>
              <w:ind w:left="213"/>
              <w:spacing w:before="116" w:line="228" w:lineRule="auto"/>
              <w:rPr>
                <w:sz w:val="20"/>
                <w:szCs w:val="20"/>
              </w:rPr>
            </w:pPr>
            <w:r>
              <w:rPr>
                <w:sz w:val="20"/>
                <w:szCs w:val="20"/>
                <w:spacing w:val="7"/>
              </w:rPr>
              <w:t>第五十条</w:t>
            </w:r>
          </w:p>
        </w:tc>
        <w:tc>
          <w:tcPr>
            <w:tcW w:w="5804" w:type="dxa"/>
            <w:vAlign w:val="top"/>
          </w:tcPr>
          <w:p>
            <w:pPr>
              <w:pStyle w:val="TableText"/>
              <w:ind w:left="107"/>
              <w:spacing w:before="117" w:line="228" w:lineRule="auto"/>
              <w:rPr>
                <w:sz w:val="20"/>
                <w:szCs w:val="20"/>
              </w:rPr>
            </w:pPr>
            <w:r>
              <w:rPr>
                <w:sz w:val="20"/>
                <w:szCs w:val="20"/>
                <w:spacing w:val="7"/>
              </w:rPr>
              <w:t>建设项目的环境保护设施，应当与主体工程同时设计</w:t>
            </w:r>
            <w:r>
              <w:rPr>
                <w:sz w:val="20"/>
                <w:szCs w:val="20"/>
                <w:spacing w:val="6"/>
              </w:rPr>
              <w:t>、同时施</w:t>
            </w:r>
          </w:p>
          <w:p>
            <w:pPr>
              <w:pStyle w:val="TableText"/>
              <w:ind w:left="1032" w:right="108" w:hanging="925"/>
              <w:spacing w:before="113" w:line="280" w:lineRule="auto"/>
              <w:rPr>
                <w:sz w:val="20"/>
                <w:szCs w:val="20"/>
              </w:rPr>
            </w:pPr>
            <w:r>
              <w:rPr>
                <w:sz w:val="20"/>
                <w:szCs w:val="20"/>
                <w:spacing w:val="7"/>
              </w:rPr>
              <w:t>工、同时投入使用。建设单位在改建、扩建建</w:t>
            </w:r>
            <w:r>
              <w:rPr>
                <w:sz w:val="20"/>
                <w:szCs w:val="20"/>
                <w:spacing w:val="6"/>
              </w:rPr>
              <w:t>设项目时，应当</w:t>
            </w:r>
            <w:r>
              <w:rPr>
                <w:sz w:val="20"/>
                <w:szCs w:val="20"/>
              </w:rPr>
              <w:t xml:space="preserve"> </w:t>
            </w:r>
            <w:r>
              <w:rPr>
                <w:sz w:val="20"/>
                <w:szCs w:val="20"/>
                <w:spacing w:val="7"/>
              </w:rPr>
              <w:t>同时治理与建设项目有关的原有污染源。</w:t>
            </w:r>
          </w:p>
        </w:tc>
        <w:tc>
          <w:tcPr>
            <w:tcW w:w="6201" w:type="dxa"/>
            <w:vAlign w:val="top"/>
          </w:tcPr>
          <w:p>
            <w:pPr>
              <w:pStyle w:val="TableText"/>
              <w:ind w:left="112" w:right="95" w:firstLine="1"/>
              <w:spacing w:before="118" w:line="297" w:lineRule="auto"/>
              <w:jc w:val="both"/>
              <w:rPr>
                <w:sz w:val="20"/>
                <w:szCs w:val="20"/>
              </w:rPr>
            </w:pPr>
            <w:r>
              <w:rPr>
                <w:sz w:val="20"/>
                <w:szCs w:val="20"/>
                <w:spacing w:val="6"/>
              </w:rPr>
              <w:t>本项目为扩建项目，属于未批先建的违法行为，未履行环境保护设</w:t>
            </w:r>
            <w:r>
              <w:rPr>
                <w:sz w:val="20"/>
                <w:szCs w:val="20"/>
                <w:spacing w:val="11"/>
              </w:rPr>
              <w:t xml:space="preserve"> </w:t>
            </w:r>
            <w:r>
              <w:rPr>
                <w:sz w:val="20"/>
                <w:szCs w:val="20"/>
                <w:spacing w:val="6"/>
              </w:rPr>
              <w:t>施与主体工程同时设计、同时施工、同时投入使用，项目已停止施</w:t>
            </w:r>
            <w:r>
              <w:rPr>
                <w:sz w:val="20"/>
                <w:szCs w:val="20"/>
                <w:spacing w:val="13"/>
              </w:rPr>
              <w:t xml:space="preserve"> </w:t>
            </w:r>
            <w:r>
              <w:rPr>
                <w:sz w:val="20"/>
                <w:szCs w:val="20"/>
                <w:spacing w:val="6"/>
              </w:rPr>
              <w:t>工，取得审批后开展环保设施的安装，确保环保设备与主体工程同</w:t>
            </w:r>
          </w:p>
          <w:p>
            <w:pPr>
              <w:pStyle w:val="TableText"/>
              <w:ind w:left="391"/>
              <w:spacing w:before="113" w:line="215" w:lineRule="auto"/>
              <w:rPr>
                <w:sz w:val="20"/>
                <w:szCs w:val="20"/>
              </w:rPr>
            </w:pPr>
            <w:r>
              <w:rPr>
                <w:sz w:val="20"/>
                <w:szCs w:val="20"/>
                <w:spacing w:val="9"/>
              </w:rPr>
              <w:t>时投入使用。本项目不存在与建设项目有关的原</w:t>
            </w:r>
            <w:r>
              <w:rPr>
                <w:sz w:val="20"/>
                <w:szCs w:val="20"/>
                <w:spacing w:val="8"/>
              </w:rPr>
              <w:t>有污染源。</w:t>
            </w:r>
          </w:p>
        </w:tc>
        <w:tc>
          <w:tcPr>
            <w:tcW w:w="889" w:type="dxa"/>
            <w:vAlign w:val="top"/>
            <w:tcBorders>
              <w:right w:val="single" w:color="000000" w:sz="10" w:space="0"/>
            </w:tcBorders>
          </w:tcPr>
          <w:p>
            <w:pPr>
              <w:pStyle w:val="TableText"/>
              <w:ind w:left="140"/>
              <w:spacing w:before="116" w:line="227" w:lineRule="auto"/>
              <w:rPr>
                <w:sz w:val="20"/>
                <w:szCs w:val="20"/>
              </w:rPr>
            </w:pPr>
            <w:r>
              <w:rPr>
                <w:sz w:val="20"/>
                <w:szCs w:val="20"/>
                <w:spacing w:val="6"/>
              </w:rPr>
              <w:t>基本符</w:t>
            </w:r>
          </w:p>
          <w:p>
            <w:pPr>
              <w:pStyle w:val="TableText"/>
              <w:ind w:left="141"/>
              <w:spacing w:before="113" w:line="228" w:lineRule="auto"/>
              <w:rPr>
                <w:sz w:val="20"/>
                <w:szCs w:val="20"/>
              </w:rPr>
            </w:pPr>
            <w:r>
              <w:rPr>
                <w:sz w:val="20"/>
                <w:szCs w:val="20"/>
                <w:spacing w:val="6"/>
              </w:rPr>
              <w:t>合，待</w:t>
            </w:r>
          </w:p>
          <w:p>
            <w:pPr>
              <w:pStyle w:val="TableText"/>
              <w:ind w:left="142"/>
              <w:spacing w:before="113" w:line="228" w:lineRule="auto"/>
              <w:rPr>
                <w:sz w:val="20"/>
                <w:szCs w:val="20"/>
              </w:rPr>
            </w:pPr>
            <w:r>
              <w:rPr>
                <w:sz w:val="20"/>
                <w:szCs w:val="20"/>
                <w:spacing w:val="6"/>
              </w:rPr>
              <w:t>后续整</w:t>
            </w:r>
          </w:p>
          <w:p>
            <w:pPr>
              <w:pStyle w:val="TableText"/>
              <w:ind w:left="358"/>
              <w:spacing w:before="113" w:line="215" w:lineRule="auto"/>
              <w:rPr>
                <w:sz w:val="20"/>
                <w:szCs w:val="20"/>
              </w:rPr>
            </w:pPr>
            <w:r>
              <w:rPr>
                <w:sz w:val="20"/>
                <w:szCs w:val="20"/>
              </w:rPr>
              <w:t>改</w:t>
            </w:r>
          </w:p>
        </w:tc>
      </w:tr>
      <w:tr>
        <w:trPr>
          <w:trHeight w:val="1819" w:hRule="atLeast"/>
        </w:trPr>
        <w:tc>
          <w:tcPr>
            <w:tcW w:w="1283" w:type="dxa"/>
            <w:vAlign w:val="top"/>
            <w:tcBorders>
              <w:left w:val="single" w:color="000000" w:sz="10" w:space="0"/>
              <w:bottom w:val="single" w:color="000000" w:sz="10" w:space="0"/>
            </w:tcBorders>
          </w:tcPr>
          <w:p>
            <w:pPr>
              <w:pStyle w:val="TableText"/>
              <w:ind w:left="107"/>
              <w:spacing w:before="123" w:line="228" w:lineRule="auto"/>
              <w:rPr>
                <w:sz w:val="20"/>
                <w:szCs w:val="20"/>
              </w:rPr>
            </w:pPr>
            <w:r>
              <w:rPr>
                <w:sz w:val="20"/>
                <w:szCs w:val="20"/>
                <w:spacing w:val="8"/>
              </w:rPr>
              <w:t>第五十三条</w:t>
            </w:r>
          </w:p>
        </w:tc>
        <w:tc>
          <w:tcPr>
            <w:tcW w:w="5804" w:type="dxa"/>
            <w:vAlign w:val="top"/>
            <w:tcBorders>
              <w:bottom w:val="single" w:color="000000" w:sz="10" w:space="0"/>
            </w:tcBorders>
          </w:tcPr>
          <w:p>
            <w:pPr>
              <w:pStyle w:val="TableText"/>
              <w:ind w:left="102" w:right="105" w:firstLine="5"/>
              <w:spacing w:before="123" w:line="306" w:lineRule="auto"/>
              <w:jc w:val="both"/>
              <w:rPr>
                <w:sz w:val="20"/>
                <w:szCs w:val="20"/>
              </w:rPr>
            </w:pPr>
            <w:r>
              <w:rPr>
                <w:sz w:val="20"/>
                <w:szCs w:val="20"/>
                <w:spacing w:val="7"/>
              </w:rPr>
              <w:t>企业事业单位应当依法制定突发环境事件应急</w:t>
            </w:r>
            <w:r>
              <w:rPr>
                <w:sz w:val="20"/>
                <w:szCs w:val="20"/>
                <w:spacing w:val="6"/>
              </w:rPr>
              <w:t>预案，报环境保</w:t>
            </w:r>
            <w:r>
              <w:rPr>
                <w:sz w:val="20"/>
                <w:szCs w:val="20"/>
              </w:rPr>
              <w:t xml:space="preserve"> </w:t>
            </w:r>
            <w:r>
              <w:rPr>
                <w:sz w:val="20"/>
                <w:szCs w:val="20"/>
                <w:spacing w:val="7"/>
              </w:rPr>
              <w:t>护主管部门和其他相关部门备案，并定期进行演练。发生</w:t>
            </w:r>
            <w:r>
              <w:rPr>
                <w:sz w:val="20"/>
                <w:szCs w:val="20"/>
                <w:spacing w:val="6"/>
              </w:rPr>
              <w:t>突发</w:t>
            </w:r>
            <w:r>
              <w:rPr>
                <w:sz w:val="20"/>
                <w:szCs w:val="20"/>
              </w:rPr>
              <w:t xml:space="preserve"> </w:t>
            </w:r>
            <w:r>
              <w:rPr>
                <w:sz w:val="20"/>
                <w:szCs w:val="20"/>
                <w:spacing w:val="7"/>
              </w:rPr>
              <w:t>环境事件的，应当立即启动应急预案，采取应急措施，及时通</w:t>
            </w:r>
            <w:r>
              <w:rPr>
                <w:sz w:val="20"/>
                <w:szCs w:val="20"/>
              </w:rPr>
              <w:t xml:space="preserve"> </w:t>
            </w:r>
            <w:r>
              <w:rPr>
                <w:sz w:val="20"/>
                <w:szCs w:val="20"/>
                <w:spacing w:val="7"/>
              </w:rPr>
              <w:t>报可能受到危害的单位和居民，并向所在地县级人民政府及其</w:t>
            </w:r>
          </w:p>
          <w:p>
            <w:pPr>
              <w:pStyle w:val="TableText"/>
              <w:ind w:left="908"/>
              <w:spacing w:before="114" w:line="226" w:lineRule="auto"/>
              <w:rPr>
                <w:sz w:val="20"/>
                <w:szCs w:val="20"/>
              </w:rPr>
            </w:pPr>
            <w:r>
              <w:rPr>
                <w:sz w:val="20"/>
                <w:szCs w:val="20"/>
                <w:spacing w:val="8"/>
              </w:rPr>
              <w:t>环境保护、安全生产监督等有关部门报告。</w:t>
            </w:r>
          </w:p>
        </w:tc>
        <w:tc>
          <w:tcPr>
            <w:tcW w:w="6201" w:type="dxa"/>
            <w:vAlign w:val="top"/>
            <w:tcBorders>
              <w:bottom w:val="single" w:color="000000" w:sz="10" w:space="0"/>
            </w:tcBorders>
          </w:tcPr>
          <w:p>
            <w:pPr>
              <w:pStyle w:val="TableText"/>
              <w:ind w:left="114" w:right="95" w:firstLine="2"/>
              <w:spacing w:before="125" w:line="297" w:lineRule="auto"/>
              <w:jc w:val="both"/>
              <w:rPr>
                <w:sz w:val="20"/>
                <w:szCs w:val="20"/>
              </w:rPr>
            </w:pPr>
            <w:r>
              <w:rPr>
                <w:sz w:val="20"/>
                <w:szCs w:val="20"/>
                <w:spacing w:val="6"/>
              </w:rPr>
              <w:t>企业已编制突发环境事件应急预案，已报备环境保护主管部门。已</w:t>
            </w:r>
            <w:r>
              <w:rPr>
                <w:sz w:val="20"/>
                <w:szCs w:val="20"/>
                <w:spacing w:val="8"/>
              </w:rPr>
              <w:t xml:space="preserve"> </w:t>
            </w:r>
            <w:r>
              <w:rPr>
                <w:sz w:val="20"/>
                <w:szCs w:val="20"/>
                <w:spacing w:val="6"/>
              </w:rPr>
              <w:t>开展定期演练。发生突发环境事件的，立即启动应急预案，采取应</w:t>
            </w:r>
            <w:r>
              <w:rPr>
                <w:sz w:val="20"/>
                <w:szCs w:val="20"/>
                <w:spacing w:val="11"/>
              </w:rPr>
              <w:t xml:space="preserve"> </w:t>
            </w:r>
            <w:r>
              <w:rPr>
                <w:sz w:val="20"/>
                <w:szCs w:val="20"/>
                <w:spacing w:val="6"/>
              </w:rPr>
              <w:t>急措施，及时通报可能受到危害的单位和居民，并向所在地县级人</w:t>
            </w:r>
          </w:p>
          <w:p>
            <w:pPr>
              <w:pStyle w:val="TableText"/>
              <w:ind w:left="613"/>
              <w:spacing w:before="113" w:line="226" w:lineRule="auto"/>
              <w:rPr>
                <w:sz w:val="20"/>
                <w:szCs w:val="20"/>
              </w:rPr>
            </w:pPr>
            <w:r>
              <w:rPr>
                <w:sz w:val="20"/>
                <w:szCs w:val="20"/>
                <w:spacing w:val="8"/>
              </w:rPr>
              <w:t>民政府及其环境保护、安全生产监督等有关部门报告。</w:t>
            </w:r>
          </w:p>
        </w:tc>
        <w:tc>
          <w:tcPr>
            <w:tcW w:w="889" w:type="dxa"/>
            <w:vAlign w:val="top"/>
            <w:tcBorders>
              <w:bottom w:val="single" w:color="000000" w:sz="10" w:space="0"/>
              <w:right w:val="single" w:color="000000" w:sz="10" w:space="0"/>
            </w:tcBorders>
          </w:tcPr>
          <w:p>
            <w:pPr>
              <w:pStyle w:val="TableText"/>
              <w:ind w:left="247"/>
              <w:spacing w:before="123" w:line="228" w:lineRule="auto"/>
              <w:rPr>
                <w:sz w:val="20"/>
                <w:szCs w:val="20"/>
              </w:rPr>
            </w:pPr>
            <w:r>
              <w:rPr>
                <w:sz w:val="20"/>
                <w:szCs w:val="20"/>
                <w:spacing w:val="3"/>
              </w:rPr>
              <w:t>符合</w:t>
            </w:r>
          </w:p>
        </w:tc>
      </w:tr>
    </w:tbl>
    <w:p>
      <w:pPr>
        <w:ind w:left="2703"/>
        <w:spacing w:before="116" w:line="219"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sz w:val="24"/>
          <w:szCs w:val="24"/>
          <w:b/>
          <w:bCs/>
        </w:rPr>
        <w:t>1.1-7  </w:t>
      </w:r>
      <w:r>
        <w:rPr>
          <w:rFonts w:ascii="SimSun" w:hAnsi="SimSun" w:eastAsia="SimSun" w:cs="SimSun"/>
          <w:sz w:val="24"/>
          <w:szCs w:val="24"/>
          <w14:textOutline w14:w="4358" w14:cap="sq" w14:cmpd="sng">
            <w14:solidFill>
              <w14:srgbClr w14:val="000000"/>
            </w14:solidFill>
            <w14:prstDash w14:val="solid"/>
            <w14:bevel/>
          </w14:textOutline>
        </w:rPr>
        <w:t>与《昌吉回族自治州生态环境保护与建设“十四五</w:t>
      </w:r>
      <w:r>
        <w:rPr>
          <w:rFonts w:ascii="SimSun" w:hAnsi="SimSun" w:eastAsia="SimSun" w:cs="SimSun"/>
          <w:sz w:val="24"/>
          <w:szCs w:val="24"/>
          <w:spacing w:val="-88"/>
        </w:rPr>
        <w:t xml:space="preserve"> </w:t>
      </w:r>
      <w:r>
        <w:rPr>
          <w:rFonts w:ascii="SimSun" w:hAnsi="SimSun" w:eastAsia="SimSun" w:cs="SimSun"/>
          <w:sz w:val="24"/>
          <w:szCs w:val="24"/>
          <w14:textOutline w14:w="4358" w14:cap="sq" w14:cmpd="sng">
            <w14:solidFill>
              <w14:srgbClr w14:val="000000"/>
            </w14:solidFill>
            <w14:prstDash w14:val="solid"/>
            <w14:bevel/>
          </w14:textOutline>
        </w:rPr>
        <w:t>”规</w:t>
      </w:r>
      <w:r>
        <w:rPr>
          <w:rFonts w:ascii="SimSun" w:hAnsi="SimSun" w:eastAsia="SimSun" w:cs="SimSun"/>
          <w:sz w:val="24"/>
          <w:szCs w:val="24"/>
          <w14:textOutline w14:w="4358" w14:cap="sq" w14:cmpd="sng">
            <w14:solidFill>
              <w14:srgbClr w14:val="000000"/>
            </w14:solidFill>
            <w14:prstDash w14:val="solid"/>
            <w14:bevel/>
          </w14:textOutline>
          <w:spacing w:val="-1"/>
        </w:rPr>
        <w:t>划》文件符合性分析</w:t>
      </w:r>
    </w:p>
    <w:tbl>
      <w:tblPr>
        <w:tblStyle w:val="TableNormal"/>
        <w:tblW w:w="14177"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28"/>
        <w:gridCol w:w="7336"/>
        <w:gridCol w:w="5224"/>
        <w:gridCol w:w="889"/>
      </w:tblGrid>
      <w:tr>
        <w:trPr>
          <w:trHeight w:val="366" w:hRule="atLeast"/>
        </w:trPr>
        <w:tc>
          <w:tcPr>
            <w:tcW w:w="728" w:type="dxa"/>
            <w:vAlign w:val="top"/>
            <w:tcBorders>
              <w:left w:val="single" w:color="000000" w:sz="10" w:space="0"/>
              <w:top w:val="single" w:color="000000" w:sz="10" w:space="0"/>
            </w:tcBorders>
          </w:tcPr>
          <w:p>
            <w:pPr>
              <w:pStyle w:val="TableText"/>
              <w:ind w:left="143"/>
              <w:spacing w:before="113" w:line="224" w:lineRule="auto"/>
              <w:rPr>
                <w:sz w:val="20"/>
                <w:szCs w:val="20"/>
              </w:rPr>
            </w:pPr>
            <w:r>
              <w:rPr>
                <w:sz w:val="20"/>
                <w:szCs w:val="20"/>
                <w:spacing w:val="5"/>
              </w:rPr>
              <w:t>序号</w:t>
            </w:r>
          </w:p>
        </w:tc>
        <w:tc>
          <w:tcPr>
            <w:tcW w:w="7336" w:type="dxa"/>
            <w:vAlign w:val="top"/>
            <w:tcBorders>
              <w:top w:val="single" w:color="000000" w:sz="10" w:space="0"/>
            </w:tcBorders>
          </w:tcPr>
          <w:p>
            <w:pPr>
              <w:pStyle w:val="TableText"/>
              <w:ind w:left="3274"/>
              <w:spacing w:before="113" w:line="224" w:lineRule="auto"/>
              <w:rPr>
                <w:sz w:val="20"/>
                <w:szCs w:val="20"/>
              </w:rPr>
            </w:pPr>
            <w:r>
              <w:rPr>
                <w:sz w:val="20"/>
                <w:szCs w:val="20"/>
                <w:spacing w:val="1"/>
              </w:rPr>
              <w:t>内容要求</w:t>
            </w:r>
          </w:p>
        </w:tc>
        <w:tc>
          <w:tcPr>
            <w:tcW w:w="5224" w:type="dxa"/>
            <w:vAlign w:val="top"/>
            <w:tcBorders>
              <w:top w:val="single" w:color="000000" w:sz="10" w:space="0"/>
            </w:tcBorders>
          </w:tcPr>
          <w:p>
            <w:pPr>
              <w:pStyle w:val="TableText"/>
              <w:ind w:left="1998"/>
              <w:spacing w:before="113" w:line="224" w:lineRule="auto"/>
              <w:rPr>
                <w:sz w:val="20"/>
                <w:szCs w:val="20"/>
              </w:rPr>
            </w:pPr>
            <w:r>
              <w:rPr>
                <w:sz w:val="20"/>
                <w:szCs w:val="20"/>
                <w:spacing w:val="7"/>
              </w:rPr>
              <w:t>项目建设情况</w:t>
            </w:r>
          </w:p>
        </w:tc>
        <w:tc>
          <w:tcPr>
            <w:tcW w:w="889" w:type="dxa"/>
            <w:vAlign w:val="top"/>
            <w:tcBorders>
              <w:right w:val="single" w:color="000000" w:sz="10" w:space="0"/>
              <w:top w:val="single" w:color="000000" w:sz="10" w:space="0"/>
            </w:tcBorders>
          </w:tcPr>
          <w:p>
            <w:pPr>
              <w:pStyle w:val="TableText"/>
              <w:ind w:left="142"/>
              <w:spacing w:before="113" w:line="224" w:lineRule="auto"/>
              <w:rPr>
                <w:sz w:val="20"/>
                <w:szCs w:val="20"/>
              </w:rPr>
            </w:pPr>
            <w:r>
              <w:rPr>
                <w:sz w:val="20"/>
                <w:szCs w:val="20"/>
                <w:spacing w:val="6"/>
              </w:rPr>
              <w:t>符合性</w:t>
            </w:r>
          </w:p>
        </w:tc>
      </w:tr>
      <w:tr>
        <w:trPr>
          <w:trHeight w:val="1790" w:hRule="atLeast"/>
        </w:trPr>
        <w:tc>
          <w:tcPr>
            <w:tcW w:w="728" w:type="dxa"/>
            <w:vAlign w:val="top"/>
            <w:tcBorders>
              <w:left w:val="single" w:color="000000" w:sz="10" w:space="0"/>
            </w:tcBorders>
          </w:tcPr>
          <w:p>
            <w:pPr>
              <w:ind w:left="318"/>
              <w:spacing w:before="1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336" w:type="dxa"/>
            <w:vAlign w:val="top"/>
          </w:tcPr>
          <w:p>
            <w:pPr>
              <w:pStyle w:val="TableText"/>
              <w:ind w:left="102"/>
              <w:spacing w:before="111" w:line="228" w:lineRule="auto"/>
              <w:rPr>
                <w:sz w:val="20"/>
                <w:szCs w:val="20"/>
              </w:rPr>
            </w:pPr>
            <w:r>
              <w:rPr>
                <w:sz w:val="20"/>
                <w:szCs w:val="20"/>
                <w:spacing w:val="8"/>
              </w:rPr>
              <w:t>深化工业污染治理。推进重点行业污染治理升级改造。</w:t>
            </w:r>
            <w:r>
              <w:rPr>
                <w:sz w:val="20"/>
                <w:szCs w:val="20"/>
                <w:spacing w:val="-68"/>
              </w:rPr>
              <w:t xml:space="preserve"> </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spacing w:val="-27"/>
              </w:rPr>
              <w:t xml:space="preserve"> </w:t>
            </w:r>
            <w:r>
              <w:rPr>
                <w:rFonts w:ascii="Times New Roman" w:hAnsi="Times New Roman" w:eastAsia="Times New Roman" w:cs="Times New Roman"/>
                <w:sz w:val="20"/>
                <w:szCs w:val="20"/>
                <w:spacing w:val="8"/>
              </w:rPr>
              <w:t>…</w:t>
            </w:r>
            <w:r>
              <w:rPr>
                <w:sz w:val="20"/>
                <w:szCs w:val="20"/>
                <w:spacing w:val="7"/>
              </w:rPr>
              <w:t>推进铸造、砖瓦、</w:t>
            </w:r>
          </w:p>
          <w:p>
            <w:pPr>
              <w:pStyle w:val="TableText"/>
              <w:ind w:left="412" w:right="105" w:hanging="311"/>
              <w:spacing w:before="113" w:line="280" w:lineRule="auto"/>
              <w:rPr>
                <w:sz w:val="20"/>
                <w:szCs w:val="20"/>
              </w:rPr>
            </w:pPr>
            <w:r>
              <w:rPr>
                <w:sz w:val="20"/>
                <w:szCs w:val="20"/>
                <w:spacing w:val="9"/>
              </w:rPr>
              <w:t>矿物棉、独立轧钢、炭素、化工、煤炭洗选、包装印刷、家具、人造板、橡胶</w:t>
            </w:r>
            <w:r>
              <w:rPr>
                <w:sz w:val="20"/>
                <w:szCs w:val="20"/>
                <w:spacing w:val="16"/>
              </w:rPr>
              <w:t xml:space="preserve"> </w:t>
            </w:r>
            <w:r>
              <w:rPr>
                <w:sz w:val="20"/>
                <w:szCs w:val="20"/>
                <w:spacing w:val="9"/>
              </w:rPr>
              <w:t>制品、塑料制品等企业集群升级改造。持续推进工业源全面达标排放。</w:t>
            </w:r>
          </w:p>
        </w:tc>
        <w:tc>
          <w:tcPr>
            <w:tcW w:w="5224" w:type="dxa"/>
            <w:vAlign w:val="top"/>
          </w:tcPr>
          <w:p>
            <w:pPr>
              <w:pStyle w:val="TableText"/>
              <w:ind w:left="114" w:right="95" w:firstLine="1"/>
              <w:spacing w:before="112" w:line="306" w:lineRule="auto"/>
              <w:jc w:val="both"/>
              <w:rPr>
                <w:sz w:val="20"/>
                <w:szCs w:val="20"/>
              </w:rPr>
            </w:pPr>
            <w:r>
              <w:rPr>
                <w:sz w:val="20"/>
                <w:szCs w:val="20"/>
                <w:spacing w:val="8"/>
              </w:rPr>
              <w:t>本项目属于塑料制品业，项目属于未批先建项目，经审</w:t>
            </w:r>
            <w:r>
              <w:rPr>
                <w:sz w:val="20"/>
                <w:szCs w:val="20"/>
                <w:spacing w:val="14"/>
              </w:rPr>
              <w:t xml:space="preserve"> </w:t>
            </w:r>
            <w:r>
              <w:rPr>
                <w:sz w:val="20"/>
                <w:szCs w:val="20"/>
                <w:spacing w:val="8"/>
              </w:rPr>
              <w:t>批后采取先进的污染治理设备。项目主要污染物为非甲</w:t>
            </w:r>
            <w:r>
              <w:rPr>
                <w:sz w:val="20"/>
                <w:szCs w:val="20"/>
                <w:spacing w:val="15"/>
              </w:rPr>
              <w:t xml:space="preserve"> </w:t>
            </w:r>
            <w:r>
              <w:rPr>
                <w:sz w:val="20"/>
                <w:szCs w:val="20"/>
                <w:spacing w:val="11"/>
              </w:rPr>
              <w:t>烷总烃废气影响，采取“活性炭吸附</w:t>
            </w:r>
            <w:r>
              <w:rPr>
                <w:rFonts w:ascii="Times New Roman" w:hAnsi="Times New Roman" w:eastAsia="Times New Roman" w:cs="Times New Roman"/>
                <w:sz w:val="20"/>
                <w:szCs w:val="20"/>
                <w:spacing w:val="11"/>
              </w:rPr>
              <w:t>+</w:t>
            </w:r>
            <w:r>
              <w:rPr>
                <w:sz w:val="20"/>
                <w:szCs w:val="20"/>
                <w:spacing w:val="11"/>
              </w:rPr>
              <w:t>直接催化</w:t>
            </w:r>
            <w:r>
              <w:rPr>
                <w:sz w:val="20"/>
                <w:szCs w:val="20"/>
                <w:spacing w:val="10"/>
              </w:rPr>
              <w:t>燃烧法</w:t>
            </w:r>
            <w:r>
              <w:rPr>
                <w:sz w:val="20"/>
                <w:szCs w:val="20"/>
              </w:rPr>
              <w:t xml:space="preserve"> </w:t>
            </w:r>
            <w:r>
              <w:rPr>
                <w:sz w:val="20"/>
                <w:szCs w:val="20"/>
                <w:spacing w:val="5"/>
              </w:rPr>
              <w:t>（</w:t>
            </w:r>
            <w:r>
              <w:rPr>
                <w:rFonts w:ascii="Times New Roman" w:hAnsi="Times New Roman" w:eastAsia="Times New Roman" w:cs="Times New Roman"/>
                <w:sz w:val="20"/>
                <w:szCs w:val="20"/>
              </w:rPr>
              <w:t>CO</w:t>
            </w:r>
            <w:r>
              <w:rPr>
                <w:sz w:val="20"/>
                <w:szCs w:val="20"/>
                <w:spacing w:val="5"/>
              </w:rPr>
              <w:t>）”治理措施，经计算结果显示，污染物可实现达</w:t>
            </w:r>
          </w:p>
          <w:p>
            <w:pPr>
              <w:pStyle w:val="TableText"/>
              <w:ind w:left="2204"/>
              <w:spacing w:before="113" w:line="210" w:lineRule="auto"/>
              <w:rPr>
                <w:sz w:val="20"/>
                <w:szCs w:val="20"/>
              </w:rPr>
            </w:pPr>
            <w:r>
              <w:rPr>
                <w:sz w:val="20"/>
                <w:szCs w:val="20"/>
                <w:spacing w:val="4"/>
              </w:rPr>
              <w:t>标排放。</w:t>
            </w:r>
          </w:p>
        </w:tc>
        <w:tc>
          <w:tcPr>
            <w:tcW w:w="889" w:type="dxa"/>
            <w:vAlign w:val="top"/>
            <w:tcBorders>
              <w:right w:val="single" w:color="000000" w:sz="10" w:space="0"/>
            </w:tcBorders>
          </w:tcPr>
          <w:p>
            <w:pPr>
              <w:pStyle w:val="TableText"/>
              <w:ind w:left="247"/>
              <w:spacing w:before="111" w:line="228" w:lineRule="auto"/>
              <w:rPr>
                <w:sz w:val="20"/>
                <w:szCs w:val="20"/>
              </w:rPr>
            </w:pPr>
            <w:r>
              <w:rPr>
                <w:sz w:val="20"/>
                <w:szCs w:val="20"/>
                <w:spacing w:val="3"/>
              </w:rPr>
              <w:t>符合</w:t>
            </w:r>
          </w:p>
        </w:tc>
      </w:tr>
      <w:tr>
        <w:trPr>
          <w:trHeight w:val="740" w:hRule="atLeast"/>
        </w:trPr>
        <w:tc>
          <w:tcPr>
            <w:tcW w:w="728" w:type="dxa"/>
            <w:vAlign w:val="top"/>
            <w:tcBorders>
              <w:left w:val="single" w:color="000000" w:sz="10" w:space="0"/>
              <w:bottom w:val="single" w:color="000000" w:sz="10" w:space="0"/>
            </w:tcBorders>
          </w:tcPr>
          <w:p>
            <w:pPr>
              <w:ind w:left="298"/>
              <w:spacing w:before="1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336" w:type="dxa"/>
            <w:vAlign w:val="top"/>
            <w:tcBorders>
              <w:bottom w:val="single" w:color="000000" w:sz="10" w:space="0"/>
            </w:tcBorders>
          </w:tcPr>
          <w:p>
            <w:pPr>
              <w:pStyle w:val="TableText"/>
              <w:ind w:left="102" w:right="105"/>
              <w:spacing w:before="127" w:line="278" w:lineRule="auto"/>
              <w:rPr>
                <w:sz w:val="20"/>
                <w:szCs w:val="20"/>
              </w:rPr>
            </w:pPr>
            <w:r>
              <w:rPr>
                <w:sz w:val="20"/>
                <w:szCs w:val="20"/>
                <w:spacing w:val="9"/>
              </w:rPr>
              <w:t>开展多污染源治理。推进石化、化工、工业涂装、家具制造、塑料、橡胶、包</w:t>
            </w:r>
            <w:r>
              <w:rPr>
                <w:sz w:val="20"/>
                <w:szCs w:val="20"/>
                <w:spacing w:val="14"/>
              </w:rPr>
              <w:t xml:space="preserve"> </w:t>
            </w:r>
            <w:r>
              <w:rPr>
                <w:sz w:val="20"/>
                <w:szCs w:val="20"/>
                <w:spacing w:val="11"/>
              </w:rPr>
              <w:t>装印刷、汽修等重点行业领域</w:t>
            </w:r>
            <w:r>
              <w:rPr>
                <w:rFonts w:ascii="Times New Roman" w:hAnsi="Times New Roman" w:eastAsia="Times New Roman" w:cs="Times New Roman"/>
                <w:sz w:val="20"/>
                <w:szCs w:val="20"/>
              </w:rPr>
              <w:t>VOCs</w:t>
            </w:r>
            <w:r>
              <w:rPr>
                <w:sz w:val="20"/>
                <w:szCs w:val="20"/>
                <w:spacing w:val="11"/>
              </w:rPr>
              <w:t>整治，加强</w:t>
            </w:r>
            <w:r>
              <w:rPr>
                <w:rFonts w:ascii="Times New Roman" w:hAnsi="Times New Roman" w:eastAsia="Times New Roman" w:cs="Times New Roman"/>
                <w:sz w:val="20"/>
                <w:szCs w:val="20"/>
              </w:rPr>
              <w:t>VOCs</w:t>
            </w:r>
            <w:r>
              <w:rPr>
                <w:sz w:val="20"/>
                <w:szCs w:val="20"/>
                <w:spacing w:val="11"/>
              </w:rPr>
              <w:t>源头、过程、末端全流程</w:t>
            </w:r>
          </w:p>
        </w:tc>
        <w:tc>
          <w:tcPr>
            <w:tcW w:w="5224" w:type="dxa"/>
            <w:vAlign w:val="top"/>
            <w:tcBorders>
              <w:bottom w:val="single" w:color="000000" w:sz="10" w:space="0"/>
            </w:tcBorders>
          </w:tcPr>
          <w:p>
            <w:pPr>
              <w:pStyle w:val="TableText"/>
              <w:ind w:left="154" w:right="95" w:hanging="38"/>
              <w:spacing w:before="127" w:line="278" w:lineRule="auto"/>
              <w:rPr>
                <w:sz w:val="20"/>
                <w:szCs w:val="20"/>
              </w:rPr>
            </w:pPr>
            <w:r>
              <w:rPr>
                <w:sz w:val="20"/>
                <w:szCs w:val="20"/>
                <w:spacing w:val="8"/>
              </w:rPr>
              <w:t>本项目属于塑料制品业，采取废气集中收集后由“活性</w:t>
            </w:r>
            <w:r>
              <w:rPr>
                <w:sz w:val="20"/>
                <w:szCs w:val="20"/>
                <w:spacing w:val="14"/>
              </w:rPr>
              <w:t xml:space="preserve"> </w:t>
            </w:r>
            <w:r>
              <w:rPr>
                <w:sz w:val="20"/>
                <w:szCs w:val="20"/>
                <w:spacing w:val="8"/>
              </w:rPr>
              <w:t>炭吸附</w:t>
            </w:r>
            <w:r>
              <w:rPr>
                <w:rFonts w:ascii="Times New Roman" w:hAnsi="Times New Roman" w:eastAsia="Times New Roman" w:cs="Times New Roman"/>
                <w:sz w:val="20"/>
                <w:szCs w:val="20"/>
                <w:spacing w:val="8"/>
              </w:rPr>
              <w:t>+</w:t>
            </w:r>
            <w:r>
              <w:rPr>
                <w:sz w:val="20"/>
                <w:szCs w:val="20"/>
                <w:spacing w:val="8"/>
              </w:rPr>
              <w:t>直接催化燃烧法</w:t>
            </w:r>
            <w:r>
              <w:rPr>
                <w:sz w:val="20"/>
                <w:szCs w:val="20"/>
                <w:spacing w:val="-70"/>
              </w:rPr>
              <w:t xml:space="preserve"> </w:t>
            </w:r>
            <w:r>
              <w:rPr>
                <w:sz w:val="20"/>
                <w:szCs w:val="20"/>
                <w:spacing w:val="8"/>
              </w:rPr>
              <w:t>”治理的末端治理措</w:t>
            </w:r>
            <w:r>
              <w:rPr>
                <w:sz w:val="20"/>
                <w:szCs w:val="20"/>
                <w:spacing w:val="7"/>
              </w:rPr>
              <w:t>施；项目</w:t>
            </w:r>
          </w:p>
        </w:tc>
        <w:tc>
          <w:tcPr>
            <w:tcW w:w="889" w:type="dxa"/>
            <w:vAlign w:val="top"/>
            <w:tcBorders>
              <w:bottom w:val="single" w:color="000000" w:sz="10" w:space="0"/>
              <w:right w:val="single" w:color="000000" w:sz="10" w:space="0"/>
            </w:tcBorders>
          </w:tcPr>
          <w:p>
            <w:pPr>
              <w:pStyle w:val="TableText"/>
              <w:ind w:left="247"/>
              <w:spacing w:before="126" w:line="228" w:lineRule="auto"/>
              <w:rPr>
                <w:sz w:val="20"/>
                <w:szCs w:val="20"/>
              </w:rPr>
            </w:pPr>
            <w:r>
              <w:rPr>
                <w:sz w:val="20"/>
                <w:szCs w:val="20"/>
                <w:spacing w:val="3"/>
              </w:rPr>
              <w:t>符合</w:t>
            </w:r>
          </w:p>
        </w:tc>
      </w:tr>
    </w:tbl>
    <w:p>
      <w:pPr>
        <w:pStyle w:val="BodyText"/>
        <w:rPr/>
      </w:pPr>
      <w:r/>
    </w:p>
    <w:p>
      <w:pPr>
        <w:sectPr>
          <w:footerReference w:type="default" r:id="rId153"/>
          <w:pgSz w:w="16839" w:h="11906"/>
          <w:pgMar w:top="400" w:right="1317" w:bottom="1211" w:left="1317" w:header="0" w:footer="1049" w:gutter="0"/>
        </w:sectPr>
        <w:rPr/>
      </w:pPr>
    </w:p>
    <w:p>
      <w:pPr>
        <w:spacing w:before="39"/>
        <w:rPr/>
      </w:pPr>
      <w:r/>
    </w:p>
    <w:p>
      <w:pPr>
        <w:spacing w:before="39"/>
        <w:rPr/>
      </w:pPr>
      <w:r/>
    </w:p>
    <w:p>
      <w:pPr>
        <w:spacing w:before="38"/>
        <w:rPr/>
      </w:pPr>
      <w:r/>
    </w:p>
    <w:p>
      <w:pPr>
        <w:spacing w:before="38"/>
        <w:rPr/>
      </w:pPr>
      <w:r/>
    </w:p>
    <w:p>
      <w:pPr>
        <w:spacing w:before="38"/>
        <w:rPr/>
      </w:pPr>
      <w:r/>
    </w:p>
    <w:tbl>
      <w:tblPr>
        <w:tblStyle w:val="TableNormal"/>
        <w:tblW w:w="14177"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28"/>
        <w:gridCol w:w="7336"/>
        <w:gridCol w:w="5224"/>
        <w:gridCol w:w="889"/>
      </w:tblGrid>
      <w:tr>
        <w:trPr>
          <w:trHeight w:val="1421" w:hRule="atLeast"/>
        </w:trPr>
        <w:tc>
          <w:tcPr>
            <w:tcW w:w="728" w:type="dxa"/>
            <w:vAlign w:val="top"/>
            <w:tcBorders>
              <w:left w:val="single" w:color="000000" w:sz="10" w:space="0"/>
              <w:top w:val="single" w:color="000000" w:sz="10" w:space="0"/>
            </w:tcBorders>
          </w:tcPr>
          <w:p>
            <w:pPr>
              <w:rPr>
                <w:rFonts w:ascii="Arial"/>
                <w:sz w:val="21"/>
              </w:rPr>
            </w:pPr>
            <w:r/>
          </w:p>
        </w:tc>
        <w:tc>
          <w:tcPr>
            <w:tcW w:w="7336" w:type="dxa"/>
            <w:vAlign w:val="top"/>
            <w:tcBorders>
              <w:top w:val="single" w:color="000000" w:sz="10" w:space="0"/>
            </w:tcBorders>
          </w:tcPr>
          <w:p>
            <w:pPr>
              <w:pStyle w:val="TableText"/>
              <w:ind w:left="101"/>
              <w:spacing w:before="93" w:line="228" w:lineRule="auto"/>
              <w:rPr>
                <w:sz w:val="20"/>
                <w:szCs w:val="20"/>
              </w:rPr>
            </w:pPr>
            <w:r>
              <w:rPr>
                <w:sz w:val="20"/>
                <w:szCs w:val="20"/>
                <w:spacing w:val="9"/>
              </w:rPr>
              <w:t>控制。持续开展防风固沙绿化工程，抑制季节性裸地农田扬尘。推进露天矿山</w:t>
            </w:r>
          </w:p>
          <w:p>
            <w:pPr>
              <w:pStyle w:val="TableText"/>
              <w:ind w:right="10"/>
              <w:spacing w:before="113" w:line="227" w:lineRule="auto"/>
              <w:jc w:val="right"/>
              <w:rPr>
                <w:sz w:val="20"/>
                <w:szCs w:val="20"/>
              </w:rPr>
            </w:pPr>
            <w:r>
              <w:rPr>
                <w:sz w:val="20"/>
                <w:szCs w:val="20"/>
                <w:spacing w:val="7"/>
              </w:rPr>
              <w:t>综合整治。深化建筑施工扬尘整治，全州所有建</w:t>
            </w:r>
            <w:r>
              <w:rPr>
                <w:sz w:val="20"/>
                <w:szCs w:val="20"/>
                <w:spacing w:val="6"/>
              </w:rPr>
              <w:t>筑工地全面落实</w:t>
            </w:r>
            <w:r>
              <w:rPr>
                <w:rFonts w:ascii="Times New Roman" w:hAnsi="Times New Roman" w:eastAsia="Times New Roman" w:cs="Times New Roman"/>
                <w:sz w:val="20"/>
                <w:szCs w:val="20"/>
                <w:spacing w:val="6"/>
              </w:rPr>
              <w:t>“</w:t>
            </w:r>
            <w:r>
              <w:rPr>
                <w:sz w:val="20"/>
                <w:szCs w:val="20"/>
                <w:spacing w:val="6"/>
              </w:rPr>
              <w:t>六个百分百</w:t>
            </w:r>
            <w:r>
              <w:rPr>
                <w:rFonts w:ascii="Times New Roman" w:hAnsi="Times New Roman" w:eastAsia="Times New Roman" w:cs="Times New Roman"/>
                <w:sz w:val="20"/>
                <w:szCs w:val="20"/>
                <w:spacing w:val="6"/>
              </w:rPr>
              <w:t>”</w:t>
            </w:r>
            <w:r>
              <w:rPr>
                <w:sz w:val="20"/>
                <w:szCs w:val="20"/>
                <w:spacing w:val="6"/>
              </w:rPr>
              <w:t>。</w:t>
            </w:r>
          </w:p>
          <w:p>
            <w:pPr>
              <w:pStyle w:val="TableText"/>
              <w:ind w:left="832" w:right="105" w:hanging="725"/>
              <w:spacing w:before="113" w:line="276" w:lineRule="auto"/>
              <w:rPr>
                <w:sz w:val="20"/>
                <w:szCs w:val="20"/>
              </w:rPr>
            </w:pPr>
            <w:r>
              <w:rPr>
                <w:sz w:val="20"/>
                <w:szCs w:val="20"/>
                <w:spacing w:val="9"/>
              </w:rPr>
              <w:t>强化道路扬尘治理，进一步加强散料货运车辆运输环节的扬尘污染整治。加强</w:t>
            </w:r>
            <w:r>
              <w:rPr>
                <w:sz w:val="20"/>
                <w:szCs w:val="20"/>
                <w:spacing w:val="10"/>
              </w:rPr>
              <w:t xml:space="preserve"> </w:t>
            </w:r>
            <w:r>
              <w:rPr>
                <w:sz w:val="20"/>
                <w:szCs w:val="20"/>
                <w:spacing w:val="9"/>
              </w:rPr>
              <w:t>桔秆综合利用，严防因秸秆露天焚烧造成区域性重污染天气。</w:t>
            </w:r>
          </w:p>
        </w:tc>
        <w:tc>
          <w:tcPr>
            <w:tcW w:w="5224" w:type="dxa"/>
            <w:vAlign w:val="top"/>
            <w:tcBorders>
              <w:top w:val="single" w:color="000000" w:sz="10" w:space="0"/>
            </w:tcBorders>
          </w:tcPr>
          <w:p>
            <w:pPr>
              <w:pStyle w:val="TableText"/>
              <w:ind w:left="117"/>
              <w:spacing w:before="93" w:line="228" w:lineRule="auto"/>
              <w:rPr>
                <w:sz w:val="20"/>
                <w:szCs w:val="20"/>
              </w:rPr>
            </w:pPr>
            <w:r>
              <w:rPr>
                <w:sz w:val="20"/>
                <w:szCs w:val="20"/>
                <w:spacing w:val="8"/>
              </w:rPr>
              <w:t>主体工程已建设完成，施工期进行生产线和环保设备的</w:t>
            </w:r>
          </w:p>
          <w:p>
            <w:pPr>
              <w:pStyle w:val="TableText"/>
              <w:ind w:left="735" w:right="95" w:hanging="616"/>
              <w:spacing w:before="113" w:line="280" w:lineRule="auto"/>
              <w:rPr>
                <w:sz w:val="20"/>
                <w:szCs w:val="20"/>
              </w:rPr>
            </w:pPr>
            <w:r>
              <w:rPr>
                <w:sz w:val="20"/>
                <w:szCs w:val="20"/>
                <w:spacing w:val="8"/>
              </w:rPr>
              <w:t>安装，不涉及建筑工地；设备运输过程采取厂区洒水降</w:t>
            </w:r>
            <w:r>
              <w:rPr>
                <w:sz w:val="20"/>
                <w:szCs w:val="20"/>
                <w:spacing w:val="10"/>
              </w:rPr>
              <w:t xml:space="preserve"> </w:t>
            </w:r>
            <w:r>
              <w:rPr>
                <w:sz w:val="20"/>
                <w:szCs w:val="20"/>
                <w:spacing w:val="8"/>
              </w:rPr>
              <w:t>尘措施，减少施工期运输车辆扬尘污染。</w:t>
            </w:r>
          </w:p>
        </w:tc>
        <w:tc>
          <w:tcPr>
            <w:tcW w:w="889" w:type="dxa"/>
            <w:vAlign w:val="top"/>
            <w:tcBorders>
              <w:right w:val="single" w:color="000000" w:sz="10" w:space="0"/>
              <w:top w:val="single" w:color="000000" w:sz="10" w:space="0"/>
            </w:tcBorders>
          </w:tcPr>
          <w:p>
            <w:pPr>
              <w:rPr>
                <w:rFonts w:ascii="Arial"/>
                <w:sz w:val="21"/>
              </w:rPr>
            </w:pPr>
            <w:r/>
          </w:p>
        </w:tc>
      </w:tr>
      <w:tr>
        <w:trPr>
          <w:trHeight w:val="2892" w:hRule="atLeast"/>
        </w:trPr>
        <w:tc>
          <w:tcPr>
            <w:tcW w:w="728" w:type="dxa"/>
            <w:vAlign w:val="top"/>
            <w:tcBorders>
              <w:left w:val="single" w:color="000000" w:sz="10" w:space="0"/>
              <w:bottom w:val="single" w:color="000000" w:sz="10" w:space="0"/>
            </w:tcBorders>
          </w:tcPr>
          <w:p>
            <w:pPr>
              <w:ind w:left="302"/>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7336" w:type="dxa"/>
            <w:vAlign w:val="top"/>
            <w:tcBorders>
              <w:bottom w:val="single" w:color="000000" w:sz="10" w:space="0"/>
            </w:tcBorders>
          </w:tcPr>
          <w:p>
            <w:pPr>
              <w:pStyle w:val="TableText"/>
              <w:ind w:left="101" w:right="105"/>
              <w:spacing w:before="120" w:line="317" w:lineRule="auto"/>
              <w:jc w:val="both"/>
              <w:rPr>
                <w:sz w:val="20"/>
                <w:szCs w:val="20"/>
              </w:rPr>
            </w:pPr>
            <w:r>
              <w:rPr>
                <w:sz w:val="20"/>
                <w:szCs w:val="20"/>
                <w:spacing w:val="9"/>
              </w:rPr>
              <w:t>加强一般固体废弃物处置。以准东为重点，统筹推动各县（市）及高新区、农</w:t>
            </w:r>
            <w:r>
              <w:rPr>
                <w:sz w:val="20"/>
                <w:szCs w:val="20"/>
                <w:spacing w:val="15"/>
              </w:rPr>
              <w:t xml:space="preserve"> </w:t>
            </w:r>
            <w:r>
              <w:rPr>
                <w:sz w:val="20"/>
                <w:szCs w:val="20"/>
                <w:spacing w:val="9"/>
              </w:rPr>
              <w:t>业园区持续开展固体废物规范化管理督查考核、固体废物非法转移和倾倒排查</w:t>
            </w:r>
            <w:r>
              <w:rPr>
                <w:sz w:val="20"/>
                <w:szCs w:val="20"/>
                <w:spacing w:val="16"/>
              </w:rPr>
              <w:t xml:space="preserve"> </w:t>
            </w:r>
            <w:r>
              <w:rPr>
                <w:sz w:val="20"/>
                <w:szCs w:val="20"/>
                <w:spacing w:val="9"/>
              </w:rPr>
              <w:t>整治，坚决禁止洋垃圾入境，推动开展塑料垃圾专项清理，持续推进废塑料加</w:t>
            </w:r>
            <w:r>
              <w:rPr>
                <w:sz w:val="20"/>
                <w:szCs w:val="20"/>
                <w:spacing w:val="16"/>
              </w:rPr>
              <w:t xml:space="preserve"> </w:t>
            </w:r>
            <w:r>
              <w:rPr>
                <w:sz w:val="20"/>
                <w:szCs w:val="20"/>
                <w:spacing w:val="9"/>
              </w:rPr>
              <w:t>工利用行业的整治，加强废塑料回收、利用、处置等环节的环境监管，降低污</w:t>
            </w:r>
            <w:r>
              <w:rPr>
                <w:sz w:val="20"/>
                <w:szCs w:val="20"/>
                <w:spacing w:val="16"/>
              </w:rPr>
              <w:t xml:space="preserve"> </w:t>
            </w:r>
            <w:r>
              <w:rPr>
                <w:sz w:val="20"/>
                <w:szCs w:val="20"/>
                <w:spacing w:val="9"/>
              </w:rPr>
              <w:t>染风险。加强工业固体废物堆存场所环境整治。针对沿河、沿湖、沿水库和饮</w:t>
            </w:r>
            <w:r>
              <w:rPr>
                <w:sz w:val="20"/>
                <w:szCs w:val="20"/>
                <w:spacing w:val="16"/>
              </w:rPr>
              <w:t xml:space="preserve"> </w:t>
            </w:r>
            <w:r>
              <w:rPr>
                <w:sz w:val="20"/>
                <w:szCs w:val="20"/>
                <w:spacing w:val="9"/>
              </w:rPr>
              <w:t>用水水源地周边等重点区域，持续开展固体废物非法贮存、倾倒和填埋情况专</w:t>
            </w:r>
            <w:r>
              <w:rPr>
                <w:sz w:val="20"/>
                <w:szCs w:val="20"/>
                <w:spacing w:val="16"/>
              </w:rPr>
              <w:t xml:space="preserve"> </w:t>
            </w:r>
            <w:r>
              <w:rPr>
                <w:sz w:val="20"/>
                <w:szCs w:val="20"/>
                <w:spacing w:val="9"/>
              </w:rPr>
              <w:t>项排查。持续推进工业固体废物综合利用和环境整治，不断提高大宗工业固体</w:t>
            </w:r>
          </w:p>
          <w:p>
            <w:pPr>
              <w:pStyle w:val="TableText"/>
              <w:ind w:left="2617"/>
              <w:spacing w:before="112" w:line="226" w:lineRule="auto"/>
              <w:rPr>
                <w:sz w:val="20"/>
                <w:szCs w:val="20"/>
              </w:rPr>
            </w:pPr>
            <w:r>
              <w:rPr>
                <w:sz w:val="20"/>
                <w:szCs w:val="20"/>
                <w:spacing w:val="8"/>
              </w:rPr>
              <w:t>废物资源化利用水平。</w:t>
            </w:r>
          </w:p>
        </w:tc>
        <w:tc>
          <w:tcPr>
            <w:tcW w:w="5224" w:type="dxa"/>
            <w:vAlign w:val="top"/>
            <w:tcBorders>
              <w:bottom w:val="single" w:color="000000" w:sz="10" w:space="0"/>
            </w:tcBorders>
          </w:tcPr>
          <w:p>
            <w:pPr>
              <w:pStyle w:val="TableText"/>
              <w:ind w:left="115" w:right="95"/>
              <w:spacing w:before="118" w:line="311" w:lineRule="auto"/>
              <w:rPr>
                <w:sz w:val="20"/>
                <w:szCs w:val="20"/>
              </w:rPr>
            </w:pPr>
            <w:r>
              <w:rPr>
                <w:sz w:val="20"/>
                <w:szCs w:val="20"/>
                <w:spacing w:val="8"/>
              </w:rPr>
              <w:t>本项目固体废物主要有一般固废不合格品、废包装袋；</w:t>
            </w:r>
            <w:r>
              <w:rPr>
                <w:sz w:val="20"/>
                <w:szCs w:val="20"/>
                <w:spacing w:val="14"/>
              </w:rPr>
              <w:t xml:space="preserve"> </w:t>
            </w:r>
            <w:r>
              <w:rPr>
                <w:sz w:val="20"/>
                <w:szCs w:val="20"/>
                <w:spacing w:val="8"/>
              </w:rPr>
              <w:t>危险废物废催化剂、废活性炭、废机油。不合格品集中</w:t>
            </w:r>
            <w:r>
              <w:rPr>
                <w:sz w:val="20"/>
                <w:szCs w:val="20"/>
                <w:spacing w:val="15"/>
              </w:rPr>
              <w:t xml:space="preserve"> </w:t>
            </w:r>
            <w:r>
              <w:rPr>
                <w:sz w:val="20"/>
                <w:szCs w:val="20"/>
                <w:spacing w:val="8"/>
              </w:rPr>
              <w:t>收集作为原料回用生产；废包装袋集中收集外售回收单</w:t>
            </w:r>
            <w:r>
              <w:rPr>
                <w:sz w:val="20"/>
                <w:szCs w:val="20"/>
                <w:spacing w:val="14"/>
              </w:rPr>
              <w:t xml:space="preserve"> </w:t>
            </w:r>
            <w:r>
              <w:rPr>
                <w:sz w:val="20"/>
                <w:szCs w:val="20"/>
                <w:spacing w:val="8"/>
              </w:rPr>
              <w:t>位；危险废物集中收集暂存危废库，定期交由有资质单</w:t>
            </w:r>
            <w:r>
              <w:rPr>
                <w:sz w:val="20"/>
                <w:szCs w:val="20"/>
                <w:spacing w:val="15"/>
              </w:rPr>
              <w:t xml:space="preserve"> </w:t>
            </w:r>
            <w:r>
              <w:rPr>
                <w:sz w:val="20"/>
                <w:szCs w:val="20"/>
                <w:spacing w:val="8"/>
              </w:rPr>
              <w:t>位处置。本项目不属于废塑料加工利用行业。厂区采取</w:t>
            </w:r>
          </w:p>
          <w:p>
            <w:pPr>
              <w:pStyle w:val="TableText"/>
              <w:ind w:left="118"/>
              <w:spacing w:before="113" w:line="228" w:lineRule="auto"/>
              <w:rPr>
                <w:sz w:val="20"/>
                <w:szCs w:val="20"/>
              </w:rPr>
            </w:pPr>
            <w:r>
              <w:rPr>
                <w:sz w:val="20"/>
                <w:szCs w:val="20"/>
                <w:spacing w:val="9"/>
              </w:rPr>
              <w:t>工业固体废物堆存场整治，不涉及固体废物非法贮</w:t>
            </w:r>
            <w:r>
              <w:rPr>
                <w:sz w:val="20"/>
                <w:szCs w:val="20"/>
                <w:spacing w:val="8"/>
              </w:rPr>
              <w:t>存、</w:t>
            </w:r>
          </w:p>
          <w:p>
            <w:pPr>
              <w:pStyle w:val="TableText"/>
              <w:ind w:left="1783"/>
              <w:spacing w:before="113" w:line="228" w:lineRule="auto"/>
              <w:rPr>
                <w:sz w:val="20"/>
                <w:szCs w:val="20"/>
              </w:rPr>
            </w:pPr>
            <w:r>
              <w:rPr>
                <w:sz w:val="20"/>
                <w:szCs w:val="20"/>
                <w:spacing w:val="7"/>
              </w:rPr>
              <w:t>倾倒和填埋情况。</w:t>
            </w:r>
          </w:p>
        </w:tc>
        <w:tc>
          <w:tcPr>
            <w:tcW w:w="889" w:type="dxa"/>
            <w:vAlign w:val="top"/>
            <w:tcBorders>
              <w:bottom w:val="single" w:color="000000" w:sz="10" w:space="0"/>
              <w:right w:val="single" w:color="000000" w:sz="10" w:space="0"/>
            </w:tcBorders>
          </w:tcPr>
          <w:p>
            <w:pPr>
              <w:pStyle w:val="TableText"/>
              <w:ind w:left="247"/>
              <w:spacing w:before="117" w:line="228" w:lineRule="auto"/>
              <w:rPr>
                <w:sz w:val="20"/>
                <w:szCs w:val="20"/>
              </w:rPr>
            </w:pPr>
            <w:r>
              <w:rPr>
                <w:sz w:val="20"/>
                <w:szCs w:val="20"/>
                <w:spacing w:val="3"/>
              </w:rPr>
              <w:t>符合</w:t>
            </w:r>
          </w:p>
        </w:tc>
      </w:tr>
    </w:tbl>
    <w:p>
      <w:pPr>
        <w:pStyle w:val="BodyText"/>
        <w:rPr/>
      </w:pPr>
      <w:r/>
    </w:p>
    <w:p>
      <w:pPr>
        <w:sectPr>
          <w:footerReference w:type="default" r:id="rId154"/>
          <w:pgSz w:w="16839" w:h="11906"/>
          <w:pgMar w:top="400" w:right="1317" w:bottom="1211" w:left="1317" w:header="0" w:footer="1049" w:gutter="0"/>
        </w:sectPr>
        <w:rPr/>
      </w:pPr>
    </w:p>
    <w:p>
      <w:pPr>
        <w:pStyle w:val="BodyText"/>
        <w:spacing w:line="287" w:lineRule="auto"/>
        <w:rPr/>
      </w:pPr>
      <w:r/>
    </w:p>
    <w:p>
      <w:pPr>
        <w:pStyle w:val="BodyText"/>
        <w:spacing w:line="287" w:lineRule="auto"/>
        <w:rPr/>
      </w:pPr>
      <w:r/>
    </w:p>
    <w:p>
      <w:pPr>
        <w:pStyle w:val="BodyText"/>
        <w:spacing w:line="287" w:lineRule="auto"/>
        <w:rPr/>
      </w:pPr>
      <w:r/>
    </w:p>
    <w:p>
      <w:pPr>
        <w:pStyle w:val="BodyText"/>
        <w:spacing w:line="288" w:lineRule="auto"/>
        <w:rPr/>
      </w:pPr>
      <w:r/>
    </w:p>
    <w:p>
      <w:pPr>
        <w:ind w:left="2876"/>
        <w:spacing w:before="91" w:line="221" w:lineRule="auto"/>
        <w:outlineLvl w:val="0"/>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二、建设项目工程分析</w:t>
      </w:r>
    </w:p>
    <w:p>
      <w:pPr>
        <w:spacing w:line="16" w:lineRule="exact"/>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59"/>
        <w:gridCol w:w="8067"/>
      </w:tblGrid>
      <w:tr>
        <w:trPr>
          <w:trHeight w:val="13007" w:hRule="atLeast"/>
        </w:trPr>
        <w:tc>
          <w:tcPr>
            <w:tcW w:w="459" w:type="dxa"/>
            <w:vAlign w:val="top"/>
            <w:textDirection w:val="tbRlV"/>
          </w:tcPr>
          <w:p>
            <w:pPr>
              <w:pStyle w:val="TableText"/>
              <w:ind w:left="120"/>
              <w:spacing w:before="106" w:line="199" w:lineRule="auto"/>
              <w:rPr/>
            </w:pPr>
            <w:r>
              <w:rPr>
                <w:spacing w:val="-1"/>
              </w:rPr>
              <w:t>建</w:t>
            </w:r>
            <w:r>
              <w:rPr>
                <w:spacing w:val="40"/>
              </w:rPr>
              <w:t xml:space="preserve"> </w:t>
            </w:r>
            <w:r>
              <w:rPr>
                <w:spacing w:val="-1"/>
              </w:rPr>
              <w:t>设</w:t>
            </w:r>
            <w:r>
              <w:rPr>
                <w:spacing w:val="41"/>
              </w:rPr>
              <w:t xml:space="preserve"> </w:t>
            </w:r>
            <w:r>
              <w:rPr>
                <w:spacing w:val="-1"/>
                <w:position w:val="1"/>
              </w:rPr>
              <w:t>内</w:t>
            </w:r>
            <w:r>
              <w:rPr>
                <w:spacing w:val="42"/>
                <w:position w:val="1"/>
              </w:rPr>
              <w:t xml:space="preserve"> </w:t>
            </w:r>
            <w:r>
              <w:rPr>
                <w:spacing w:val="-1"/>
              </w:rPr>
              <w:t>容</w:t>
            </w:r>
          </w:p>
        </w:tc>
        <w:tc>
          <w:tcPr>
            <w:tcW w:w="8067" w:type="dxa"/>
            <w:vAlign w:val="top"/>
          </w:tcPr>
          <w:p>
            <w:pPr>
              <w:pStyle w:val="TableText"/>
              <w:ind w:left="111"/>
              <w:spacing w:before="164" w:line="220" w:lineRule="auto"/>
              <w:outlineLvl w:val="1"/>
              <w:rPr>
                <w:sz w:val="28"/>
                <w:szCs w:val="28"/>
              </w:rPr>
            </w:pPr>
            <w:r>
              <w:rPr>
                <w:rFonts w:ascii="Times New Roman" w:hAnsi="Times New Roman" w:eastAsia="Times New Roman" w:cs="Times New Roman"/>
                <w:sz w:val="28"/>
                <w:szCs w:val="28"/>
                <w:b/>
                <w:bCs/>
                <w:spacing w:val="-1"/>
              </w:rPr>
              <w:t>2.1</w:t>
            </w:r>
            <w:r>
              <w:rPr>
                <w:sz w:val="28"/>
                <w:szCs w:val="28"/>
                <w14:textOutline w14:w="5103" w14:cap="sq" w14:cmpd="sng">
                  <w14:solidFill>
                    <w14:srgbClr w14:val="000000"/>
                  </w14:solidFill>
                  <w14:prstDash w14:val="solid"/>
                  <w14:bevel/>
                </w14:textOutline>
                <w:spacing w:val="-1"/>
              </w:rPr>
              <w:t>项目背景</w:t>
            </w:r>
          </w:p>
          <w:p>
            <w:pPr>
              <w:pStyle w:val="TableText"/>
              <w:ind w:left="116" w:right="51" w:firstLine="473"/>
              <w:spacing w:before="200" w:line="385" w:lineRule="auto"/>
              <w:jc w:val="both"/>
              <w:rPr/>
            </w:pPr>
            <w:r>
              <w:rPr>
                <w:rFonts w:ascii="Times New Roman" w:hAnsi="Times New Roman" w:eastAsia="Times New Roman" w:cs="Times New Roman"/>
                <w:spacing w:val="1"/>
              </w:rPr>
              <w:t>2015</w:t>
            </w:r>
            <w:r>
              <w:rPr>
                <w:spacing w:val="1"/>
              </w:rPr>
              <w:t>年</w:t>
            </w:r>
            <w:r>
              <w:rPr>
                <w:rFonts w:ascii="Times New Roman" w:hAnsi="Times New Roman" w:eastAsia="Times New Roman" w:cs="Times New Roman"/>
                <w:spacing w:val="1"/>
              </w:rPr>
              <w:t>7</w:t>
            </w:r>
            <w:r>
              <w:rPr>
                <w:spacing w:val="1"/>
              </w:rPr>
              <w:t>月，呼图壁县丰收塑料制品厂建设“呼图壁县丰收塑料制品厂</w:t>
            </w:r>
            <w:r>
              <w:rPr>
                <w:spacing w:val="8"/>
              </w:rPr>
              <w:t xml:space="preserve"> </w:t>
            </w:r>
            <w:r>
              <w:rPr>
                <w:spacing w:val="-9"/>
              </w:rPr>
              <w:t>滴灌带生产线建设项目</w:t>
            </w:r>
            <w:r>
              <w:rPr>
                <w:spacing w:val="-88"/>
              </w:rPr>
              <w:t xml:space="preserve"> </w:t>
            </w:r>
            <w:r>
              <w:rPr>
                <w:spacing w:val="-9"/>
              </w:rPr>
              <w:t>”。</w:t>
            </w:r>
            <w:r>
              <w:rPr>
                <w:rFonts w:ascii="Times New Roman" w:hAnsi="Times New Roman" w:eastAsia="Times New Roman" w:cs="Times New Roman"/>
                <w:spacing w:val="-9"/>
              </w:rPr>
              <w:t>2015</w:t>
            </w:r>
            <w:r>
              <w:rPr>
                <w:spacing w:val="-9"/>
              </w:rPr>
              <w:t>年</w:t>
            </w:r>
            <w:r>
              <w:rPr>
                <w:rFonts w:ascii="Times New Roman" w:hAnsi="Times New Roman" w:eastAsia="Times New Roman" w:cs="Times New Roman"/>
                <w:spacing w:val="-9"/>
              </w:rPr>
              <w:t>10</w:t>
            </w:r>
            <w:r>
              <w:rPr>
                <w:spacing w:val="-9"/>
              </w:rPr>
              <w:t>月</w:t>
            </w:r>
            <w:r>
              <w:rPr>
                <w:rFonts w:ascii="Times New Roman" w:hAnsi="Times New Roman" w:eastAsia="Times New Roman" w:cs="Times New Roman"/>
                <w:spacing w:val="-9"/>
              </w:rPr>
              <w:t>27</w:t>
            </w:r>
            <w:r>
              <w:rPr>
                <w:spacing w:val="-9"/>
              </w:rPr>
              <w:t>日</w:t>
            </w:r>
            <w:r>
              <w:rPr>
                <w:spacing w:val="-10"/>
              </w:rPr>
              <w:t>，原呼图壁县环境保护局出具《关</w:t>
            </w:r>
            <w:r>
              <w:rPr/>
              <w:t xml:space="preserve"> </w:t>
            </w:r>
            <w:r>
              <w:rPr>
                <w:spacing w:val="-1"/>
              </w:rPr>
              <w:t>于呼图壁县丰收塑料制品厂滴灌带生产线建设项目环境影响报告表的批复》</w:t>
            </w:r>
            <w:r>
              <w:rPr>
                <w:spacing w:val="6"/>
              </w:rPr>
              <w:t xml:space="preserve"> </w:t>
            </w:r>
            <w:r>
              <w:rPr>
                <w:spacing w:val="1"/>
              </w:rPr>
              <w:t>（呼环评字〔</w:t>
            </w:r>
            <w:r>
              <w:rPr>
                <w:rFonts w:ascii="Times New Roman" w:hAnsi="Times New Roman" w:eastAsia="Times New Roman" w:cs="Times New Roman"/>
                <w:spacing w:val="1"/>
              </w:rPr>
              <w:t>2015</w:t>
            </w:r>
            <w:r>
              <w:rPr>
                <w:spacing w:val="1"/>
              </w:rPr>
              <w:t>〕</w:t>
            </w:r>
            <w:r>
              <w:rPr>
                <w:rFonts w:ascii="Times New Roman" w:hAnsi="Times New Roman" w:eastAsia="Times New Roman" w:cs="Times New Roman"/>
                <w:spacing w:val="1"/>
              </w:rPr>
              <w:t>59</w:t>
            </w:r>
            <w:r>
              <w:rPr>
                <w:spacing w:val="1"/>
              </w:rPr>
              <w:t>号）。</w:t>
            </w:r>
            <w:r>
              <w:rPr>
                <w:rFonts w:ascii="Times New Roman" w:hAnsi="Times New Roman" w:eastAsia="Times New Roman" w:cs="Times New Roman"/>
                <w:spacing w:val="1"/>
              </w:rPr>
              <w:t>2022</w:t>
            </w:r>
            <w:r>
              <w:rPr>
                <w:spacing w:val="1"/>
              </w:rPr>
              <w:t>年</w:t>
            </w:r>
            <w:r>
              <w:rPr>
                <w:rFonts w:ascii="Times New Roman" w:hAnsi="Times New Roman" w:eastAsia="Times New Roman" w:cs="Times New Roman"/>
                <w:spacing w:val="1"/>
              </w:rPr>
              <w:t>7</w:t>
            </w:r>
            <w:r>
              <w:rPr>
                <w:spacing w:val="1"/>
              </w:rPr>
              <w:t>月</w:t>
            </w:r>
            <w:r>
              <w:rPr>
                <w:rFonts w:ascii="Times New Roman" w:hAnsi="Times New Roman" w:eastAsia="Times New Roman" w:cs="Times New Roman"/>
                <w:spacing w:val="1"/>
              </w:rPr>
              <w:t>21</w:t>
            </w:r>
            <w:r>
              <w:rPr>
                <w:spacing w:val="1"/>
              </w:rPr>
              <w:t>日完成“呼图壁县丰收</w:t>
            </w:r>
            <w:r>
              <w:rPr/>
              <w:t>塑料制品</w:t>
            </w:r>
          </w:p>
          <w:p>
            <w:pPr>
              <w:pStyle w:val="TableText"/>
              <w:ind w:left="117"/>
              <w:spacing w:line="219" w:lineRule="auto"/>
              <w:rPr/>
            </w:pPr>
            <w:r>
              <w:rPr>
                <w:spacing w:val="-2"/>
              </w:rPr>
              <w:t>厂滴灌带生产线建设项目</w:t>
            </w:r>
            <w:r>
              <w:rPr>
                <w:spacing w:val="-88"/>
              </w:rPr>
              <w:t xml:space="preserve"> </w:t>
            </w:r>
            <w:r>
              <w:rPr>
                <w:spacing w:val="-2"/>
              </w:rPr>
              <w:t>”竣工环境保护验收工作。</w:t>
            </w:r>
          </w:p>
          <w:p>
            <w:pPr>
              <w:pStyle w:val="TableText"/>
              <w:ind w:left="114" w:right="95" w:firstLine="475"/>
              <w:spacing w:before="212" w:line="385" w:lineRule="auto"/>
              <w:jc w:val="both"/>
              <w:rPr/>
            </w:pPr>
            <w:r>
              <w:rPr>
                <w:rFonts w:ascii="Times New Roman" w:hAnsi="Times New Roman" w:eastAsia="Times New Roman" w:cs="Times New Roman"/>
                <w:spacing w:val="1"/>
              </w:rPr>
              <w:t>2016</w:t>
            </w:r>
            <w:r>
              <w:rPr>
                <w:spacing w:val="1"/>
              </w:rPr>
              <w:t>年</w:t>
            </w:r>
            <w:r>
              <w:rPr>
                <w:rFonts w:ascii="Times New Roman" w:hAnsi="Times New Roman" w:eastAsia="Times New Roman" w:cs="Times New Roman"/>
                <w:spacing w:val="1"/>
              </w:rPr>
              <w:t>8</w:t>
            </w:r>
            <w:r>
              <w:rPr>
                <w:spacing w:val="1"/>
              </w:rPr>
              <w:t>月，呼图壁县丰收塑料制品厂投资建设“呼图壁县丰收塑料制</w:t>
            </w:r>
            <w:r>
              <w:rPr>
                <w:spacing w:val="11"/>
              </w:rPr>
              <w:t xml:space="preserve"> </w:t>
            </w:r>
            <w:r>
              <w:rPr>
                <w:spacing w:val="-3"/>
              </w:rPr>
              <w:t>品厂农用地膜加工项目</w:t>
            </w:r>
            <w:r>
              <w:rPr>
                <w:spacing w:val="-88"/>
              </w:rPr>
              <w:t xml:space="preserve"> </w:t>
            </w:r>
            <w:r>
              <w:rPr>
                <w:spacing w:val="-3"/>
              </w:rPr>
              <w:t>”，由于市场需求量不</w:t>
            </w:r>
            <w:r>
              <w:rPr>
                <w:spacing w:val="-4"/>
              </w:rPr>
              <w:t>大，购买入场的地膜设备处于</w:t>
            </w:r>
            <w:r>
              <w:rPr/>
              <w:t xml:space="preserve"> </w:t>
            </w:r>
            <w:r>
              <w:rPr>
                <w:spacing w:val="-2"/>
              </w:rPr>
              <w:t>闲置状态，未投入生产。近年来，由于当地对农用地膜的需求量不断</w:t>
            </w:r>
            <w:r>
              <w:rPr>
                <w:spacing w:val="-3"/>
              </w:rPr>
              <w:t>增加，</w:t>
            </w:r>
            <w:r>
              <w:rPr/>
              <w:t xml:space="preserve"> </w:t>
            </w:r>
            <w:r>
              <w:rPr>
                <w:spacing w:val="-2"/>
              </w:rPr>
              <w:t>企业拟进行补做环评。该项目于</w:t>
            </w:r>
            <w:r>
              <w:rPr>
                <w:rFonts w:ascii="Times New Roman" w:hAnsi="Times New Roman" w:eastAsia="Times New Roman" w:cs="Times New Roman"/>
                <w:spacing w:val="-2"/>
              </w:rPr>
              <w:t>2023</w:t>
            </w:r>
            <w:r>
              <w:rPr>
                <w:spacing w:val="-2"/>
              </w:rPr>
              <w:t>年</w:t>
            </w:r>
            <w:r>
              <w:rPr>
                <w:rFonts w:ascii="Times New Roman" w:hAnsi="Times New Roman" w:eastAsia="Times New Roman" w:cs="Times New Roman"/>
                <w:spacing w:val="-2"/>
              </w:rPr>
              <w:t>11</w:t>
            </w:r>
            <w:r>
              <w:rPr>
                <w:spacing w:val="-2"/>
              </w:rPr>
              <w:t>月</w:t>
            </w:r>
            <w:r>
              <w:rPr>
                <w:rFonts w:ascii="Times New Roman" w:hAnsi="Times New Roman" w:eastAsia="Times New Roman" w:cs="Times New Roman"/>
                <w:spacing w:val="-2"/>
              </w:rPr>
              <w:t>21</w:t>
            </w:r>
            <w:r>
              <w:rPr>
                <w:spacing w:val="-2"/>
              </w:rPr>
              <w:t>日取得昌吉州生</w:t>
            </w:r>
            <w:r>
              <w:rPr>
                <w:spacing w:val="-3"/>
              </w:rPr>
              <w:t>态环境局呼图</w:t>
            </w:r>
            <w:r>
              <w:rPr/>
              <w:t xml:space="preserve"> </w:t>
            </w:r>
            <w:r>
              <w:rPr>
                <w:spacing w:val="-2"/>
              </w:rPr>
              <w:t>壁县分局出具《关于呼图壁县丰收塑料制品</w:t>
            </w:r>
            <w:r>
              <w:rPr>
                <w:spacing w:val="-3"/>
              </w:rPr>
              <w:t>厂农用地膜加工项目未批先建处</w:t>
            </w:r>
          </w:p>
          <w:p>
            <w:pPr>
              <w:pStyle w:val="TableText"/>
              <w:ind w:left="117"/>
              <w:spacing w:before="1" w:line="217" w:lineRule="auto"/>
              <w:rPr/>
            </w:pPr>
            <w:r>
              <w:rPr>
                <w:spacing w:val="-1"/>
              </w:rPr>
              <w:t>理意见的报告》，文件指出：对该建设项目不予处罚（详见附件</w:t>
            </w:r>
            <w:r>
              <w:rPr>
                <w:rFonts w:ascii="Times New Roman" w:hAnsi="Times New Roman" w:eastAsia="Times New Roman" w:cs="Times New Roman"/>
                <w:spacing w:val="-1"/>
              </w:rPr>
              <w:t>5</w:t>
            </w:r>
            <w:r>
              <w:rPr>
                <w:spacing w:val="-1"/>
              </w:rPr>
              <w:t>）。</w:t>
            </w:r>
          </w:p>
          <w:p>
            <w:pPr>
              <w:pStyle w:val="TableText"/>
              <w:ind w:left="115" w:right="106" w:firstLine="479"/>
              <w:spacing w:before="215" w:line="385" w:lineRule="auto"/>
              <w:jc w:val="both"/>
              <w:rPr/>
            </w:pPr>
            <w:r>
              <w:rPr>
                <w:spacing w:val="-3"/>
              </w:rPr>
              <w:t>根据《中华人民共和国环境保护法》和《中华人民共和国环境影响评价</w:t>
            </w:r>
            <w:r>
              <w:rPr>
                <w:spacing w:val="13"/>
              </w:rPr>
              <w:t xml:space="preserve"> </w:t>
            </w:r>
            <w:r>
              <w:rPr>
                <w:spacing w:val="-3"/>
              </w:rPr>
              <w:t>法》及《建设项目环境保护管理条例》等有关法律、法规规定，呼图壁县丰</w:t>
            </w:r>
          </w:p>
          <w:p>
            <w:pPr>
              <w:pStyle w:val="TableText"/>
              <w:ind w:left="122"/>
              <w:spacing w:before="1" w:line="217" w:lineRule="auto"/>
              <w:rPr/>
            </w:pPr>
            <w:r>
              <w:rPr>
                <w:spacing w:val="-1"/>
              </w:rPr>
              <w:t>收塑料制品厂委托我公司对项目进行环境影响评价。</w:t>
            </w:r>
          </w:p>
          <w:p>
            <w:pPr>
              <w:pStyle w:val="TableText"/>
              <w:ind w:left="102" w:right="106" w:firstLine="492"/>
              <w:spacing w:before="214" w:line="385" w:lineRule="auto"/>
              <w:jc w:val="both"/>
              <w:rPr/>
            </w:pPr>
            <w:r>
              <w:rPr>
                <w:spacing w:val="1"/>
              </w:rPr>
              <w:t>本项目属于《建设项目环境影响评价分类管理名录（</w:t>
            </w:r>
            <w:r>
              <w:rPr>
                <w:rFonts w:ascii="Times New Roman" w:hAnsi="Times New Roman" w:eastAsia="Times New Roman" w:cs="Times New Roman"/>
                <w:spacing w:val="1"/>
              </w:rPr>
              <w:t>2021  </w:t>
            </w:r>
            <w:r>
              <w:rPr>
                <w:spacing w:val="1"/>
              </w:rPr>
              <w:t>年版）》中</w:t>
            </w:r>
            <w:r>
              <w:rPr>
                <w:spacing w:val="2"/>
              </w:rPr>
              <w:t xml:space="preserve"> </w:t>
            </w:r>
            <w:r>
              <w:rPr>
                <w:spacing w:val="-1"/>
              </w:rPr>
              <w:t>“二十六、橡胶和塑料制品业</w:t>
            </w:r>
            <w:r>
              <w:rPr>
                <w:rFonts w:ascii="Times New Roman" w:hAnsi="Times New Roman" w:eastAsia="Times New Roman" w:cs="Times New Roman"/>
                <w:spacing w:val="-1"/>
              </w:rPr>
              <w:t>29</w:t>
            </w:r>
            <w:r>
              <w:rPr>
                <w:rFonts w:ascii="Times New Roman" w:hAnsi="Times New Roman" w:eastAsia="Times New Roman" w:cs="Times New Roman"/>
                <w:spacing w:val="-28"/>
              </w:rPr>
              <w:t xml:space="preserve"> </w:t>
            </w:r>
            <w:r>
              <w:rPr>
                <w:spacing w:val="-1"/>
              </w:rPr>
              <w:t>，</w:t>
            </w:r>
            <w:r>
              <w:rPr>
                <w:rFonts w:ascii="Times New Roman" w:hAnsi="Times New Roman" w:eastAsia="Times New Roman" w:cs="Times New Roman"/>
                <w:spacing w:val="-1"/>
              </w:rPr>
              <w:t>53</w:t>
            </w:r>
            <w:r>
              <w:rPr>
                <w:rFonts w:ascii="Times New Roman" w:hAnsi="Times New Roman" w:eastAsia="Times New Roman" w:cs="Times New Roman"/>
                <w:spacing w:val="-34"/>
              </w:rPr>
              <w:t xml:space="preserve"> </w:t>
            </w:r>
            <w:r>
              <w:rPr>
                <w:spacing w:val="-1"/>
              </w:rPr>
              <w:t>、塑料制品业</w:t>
            </w:r>
            <w:r>
              <w:rPr>
                <w:rFonts w:ascii="Times New Roman" w:hAnsi="Times New Roman" w:eastAsia="Times New Roman" w:cs="Times New Roman"/>
                <w:spacing w:val="-1"/>
              </w:rPr>
              <w:t>292</w:t>
            </w:r>
            <w:r>
              <w:rPr>
                <w:rFonts w:ascii="Times New Roman" w:hAnsi="Times New Roman" w:eastAsia="Times New Roman" w:cs="Times New Roman"/>
                <w:spacing w:val="-31"/>
              </w:rPr>
              <w:t xml:space="preserve"> </w:t>
            </w:r>
            <w:r>
              <w:rPr>
                <w:spacing w:val="-1"/>
              </w:rPr>
              <w:t>，其他（年用非</w:t>
            </w:r>
            <w:r>
              <w:rPr>
                <w:spacing w:val="-2"/>
              </w:rPr>
              <w:t>溶剂</w:t>
            </w:r>
            <w:r>
              <w:rPr/>
              <w:t xml:space="preserve"> </w:t>
            </w:r>
            <w:r>
              <w:rPr/>
              <w:t>型低</w:t>
            </w:r>
            <w:r>
              <w:rPr>
                <w:rFonts w:ascii="Times New Roman" w:hAnsi="Times New Roman" w:eastAsia="Times New Roman" w:cs="Times New Roman"/>
              </w:rPr>
              <w:t>VOCs</w:t>
            </w:r>
            <w:r>
              <w:rPr/>
              <w:t>含量涂料</w:t>
            </w:r>
            <w:r>
              <w:rPr>
                <w:rFonts w:ascii="Times New Roman" w:hAnsi="Times New Roman" w:eastAsia="Times New Roman" w:cs="Times New Roman"/>
              </w:rPr>
              <w:t>10</w:t>
            </w:r>
            <w:r>
              <w:rPr/>
              <w:t>吨以下的除外）</w:t>
            </w:r>
            <w:r>
              <w:rPr>
                <w:spacing w:val="-69"/>
              </w:rPr>
              <w:t xml:space="preserve"> </w:t>
            </w:r>
            <w:r>
              <w:rPr/>
              <w:t>”类别，需编制环境影响报告表。接 </w:t>
            </w:r>
            <w:r>
              <w:rPr>
                <w:spacing w:val="-2"/>
              </w:rPr>
              <w:t>受委托后，我公司立即组织技术人员对项目拟建厂址进行现场踏勘，</w:t>
            </w:r>
            <w:r>
              <w:rPr>
                <w:spacing w:val="-3"/>
              </w:rPr>
              <w:t>详细了</w:t>
            </w:r>
            <w:r>
              <w:rPr/>
              <w:t xml:space="preserve"> </w:t>
            </w:r>
            <w:r>
              <w:rPr>
                <w:spacing w:val="-2"/>
              </w:rPr>
              <w:t>解了工程建设内容和生产工艺，收集了区域自然环境资料。在此基础</w:t>
            </w:r>
            <w:r>
              <w:rPr>
                <w:spacing w:val="-3"/>
              </w:rPr>
              <w:t>上编制</w:t>
            </w:r>
          </w:p>
          <w:p>
            <w:pPr>
              <w:pStyle w:val="TableText"/>
              <w:ind w:left="116"/>
              <w:spacing w:before="1" w:line="217" w:lineRule="auto"/>
              <w:rPr/>
            </w:pPr>
            <w:r>
              <w:rPr>
                <w:spacing w:val="-1"/>
              </w:rPr>
              <w:t>完成了该项目环境影响报告表，上报待批。</w:t>
            </w:r>
          </w:p>
          <w:p>
            <w:pPr>
              <w:pStyle w:val="TableText"/>
              <w:ind w:left="111"/>
              <w:spacing w:before="181" w:line="220" w:lineRule="auto"/>
              <w:outlineLvl w:val="1"/>
              <w:rPr>
                <w:sz w:val="28"/>
                <w:szCs w:val="28"/>
              </w:rPr>
            </w:pPr>
            <w:r>
              <w:rPr>
                <w:rFonts w:ascii="Times New Roman" w:hAnsi="Times New Roman" w:eastAsia="Times New Roman" w:cs="Times New Roman"/>
                <w:sz w:val="28"/>
                <w:szCs w:val="28"/>
                <w:b/>
                <w:bCs/>
                <w:spacing w:val="-1"/>
              </w:rPr>
              <w:t>2.2</w:t>
            </w:r>
            <w:r>
              <w:rPr>
                <w:sz w:val="28"/>
                <w:szCs w:val="28"/>
                <w14:textOutline w14:w="5103" w14:cap="sq" w14:cmpd="sng">
                  <w14:solidFill>
                    <w14:srgbClr w14:val="000000"/>
                  </w14:solidFill>
                  <w14:prstDash w14:val="solid"/>
                  <w14:bevel/>
                </w14:textOutline>
                <w:spacing w:val="-1"/>
              </w:rPr>
              <w:t>项目概况</w:t>
            </w:r>
          </w:p>
          <w:p>
            <w:pPr>
              <w:pStyle w:val="TableText"/>
              <w:ind w:left="598"/>
              <w:spacing w:before="201" w:line="219" w:lineRule="auto"/>
              <w:rPr/>
            </w:pPr>
            <w:r>
              <w:rPr>
                <w:spacing w:val="-1"/>
              </w:rPr>
              <w:t>项目名称：呼图壁县丰收塑料制品厂农用地膜加工项目；</w:t>
            </w:r>
          </w:p>
          <w:p>
            <w:pPr>
              <w:pStyle w:val="TableText"/>
              <w:ind w:left="597"/>
              <w:spacing w:before="217" w:line="219" w:lineRule="auto"/>
              <w:rPr/>
            </w:pPr>
            <w:r>
              <w:rPr>
                <w:spacing w:val="-1"/>
              </w:rPr>
              <w:t>建设单位：呼图壁县丰收塑料制品厂；</w:t>
            </w:r>
          </w:p>
          <w:p>
            <w:pPr>
              <w:pStyle w:val="TableText"/>
              <w:ind w:left="598"/>
              <w:spacing w:before="215" w:line="219" w:lineRule="auto"/>
              <w:rPr/>
            </w:pPr>
            <w:r>
              <w:rPr>
                <w:spacing w:val="-2"/>
              </w:rPr>
              <w:t>项目性质：扩建（未批先建</w:t>
            </w:r>
            <w:r>
              <w:rPr>
                <w:spacing w:val="4"/>
              </w:rPr>
              <w:t>）；</w:t>
            </w:r>
          </w:p>
          <w:p>
            <w:pPr>
              <w:pStyle w:val="TableText"/>
              <w:ind w:left="598"/>
              <w:spacing w:before="214" w:line="219" w:lineRule="auto"/>
              <w:rPr/>
            </w:pPr>
            <w:r>
              <w:rPr>
                <w:spacing w:val="-1"/>
              </w:rPr>
              <w:t>行业类别：</w:t>
            </w:r>
            <w:r>
              <w:rPr>
                <w:rFonts w:ascii="Times New Roman" w:hAnsi="Times New Roman" w:eastAsia="Times New Roman" w:cs="Times New Roman"/>
                <w:spacing w:val="-1"/>
              </w:rPr>
              <w:t>C2921  </w:t>
            </w:r>
            <w:r>
              <w:rPr>
                <w:spacing w:val="-1"/>
              </w:rPr>
              <w:t>塑料薄膜制造；</w:t>
            </w:r>
          </w:p>
        </w:tc>
      </w:tr>
    </w:tbl>
    <w:p>
      <w:pPr>
        <w:pStyle w:val="BodyText"/>
        <w:rPr/>
      </w:pPr>
      <w:r/>
    </w:p>
    <w:p>
      <w:pPr>
        <w:sectPr>
          <w:footerReference w:type="default" r:id="rId155"/>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59"/>
        <w:gridCol w:w="8067"/>
      </w:tblGrid>
      <w:tr>
        <w:trPr>
          <w:trHeight w:val="6880" w:hRule="atLeast"/>
        </w:trPr>
        <w:tc>
          <w:tcPr>
            <w:tcW w:w="459" w:type="dxa"/>
            <w:vAlign w:val="top"/>
            <w:vMerge w:val="restart"/>
            <w:tcBorders>
              <w:bottom w:val="nil"/>
            </w:tcBorders>
          </w:tcPr>
          <w:p>
            <w:pPr>
              <w:rPr>
                <w:rFonts w:ascii="Arial"/>
                <w:sz w:val="21"/>
              </w:rPr>
            </w:pPr>
            <w:r/>
          </w:p>
        </w:tc>
        <w:tc>
          <w:tcPr>
            <w:tcW w:w="8067" w:type="dxa"/>
            <w:vAlign w:val="top"/>
            <w:tcBorders>
              <w:bottom w:val="nil"/>
            </w:tcBorders>
          </w:tcPr>
          <w:p>
            <w:pPr>
              <w:pStyle w:val="TableText"/>
              <w:ind w:right="63"/>
              <w:spacing w:before="200" w:line="499" w:lineRule="exact"/>
              <w:jc w:val="right"/>
              <w:rPr/>
            </w:pPr>
            <w:r>
              <w:rPr>
                <w:spacing w:val="-13"/>
                <w:position w:val="19"/>
              </w:rPr>
              <w:t>建设地点：呼图壁县种牛场良种队以东（</w:t>
            </w:r>
            <w:r>
              <w:rPr>
                <w:rFonts w:ascii="Times New Roman" w:hAnsi="Times New Roman" w:eastAsia="Times New Roman" w:cs="Times New Roman"/>
                <w:spacing w:val="-13"/>
                <w:position w:val="19"/>
              </w:rPr>
              <w:t>E86</w:t>
            </w:r>
            <w:r>
              <w:rPr>
                <w:rFonts w:ascii="Times New Roman" w:hAnsi="Times New Roman" w:eastAsia="Times New Roman" w:cs="Times New Roman"/>
                <w:spacing w:val="-30"/>
                <w:position w:val="19"/>
              </w:rPr>
              <w:t xml:space="preserve"> </w:t>
            </w:r>
            <w:r>
              <w:rPr>
                <w:spacing w:val="-13"/>
                <w:position w:val="19"/>
              </w:rPr>
              <w:t>°</w:t>
            </w:r>
            <w:r>
              <w:rPr>
                <w:rFonts w:ascii="Times New Roman" w:hAnsi="Times New Roman" w:eastAsia="Times New Roman" w:cs="Times New Roman"/>
                <w:spacing w:val="-13"/>
                <w:position w:val="19"/>
              </w:rPr>
              <w:t>56</w:t>
            </w:r>
            <w:r>
              <w:rPr>
                <w:rFonts w:ascii="Times New Roman" w:hAnsi="Times New Roman" w:eastAsia="Times New Roman" w:cs="Times New Roman"/>
                <w:spacing w:val="-16"/>
                <w:position w:val="19"/>
              </w:rPr>
              <w:t xml:space="preserve"> </w:t>
            </w:r>
            <w:r>
              <w:rPr>
                <w:spacing w:val="-13"/>
                <w:position w:val="19"/>
              </w:rPr>
              <w:t>′</w:t>
            </w:r>
            <w:r>
              <w:rPr>
                <w:rFonts w:ascii="Times New Roman" w:hAnsi="Times New Roman" w:eastAsia="Times New Roman" w:cs="Times New Roman"/>
                <w:spacing w:val="-13"/>
                <w:position w:val="19"/>
              </w:rPr>
              <w:t>40.065</w:t>
            </w:r>
            <w:r>
              <w:rPr>
                <w:rFonts w:ascii="Times New Roman" w:hAnsi="Times New Roman" w:eastAsia="Times New Roman" w:cs="Times New Roman"/>
                <w:spacing w:val="-16"/>
                <w:position w:val="19"/>
              </w:rPr>
              <w:t xml:space="preserve"> </w:t>
            </w:r>
            <w:r>
              <w:rPr>
                <w:spacing w:val="-13"/>
                <w:position w:val="19"/>
              </w:rPr>
              <w:t>″，</w:t>
            </w:r>
            <w:r>
              <w:rPr>
                <w:rFonts w:ascii="Times New Roman" w:hAnsi="Times New Roman" w:eastAsia="Times New Roman" w:cs="Times New Roman"/>
                <w:spacing w:val="-13"/>
                <w:position w:val="19"/>
              </w:rPr>
              <w:t>N44</w:t>
            </w:r>
            <w:r>
              <w:rPr>
                <w:rFonts w:ascii="Times New Roman" w:hAnsi="Times New Roman" w:eastAsia="Times New Roman" w:cs="Times New Roman"/>
                <w:spacing w:val="-29"/>
                <w:position w:val="19"/>
              </w:rPr>
              <w:t xml:space="preserve"> </w:t>
            </w:r>
            <w:r>
              <w:rPr>
                <w:spacing w:val="-13"/>
                <w:position w:val="19"/>
              </w:rPr>
              <w:t>°</w:t>
            </w:r>
            <w:r>
              <w:rPr>
                <w:spacing w:val="-92"/>
                <w:position w:val="19"/>
              </w:rPr>
              <w:t xml:space="preserve"> </w:t>
            </w:r>
            <w:r>
              <w:rPr>
                <w:rFonts w:ascii="Times New Roman" w:hAnsi="Times New Roman" w:eastAsia="Times New Roman" w:cs="Times New Roman"/>
                <w:spacing w:val="-13"/>
                <w:position w:val="19"/>
              </w:rPr>
              <w:t>11</w:t>
            </w:r>
            <w:r>
              <w:rPr>
                <w:rFonts w:ascii="Times New Roman" w:hAnsi="Times New Roman" w:eastAsia="Times New Roman" w:cs="Times New Roman"/>
                <w:spacing w:val="-17"/>
                <w:position w:val="19"/>
              </w:rPr>
              <w:t xml:space="preserve"> </w:t>
            </w:r>
            <w:r>
              <w:rPr>
                <w:spacing w:val="-13"/>
                <w:position w:val="19"/>
              </w:rPr>
              <w:t>′</w:t>
            </w:r>
          </w:p>
          <w:p>
            <w:pPr>
              <w:pStyle w:val="TableText"/>
              <w:ind w:left="108"/>
              <w:spacing w:line="218" w:lineRule="auto"/>
              <w:rPr/>
            </w:pPr>
            <w:r>
              <w:rPr>
                <w:rFonts w:ascii="Times New Roman" w:hAnsi="Times New Roman" w:eastAsia="Times New Roman" w:cs="Times New Roman"/>
                <w:spacing w:val="-2"/>
              </w:rPr>
              <w:t>48.725</w:t>
            </w:r>
            <w:r>
              <w:rPr>
                <w:rFonts w:ascii="Times New Roman" w:hAnsi="Times New Roman" w:eastAsia="Times New Roman" w:cs="Times New Roman"/>
                <w:spacing w:val="-15"/>
              </w:rPr>
              <w:t xml:space="preserve"> </w:t>
            </w:r>
            <w:r>
              <w:rPr>
                <w:spacing w:val="-2"/>
              </w:rPr>
              <w:t>″</w:t>
            </w:r>
            <w:r>
              <w:rPr>
                <w:spacing w:val="-85"/>
              </w:rPr>
              <w:t xml:space="preserve"> </w:t>
            </w:r>
            <w:r>
              <w:rPr>
                <w:spacing w:val="-11"/>
              </w:rPr>
              <w:t>）；</w:t>
            </w:r>
            <w:r>
              <w:rPr>
                <w:spacing w:val="-2"/>
              </w:rPr>
              <w:t>项目四周均为农田。本项目具体地理位置见附</w:t>
            </w:r>
            <w:r>
              <w:rPr>
                <w:spacing w:val="-3"/>
              </w:rPr>
              <w:t>图</w:t>
            </w:r>
            <w:r>
              <w:rPr>
                <w:rFonts w:ascii="Times New Roman" w:hAnsi="Times New Roman" w:eastAsia="Times New Roman" w:cs="Times New Roman"/>
                <w:spacing w:val="-3"/>
              </w:rPr>
              <w:t>3</w:t>
            </w:r>
            <w:r>
              <w:rPr>
                <w:spacing w:val="-3"/>
              </w:rPr>
              <w:t>；</w:t>
            </w:r>
          </w:p>
          <w:p>
            <w:pPr>
              <w:pStyle w:val="TableText"/>
              <w:ind w:left="597"/>
              <w:spacing w:before="215" w:line="501" w:lineRule="exact"/>
              <w:rPr/>
            </w:pPr>
            <w:r>
              <w:rPr>
                <w:spacing w:val="2"/>
                <w:position w:val="19"/>
              </w:rPr>
              <w:t>组织结构及生产制度：年操作时间</w:t>
            </w:r>
            <w:r>
              <w:rPr>
                <w:rFonts w:ascii="Times New Roman" w:hAnsi="Times New Roman" w:eastAsia="Times New Roman" w:cs="Times New Roman"/>
                <w:spacing w:val="2"/>
                <w:position w:val="19"/>
              </w:rPr>
              <w:t>90</w:t>
            </w:r>
            <w:r>
              <w:rPr>
                <w:spacing w:val="2"/>
                <w:position w:val="19"/>
              </w:rPr>
              <w:t>天（</w:t>
            </w:r>
            <w:r>
              <w:rPr>
                <w:rFonts w:ascii="Times New Roman" w:hAnsi="Times New Roman" w:eastAsia="Times New Roman" w:cs="Times New Roman"/>
                <w:spacing w:val="2"/>
                <w:position w:val="19"/>
              </w:rPr>
              <w:t>1</w:t>
            </w:r>
            <w:r>
              <w:rPr>
                <w:spacing w:val="2"/>
                <w:position w:val="19"/>
              </w:rPr>
              <w:t>月</w:t>
            </w:r>
            <w:r>
              <w:rPr>
                <w:rFonts w:ascii="Times New Roman" w:hAnsi="Times New Roman" w:eastAsia="Times New Roman" w:cs="Times New Roman"/>
                <w:spacing w:val="2"/>
                <w:position w:val="19"/>
              </w:rPr>
              <w:t>-3</w:t>
            </w:r>
            <w:r>
              <w:rPr>
                <w:spacing w:val="2"/>
                <w:position w:val="19"/>
              </w:rPr>
              <w:t>月</w:t>
            </w:r>
            <w:r>
              <w:rPr>
                <w:spacing w:val="11"/>
                <w:position w:val="19"/>
              </w:rPr>
              <w:t>），</w:t>
            </w:r>
            <w:r>
              <w:rPr>
                <w:spacing w:val="2"/>
                <w:position w:val="19"/>
              </w:rPr>
              <w:t>三班两运转，每</w:t>
            </w:r>
          </w:p>
          <w:p>
            <w:pPr>
              <w:pStyle w:val="TableText"/>
              <w:ind w:left="113"/>
              <w:spacing w:line="219" w:lineRule="auto"/>
              <w:rPr/>
            </w:pPr>
            <w:r>
              <w:rPr>
                <w:spacing w:val="-1"/>
              </w:rPr>
              <w:t>班工作</w:t>
            </w:r>
            <w:r>
              <w:rPr>
                <w:rFonts w:ascii="Times New Roman" w:hAnsi="Times New Roman" w:eastAsia="Times New Roman" w:cs="Times New Roman"/>
                <w:spacing w:val="-1"/>
              </w:rPr>
              <w:t>8</w:t>
            </w:r>
            <w:r>
              <w:rPr>
                <w:spacing w:val="-1"/>
              </w:rPr>
              <w:t>小时。年工作</w:t>
            </w:r>
            <w:r>
              <w:rPr>
                <w:rFonts w:ascii="Times New Roman" w:hAnsi="Times New Roman" w:eastAsia="Times New Roman" w:cs="Times New Roman"/>
                <w:spacing w:val="-1"/>
              </w:rPr>
              <w:t>1440h</w:t>
            </w:r>
            <w:r>
              <w:rPr>
                <w:spacing w:val="-1"/>
              </w:rPr>
              <w:t>。</w:t>
            </w:r>
          </w:p>
          <w:p>
            <w:pPr>
              <w:pStyle w:val="TableText"/>
              <w:ind w:right="37"/>
              <w:spacing w:before="214" w:line="499" w:lineRule="exact"/>
              <w:jc w:val="right"/>
              <w:rPr/>
            </w:pPr>
            <w:r>
              <w:rPr>
                <w:spacing w:val="-1"/>
                <w:position w:val="19"/>
              </w:rPr>
              <w:t>劳动定员及人员培训：根据本项目生产管理的需要，结合自动化水平，</w:t>
            </w:r>
          </w:p>
          <w:p>
            <w:pPr>
              <w:pStyle w:val="TableText"/>
              <w:ind w:left="115"/>
              <w:spacing w:before="1" w:line="218" w:lineRule="auto"/>
              <w:rPr/>
            </w:pPr>
            <w:r>
              <w:rPr>
                <w:spacing w:val="-1"/>
              </w:rPr>
              <w:t>本项目劳动用工为</w:t>
            </w:r>
            <w:r>
              <w:rPr>
                <w:rFonts w:ascii="Times New Roman" w:hAnsi="Times New Roman" w:eastAsia="Times New Roman" w:cs="Times New Roman"/>
                <w:spacing w:val="-1"/>
              </w:rPr>
              <w:t>3</w:t>
            </w:r>
            <w:r>
              <w:rPr>
                <w:spacing w:val="-1"/>
              </w:rPr>
              <w:t>人，均为现有项目调配，不新增工作人员。</w:t>
            </w:r>
          </w:p>
          <w:p>
            <w:pPr>
              <w:pStyle w:val="TableText"/>
              <w:ind w:left="597"/>
              <w:spacing w:before="217" w:line="499" w:lineRule="exact"/>
              <w:rPr/>
            </w:pPr>
            <w:r>
              <w:rPr>
                <w:spacing w:val="-3"/>
                <w:position w:val="19"/>
              </w:rPr>
              <w:t>投资总额：项目总投资</w:t>
            </w:r>
            <w:r>
              <w:rPr>
                <w:rFonts w:ascii="Times New Roman" w:hAnsi="Times New Roman" w:eastAsia="Times New Roman" w:cs="Times New Roman"/>
                <w:spacing w:val="-3"/>
                <w:position w:val="19"/>
              </w:rPr>
              <w:t>50</w:t>
            </w:r>
            <w:r>
              <w:rPr>
                <w:spacing w:val="-3"/>
                <w:position w:val="19"/>
              </w:rPr>
              <w:t>万元。其中环保投资</w:t>
            </w:r>
            <w:r>
              <w:rPr>
                <w:rFonts w:ascii="Times New Roman" w:hAnsi="Times New Roman" w:eastAsia="Times New Roman" w:cs="Times New Roman"/>
                <w:spacing w:val="-3"/>
                <w:position w:val="19"/>
              </w:rPr>
              <w:t>13</w:t>
            </w:r>
            <w:r>
              <w:rPr>
                <w:spacing w:val="-3"/>
                <w:position w:val="19"/>
              </w:rPr>
              <w:t>万元，环保投资占总投</w:t>
            </w:r>
          </w:p>
          <w:p>
            <w:pPr>
              <w:pStyle w:val="TableText"/>
              <w:ind w:left="124"/>
              <w:spacing w:before="1" w:line="220" w:lineRule="auto"/>
              <w:rPr/>
            </w:pPr>
            <w:r>
              <w:rPr>
                <w:spacing w:val="11"/>
              </w:rPr>
              <w:t>资的</w:t>
            </w:r>
            <w:r>
              <w:rPr>
                <w:rFonts w:ascii="Times New Roman" w:hAnsi="Times New Roman" w:eastAsia="Times New Roman" w:cs="Times New Roman"/>
                <w:spacing w:val="11"/>
              </w:rPr>
              <w:t>26</w:t>
            </w:r>
            <w:r>
              <w:rPr>
                <w:spacing w:val="11"/>
              </w:rPr>
              <w:t>%;</w:t>
            </w:r>
          </w:p>
          <w:p>
            <w:pPr>
              <w:pStyle w:val="TableText"/>
              <w:ind w:left="111"/>
              <w:spacing w:before="177" w:line="220" w:lineRule="auto"/>
              <w:outlineLvl w:val="1"/>
              <w:rPr>
                <w:sz w:val="28"/>
                <w:szCs w:val="28"/>
              </w:rPr>
            </w:pPr>
            <w:r>
              <w:rPr>
                <w:rFonts w:ascii="Times New Roman" w:hAnsi="Times New Roman" w:eastAsia="Times New Roman" w:cs="Times New Roman"/>
                <w:sz w:val="28"/>
                <w:szCs w:val="28"/>
                <w:b/>
                <w:bCs/>
                <w:spacing w:val="-1"/>
              </w:rPr>
              <w:t>2.3</w:t>
            </w:r>
            <w:r>
              <w:rPr>
                <w:sz w:val="28"/>
                <w:szCs w:val="28"/>
                <w14:textOutline w14:w="5103" w14:cap="sq" w14:cmpd="sng">
                  <w14:solidFill>
                    <w14:srgbClr w14:val="000000"/>
                  </w14:solidFill>
                  <w14:prstDash w14:val="solid"/>
                  <w14:bevel/>
                </w14:textOutline>
                <w:spacing w:val="-1"/>
              </w:rPr>
              <w:t>生产规模及内容</w:t>
            </w:r>
          </w:p>
          <w:p>
            <w:pPr>
              <w:pStyle w:val="TableText"/>
              <w:ind w:left="595"/>
              <w:spacing w:before="204" w:line="499" w:lineRule="exact"/>
              <w:rPr/>
            </w:pPr>
            <w:r>
              <w:rPr>
                <w:spacing w:val="-2"/>
                <w:position w:val="19"/>
              </w:rPr>
              <w:t>本项目总占地面积为</w:t>
            </w:r>
            <w:r>
              <w:rPr>
                <w:rFonts w:ascii="Times New Roman" w:hAnsi="Times New Roman" w:eastAsia="Times New Roman" w:cs="Times New Roman"/>
                <w:spacing w:val="-2"/>
                <w:position w:val="19"/>
              </w:rPr>
              <w:t>200</w:t>
            </w:r>
            <w:r>
              <w:rPr>
                <w:spacing w:val="-2"/>
                <w:position w:val="19"/>
              </w:rPr>
              <w:t>㎡</w:t>
            </w:r>
            <w:r>
              <w:rPr>
                <w:spacing w:val="-70"/>
                <w:position w:val="19"/>
              </w:rPr>
              <w:t xml:space="preserve"> </w:t>
            </w:r>
            <w:r>
              <w:rPr>
                <w:spacing w:val="-2"/>
                <w:position w:val="19"/>
              </w:rPr>
              <w:t>，利用企业已建原料库房，不新增占地。</w:t>
            </w:r>
          </w:p>
          <w:p>
            <w:pPr>
              <w:pStyle w:val="TableText"/>
              <w:ind w:left="597"/>
              <w:spacing w:before="1" w:line="218" w:lineRule="auto"/>
              <w:rPr/>
            </w:pPr>
            <w:r>
              <w:rPr>
                <w:spacing w:val="-1"/>
              </w:rPr>
              <w:t>建设内容：本次扩建主要为原料库房内布设</w:t>
            </w:r>
            <w:r>
              <w:rPr>
                <w:rFonts w:ascii="Times New Roman" w:hAnsi="Times New Roman" w:eastAsia="Times New Roman" w:cs="Times New Roman"/>
                <w:spacing w:val="-1"/>
              </w:rPr>
              <w:t>2</w:t>
            </w:r>
            <w:r>
              <w:rPr>
                <w:spacing w:val="-1"/>
              </w:rPr>
              <w:t>条地膜生产线。</w:t>
            </w:r>
          </w:p>
          <w:p>
            <w:pPr>
              <w:pStyle w:val="TableText"/>
              <w:ind w:left="597"/>
              <w:spacing w:before="215" w:line="219" w:lineRule="auto"/>
              <w:rPr/>
            </w:pPr>
            <w:r>
              <w:rPr>
                <w:spacing w:val="-1"/>
              </w:rPr>
              <w:t>建设规模：年生产地膜</w:t>
            </w:r>
            <w:r>
              <w:rPr>
                <w:rFonts w:ascii="Times New Roman" w:hAnsi="Times New Roman" w:eastAsia="Times New Roman" w:cs="Times New Roman"/>
                <w:spacing w:val="-1"/>
              </w:rPr>
              <w:t>500</w:t>
            </w:r>
            <w:r>
              <w:rPr>
                <w:spacing w:val="-1"/>
              </w:rPr>
              <w:t>吨。</w:t>
            </w:r>
          </w:p>
          <w:p>
            <w:pPr>
              <w:pStyle w:val="TableText"/>
              <w:ind w:left="595"/>
              <w:spacing w:before="216" w:line="219" w:lineRule="auto"/>
              <w:rPr/>
            </w:pPr>
            <w:r>
              <w:rPr>
                <w:spacing w:val="-3"/>
              </w:rPr>
              <w:t>本项目工程组成一览表见表</w:t>
            </w:r>
            <w:r>
              <w:rPr>
                <w:rFonts w:ascii="Times New Roman" w:hAnsi="Times New Roman" w:eastAsia="Times New Roman" w:cs="Times New Roman"/>
                <w:spacing w:val="-3"/>
              </w:rPr>
              <w:t>2.3-</w:t>
            </w:r>
            <w:r>
              <w:rPr>
                <w:rFonts w:ascii="Times New Roman" w:hAnsi="Times New Roman" w:eastAsia="Times New Roman" w:cs="Times New Roman"/>
                <w:spacing w:val="-19"/>
              </w:rPr>
              <w:t xml:space="preserve"> </w:t>
            </w:r>
            <w:r>
              <w:rPr>
                <w:rFonts w:ascii="Times New Roman" w:hAnsi="Times New Roman" w:eastAsia="Times New Roman" w:cs="Times New Roman"/>
                <w:spacing w:val="-3"/>
              </w:rPr>
              <w:t>1</w:t>
            </w:r>
            <w:r>
              <w:rPr>
                <w:spacing w:val="-3"/>
              </w:rPr>
              <w:t>。</w:t>
            </w:r>
          </w:p>
          <w:p>
            <w:pPr>
              <w:pStyle w:val="TableText"/>
              <w:ind w:left="2885"/>
              <w:spacing w:before="136" w:line="192" w:lineRule="auto"/>
              <w:rPr/>
            </w:pPr>
            <w:r>
              <w:rPr>
                <w14:textOutline w14:w="4358" w14:cap="sq" w14:cmpd="sng">
                  <w14:solidFill>
                    <w14:srgbClr w14:val="000000"/>
                  </w14:solidFill>
                  <w14:prstDash w14:val="solid"/>
                  <w14:bevel/>
                </w14:textOutline>
                <w:spacing w:val="-1"/>
              </w:rPr>
              <w:t>表</w:t>
            </w:r>
            <w:r>
              <w:rPr>
                <w:rFonts w:ascii="Times New Roman" w:hAnsi="Times New Roman" w:eastAsia="Times New Roman" w:cs="Times New Roman"/>
                <w:b/>
                <w:bCs/>
                <w:spacing w:val="-1"/>
              </w:rPr>
              <w:t>2.3-1  </w:t>
            </w:r>
            <w:r>
              <w:rPr>
                <w14:textOutline w14:w="4358" w14:cap="sq" w14:cmpd="sng">
                  <w14:solidFill>
                    <w14:srgbClr w14:val="000000"/>
                  </w14:solidFill>
                  <w14:prstDash w14:val="solid"/>
                  <w14:bevel/>
                </w14:textOutline>
                <w:spacing w:val="-1"/>
              </w:rPr>
              <w:t>建设项目内容</w:t>
            </w:r>
          </w:p>
        </w:tc>
      </w:tr>
      <w:tr>
        <w:trPr>
          <w:trHeight w:val="6676" w:hRule="atLeast"/>
        </w:trPr>
        <w:tc>
          <w:tcPr>
            <w:tcW w:w="459" w:type="dxa"/>
            <w:vAlign w:val="top"/>
            <w:vMerge w:val="continue"/>
            <w:tcBorders>
              <w:top w:val="nil"/>
            </w:tcBorders>
          </w:tcPr>
          <w:p>
            <w:pPr>
              <w:rPr>
                <w:rFonts w:ascii="Arial"/>
                <w:sz w:val="21"/>
              </w:rPr>
            </w:pPr>
            <w:r/>
          </w:p>
        </w:tc>
        <w:tc>
          <w:tcPr>
            <w:tcW w:w="8067" w:type="dxa"/>
            <w:vAlign w:val="top"/>
            <w:tcBorders>
              <w:top w:val="nil"/>
            </w:tcBorders>
          </w:tcPr>
          <w:p>
            <w:pPr>
              <w:spacing w:line="25" w:lineRule="exact"/>
              <w:rPr/>
            </w:pPr>
            <w:r>
              <w:drawing>
                <wp:anchor distT="0" distB="0" distL="0" distR="0" simplePos="0" relativeHeight="253171712" behindDoc="0" locked="0" layoutInCell="1" allowOverlap="1">
                  <wp:simplePos x="0" y="0"/>
                  <wp:positionH relativeFrom="rightMargin">
                    <wp:posOffset>-4629150</wp:posOffset>
                  </wp:positionH>
                  <wp:positionV relativeFrom="topMargin">
                    <wp:posOffset>34163</wp:posOffset>
                  </wp:positionV>
                  <wp:extent cx="4089145" cy="4202556"/>
                  <wp:effectExtent l="0" t="0" r="0" b="0"/>
                  <wp:wrapNone/>
                  <wp:docPr id="134" name="IM 134"/>
                  <wp:cNvGraphicFramePr/>
                  <a:graphic>
                    <a:graphicData uri="http://schemas.openxmlformats.org/drawingml/2006/picture">
                      <pic:pic>
                        <pic:nvPicPr>
                          <pic:cNvPr id="134" name="IM 134"/>
                          <pic:cNvPicPr/>
                        </pic:nvPicPr>
                        <pic:blipFill>
                          <a:blip r:embed="rId157"/>
                          <a:stretch>
                            <a:fillRect/>
                          </a:stretch>
                        </pic:blipFill>
                        <pic:spPr>
                          <a:xfrm rot="0">
                            <a:off x="0" y="0"/>
                            <a:ext cx="4089145" cy="4202556"/>
                          </a:xfrm>
                          <a:prstGeom prst="rect">
                            <a:avLst/>
                          </a:prstGeom>
                        </pic:spPr>
                      </pic:pic>
                    </a:graphicData>
                  </a:graphic>
                </wp:anchor>
              </w:drawing>
            </w:r>
            <w:r/>
          </w:p>
          <w:tbl>
            <w:tblPr>
              <w:tblStyle w:val="TableNormal"/>
              <w:tblW w:w="7851" w:type="dxa"/>
              <w:tblInd w:w="108"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663"/>
              <w:gridCol w:w="1332"/>
              <w:gridCol w:w="5119"/>
              <w:gridCol w:w="737"/>
            </w:tblGrid>
            <w:tr>
              <w:trPr>
                <w:trHeight w:val="387" w:hRule="atLeast"/>
              </w:trPr>
              <w:tc>
                <w:tcPr>
                  <w:tcW w:w="1995" w:type="dxa"/>
                  <w:vAlign w:val="top"/>
                  <w:gridSpan w:val="2"/>
                  <w:tcBorders>
                    <w:bottom w:val="single" w:color="000000" w:sz="2" w:space="0"/>
                    <w:top w:val="single" w:color="000000" w:sz="10" w:space="0"/>
                  </w:tcBorders>
                </w:tcPr>
                <w:p>
                  <w:pPr>
                    <w:pStyle w:val="TableText"/>
                    <w:ind w:left="594"/>
                    <w:spacing w:before="112" w:line="228" w:lineRule="auto"/>
                    <w:rPr>
                      <w:sz w:val="20"/>
                      <w:szCs w:val="20"/>
                    </w:rPr>
                  </w:pPr>
                  <w:r>
                    <w:rPr>
                      <w:sz w:val="20"/>
                      <w:szCs w:val="20"/>
                      <w:spacing w:val="6"/>
                    </w:rPr>
                    <w:t>建设内容</w:t>
                  </w:r>
                </w:p>
              </w:tc>
              <w:tc>
                <w:tcPr>
                  <w:tcW w:w="5119" w:type="dxa"/>
                  <w:vAlign w:val="top"/>
                  <w:tcBorders>
                    <w:bottom w:val="single" w:color="000000" w:sz="2" w:space="0"/>
                    <w:top w:val="single" w:color="000000" w:sz="10" w:space="0"/>
                  </w:tcBorders>
                </w:tcPr>
                <w:p>
                  <w:pPr>
                    <w:pStyle w:val="TableText"/>
                    <w:ind w:left="2066"/>
                    <w:spacing w:before="112" w:line="228" w:lineRule="auto"/>
                    <w:rPr>
                      <w:sz w:val="20"/>
                      <w:szCs w:val="20"/>
                    </w:rPr>
                  </w:pPr>
                  <w:r>
                    <w:rPr>
                      <w:sz w:val="20"/>
                      <w:szCs w:val="20"/>
                      <w:spacing w:val="3"/>
                    </w:rPr>
                    <w:t>内容及规模</w:t>
                  </w:r>
                </w:p>
              </w:tc>
              <w:tc>
                <w:tcPr>
                  <w:tcW w:w="737" w:type="dxa"/>
                  <w:vAlign w:val="top"/>
                  <w:tcBorders>
                    <w:bottom w:val="single" w:color="000000" w:sz="2" w:space="0"/>
                    <w:top w:val="single" w:color="000000" w:sz="10" w:space="0"/>
                  </w:tcBorders>
                </w:tcPr>
                <w:p>
                  <w:pPr>
                    <w:pStyle w:val="TableText"/>
                    <w:ind w:left="159"/>
                    <w:spacing w:before="112" w:line="229" w:lineRule="auto"/>
                    <w:rPr>
                      <w:sz w:val="20"/>
                      <w:szCs w:val="20"/>
                    </w:rPr>
                  </w:pPr>
                  <w:r>
                    <w:rPr>
                      <w:sz w:val="20"/>
                      <w:szCs w:val="20"/>
                      <w:spacing w:val="3"/>
                    </w:rPr>
                    <w:t>备注</w:t>
                  </w:r>
                </w:p>
              </w:tc>
            </w:tr>
            <w:tr>
              <w:trPr>
                <w:trHeight w:val="724" w:hRule="atLeast"/>
              </w:trPr>
              <w:tc>
                <w:tcPr>
                  <w:tcW w:w="663" w:type="dxa"/>
                  <w:vAlign w:val="top"/>
                  <w:tcBorders>
                    <w:bottom w:val="single" w:color="000000" w:sz="2" w:space="0"/>
                    <w:top w:val="single" w:color="000000" w:sz="2" w:space="0"/>
                  </w:tcBorders>
                </w:tcPr>
                <w:p>
                  <w:pPr>
                    <w:pStyle w:val="TableText"/>
                    <w:ind w:left="133" w:right="122"/>
                    <w:spacing w:before="109" w:line="279" w:lineRule="auto"/>
                    <w:rPr>
                      <w:sz w:val="20"/>
                      <w:szCs w:val="20"/>
                    </w:rPr>
                  </w:pPr>
                  <w:r>
                    <w:rPr>
                      <w:sz w:val="20"/>
                      <w:szCs w:val="20"/>
                      <w:spacing w:val="3"/>
                    </w:rPr>
                    <w:t>主体</w:t>
                  </w:r>
                  <w:r>
                    <w:rPr>
                      <w:sz w:val="20"/>
                      <w:szCs w:val="20"/>
                    </w:rPr>
                    <w:t xml:space="preserve"> </w:t>
                  </w:r>
                  <w:r>
                    <w:rPr>
                      <w:sz w:val="20"/>
                      <w:szCs w:val="20"/>
                      <w:spacing w:val="3"/>
                    </w:rPr>
                    <w:t>工程</w:t>
                  </w:r>
                </w:p>
              </w:tc>
              <w:tc>
                <w:tcPr>
                  <w:tcW w:w="1332" w:type="dxa"/>
                  <w:vAlign w:val="top"/>
                  <w:tcBorders>
                    <w:bottom w:val="single" w:color="000000" w:sz="2" w:space="0"/>
                    <w:top w:val="single" w:color="000000" w:sz="2" w:space="0"/>
                  </w:tcBorders>
                </w:tcPr>
                <w:p>
                  <w:pPr>
                    <w:pStyle w:val="TableText"/>
                    <w:ind w:left="157"/>
                    <w:spacing w:before="109" w:line="228" w:lineRule="auto"/>
                    <w:rPr>
                      <w:sz w:val="20"/>
                      <w:szCs w:val="20"/>
                    </w:rPr>
                  </w:pPr>
                  <w:r>
                    <w:rPr>
                      <w:sz w:val="20"/>
                      <w:szCs w:val="20"/>
                      <w:spacing w:val="8"/>
                    </w:rPr>
                    <w:t>地膜生产线</w:t>
                  </w:r>
                </w:p>
              </w:tc>
              <w:tc>
                <w:tcPr>
                  <w:tcW w:w="5119" w:type="dxa"/>
                  <w:vAlign w:val="top"/>
                  <w:tcBorders>
                    <w:bottom w:val="single" w:color="000000" w:sz="2" w:space="0"/>
                    <w:top w:val="single" w:color="000000" w:sz="2" w:space="0"/>
                  </w:tcBorders>
                </w:tcPr>
                <w:p>
                  <w:pPr>
                    <w:pStyle w:val="TableText"/>
                    <w:ind w:left="856"/>
                    <w:spacing w:before="109" w:line="227" w:lineRule="auto"/>
                    <w:rPr>
                      <w:sz w:val="20"/>
                      <w:szCs w:val="20"/>
                    </w:rPr>
                  </w:pPr>
                  <w:r>
                    <w:rPr>
                      <w:sz w:val="20"/>
                      <w:szCs w:val="20"/>
                      <w:spacing w:val="7"/>
                    </w:rPr>
                    <w:t>已建原料库房内布设</w:t>
                  </w:r>
                  <w:r>
                    <w:rPr>
                      <w:rFonts w:ascii="Times New Roman" w:hAnsi="Times New Roman" w:eastAsia="Times New Roman" w:cs="Times New Roman"/>
                      <w:sz w:val="20"/>
                      <w:szCs w:val="20"/>
                      <w:spacing w:val="7"/>
                    </w:rPr>
                    <w:t>2</w:t>
                  </w:r>
                  <w:r>
                    <w:rPr>
                      <w:sz w:val="20"/>
                      <w:szCs w:val="20"/>
                      <w:spacing w:val="7"/>
                    </w:rPr>
                    <w:t>条地膜生产线；</w:t>
                  </w:r>
                </w:p>
              </w:tc>
              <w:tc>
                <w:tcPr>
                  <w:tcW w:w="737" w:type="dxa"/>
                  <w:vAlign w:val="top"/>
                  <w:tcBorders>
                    <w:bottom w:val="single" w:color="000000" w:sz="2" w:space="0"/>
                    <w:top w:val="single" w:color="000000" w:sz="2" w:space="0"/>
                  </w:tcBorders>
                </w:tcPr>
                <w:p>
                  <w:pPr>
                    <w:pStyle w:val="TableText"/>
                    <w:ind w:left="158"/>
                    <w:spacing w:before="110" w:line="228" w:lineRule="auto"/>
                    <w:rPr>
                      <w:sz w:val="20"/>
                      <w:szCs w:val="20"/>
                    </w:rPr>
                  </w:pPr>
                  <w:r>
                    <w:rPr>
                      <w:sz w:val="20"/>
                      <w:szCs w:val="20"/>
                      <w:spacing w:val="4"/>
                    </w:rPr>
                    <w:t>新建</w:t>
                  </w:r>
                </w:p>
              </w:tc>
            </w:tr>
            <w:tr>
              <w:trPr>
                <w:trHeight w:val="724" w:hRule="atLeast"/>
              </w:trPr>
              <w:tc>
                <w:tcPr>
                  <w:tcW w:w="663" w:type="dxa"/>
                  <w:vAlign w:val="top"/>
                  <w:tcBorders>
                    <w:bottom w:val="single" w:color="000000" w:sz="2" w:space="0"/>
                    <w:top w:val="single" w:color="000000" w:sz="2" w:space="0"/>
                  </w:tcBorders>
                </w:tcPr>
                <w:p>
                  <w:pPr>
                    <w:pStyle w:val="TableText"/>
                    <w:ind w:left="133" w:right="122"/>
                    <w:spacing w:before="109" w:line="279" w:lineRule="auto"/>
                    <w:rPr>
                      <w:sz w:val="20"/>
                      <w:szCs w:val="20"/>
                    </w:rPr>
                  </w:pPr>
                  <w:r>
                    <w:rPr>
                      <w:sz w:val="20"/>
                      <w:szCs w:val="20"/>
                      <w:spacing w:val="3"/>
                    </w:rPr>
                    <w:t>辅助</w:t>
                  </w:r>
                  <w:r>
                    <w:rPr>
                      <w:sz w:val="20"/>
                      <w:szCs w:val="20"/>
                    </w:rPr>
                    <w:t xml:space="preserve"> </w:t>
                  </w:r>
                  <w:r>
                    <w:rPr>
                      <w:sz w:val="20"/>
                      <w:szCs w:val="20"/>
                      <w:spacing w:val="3"/>
                    </w:rPr>
                    <w:t>工程</w:t>
                  </w:r>
                </w:p>
              </w:tc>
              <w:tc>
                <w:tcPr>
                  <w:tcW w:w="1332" w:type="dxa"/>
                  <w:vAlign w:val="top"/>
                  <w:tcBorders>
                    <w:bottom w:val="single" w:color="000000" w:sz="2" w:space="0"/>
                    <w:top w:val="single" w:color="000000" w:sz="2" w:space="0"/>
                  </w:tcBorders>
                </w:tcPr>
                <w:p>
                  <w:pPr>
                    <w:pStyle w:val="TableText"/>
                    <w:ind w:left="161"/>
                    <w:spacing w:before="109" w:line="228" w:lineRule="auto"/>
                    <w:rPr>
                      <w:sz w:val="20"/>
                      <w:szCs w:val="20"/>
                    </w:rPr>
                  </w:pPr>
                  <w:r>
                    <w:rPr>
                      <w:sz w:val="20"/>
                      <w:szCs w:val="20"/>
                      <w:spacing w:val="7"/>
                    </w:rPr>
                    <w:t>办公生活区</w:t>
                  </w:r>
                </w:p>
              </w:tc>
              <w:tc>
                <w:tcPr>
                  <w:tcW w:w="5119" w:type="dxa"/>
                  <w:vAlign w:val="top"/>
                  <w:tcBorders>
                    <w:bottom w:val="single" w:color="000000" w:sz="2" w:space="0"/>
                    <w:top w:val="single" w:color="000000" w:sz="2" w:space="0"/>
                  </w:tcBorders>
                </w:tcPr>
                <w:p>
                  <w:pPr>
                    <w:pStyle w:val="TableText"/>
                    <w:ind w:left="1832" w:right="148" w:hanging="1679"/>
                    <w:spacing w:before="109" w:line="279" w:lineRule="auto"/>
                    <w:rPr>
                      <w:sz w:val="20"/>
                      <w:szCs w:val="20"/>
                    </w:rPr>
                  </w:pPr>
                  <w:r>
                    <w:rPr>
                      <w:sz w:val="20"/>
                      <w:szCs w:val="20"/>
                      <w:spacing w:val="9"/>
                    </w:rPr>
                    <w:t>不新增员工，现有员工依托企业现有综合办公楼、职 </w:t>
                  </w:r>
                  <w:r>
                    <w:rPr>
                      <w:sz w:val="20"/>
                      <w:szCs w:val="20"/>
                      <w:spacing w:val="6"/>
                    </w:rPr>
                    <w:t>工宿舍、食堂；</w:t>
                  </w:r>
                </w:p>
              </w:tc>
              <w:tc>
                <w:tcPr>
                  <w:tcW w:w="737" w:type="dxa"/>
                  <w:vAlign w:val="top"/>
                  <w:tcBorders>
                    <w:bottom w:val="single" w:color="000000" w:sz="2" w:space="0"/>
                    <w:top w:val="single" w:color="000000" w:sz="2" w:space="0"/>
                  </w:tcBorders>
                </w:tcPr>
                <w:p>
                  <w:pPr>
                    <w:pStyle w:val="TableText"/>
                    <w:ind w:left="159"/>
                    <w:spacing w:before="110" w:line="227" w:lineRule="auto"/>
                    <w:rPr>
                      <w:sz w:val="20"/>
                      <w:szCs w:val="20"/>
                    </w:rPr>
                  </w:pPr>
                  <w:r>
                    <w:rPr>
                      <w:sz w:val="20"/>
                      <w:szCs w:val="20"/>
                      <w:spacing w:val="3"/>
                    </w:rPr>
                    <w:t>依托</w:t>
                  </w:r>
                </w:p>
              </w:tc>
            </w:tr>
            <w:tr>
              <w:trPr>
                <w:trHeight w:val="755" w:hRule="atLeast"/>
              </w:trPr>
              <w:tc>
                <w:tcPr>
                  <w:tcW w:w="663" w:type="dxa"/>
                  <w:vAlign w:val="top"/>
                  <w:vMerge w:val="restart"/>
                  <w:tcBorders>
                    <w:bottom w:val="nil"/>
                    <w:top w:val="single" w:color="000000" w:sz="2" w:space="0"/>
                  </w:tcBorders>
                </w:tcPr>
                <w:p>
                  <w:pPr>
                    <w:pStyle w:val="TableText"/>
                    <w:ind w:left="133" w:right="122" w:hanging="3"/>
                    <w:spacing w:before="111" w:line="280" w:lineRule="auto"/>
                    <w:rPr>
                      <w:sz w:val="20"/>
                      <w:szCs w:val="20"/>
                    </w:rPr>
                  </w:pPr>
                  <w:r>
                    <w:rPr>
                      <w:sz w:val="20"/>
                      <w:szCs w:val="20"/>
                      <w:spacing w:val="5"/>
                    </w:rPr>
                    <w:t>储运</w:t>
                  </w:r>
                  <w:r>
                    <w:rPr>
                      <w:sz w:val="20"/>
                      <w:szCs w:val="20"/>
                    </w:rPr>
                    <w:t xml:space="preserve"> </w:t>
                  </w:r>
                  <w:r>
                    <w:rPr>
                      <w:sz w:val="20"/>
                      <w:szCs w:val="20"/>
                      <w:spacing w:val="3"/>
                    </w:rPr>
                    <w:t>工程</w:t>
                  </w:r>
                </w:p>
              </w:tc>
              <w:tc>
                <w:tcPr>
                  <w:tcW w:w="1332" w:type="dxa"/>
                  <w:vAlign w:val="top"/>
                  <w:tcBorders>
                    <w:bottom w:val="single" w:color="000000" w:sz="2" w:space="0"/>
                    <w:top w:val="single" w:color="000000" w:sz="2" w:space="0"/>
                  </w:tcBorders>
                </w:tcPr>
                <w:p>
                  <w:pPr>
                    <w:pStyle w:val="TableText"/>
                    <w:ind w:left="267"/>
                    <w:spacing w:before="111" w:line="228" w:lineRule="auto"/>
                    <w:rPr>
                      <w:sz w:val="20"/>
                      <w:szCs w:val="20"/>
                    </w:rPr>
                  </w:pPr>
                  <w:r>
                    <w:rPr>
                      <w:sz w:val="20"/>
                      <w:szCs w:val="20"/>
                      <w:spacing w:val="6"/>
                    </w:rPr>
                    <w:t>原料堆场</w:t>
                  </w:r>
                </w:p>
              </w:tc>
              <w:tc>
                <w:tcPr>
                  <w:tcW w:w="5119" w:type="dxa"/>
                  <w:vAlign w:val="top"/>
                  <w:tcBorders>
                    <w:bottom w:val="single" w:color="000000" w:sz="2" w:space="0"/>
                    <w:top w:val="single" w:color="000000" w:sz="2" w:space="0"/>
                  </w:tcBorders>
                </w:tcPr>
                <w:p>
                  <w:pPr>
                    <w:pStyle w:val="TableText"/>
                    <w:ind w:left="658" w:right="199" w:hanging="507"/>
                    <w:spacing w:before="110" w:line="280" w:lineRule="auto"/>
                    <w:rPr>
                      <w:sz w:val="20"/>
                      <w:szCs w:val="20"/>
                    </w:rPr>
                  </w:pPr>
                  <w:r>
                    <w:rPr>
                      <w:sz w:val="20"/>
                      <w:szCs w:val="20"/>
                      <w:spacing w:val="7"/>
                    </w:rPr>
                    <w:t>依托企业已建半封闭式原料堆场，位于厂区西北侧，</w:t>
                  </w:r>
                  <w:r>
                    <w:rPr>
                      <w:sz w:val="20"/>
                      <w:szCs w:val="20"/>
                      <w:spacing w:val="5"/>
                    </w:rPr>
                    <w:t xml:space="preserve"> </w:t>
                  </w:r>
                  <w:r>
                    <w:rPr>
                      <w:sz w:val="20"/>
                      <w:szCs w:val="20"/>
                      <w:spacing w:val="4"/>
                    </w:rPr>
                    <w:t>占地面积为</w:t>
                  </w:r>
                  <w:r>
                    <w:rPr>
                      <w:rFonts w:ascii="Times New Roman" w:hAnsi="Times New Roman" w:eastAsia="Times New Roman" w:cs="Times New Roman"/>
                      <w:sz w:val="20"/>
                      <w:szCs w:val="20"/>
                      <w:spacing w:val="4"/>
                    </w:rPr>
                    <w:t>120</w:t>
                  </w:r>
                  <w:r>
                    <w:rPr>
                      <w:sz w:val="20"/>
                      <w:szCs w:val="20"/>
                      <w:spacing w:val="4"/>
                    </w:rPr>
                    <w:t>㎡</w:t>
                  </w:r>
                  <w:r>
                    <w:rPr>
                      <w:sz w:val="20"/>
                      <w:szCs w:val="20"/>
                      <w:spacing w:val="-43"/>
                    </w:rPr>
                    <w:t xml:space="preserve"> </w:t>
                  </w:r>
                  <w:r>
                    <w:rPr>
                      <w:sz w:val="20"/>
                      <w:szCs w:val="20"/>
                      <w:spacing w:val="4"/>
                    </w:rPr>
                    <w:t>，可满足本项目原料堆放</w:t>
                  </w:r>
                </w:p>
              </w:tc>
              <w:tc>
                <w:tcPr>
                  <w:tcW w:w="737" w:type="dxa"/>
                  <w:vAlign w:val="top"/>
                  <w:tcBorders>
                    <w:bottom w:val="single" w:color="000000" w:sz="2" w:space="0"/>
                    <w:top w:val="single" w:color="000000" w:sz="2" w:space="0"/>
                  </w:tcBorders>
                </w:tcPr>
                <w:p>
                  <w:pPr>
                    <w:pStyle w:val="TableText"/>
                    <w:ind w:left="159"/>
                    <w:spacing w:before="110" w:line="227" w:lineRule="auto"/>
                    <w:rPr>
                      <w:sz w:val="20"/>
                      <w:szCs w:val="20"/>
                    </w:rPr>
                  </w:pPr>
                  <w:r>
                    <w:rPr>
                      <w:sz w:val="20"/>
                      <w:szCs w:val="20"/>
                      <w:spacing w:val="3"/>
                    </w:rPr>
                    <w:t>依托</w:t>
                  </w:r>
                </w:p>
              </w:tc>
            </w:tr>
            <w:tr>
              <w:trPr>
                <w:trHeight w:val="724" w:hRule="atLeast"/>
              </w:trPr>
              <w:tc>
                <w:tcPr>
                  <w:tcW w:w="663" w:type="dxa"/>
                  <w:vAlign w:val="top"/>
                  <w:vMerge w:val="continue"/>
                  <w:tcBorders>
                    <w:bottom w:val="single" w:color="000000" w:sz="2" w:space="0"/>
                    <w:top w:val="nil"/>
                  </w:tcBorders>
                </w:tcPr>
                <w:p>
                  <w:pPr>
                    <w:rPr>
                      <w:rFonts w:ascii="Arial"/>
                      <w:sz w:val="21"/>
                    </w:rPr>
                  </w:pPr>
                  <w:r/>
                </w:p>
              </w:tc>
              <w:tc>
                <w:tcPr>
                  <w:tcW w:w="1332" w:type="dxa"/>
                  <w:vAlign w:val="top"/>
                  <w:tcBorders>
                    <w:bottom w:val="single" w:color="000000" w:sz="2" w:space="0"/>
                    <w:top w:val="single" w:color="000000" w:sz="2" w:space="0"/>
                  </w:tcBorders>
                </w:tcPr>
                <w:p>
                  <w:pPr>
                    <w:pStyle w:val="TableText"/>
                    <w:ind w:left="262"/>
                    <w:spacing w:before="111" w:line="228" w:lineRule="auto"/>
                    <w:rPr>
                      <w:sz w:val="20"/>
                      <w:szCs w:val="20"/>
                    </w:rPr>
                  </w:pPr>
                  <w:r>
                    <w:rPr>
                      <w:sz w:val="20"/>
                      <w:szCs w:val="20"/>
                      <w:spacing w:val="7"/>
                    </w:rPr>
                    <w:t>产品堆场</w:t>
                  </w:r>
                </w:p>
              </w:tc>
              <w:tc>
                <w:tcPr>
                  <w:tcW w:w="5119" w:type="dxa"/>
                  <w:vAlign w:val="top"/>
                  <w:tcBorders>
                    <w:bottom w:val="single" w:color="000000" w:sz="2" w:space="0"/>
                    <w:top w:val="single" w:color="000000" w:sz="2" w:space="0"/>
                  </w:tcBorders>
                </w:tcPr>
                <w:p>
                  <w:pPr>
                    <w:pStyle w:val="TableText"/>
                    <w:ind w:left="1150" w:right="148" w:hanging="999"/>
                    <w:spacing w:before="111" w:line="278" w:lineRule="auto"/>
                    <w:rPr>
                      <w:sz w:val="20"/>
                      <w:szCs w:val="20"/>
                    </w:rPr>
                  </w:pPr>
                  <w:r>
                    <w:rPr>
                      <w:sz w:val="20"/>
                      <w:szCs w:val="20"/>
                      <w:spacing w:val="9"/>
                    </w:rPr>
                    <w:t>依托企业已建产品堆场，与原料库采用围挡隔开，采</w:t>
                  </w:r>
                  <w:r>
                    <w:rPr>
                      <w:sz w:val="20"/>
                      <w:szCs w:val="20"/>
                      <w:spacing w:val="11"/>
                    </w:rPr>
                    <w:t xml:space="preserve"> </w:t>
                  </w:r>
                  <w:r>
                    <w:rPr>
                      <w:sz w:val="20"/>
                      <w:szCs w:val="20"/>
                      <w:spacing w:val="3"/>
                    </w:rPr>
                    <w:t>取半封闭式。</w:t>
                  </w:r>
                  <w:r>
                    <w:rPr>
                      <w:sz w:val="20"/>
                      <w:szCs w:val="20"/>
                      <w:spacing w:val="-48"/>
                    </w:rPr>
                    <w:t xml:space="preserve"> </w:t>
                  </w:r>
                  <w:r>
                    <w:rPr>
                      <w:sz w:val="20"/>
                      <w:szCs w:val="20"/>
                      <w:spacing w:val="3"/>
                    </w:rPr>
                    <w:t>占地面积</w:t>
                  </w:r>
                  <w:r>
                    <w:rPr>
                      <w:rFonts w:ascii="Times New Roman" w:hAnsi="Times New Roman" w:eastAsia="Times New Roman" w:cs="Times New Roman"/>
                      <w:sz w:val="20"/>
                      <w:szCs w:val="20"/>
                      <w:spacing w:val="3"/>
                    </w:rPr>
                    <w:t>120</w:t>
                  </w:r>
                  <w:r>
                    <w:rPr>
                      <w:sz w:val="20"/>
                      <w:szCs w:val="20"/>
                      <w:spacing w:val="3"/>
                    </w:rPr>
                    <w:t>㎡。</w:t>
                  </w:r>
                </w:p>
              </w:tc>
              <w:tc>
                <w:tcPr>
                  <w:tcW w:w="737" w:type="dxa"/>
                  <w:vAlign w:val="top"/>
                  <w:tcBorders>
                    <w:bottom w:val="single" w:color="000000" w:sz="2" w:space="0"/>
                    <w:top w:val="single" w:color="000000" w:sz="2" w:space="0"/>
                  </w:tcBorders>
                </w:tcPr>
                <w:p>
                  <w:pPr>
                    <w:pStyle w:val="TableText"/>
                    <w:ind w:left="159"/>
                    <w:spacing w:before="111" w:line="227" w:lineRule="auto"/>
                    <w:rPr>
                      <w:sz w:val="20"/>
                      <w:szCs w:val="20"/>
                    </w:rPr>
                  </w:pPr>
                  <w:r>
                    <w:rPr>
                      <w:sz w:val="20"/>
                      <w:szCs w:val="20"/>
                      <w:spacing w:val="3"/>
                    </w:rPr>
                    <w:t>依托</w:t>
                  </w:r>
                </w:p>
              </w:tc>
            </w:tr>
            <w:tr>
              <w:trPr>
                <w:trHeight w:val="365" w:hRule="atLeast"/>
              </w:trPr>
              <w:tc>
                <w:tcPr>
                  <w:tcW w:w="663" w:type="dxa"/>
                  <w:vAlign w:val="top"/>
                  <w:vMerge w:val="restart"/>
                  <w:tcBorders>
                    <w:bottom w:val="nil"/>
                    <w:top w:val="single" w:color="000000" w:sz="2" w:space="0"/>
                  </w:tcBorders>
                </w:tcPr>
                <w:p>
                  <w:pPr>
                    <w:pStyle w:val="TableText"/>
                    <w:ind w:left="133" w:right="122" w:firstLine="3"/>
                    <w:spacing w:before="112" w:line="280" w:lineRule="auto"/>
                    <w:rPr>
                      <w:sz w:val="20"/>
                      <w:szCs w:val="20"/>
                    </w:rPr>
                  </w:pPr>
                  <w:r>
                    <w:rPr>
                      <w:sz w:val="20"/>
                      <w:szCs w:val="20"/>
                      <w:spacing w:val="1"/>
                    </w:rPr>
                    <w:t>公用</w:t>
                  </w:r>
                  <w:r>
                    <w:rPr>
                      <w:sz w:val="20"/>
                      <w:szCs w:val="20"/>
                    </w:rPr>
                    <w:t xml:space="preserve"> </w:t>
                  </w:r>
                  <w:r>
                    <w:rPr>
                      <w:sz w:val="20"/>
                      <w:szCs w:val="20"/>
                      <w:spacing w:val="3"/>
                    </w:rPr>
                    <w:t>工程</w:t>
                  </w:r>
                </w:p>
              </w:tc>
              <w:tc>
                <w:tcPr>
                  <w:tcW w:w="1332" w:type="dxa"/>
                  <w:vAlign w:val="top"/>
                  <w:tcBorders>
                    <w:bottom w:val="single" w:color="000000" w:sz="2" w:space="0"/>
                    <w:top w:val="single" w:color="000000" w:sz="2" w:space="0"/>
                  </w:tcBorders>
                </w:tcPr>
                <w:p>
                  <w:pPr>
                    <w:pStyle w:val="TableText"/>
                    <w:ind w:left="262"/>
                    <w:spacing w:before="112" w:line="224" w:lineRule="auto"/>
                    <w:rPr>
                      <w:sz w:val="20"/>
                      <w:szCs w:val="20"/>
                    </w:rPr>
                  </w:pPr>
                  <w:r>
                    <w:rPr>
                      <w:sz w:val="20"/>
                      <w:szCs w:val="20"/>
                      <w:spacing w:val="7"/>
                    </w:rPr>
                    <w:t>供水系统</w:t>
                  </w:r>
                </w:p>
              </w:tc>
              <w:tc>
                <w:tcPr>
                  <w:tcW w:w="5119" w:type="dxa"/>
                  <w:vAlign w:val="top"/>
                  <w:tcBorders>
                    <w:bottom w:val="single" w:color="000000" w:sz="2" w:space="0"/>
                    <w:top w:val="single" w:color="000000" w:sz="2" w:space="0"/>
                  </w:tcBorders>
                </w:tcPr>
                <w:p>
                  <w:pPr>
                    <w:pStyle w:val="TableText"/>
                    <w:ind w:left="781"/>
                    <w:spacing w:before="112" w:line="224" w:lineRule="auto"/>
                    <w:rPr>
                      <w:sz w:val="20"/>
                      <w:szCs w:val="20"/>
                    </w:rPr>
                  </w:pPr>
                  <w:r>
                    <w:rPr>
                      <w:sz w:val="20"/>
                      <w:szCs w:val="20"/>
                      <w:spacing w:val="8"/>
                    </w:rPr>
                    <w:t>本项目无生产用水，不新增生活用水；</w:t>
                  </w:r>
                </w:p>
              </w:tc>
              <w:tc>
                <w:tcPr>
                  <w:tcW w:w="737" w:type="dxa"/>
                  <w:vAlign w:val="top"/>
                  <w:tcBorders>
                    <w:bottom w:val="single" w:color="000000" w:sz="2" w:space="0"/>
                    <w:top w:val="single" w:color="000000" w:sz="2" w:space="0"/>
                  </w:tcBorders>
                </w:tcPr>
                <w:p>
                  <w:pPr>
                    <w:ind w:left="331"/>
                    <w:spacing w:before="14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65" w:hRule="atLeast"/>
              </w:trPr>
              <w:tc>
                <w:tcPr>
                  <w:tcW w:w="663" w:type="dxa"/>
                  <w:vAlign w:val="top"/>
                  <w:vMerge w:val="continue"/>
                  <w:tcBorders>
                    <w:bottom w:val="nil"/>
                    <w:top w:val="nil"/>
                  </w:tcBorders>
                </w:tcPr>
                <w:p>
                  <w:pPr>
                    <w:rPr>
                      <w:rFonts w:ascii="Arial"/>
                      <w:sz w:val="21"/>
                    </w:rPr>
                  </w:pPr>
                  <w:r/>
                </w:p>
              </w:tc>
              <w:tc>
                <w:tcPr>
                  <w:tcW w:w="1332" w:type="dxa"/>
                  <w:vAlign w:val="top"/>
                  <w:tcBorders>
                    <w:bottom w:val="single" w:color="000000" w:sz="2" w:space="0"/>
                    <w:top w:val="single" w:color="000000" w:sz="2" w:space="0"/>
                  </w:tcBorders>
                </w:tcPr>
                <w:p>
                  <w:pPr>
                    <w:pStyle w:val="TableText"/>
                    <w:ind w:left="262"/>
                    <w:spacing w:before="114" w:line="222" w:lineRule="auto"/>
                    <w:rPr>
                      <w:sz w:val="20"/>
                      <w:szCs w:val="20"/>
                    </w:rPr>
                  </w:pPr>
                  <w:r>
                    <w:rPr>
                      <w:sz w:val="20"/>
                      <w:szCs w:val="20"/>
                      <w:spacing w:val="7"/>
                    </w:rPr>
                    <w:t>排水系统</w:t>
                  </w:r>
                </w:p>
              </w:tc>
              <w:tc>
                <w:tcPr>
                  <w:tcW w:w="5119" w:type="dxa"/>
                  <w:vAlign w:val="top"/>
                  <w:tcBorders>
                    <w:bottom w:val="single" w:color="000000" w:sz="2" w:space="0"/>
                    <w:top w:val="single" w:color="000000" w:sz="2" w:space="0"/>
                  </w:tcBorders>
                </w:tcPr>
                <w:p>
                  <w:pPr>
                    <w:pStyle w:val="TableText"/>
                    <w:ind w:left="571"/>
                    <w:spacing w:before="114" w:line="222" w:lineRule="auto"/>
                    <w:rPr>
                      <w:sz w:val="20"/>
                      <w:szCs w:val="20"/>
                    </w:rPr>
                  </w:pPr>
                  <w:r>
                    <w:rPr>
                      <w:sz w:val="20"/>
                      <w:szCs w:val="20"/>
                      <w:spacing w:val="8"/>
                    </w:rPr>
                    <w:t>生活污水：不新增员工，不新增生活污水。</w:t>
                  </w:r>
                </w:p>
              </w:tc>
              <w:tc>
                <w:tcPr>
                  <w:tcW w:w="737" w:type="dxa"/>
                  <w:vAlign w:val="top"/>
                  <w:tcBorders>
                    <w:bottom w:val="single" w:color="000000" w:sz="2" w:space="0"/>
                    <w:top w:val="single" w:color="000000" w:sz="2" w:space="0"/>
                  </w:tcBorders>
                </w:tcPr>
                <w:p>
                  <w:pPr>
                    <w:ind w:left="331"/>
                    <w:spacing w:before="14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65" w:hRule="atLeast"/>
              </w:trPr>
              <w:tc>
                <w:tcPr>
                  <w:tcW w:w="663" w:type="dxa"/>
                  <w:vAlign w:val="top"/>
                  <w:vMerge w:val="continue"/>
                  <w:tcBorders>
                    <w:bottom w:val="nil"/>
                    <w:top w:val="nil"/>
                  </w:tcBorders>
                </w:tcPr>
                <w:p>
                  <w:pPr>
                    <w:rPr>
                      <w:rFonts w:ascii="Arial"/>
                      <w:sz w:val="21"/>
                    </w:rPr>
                  </w:pPr>
                  <w:r/>
                </w:p>
              </w:tc>
              <w:tc>
                <w:tcPr>
                  <w:tcW w:w="1332" w:type="dxa"/>
                  <w:vAlign w:val="top"/>
                  <w:tcBorders>
                    <w:bottom w:val="single" w:color="000000" w:sz="2" w:space="0"/>
                    <w:top w:val="single" w:color="000000" w:sz="2" w:space="0"/>
                  </w:tcBorders>
                </w:tcPr>
                <w:p>
                  <w:pPr>
                    <w:pStyle w:val="TableText"/>
                    <w:ind w:left="262"/>
                    <w:spacing w:before="113" w:line="223" w:lineRule="auto"/>
                    <w:rPr>
                      <w:sz w:val="20"/>
                      <w:szCs w:val="20"/>
                    </w:rPr>
                  </w:pPr>
                  <w:r>
                    <w:rPr>
                      <w:sz w:val="20"/>
                      <w:szCs w:val="20"/>
                      <w:spacing w:val="7"/>
                    </w:rPr>
                    <w:t>供电系统</w:t>
                  </w:r>
                </w:p>
              </w:tc>
              <w:tc>
                <w:tcPr>
                  <w:tcW w:w="5119" w:type="dxa"/>
                  <w:vAlign w:val="top"/>
                  <w:tcBorders>
                    <w:bottom w:val="single" w:color="000000" w:sz="2" w:space="0"/>
                    <w:top w:val="single" w:color="000000" w:sz="2" w:space="0"/>
                  </w:tcBorders>
                </w:tcPr>
                <w:p>
                  <w:pPr>
                    <w:pStyle w:val="TableText"/>
                    <w:ind w:left="467"/>
                    <w:spacing w:before="113" w:line="223" w:lineRule="auto"/>
                    <w:rPr>
                      <w:sz w:val="20"/>
                      <w:szCs w:val="20"/>
                    </w:rPr>
                  </w:pPr>
                  <w:r>
                    <w:rPr>
                      <w:sz w:val="20"/>
                      <w:szCs w:val="20"/>
                      <w:spacing w:val="8"/>
                    </w:rPr>
                    <w:t>连接市政供电，电力线路从西侧的线路引入。</w:t>
                  </w:r>
                </w:p>
              </w:tc>
              <w:tc>
                <w:tcPr>
                  <w:tcW w:w="737" w:type="dxa"/>
                  <w:vAlign w:val="top"/>
                  <w:tcBorders>
                    <w:bottom w:val="single" w:color="000000" w:sz="2" w:space="0"/>
                    <w:top w:val="single" w:color="000000" w:sz="2" w:space="0"/>
                  </w:tcBorders>
                </w:tcPr>
                <w:p>
                  <w:pPr>
                    <w:pStyle w:val="TableText"/>
                    <w:ind w:left="159"/>
                    <w:spacing w:before="113" w:line="223" w:lineRule="auto"/>
                    <w:rPr>
                      <w:sz w:val="20"/>
                      <w:szCs w:val="20"/>
                    </w:rPr>
                  </w:pPr>
                  <w:r>
                    <w:rPr>
                      <w:sz w:val="20"/>
                      <w:szCs w:val="20"/>
                      <w:spacing w:val="3"/>
                    </w:rPr>
                    <w:t>依托</w:t>
                  </w:r>
                </w:p>
              </w:tc>
            </w:tr>
            <w:tr>
              <w:trPr>
                <w:trHeight w:val="729" w:hRule="atLeast"/>
              </w:trPr>
              <w:tc>
                <w:tcPr>
                  <w:tcW w:w="663" w:type="dxa"/>
                  <w:vAlign w:val="top"/>
                  <w:vMerge w:val="continue"/>
                  <w:tcBorders>
                    <w:bottom w:val="single" w:color="000000" w:sz="2" w:space="0"/>
                    <w:top w:val="nil"/>
                  </w:tcBorders>
                </w:tcPr>
                <w:p>
                  <w:pPr>
                    <w:rPr>
                      <w:rFonts w:ascii="Arial"/>
                      <w:sz w:val="21"/>
                    </w:rPr>
                  </w:pPr>
                  <w:r/>
                </w:p>
              </w:tc>
              <w:tc>
                <w:tcPr>
                  <w:tcW w:w="1332" w:type="dxa"/>
                  <w:vAlign w:val="top"/>
                  <w:tcBorders>
                    <w:bottom w:val="single" w:color="000000" w:sz="2" w:space="0"/>
                    <w:top w:val="single" w:color="000000" w:sz="2" w:space="0"/>
                  </w:tcBorders>
                </w:tcPr>
                <w:p>
                  <w:pPr>
                    <w:pStyle w:val="TableText"/>
                    <w:ind w:left="262"/>
                    <w:spacing w:before="113" w:line="227" w:lineRule="auto"/>
                    <w:rPr>
                      <w:sz w:val="20"/>
                      <w:szCs w:val="20"/>
                    </w:rPr>
                  </w:pPr>
                  <w:r>
                    <w:rPr>
                      <w:sz w:val="20"/>
                      <w:szCs w:val="20"/>
                      <w:spacing w:val="7"/>
                    </w:rPr>
                    <w:t>供热系统</w:t>
                  </w:r>
                </w:p>
              </w:tc>
              <w:tc>
                <w:tcPr>
                  <w:tcW w:w="5119" w:type="dxa"/>
                  <w:vAlign w:val="top"/>
                  <w:tcBorders>
                    <w:bottom w:val="single" w:color="000000" w:sz="2" w:space="0"/>
                    <w:top w:val="single" w:color="000000" w:sz="2" w:space="0"/>
                  </w:tcBorders>
                </w:tcPr>
                <w:p>
                  <w:pPr>
                    <w:pStyle w:val="TableText"/>
                    <w:ind w:left="2249" w:right="148" w:hanging="2100"/>
                    <w:spacing w:before="114" w:line="279" w:lineRule="auto"/>
                    <w:rPr>
                      <w:sz w:val="20"/>
                      <w:szCs w:val="20"/>
                    </w:rPr>
                  </w:pPr>
                  <w:r>
                    <w:rPr>
                      <w:sz w:val="20"/>
                      <w:szCs w:val="20"/>
                      <w:spacing w:val="9"/>
                    </w:rPr>
                    <w:t>加热机械采用电能。生产运营期员工供暖由机械散发</w:t>
                  </w:r>
                  <w:r>
                    <w:rPr>
                      <w:sz w:val="20"/>
                      <w:szCs w:val="20"/>
                      <w:spacing w:val="12"/>
                    </w:rPr>
                    <w:t xml:space="preserve"> </w:t>
                  </w:r>
                  <w:r>
                    <w:rPr>
                      <w:sz w:val="20"/>
                      <w:szCs w:val="20"/>
                      <w:spacing w:val="2"/>
                    </w:rPr>
                    <w:t>余热。</w:t>
                  </w:r>
                </w:p>
              </w:tc>
              <w:tc>
                <w:tcPr>
                  <w:tcW w:w="737" w:type="dxa"/>
                  <w:vAlign w:val="top"/>
                  <w:tcBorders>
                    <w:bottom w:val="single" w:color="000000" w:sz="2" w:space="0"/>
                    <w:top w:val="single" w:color="000000" w:sz="2" w:space="0"/>
                  </w:tcBorders>
                </w:tcPr>
                <w:p>
                  <w:pPr>
                    <w:pStyle w:val="TableText"/>
                    <w:ind w:left="158"/>
                    <w:spacing w:before="113" w:line="228" w:lineRule="auto"/>
                    <w:rPr>
                      <w:sz w:val="20"/>
                      <w:szCs w:val="20"/>
                    </w:rPr>
                  </w:pPr>
                  <w:r>
                    <w:rPr>
                      <w:sz w:val="20"/>
                      <w:szCs w:val="20"/>
                      <w:spacing w:val="4"/>
                    </w:rPr>
                    <w:t>新建</w:t>
                  </w:r>
                </w:p>
              </w:tc>
            </w:tr>
          </w:tbl>
          <w:p>
            <w:pPr>
              <w:pStyle w:val="TableText"/>
              <w:ind w:left="240"/>
              <w:spacing w:before="108" w:line="228" w:lineRule="auto"/>
              <w:rPr>
                <w:sz w:val="20"/>
                <w:szCs w:val="20"/>
              </w:rPr>
            </w:pPr>
            <w:r>
              <w:pict>
                <v:shape id="_x0000_s76" style="position:absolute;margin-left:368.048pt;margin-top:4.40365pt;mso-position-vertical-relative:text;mso-position-horizontal-relative:text;width:22.45pt;height:14.4pt;z-index:253172736;" filled="false" stroked="false" type="#_x0000_t202">
                  <v:fill on="false"/>
                  <v:stroke on="false"/>
                  <v:path/>
                  <v:imagedata o:title=""/>
                  <o:lock v:ext="edit" aspectratio="false"/>
                  <v:textbox inset="0mm,0mm,0mm,0mm">
                    <w:txbxContent>
                      <w:p>
                        <w:pPr>
                          <w:pStyle w:val="TableText"/>
                          <w:ind w:left="20"/>
                          <w:spacing w:before="20" w:line="228" w:lineRule="auto"/>
                          <w:rPr>
                            <w:sz w:val="20"/>
                            <w:szCs w:val="20"/>
                          </w:rPr>
                        </w:pPr>
                        <w:r>
                          <w:rPr>
                            <w:sz w:val="20"/>
                            <w:szCs w:val="20"/>
                            <w:spacing w:val="4"/>
                          </w:rPr>
                          <w:t>新建</w:t>
                        </w:r>
                      </w:p>
                    </w:txbxContent>
                  </v:textbox>
                </v:shape>
              </w:pict>
            </w:r>
            <w:r>
              <w:rPr>
                <w:sz w:val="20"/>
                <w:szCs w:val="20"/>
                <w:spacing w:val="9"/>
              </w:rPr>
              <w:t>环保</w:t>
            </w:r>
            <w:r>
              <w:rPr>
                <w:sz w:val="20"/>
                <w:szCs w:val="20"/>
                <w:spacing w:val="28"/>
              </w:rPr>
              <w:t xml:space="preserve">   </w:t>
            </w:r>
            <w:r>
              <w:rPr>
                <w:sz w:val="20"/>
                <w:szCs w:val="20"/>
                <w:spacing w:val="9"/>
              </w:rPr>
              <w:t>废气治理</w:t>
            </w:r>
            <w:r>
              <w:rPr>
                <w:sz w:val="20"/>
                <w:szCs w:val="20"/>
                <w:spacing w:val="30"/>
              </w:rPr>
              <w:t xml:space="preserve">   </w:t>
            </w:r>
            <w:r>
              <w:rPr>
                <w:sz w:val="20"/>
                <w:szCs w:val="20"/>
                <w:spacing w:val="9"/>
              </w:rPr>
              <w:t>地膜生产线废气：</w:t>
            </w:r>
            <w:r>
              <w:rPr>
                <w:rFonts w:ascii="Times New Roman" w:hAnsi="Times New Roman" w:eastAsia="Times New Roman" w:cs="Times New Roman"/>
                <w:sz w:val="20"/>
                <w:szCs w:val="20"/>
                <w:spacing w:val="9"/>
              </w:rPr>
              <w:t>2</w:t>
            </w:r>
            <w:r>
              <w:rPr>
                <w:sz w:val="20"/>
                <w:szCs w:val="20"/>
                <w:spacing w:val="9"/>
              </w:rPr>
              <w:t>条地膜生</w:t>
            </w:r>
            <w:r>
              <w:rPr>
                <w:sz w:val="20"/>
                <w:szCs w:val="20"/>
                <w:spacing w:val="8"/>
              </w:rPr>
              <w:t>产线共用</w:t>
            </w:r>
            <w:r>
              <w:rPr>
                <w:rFonts w:ascii="Times New Roman" w:hAnsi="Times New Roman" w:eastAsia="Times New Roman" w:cs="Times New Roman"/>
                <w:sz w:val="20"/>
                <w:szCs w:val="20"/>
                <w:spacing w:val="8"/>
              </w:rPr>
              <w:t>1</w:t>
            </w:r>
            <w:r>
              <w:rPr>
                <w:sz w:val="20"/>
                <w:szCs w:val="20"/>
                <w:spacing w:val="8"/>
              </w:rPr>
              <w:t>套废气处理设</w:t>
            </w:r>
          </w:p>
          <w:p>
            <w:pPr>
              <w:pStyle w:val="TableText"/>
              <w:ind w:left="242"/>
              <w:spacing w:before="113" w:line="228" w:lineRule="auto"/>
              <w:rPr>
                <w:sz w:val="20"/>
                <w:szCs w:val="20"/>
              </w:rPr>
            </w:pPr>
            <w:r>
              <w:rPr>
                <w:sz w:val="20"/>
                <w:szCs w:val="20"/>
                <w:spacing w:val="8"/>
              </w:rPr>
              <w:t>工程               施，主要产生废气工段顶部设置集气罩，废气负压收</w:t>
            </w:r>
          </w:p>
          <w:p>
            <w:pPr>
              <w:pStyle w:val="TableText"/>
              <w:ind w:left="3870" w:right="1033" w:hanging="1569"/>
              <w:spacing w:before="112" w:line="279" w:lineRule="auto"/>
              <w:rPr>
                <w:sz w:val="20"/>
                <w:szCs w:val="20"/>
              </w:rPr>
            </w:pPr>
            <w:r>
              <w:rPr>
                <w:sz w:val="20"/>
                <w:szCs w:val="20"/>
                <w:spacing w:val="9"/>
              </w:rPr>
              <w:t>集后，经活性炭吸附</w:t>
            </w:r>
            <w:r>
              <w:rPr>
                <w:rFonts w:ascii="Times New Roman" w:hAnsi="Times New Roman" w:eastAsia="Times New Roman" w:cs="Times New Roman"/>
                <w:sz w:val="20"/>
                <w:szCs w:val="20"/>
                <w:spacing w:val="9"/>
              </w:rPr>
              <w:t>+</w:t>
            </w:r>
            <w:r>
              <w:rPr>
                <w:sz w:val="20"/>
                <w:szCs w:val="20"/>
                <w:spacing w:val="9"/>
              </w:rPr>
              <w:t>直接催化燃烧法处理，最终经</w:t>
            </w:r>
            <w:r>
              <w:rPr>
                <w:sz w:val="20"/>
                <w:szCs w:val="20"/>
                <w:spacing w:val="6"/>
              </w:rPr>
              <w:t xml:space="preserve"> </w:t>
            </w:r>
            <w:r>
              <w:rPr>
                <w:rFonts w:ascii="Times New Roman" w:hAnsi="Times New Roman" w:eastAsia="Times New Roman" w:cs="Times New Roman"/>
                <w:sz w:val="20"/>
                <w:szCs w:val="20"/>
                <w:spacing w:val="5"/>
              </w:rPr>
              <w:t>15m</w:t>
            </w:r>
            <w:r>
              <w:rPr>
                <w:sz w:val="20"/>
                <w:szCs w:val="20"/>
                <w:spacing w:val="5"/>
              </w:rPr>
              <w:t>高排气筒排放</w:t>
            </w:r>
          </w:p>
        </w:tc>
      </w:tr>
    </w:tbl>
    <w:p>
      <w:pPr>
        <w:pStyle w:val="BodyText"/>
        <w:rPr/>
      </w:pPr>
      <w:r/>
    </w:p>
    <w:p>
      <w:pPr>
        <w:sectPr>
          <w:footerReference w:type="default" r:id="rId156"/>
          <w:pgSz w:w="11906" w:h="16839"/>
          <w:pgMar w:top="400" w:right="1687" w:bottom="1211" w:left="1687" w:header="0" w:footer="1049" w:gutter="0"/>
        </w:sectPr>
        <w:rPr/>
      </w:pPr>
    </w:p>
    <w:p>
      <w:pPr>
        <w:pStyle w:val="BodyText"/>
        <w:spacing w:line="281" w:lineRule="auto"/>
        <w:rPr/>
      </w:pPr>
      <w:r/>
    </w:p>
    <w:p>
      <w:pPr>
        <w:pStyle w:val="BodyText"/>
        <w:spacing w:line="281" w:lineRule="auto"/>
        <w:rPr/>
      </w:pPr>
      <w:r/>
    </w:p>
    <w:p>
      <w:pPr>
        <w:pStyle w:val="BodyText"/>
        <w:spacing w:line="281" w:lineRule="auto"/>
        <w:rPr/>
      </w:pPr>
      <w:r/>
    </w:p>
    <w:p>
      <w:pPr>
        <w:pStyle w:val="BodyText"/>
        <w:spacing w:line="281" w:lineRule="auto"/>
        <w:rPr/>
      </w:pPr>
      <w:r/>
    </w:p>
    <w:p>
      <w:pPr>
        <w:pStyle w:val="BodyText"/>
        <w:spacing w:line="281" w:lineRule="auto"/>
        <w:rPr/>
      </w:pPr>
      <w:r/>
    </w:p>
    <w:p>
      <w:pPr>
        <w:ind w:firstLine="13360"/>
        <w:spacing w:line="1020" w:lineRule="exact"/>
        <w:rPr/>
      </w:pPr>
      <w:r>
        <w:rPr>
          <w:position w:val="-20"/>
        </w:rPr>
        <w:drawing>
          <wp:inline distT="0" distB="0" distL="0" distR="0">
            <wp:extent cx="667511" cy="647700"/>
            <wp:effectExtent l="0" t="0" r="0" b="0"/>
            <wp:docPr id="138" name="IM 138"/>
            <wp:cNvGraphicFramePr/>
            <a:graphic>
              <a:graphicData uri="http://schemas.openxmlformats.org/drawingml/2006/picture">
                <pic:pic>
                  <pic:nvPicPr>
                    <pic:cNvPr id="138" name="IM 138"/>
                    <pic:cNvPicPr/>
                  </pic:nvPicPr>
                  <pic:blipFill>
                    <a:blip r:embed="rId159"/>
                    <a:stretch>
                      <a:fillRect/>
                    </a:stretch>
                  </pic:blipFill>
                  <pic:spPr>
                    <a:xfrm rot="0">
                      <a:off x="0" y="0"/>
                      <a:ext cx="667511" cy="647700"/>
                    </a:xfrm>
                    <a:prstGeom prst="rect">
                      <a:avLst/>
                    </a:prstGeom>
                  </pic:spPr>
                </pic:pic>
              </a:graphicData>
            </a:graphic>
          </wp:inline>
        </w:drawing>
      </w:r>
    </w:p>
    <w:p>
      <w:pPr>
        <w:pStyle w:val="BodyText"/>
        <w:spacing w:line="262" w:lineRule="auto"/>
        <w:rPr/>
      </w:pPr>
      <w:r/>
    </w:p>
    <w:p>
      <w:pPr>
        <w:pStyle w:val="BodyText"/>
        <w:spacing w:line="262" w:lineRule="auto"/>
        <w:rPr/>
      </w:pPr>
      <w:r/>
    </w:p>
    <w:p>
      <w:pPr>
        <w:pStyle w:val="BodyText"/>
        <w:spacing w:line="262" w:lineRule="auto"/>
        <w:rPr/>
      </w:pPr>
      <w:r/>
    </w:p>
    <w:p>
      <w:pPr>
        <w:pStyle w:val="BodyText"/>
        <w:spacing w:line="262" w:lineRule="auto"/>
        <w:rPr/>
      </w:pPr>
      <w:r/>
    </w:p>
    <w:p>
      <w:pPr>
        <w:pStyle w:val="BodyText"/>
        <w:spacing w:line="263" w:lineRule="auto"/>
        <w:rPr/>
      </w:pPr>
      <w:r/>
    </w:p>
    <w:p>
      <w:pPr>
        <w:pStyle w:val="BodyText"/>
        <w:spacing w:line="263" w:lineRule="auto"/>
        <w:rPr/>
      </w:pPr>
      <w:r/>
    </w:p>
    <w:p>
      <w:pPr>
        <w:pStyle w:val="BodyText"/>
        <w:spacing w:line="263" w:lineRule="auto"/>
        <w:rPr/>
      </w:pPr>
      <w:r/>
    </w:p>
    <w:p>
      <w:pPr>
        <w:pStyle w:val="BodyText"/>
        <w:spacing w:line="263" w:lineRule="auto"/>
        <w:rPr/>
      </w:pPr>
      <w:r/>
    </w:p>
    <w:p>
      <w:pPr>
        <w:pStyle w:val="BodyText"/>
        <w:spacing w:line="263" w:lineRule="auto"/>
        <w:rPr/>
      </w:pPr>
      <w:r/>
    </w:p>
    <w:p>
      <w:pPr>
        <w:ind w:left="4304"/>
        <w:spacing w:before="78" w:line="220" w:lineRule="auto"/>
        <w:rPr>
          <w:rFonts w:ascii="SimSun" w:hAnsi="SimSun" w:eastAsia="SimSun" w:cs="SimSun"/>
          <w:sz w:val="24"/>
          <w:szCs w:val="24"/>
        </w:rPr>
      </w:pPr>
      <w:r>
        <w:rPr>
          <w:rFonts w:ascii="SimSun" w:hAnsi="SimSun" w:eastAsia="SimSun" w:cs="SimSun"/>
          <w:sz w:val="24"/>
          <w:szCs w:val="24"/>
          <w:color w:val="FF0000"/>
          <w14:textOutline w14:w="4358" w14:cap="sq" w14:cmpd="sng">
            <w14:solidFill>
              <w14:srgbClr w14:val="FF0000"/>
            </w14:solidFill>
            <w14:prstDash w14:val="solid"/>
            <w14:bevel/>
          </w14:textOutline>
          <w:spacing w:val="-2"/>
        </w:rPr>
        <w:t>项目所在地</w:t>
      </w:r>
    </w:p>
    <w:p>
      <w:pPr>
        <w:pStyle w:val="BodyText"/>
        <w:spacing w:line="248"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ind w:left="6342"/>
        <w:spacing w:before="78" w:line="220"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6"/>
        </w:rPr>
        <w:t>图</w:t>
      </w:r>
      <w:r>
        <w:rPr>
          <w:rFonts w:ascii="SimSun" w:hAnsi="SimSun" w:eastAsia="SimSun" w:cs="SimSun"/>
          <w:sz w:val="24"/>
          <w:szCs w:val="24"/>
          <w:spacing w:val="-49"/>
        </w:rPr>
        <w:t xml:space="preserve"> </w:t>
      </w:r>
      <w:r>
        <w:rPr>
          <w:rFonts w:ascii="Calibri" w:hAnsi="Calibri" w:eastAsia="Calibri" w:cs="Calibri"/>
          <w:sz w:val="24"/>
          <w:szCs w:val="24"/>
          <w:b/>
          <w:bCs/>
          <w:spacing w:val="-6"/>
        </w:rPr>
        <w:t>3</w:t>
      </w:r>
      <w:r>
        <w:rPr>
          <w:rFonts w:ascii="Calibri" w:hAnsi="Calibri" w:eastAsia="Calibri" w:cs="Calibri"/>
          <w:sz w:val="24"/>
          <w:szCs w:val="24"/>
          <w:b/>
          <w:bCs/>
          <w:spacing w:val="9"/>
        </w:rPr>
        <w:t xml:space="preserve">    </w:t>
      </w:r>
      <w:r>
        <w:rPr>
          <w:rFonts w:ascii="SimSun" w:hAnsi="SimSun" w:eastAsia="SimSun" w:cs="SimSun"/>
          <w:sz w:val="24"/>
          <w:szCs w:val="24"/>
          <w14:textOutline w14:w="4358" w14:cap="sq" w14:cmpd="sng">
            <w14:solidFill>
              <w14:srgbClr w14:val="000000"/>
            </w14:solidFill>
            <w14:prstDash w14:val="solid"/>
            <w14:bevel/>
          </w14:textOutline>
          <w:spacing w:val="-6"/>
        </w:rPr>
        <w:t>项目地理位置图</w:t>
      </w:r>
    </w:p>
    <w:p>
      <w:pPr>
        <w:spacing w:line="220" w:lineRule="auto"/>
        <w:sectPr>
          <w:headerReference w:type="default" r:id="rId158"/>
          <w:footerReference w:type="default" r:id="rId16"/>
          <w:pgSz w:w="16839" w:h="11906"/>
          <w:pgMar w:top="400" w:right="1072" w:bottom="400" w:left="945" w:header="0" w:footer="0" w:gutter="0"/>
        </w:sectPr>
        <w:rPr>
          <w:rFonts w:ascii="SimSun" w:hAnsi="SimSun" w:eastAsia="SimSun" w:cs="SimSun"/>
          <w:sz w:val="24"/>
          <w:szCs w:val="24"/>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59"/>
        <w:gridCol w:w="8067"/>
      </w:tblGrid>
      <w:tr>
        <w:trPr>
          <w:trHeight w:val="13887" w:hRule="atLeast"/>
        </w:trPr>
        <w:tc>
          <w:tcPr>
            <w:tcW w:w="459" w:type="dxa"/>
            <w:vAlign w:val="top"/>
          </w:tcPr>
          <w:p>
            <w:pPr>
              <w:rPr>
                <w:rFonts w:ascii="Arial"/>
                <w:sz w:val="21"/>
              </w:rPr>
            </w:pPr>
            <w:r/>
          </w:p>
        </w:tc>
        <w:tc>
          <w:tcPr>
            <w:tcW w:w="8067" w:type="dxa"/>
            <w:vAlign w:val="top"/>
          </w:tcPr>
          <w:p>
            <w:pPr>
              <w:pStyle w:val="TableText"/>
              <w:ind w:left="772"/>
              <w:spacing w:before="143" w:line="341" w:lineRule="auto"/>
              <w:tabs>
                <w:tab w:val="left" w:pos="1044"/>
              </w:tabs>
              <w:rPr>
                <w:sz w:val="20"/>
                <w:szCs w:val="20"/>
              </w:rPr>
            </w:pPr>
            <w:r>
              <w:pict>
                <v:shape id="_x0000_s78" style="position:absolute;margin-left:37.6pt;margin-top:0.699149pt;mso-position-vertical-relative:text;mso-position-horizontal-relative:text;width:324pt;height:111.1pt;z-index:253220864;" filled="false" stroked="false" type="#_x0000_t202">
                  <v:fill on="false"/>
                  <v:stroke on="false"/>
                  <v:path/>
                  <v:imagedata o:title=""/>
                  <o:lock v:ext="edit" aspectratio="false"/>
                  <v:textbox inset="0mm,0mm,0mm,0mm">
                    <w:txbxContent>
                      <w:p>
                        <w:pPr>
                          <w:spacing w:line="20" w:lineRule="exact"/>
                          <w:rPr/>
                        </w:pPr>
                        <w:r/>
                      </w:p>
                      <w:tbl>
                        <w:tblPr>
                          <w:tblStyle w:val="TableNormal"/>
                          <w:tblW w:w="6434" w:type="dxa"/>
                          <w:tblInd w:w="2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44"/>
                          <w:gridCol w:w="5090"/>
                        </w:tblGrid>
                        <w:tr>
                          <w:trPr>
                            <w:trHeight w:val="2181" w:hRule="atLeast"/>
                          </w:trPr>
                          <w:tc>
                            <w:tcPr>
                              <w:tcW w:w="1344" w:type="dxa"/>
                              <w:vAlign w:val="top"/>
                              <w:tcBorders>
                                <w:bottom w:val="nil"/>
                                <w:top w:val="nil"/>
                              </w:tcBorders>
                            </w:tcPr>
                            <w:p>
                              <w:pPr>
                                <w:rPr>
                                  <w:rFonts w:ascii="Arial"/>
                                  <w:sz w:val="21"/>
                                </w:rPr>
                              </w:pPr>
                              <w:r/>
                            </w:p>
                          </w:tc>
                          <w:tc>
                            <w:tcPr>
                              <w:tcW w:w="5090" w:type="dxa"/>
                              <w:vAlign w:val="top"/>
                              <w:tcBorders>
                                <w:bottom w:val="nil"/>
                                <w:top w:val="nil"/>
                              </w:tcBorders>
                            </w:tcPr>
                            <w:p>
                              <w:pPr>
                                <w:rPr>
                                  <w:rFonts w:ascii="Arial"/>
                                  <w:sz w:val="21"/>
                                </w:rPr>
                              </w:pPr>
                              <w:r/>
                            </w:p>
                          </w:tc>
                        </w:tr>
                      </w:tbl>
                      <w:p>
                        <w:pPr>
                          <w:rPr>
                            <w:rFonts w:ascii="Arial"/>
                            <w:sz w:val="21"/>
                          </w:rPr>
                        </w:pPr>
                        <w:r/>
                      </w:p>
                    </w:txbxContent>
                  </v:textbox>
                </v:shape>
              </w:pict>
            </w:r>
            <w:r>
              <w:rPr>
                <w:sz w:val="20"/>
                <w:szCs w:val="20"/>
                <w:u w:val="single" w:color="auto"/>
              </w:rPr>
              <w:tab/>
            </w:r>
            <w:r>
              <w:rPr>
                <w:sz w:val="20"/>
                <w:szCs w:val="20"/>
                <w:u w:val="single" w:color="auto"/>
                <w:spacing w:val="8"/>
              </w:rPr>
              <w:t>噪声治理</w:t>
            </w:r>
            <w:r>
              <w:rPr>
                <w:sz w:val="20"/>
                <w:szCs w:val="20"/>
                <w:u w:val="single" w:color="auto"/>
                <w:spacing w:val="23"/>
              </w:rPr>
              <w:t xml:space="preserve">    </w:t>
            </w:r>
            <w:r>
              <w:rPr>
                <w:sz w:val="20"/>
                <w:szCs w:val="20"/>
                <w:u w:val="single" w:color="auto"/>
                <w:spacing w:val="8"/>
              </w:rPr>
              <w:t>选用低噪声设备，产生噪声设备加装隔声减震垫。</w:t>
            </w:r>
            <w:r>
              <w:rPr>
                <w:sz w:val="20"/>
                <w:szCs w:val="20"/>
                <w:u w:val="single" w:color="auto"/>
                <w:spacing w:val="7"/>
              </w:rPr>
              <w:t xml:space="preserve">    新建</w:t>
            </w:r>
            <w:r>
              <w:rPr>
                <w:sz w:val="20"/>
                <w:szCs w:val="20"/>
                <w:u w:val="single" w:color="auto"/>
                <w:spacing w:val="1"/>
              </w:rPr>
              <w:t xml:space="preserve">  </w:t>
            </w:r>
          </w:p>
          <w:p>
            <w:pPr>
              <w:pStyle w:val="TableText"/>
              <w:ind w:left="1052"/>
              <w:spacing w:line="227" w:lineRule="auto"/>
              <w:rPr>
                <w:sz w:val="20"/>
                <w:szCs w:val="20"/>
              </w:rPr>
            </w:pPr>
            <w:r>
              <w:rPr>
                <w:sz w:val="20"/>
                <w:szCs w:val="20"/>
                <w:spacing w:val="8"/>
              </w:rPr>
              <w:t>固废处置</w:t>
            </w:r>
            <w:r>
              <w:rPr>
                <w:sz w:val="20"/>
                <w:szCs w:val="20"/>
                <w:spacing w:val="32"/>
              </w:rPr>
              <w:t xml:space="preserve">   </w:t>
            </w:r>
            <w:r>
              <w:rPr>
                <w:sz w:val="20"/>
                <w:szCs w:val="20"/>
                <w:spacing w:val="8"/>
              </w:rPr>
              <w:t>一般固废：不合格品集中收集，回用生产；废弃包装</w:t>
            </w:r>
            <w:r>
              <w:rPr>
                <w:sz w:val="20"/>
                <w:szCs w:val="20"/>
                <w:spacing w:val="2"/>
              </w:rPr>
              <w:t xml:space="preserve">   </w:t>
            </w:r>
            <w:r>
              <w:rPr>
                <w:sz w:val="20"/>
                <w:szCs w:val="20"/>
                <w:spacing w:val="8"/>
              </w:rPr>
              <w:t>新建</w:t>
            </w:r>
          </w:p>
          <w:p>
            <w:pPr>
              <w:pStyle w:val="TableText"/>
              <w:ind w:left="2112"/>
              <w:spacing w:before="113" w:line="343" w:lineRule="auto"/>
              <w:tabs>
                <w:tab w:val="left" w:pos="3303"/>
              </w:tabs>
              <w:rPr>
                <w:sz w:val="20"/>
                <w:szCs w:val="20"/>
              </w:rPr>
            </w:pPr>
            <w:r>
              <w:rPr>
                <w:sz w:val="20"/>
                <w:szCs w:val="20"/>
                <w:u w:val="single" w:color="auto"/>
              </w:rPr>
              <w:tab/>
            </w:r>
            <w:r>
              <w:rPr>
                <w:sz w:val="20"/>
                <w:szCs w:val="20"/>
                <w:u w:val="single" w:color="auto"/>
                <w:spacing w:val="8"/>
              </w:rPr>
              <w:t>集中收集后，外售回收单位。</w:t>
            </w:r>
            <w:r>
              <w:rPr>
                <w:sz w:val="20"/>
                <w:szCs w:val="20"/>
                <w:u w:val="single" w:color="auto"/>
              </w:rPr>
              <w:t xml:space="preserve">                    </w:t>
            </w:r>
          </w:p>
          <w:p>
            <w:pPr>
              <w:pStyle w:val="TableText"/>
              <w:ind w:left="2256"/>
              <w:spacing w:line="226" w:lineRule="auto"/>
              <w:rPr>
                <w:sz w:val="20"/>
                <w:szCs w:val="20"/>
              </w:rPr>
            </w:pPr>
            <w:r>
              <w:rPr>
                <w:sz w:val="20"/>
                <w:szCs w:val="20"/>
                <w:spacing w:val="9"/>
              </w:rPr>
              <w:t>危险废物：废气处理产生的废催化剂、废活性炭，空</w:t>
            </w:r>
            <w:r>
              <w:rPr>
                <w:sz w:val="20"/>
                <w:szCs w:val="20"/>
                <w:spacing w:val="2"/>
              </w:rPr>
              <w:t xml:space="preserve">   </w:t>
            </w:r>
            <w:r>
              <w:rPr>
                <w:sz w:val="20"/>
                <w:szCs w:val="20"/>
                <w:spacing w:val="9"/>
              </w:rPr>
              <w:t>依托</w:t>
            </w:r>
          </w:p>
          <w:p>
            <w:pPr>
              <w:pStyle w:val="TableText"/>
              <w:ind w:left="2309"/>
              <w:spacing w:before="114" w:line="227" w:lineRule="auto"/>
              <w:rPr>
                <w:sz w:val="20"/>
                <w:szCs w:val="20"/>
              </w:rPr>
            </w:pPr>
            <w:r>
              <w:rPr>
                <w:sz w:val="20"/>
                <w:szCs w:val="20"/>
                <w:spacing w:val="8"/>
              </w:rPr>
              <w:t>压机产生的废机油收集暂存在厂区已建</w:t>
            </w:r>
            <w:r>
              <w:rPr>
                <w:rFonts w:ascii="Times New Roman" w:hAnsi="Times New Roman" w:eastAsia="Times New Roman" w:cs="Times New Roman"/>
                <w:sz w:val="20"/>
                <w:szCs w:val="20"/>
                <w:spacing w:val="8"/>
              </w:rPr>
              <w:t>1</w:t>
            </w:r>
            <w:r>
              <w:rPr>
                <w:sz w:val="20"/>
                <w:szCs w:val="20"/>
                <w:spacing w:val="8"/>
              </w:rPr>
              <w:t>座</w:t>
            </w:r>
            <w:r>
              <w:rPr>
                <w:rFonts w:ascii="Times New Roman" w:hAnsi="Times New Roman" w:eastAsia="Times New Roman" w:cs="Times New Roman"/>
                <w:sz w:val="20"/>
                <w:szCs w:val="20"/>
                <w:spacing w:val="8"/>
              </w:rPr>
              <w:t>15</w:t>
            </w:r>
            <w:r>
              <w:rPr>
                <w:sz w:val="20"/>
                <w:szCs w:val="20"/>
                <w:spacing w:val="8"/>
              </w:rPr>
              <w:t>㎡危废</w:t>
            </w:r>
          </w:p>
          <w:p>
            <w:pPr>
              <w:pStyle w:val="TableText"/>
              <w:ind w:left="108"/>
              <w:spacing w:before="114" w:line="228" w:lineRule="auto"/>
              <w:tabs>
                <w:tab w:val="left" w:pos="2997"/>
              </w:tabs>
              <w:rPr>
                <w:sz w:val="20"/>
                <w:szCs w:val="20"/>
              </w:rPr>
            </w:pPr>
            <w:r>
              <w:rPr>
                <w:sz w:val="20"/>
                <w:szCs w:val="20"/>
                <w:u w:val="single" w:color="auto"/>
              </w:rPr>
              <w:tab/>
            </w:r>
            <w:r>
              <w:rPr>
                <w:sz w:val="20"/>
                <w:szCs w:val="20"/>
                <w:u w:val="single" w:color="auto"/>
                <w:spacing w:val="5"/>
              </w:rPr>
              <w:t>暂存间，定期交由有资质单位处置。                </w:t>
            </w:r>
          </w:p>
          <w:p>
            <w:pPr>
              <w:pStyle w:val="TableText"/>
              <w:ind w:left="111"/>
              <w:spacing w:before="193" w:line="219" w:lineRule="auto"/>
              <w:outlineLvl w:val="1"/>
              <w:rPr>
                <w:sz w:val="28"/>
                <w:szCs w:val="28"/>
              </w:rPr>
            </w:pPr>
            <w:r>
              <w:rPr>
                <w:rFonts w:ascii="Times New Roman" w:hAnsi="Times New Roman" w:eastAsia="Times New Roman" w:cs="Times New Roman"/>
                <w:sz w:val="28"/>
                <w:szCs w:val="28"/>
                <w:b/>
                <w:bCs/>
              </w:rPr>
              <w:t>2.4</w:t>
            </w:r>
            <w:r>
              <w:rPr>
                <w:sz w:val="28"/>
                <w:szCs w:val="28"/>
                <w14:textOutline w14:w="5103" w14:cap="sq" w14:cmpd="sng">
                  <w14:solidFill>
                    <w14:srgbClr w14:val="000000"/>
                  </w14:solidFill>
                  <w14:prstDash w14:val="solid"/>
                  <w14:bevel/>
                </w14:textOutline>
              </w:rPr>
              <w:t>原辅材料、产品方案</w:t>
            </w:r>
          </w:p>
          <w:p>
            <w:pPr>
              <w:pStyle w:val="TableText"/>
              <w:ind w:left="605"/>
              <w:spacing w:before="202" w:line="219" w:lineRule="auto"/>
              <w:rPr/>
            </w:pPr>
            <w:r>
              <w:rPr>
                <w:spacing w:val="-3"/>
              </w:rPr>
              <w:t>（</w:t>
            </w:r>
            <w:r>
              <w:rPr>
                <w:rFonts w:ascii="Times New Roman" w:hAnsi="Times New Roman" w:eastAsia="Times New Roman" w:cs="Times New Roman"/>
                <w:spacing w:val="-3"/>
              </w:rPr>
              <w:t>1</w:t>
            </w:r>
            <w:r>
              <w:rPr>
                <w:spacing w:val="-3"/>
              </w:rPr>
              <w:t>）原辅材料</w:t>
            </w:r>
          </w:p>
          <w:p>
            <w:pPr>
              <w:pStyle w:val="TableText"/>
              <w:ind w:left="597"/>
              <w:spacing w:before="265" w:line="219" w:lineRule="auto"/>
              <w:rPr/>
            </w:pPr>
            <w:r>
              <w:rPr>
                <w:spacing w:val="-2"/>
              </w:rPr>
              <w:t>建设项目主要原辅材料及燃料用量见表</w:t>
            </w:r>
            <w:r>
              <w:rPr>
                <w:rFonts w:ascii="Times New Roman" w:hAnsi="Times New Roman" w:eastAsia="Times New Roman" w:cs="Times New Roman"/>
                <w:spacing w:val="-2"/>
              </w:rPr>
              <w:t>2.4-</w:t>
            </w:r>
            <w:r>
              <w:rPr>
                <w:rFonts w:ascii="Times New Roman" w:hAnsi="Times New Roman" w:eastAsia="Times New Roman" w:cs="Times New Roman"/>
                <w:spacing w:val="-28"/>
              </w:rPr>
              <w:t xml:space="preserve"> </w:t>
            </w:r>
            <w:r>
              <w:rPr>
                <w:rFonts w:ascii="Times New Roman" w:hAnsi="Times New Roman" w:eastAsia="Times New Roman" w:cs="Times New Roman"/>
                <w:spacing w:val="-2"/>
              </w:rPr>
              <w:t>1</w:t>
            </w:r>
            <w:r>
              <w:rPr>
                <w:spacing w:val="-2"/>
              </w:rPr>
              <w:t>。</w:t>
            </w:r>
          </w:p>
          <w:p>
            <w:pPr>
              <w:pStyle w:val="TableText"/>
              <w:ind w:left="2762"/>
              <w:spacing w:before="226" w:line="219" w:lineRule="auto"/>
              <w:rPr/>
            </w:pPr>
            <w:r>
              <w:rPr>
                <w14:textOutline w14:w="4358" w14:cap="sq" w14:cmpd="sng">
                  <w14:solidFill>
                    <w14:srgbClr w14:val="000000"/>
                  </w14:solidFill>
                  <w14:prstDash w14:val="solid"/>
                  <w14:bevel/>
                </w14:textOutline>
              </w:rPr>
              <w:t>表</w:t>
            </w:r>
            <w:r>
              <w:rPr>
                <w:rFonts w:ascii="Times New Roman" w:hAnsi="Times New Roman" w:eastAsia="Times New Roman" w:cs="Times New Roman"/>
                <w:b/>
                <w:bCs/>
              </w:rPr>
              <w:t>2.4-1  </w:t>
            </w:r>
            <w:r>
              <w:rPr>
                <w14:textOutline w14:w="4358" w14:cap="sq" w14:cmpd="sng">
                  <w14:solidFill>
                    <w14:srgbClr w14:val="000000"/>
                  </w14:solidFill>
                  <w14:prstDash w14:val="solid"/>
                  <w14:bevel/>
                </w14:textOutline>
              </w:rPr>
              <w:t>主要原辅材料及燃料</w:t>
            </w:r>
          </w:p>
          <w:p>
            <w:pPr>
              <w:spacing w:line="22" w:lineRule="exact"/>
              <w:rPr/>
            </w:pPr>
            <w:r/>
          </w:p>
          <w:tbl>
            <w:tblPr>
              <w:tblStyle w:val="TableNormal"/>
              <w:tblW w:w="7845" w:type="dxa"/>
              <w:tblInd w:w="10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68"/>
              <w:gridCol w:w="1811"/>
              <w:gridCol w:w="1687"/>
              <w:gridCol w:w="1238"/>
              <w:gridCol w:w="2441"/>
            </w:tblGrid>
            <w:tr>
              <w:trPr>
                <w:trHeight w:val="364" w:hRule="atLeast"/>
              </w:trPr>
              <w:tc>
                <w:tcPr>
                  <w:tcW w:w="668" w:type="dxa"/>
                  <w:vAlign w:val="top"/>
                  <w:tcBorders>
                    <w:left w:val="nil"/>
                    <w:top w:val="single" w:color="000000" w:sz="10" w:space="0"/>
                  </w:tcBorders>
                </w:tcPr>
                <w:p>
                  <w:pPr>
                    <w:pStyle w:val="TableText"/>
                    <w:ind w:left="130"/>
                    <w:spacing w:before="113" w:line="222" w:lineRule="auto"/>
                    <w:rPr>
                      <w:sz w:val="20"/>
                      <w:szCs w:val="20"/>
                    </w:rPr>
                  </w:pPr>
                  <w:r>
                    <w:rPr>
                      <w:sz w:val="20"/>
                      <w:szCs w:val="20"/>
                      <w:spacing w:val="5"/>
                    </w:rPr>
                    <w:t>序号</w:t>
                  </w:r>
                </w:p>
              </w:tc>
              <w:tc>
                <w:tcPr>
                  <w:tcW w:w="1811" w:type="dxa"/>
                  <w:vAlign w:val="top"/>
                  <w:tcBorders>
                    <w:top w:val="single" w:color="000000" w:sz="10" w:space="0"/>
                  </w:tcBorders>
                </w:tcPr>
                <w:p>
                  <w:pPr>
                    <w:pStyle w:val="TableText"/>
                    <w:ind w:left="704"/>
                    <w:spacing w:before="113" w:line="222" w:lineRule="auto"/>
                    <w:rPr>
                      <w:sz w:val="20"/>
                      <w:szCs w:val="20"/>
                    </w:rPr>
                  </w:pPr>
                  <w:r>
                    <w:rPr>
                      <w:sz w:val="20"/>
                      <w:szCs w:val="20"/>
                      <w:spacing w:val="3"/>
                    </w:rPr>
                    <w:t>名称</w:t>
                  </w:r>
                </w:p>
              </w:tc>
              <w:tc>
                <w:tcPr>
                  <w:tcW w:w="1687" w:type="dxa"/>
                  <w:vAlign w:val="top"/>
                  <w:tcBorders>
                    <w:top w:val="single" w:color="000000" w:sz="10" w:space="0"/>
                  </w:tcBorders>
                </w:tcPr>
                <w:p>
                  <w:pPr>
                    <w:pStyle w:val="TableText"/>
                    <w:ind w:left="641"/>
                    <w:spacing w:before="113" w:line="222" w:lineRule="auto"/>
                    <w:rPr>
                      <w:sz w:val="20"/>
                      <w:szCs w:val="20"/>
                    </w:rPr>
                  </w:pPr>
                  <w:r>
                    <w:rPr>
                      <w:sz w:val="20"/>
                      <w:szCs w:val="20"/>
                      <w:spacing w:val="3"/>
                    </w:rPr>
                    <w:t>单位</w:t>
                  </w:r>
                </w:p>
              </w:tc>
              <w:tc>
                <w:tcPr>
                  <w:tcW w:w="1238" w:type="dxa"/>
                  <w:vAlign w:val="top"/>
                  <w:tcBorders>
                    <w:top w:val="single" w:color="000000" w:sz="10" w:space="0"/>
                  </w:tcBorders>
                </w:tcPr>
                <w:p>
                  <w:pPr>
                    <w:pStyle w:val="TableText"/>
                    <w:ind w:left="416"/>
                    <w:spacing w:before="113" w:line="222" w:lineRule="auto"/>
                    <w:rPr>
                      <w:sz w:val="20"/>
                      <w:szCs w:val="20"/>
                    </w:rPr>
                  </w:pPr>
                  <w:r>
                    <w:rPr>
                      <w:sz w:val="20"/>
                      <w:szCs w:val="20"/>
                      <w:spacing w:val="3"/>
                    </w:rPr>
                    <w:t>用量</w:t>
                  </w:r>
                </w:p>
              </w:tc>
              <w:tc>
                <w:tcPr>
                  <w:tcW w:w="2441" w:type="dxa"/>
                  <w:vAlign w:val="top"/>
                  <w:tcBorders>
                    <w:right w:val="nil"/>
                    <w:top w:val="single" w:color="000000" w:sz="10" w:space="0"/>
                  </w:tcBorders>
                </w:tcPr>
                <w:p>
                  <w:pPr>
                    <w:pStyle w:val="TableText"/>
                    <w:ind w:left="1020"/>
                    <w:spacing w:before="113" w:line="222" w:lineRule="auto"/>
                    <w:rPr>
                      <w:sz w:val="20"/>
                      <w:szCs w:val="20"/>
                    </w:rPr>
                  </w:pPr>
                  <w:r>
                    <w:rPr>
                      <w:sz w:val="20"/>
                      <w:szCs w:val="20"/>
                      <w:spacing w:val="3"/>
                    </w:rPr>
                    <w:t>备注</w:t>
                  </w:r>
                </w:p>
              </w:tc>
            </w:tr>
            <w:tr>
              <w:trPr>
                <w:trHeight w:val="360" w:hRule="atLeast"/>
              </w:trPr>
              <w:tc>
                <w:tcPr>
                  <w:tcW w:w="668" w:type="dxa"/>
                  <w:vAlign w:val="top"/>
                  <w:tcBorders>
                    <w:left w:val="nil"/>
                  </w:tcBorders>
                </w:tcPr>
                <w:p>
                  <w:pPr>
                    <w:ind w:left="306"/>
                    <w:spacing w:before="15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11" w:type="dxa"/>
                  <w:vAlign w:val="top"/>
                </w:tcPr>
                <w:p>
                  <w:pPr>
                    <w:pStyle w:val="TableText"/>
                    <w:ind w:left="392"/>
                    <w:spacing w:before="113" w:line="218" w:lineRule="auto"/>
                    <w:rPr>
                      <w:sz w:val="20"/>
                      <w:szCs w:val="20"/>
                    </w:rPr>
                  </w:pPr>
                  <w:r>
                    <w:rPr>
                      <w:sz w:val="20"/>
                      <w:szCs w:val="20"/>
                      <w:spacing w:val="6"/>
                    </w:rPr>
                    <w:t>聚乙烯颗粒</w:t>
                  </w:r>
                </w:p>
              </w:tc>
              <w:tc>
                <w:tcPr>
                  <w:tcW w:w="1687" w:type="dxa"/>
                  <w:vAlign w:val="top"/>
                </w:tcPr>
                <w:p>
                  <w:pPr>
                    <w:pStyle w:val="TableText"/>
                    <w:ind w:left="621"/>
                    <w:spacing w:before="113" w:line="218" w:lineRule="auto"/>
                    <w:rPr>
                      <w:sz w:val="20"/>
                      <w:szCs w:val="20"/>
                    </w:rPr>
                  </w:pPr>
                  <w:r>
                    <w:rPr>
                      <w:sz w:val="20"/>
                      <w:szCs w:val="20"/>
                    </w:rPr>
                    <w:t>吨</w:t>
                  </w:r>
                  <w:r>
                    <w:rPr>
                      <w:rFonts w:ascii="Times New Roman" w:hAnsi="Times New Roman" w:eastAsia="Times New Roman" w:cs="Times New Roman"/>
                      <w:sz w:val="20"/>
                      <w:szCs w:val="20"/>
                    </w:rPr>
                    <w:t>/</w:t>
                  </w:r>
                  <w:r>
                    <w:rPr>
                      <w:sz w:val="20"/>
                      <w:szCs w:val="20"/>
                    </w:rPr>
                    <w:t>年</w:t>
                  </w:r>
                </w:p>
              </w:tc>
              <w:tc>
                <w:tcPr>
                  <w:tcW w:w="1238" w:type="dxa"/>
                  <w:vAlign w:val="top"/>
                </w:tcPr>
                <w:p>
                  <w:pPr>
                    <w:ind w:left="469"/>
                    <w:spacing w:before="15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510</w:t>
                  </w:r>
                </w:p>
              </w:tc>
              <w:tc>
                <w:tcPr>
                  <w:tcW w:w="2441" w:type="dxa"/>
                  <w:vAlign w:val="top"/>
                  <w:tcBorders>
                    <w:right w:val="nil"/>
                  </w:tcBorders>
                </w:tcPr>
                <w:p>
                  <w:pPr>
                    <w:pStyle w:val="TableText"/>
                    <w:ind w:left="596"/>
                    <w:spacing w:before="113" w:line="218" w:lineRule="auto"/>
                    <w:rPr>
                      <w:sz w:val="20"/>
                      <w:szCs w:val="20"/>
                    </w:rPr>
                  </w:pPr>
                  <w:r>
                    <w:rPr>
                      <w:sz w:val="20"/>
                      <w:szCs w:val="20"/>
                      <w:spacing w:val="8"/>
                    </w:rPr>
                    <w:t>低密度聚乙烯</w:t>
                  </w:r>
                </w:p>
              </w:tc>
            </w:tr>
            <w:tr>
              <w:trPr>
                <w:trHeight w:val="360" w:hRule="atLeast"/>
              </w:trPr>
              <w:tc>
                <w:tcPr>
                  <w:tcW w:w="668" w:type="dxa"/>
                  <w:vAlign w:val="top"/>
                  <w:tcBorders>
                    <w:left w:val="nil"/>
                  </w:tcBorders>
                </w:tcPr>
                <w:p>
                  <w:pPr>
                    <w:ind w:left="285"/>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811" w:type="dxa"/>
                  <w:vAlign w:val="top"/>
                </w:tcPr>
                <w:p>
                  <w:pPr>
                    <w:pStyle w:val="TableText"/>
                    <w:ind w:left="490"/>
                    <w:spacing w:before="119" w:line="213" w:lineRule="auto"/>
                    <w:rPr>
                      <w:sz w:val="20"/>
                      <w:szCs w:val="20"/>
                    </w:rPr>
                  </w:pPr>
                  <w:r>
                    <w:rPr>
                      <w:sz w:val="20"/>
                      <w:szCs w:val="20"/>
                      <w:spacing w:val="7"/>
                    </w:rPr>
                    <w:t>抗老化剂</w:t>
                  </w:r>
                </w:p>
              </w:tc>
              <w:tc>
                <w:tcPr>
                  <w:tcW w:w="1687" w:type="dxa"/>
                  <w:vAlign w:val="top"/>
                </w:tcPr>
                <w:p>
                  <w:pPr>
                    <w:pStyle w:val="TableText"/>
                    <w:ind w:left="621"/>
                    <w:spacing w:before="119" w:line="213" w:lineRule="auto"/>
                    <w:rPr>
                      <w:sz w:val="20"/>
                      <w:szCs w:val="20"/>
                    </w:rPr>
                  </w:pPr>
                  <w:r>
                    <w:rPr>
                      <w:sz w:val="20"/>
                      <w:szCs w:val="20"/>
                    </w:rPr>
                    <w:t>吨</w:t>
                  </w:r>
                  <w:r>
                    <w:rPr>
                      <w:rFonts w:ascii="Times New Roman" w:hAnsi="Times New Roman" w:eastAsia="Times New Roman" w:cs="Times New Roman"/>
                      <w:sz w:val="20"/>
                      <w:szCs w:val="20"/>
                    </w:rPr>
                    <w:t>/</w:t>
                  </w:r>
                  <w:r>
                    <w:rPr>
                      <w:sz w:val="20"/>
                      <w:szCs w:val="20"/>
                    </w:rPr>
                    <w:t>年</w:t>
                  </w:r>
                </w:p>
              </w:tc>
              <w:tc>
                <w:tcPr>
                  <w:tcW w:w="1238" w:type="dxa"/>
                  <w:vAlign w:val="top"/>
                </w:tcPr>
                <w:p>
                  <w:pPr>
                    <w:ind w:left="575"/>
                    <w:spacing w:before="15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441" w:type="dxa"/>
                  <w:vAlign w:val="top"/>
                  <w:tcBorders>
                    <w:right w:val="nil"/>
                  </w:tcBorders>
                </w:tcPr>
                <w:p>
                  <w:pPr>
                    <w:ind w:left="1189"/>
                    <w:spacing w:before="15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60" w:hRule="atLeast"/>
              </w:trPr>
              <w:tc>
                <w:tcPr>
                  <w:tcW w:w="668" w:type="dxa"/>
                  <w:vAlign w:val="top"/>
                  <w:tcBorders>
                    <w:left w:val="nil"/>
                  </w:tcBorders>
                </w:tcPr>
                <w:p>
                  <w:pPr>
                    <w:ind w:left="290"/>
                    <w:spacing w:before="15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811" w:type="dxa"/>
                  <w:vAlign w:val="top"/>
                </w:tcPr>
                <w:p>
                  <w:pPr>
                    <w:pStyle w:val="TableText"/>
                    <w:ind w:left="597"/>
                    <w:spacing w:before="123" w:line="209" w:lineRule="auto"/>
                    <w:rPr>
                      <w:sz w:val="20"/>
                      <w:szCs w:val="20"/>
                    </w:rPr>
                  </w:pPr>
                  <w:r>
                    <w:rPr>
                      <w:sz w:val="20"/>
                      <w:szCs w:val="20"/>
                      <w:spacing w:val="6"/>
                    </w:rPr>
                    <w:t>纸芯桶</w:t>
                  </w:r>
                </w:p>
              </w:tc>
              <w:tc>
                <w:tcPr>
                  <w:tcW w:w="1687" w:type="dxa"/>
                  <w:vAlign w:val="top"/>
                </w:tcPr>
                <w:p>
                  <w:pPr>
                    <w:pStyle w:val="TableText"/>
                    <w:ind w:left="621"/>
                    <w:spacing w:before="123" w:line="209" w:lineRule="auto"/>
                    <w:rPr>
                      <w:sz w:val="20"/>
                      <w:szCs w:val="20"/>
                    </w:rPr>
                  </w:pPr>
                  <w:r>
                    <w:rPr>
                      <w:sz w:val="20"/>
                      <w:szCs w:val="20"/>
                    </w:rPr>
                    <w:t>吨</w:t>
                  </w:r>
                  <w:r>
                    <w:rPr>
                      <w:rFonts w:ascii="Times New Roman" w:hAnsi="Times New Roman" w:eastAsia="Times New Roman" w:cs="Times New Roman"/>
                      <w:sz w:val="20"/>
                      <w:szCs w:val="20"/>
                    </w:rPr>
                    <w:t>/</w:t>
                  </w:r>
                  <w:r>
                    <w:rPr>
                      <w:sz w:val="20"/>
                      <w:szCs w:val="20"/>
                    </w:rPr>
                    <w:t>年</w:t>
                  </w:r>
                </w:p>
              </w:tc>
              <w:tc>
                <w:tcPr>
                  <w:tcW w:w="1238" w:type="dxa"/>
                  <w:vAlign w:val="top"/>
                </w:tcPr>
                <w:p>
                  <w:pPr>
                    <w:ind w:left="536"/>
                    <w:spacing w:before="15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2441" w:type="dxa"/>
                  <w:vAlign w:val="top"/>
                  <w:tcBorders>
                    <w:right w:val="nil"/>
                  </w:tcBorders>
                </w:tcPr>
                <w:p>
                  <w:pPr>
                    <w:ind w:left="1189"/>
                    <w:spacing w:before="15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84" w:hRule="atLeast"/>
              </w:trPr>
              <w:tc>
                <w:tcPr>
                  <w:tcW w:w="668" w:type="dxa"/>
                  <w:vAlign w:val="top"/>
                  <w:tcBorders>
                    <w:left w:val="nil"/>
                    <w:bottom w:val="single" w:color="000000" w:sz="10" w:space="0"/>
                  </w:tcBorders>
                </w:tcPr>
                <w:p>
                  <w:pPr>
                    <w:ind w:left="284"/>
                    <w:spacing w:before="16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811" w:type="dxa"/>
                  <w:vAlign w:val="top"/>
                  <w:tcBorders>
                    <w:bottom w:val="single" w:color="000000" w:sz="10" w:space="0"/>
                  </w:tcBorders>
                </w:tcPr>
                <w:p>
                  <w:pPr>
                    <w:pStyle w:val="TableText"/>
                    <w:ind w:left="596"/>
                    <w:spacing w:before="130" w:line="225" w:lineRule="auto"/>
                    <w:rPr>
                      <w:sz w:val="20"/>
                      <w:szCs w:val="20"/>
                    </w:rPr>
                  </w:pPr>
                  <w:r>
                    <w:rPr>
                      <w:sz w:val="20"/>
                      <w:szCs w:val="20"/>
                      <w:spacing w:val="6"/>
                    </w:rPr>
                    <w:t>包装袋</w:t>
                  </w:r>
                </w:p>
              </w:tc>
              <w:tc>
                <w:tcPr>
                  <w:tcW w:w="1687" w:type="dxa"/>
                  <w:vAlign w:val="top"/>
                  <w:tcBorders>
                    <w:bottom w:val="single" w:color="000000" w:sz="10" w:space="0"/>
                  </w:tcBorders>
                </w:tcPr>
                <w:p>
                  <w:pPr>
                    <w:pStyle w:val="TableText"/>
                    <w:ind w:left="621"/>
                    <w:spacing w:before="130" w:line="225" w:lineRule="auto"/>
                    <w:rPr>
                      <w:sz w:val="20"/>
                      <w:szCs w:val="20"/>
                    </w:rPr>
                  </w:pPr>
                  <w:r>
                    <w:rPr>
                      <w:sz w:val="20"/>
                      <w:szCs w:val="20"/>
                    </w:rPr>
                    <w:t>吨</w:t>
                  </w:r>
                  <w:r>
                    <w:rPr>
                      <w:rFonts w:ascii="Times New Roman" w:hAnsi="Times New Roman" w:eastAsia="Times New Roman" w:cs="Times New Roman"/>
                      <w:sz w:val="20"/>
                      <w:szCs w:val="20"/>
                    </w:rPr>
                    <w:t>/</w:t>
                  </w:r>
                  <w:r>
                    <w:rPr>
                      <w:sz w:val="20"/>
                      <w:szCs w:val="20"/>
                    </w:rPr>
                    <w:t>年</w:t>
                  </w:r>
                </w:p>
              </w:tc>
              <w:tc>
                <w:tcPr>
                  <w:tcW w:w="1238" w:type="dxa"/>
                  <w:vAlign w:val="top"/>
                  <w:tcBorders>
                    <w:bottom w:val="single" w:color="000000" w:sz="10" w:space="0"/>
                  </w:tcBorders>
                </w:tcPr>
                <w:p>
                  <w:pPr>
                    <w:ind w:left="577"/>
                    <w:spacing w:before="16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441" w:type="dxa"/>
                  <w:vAlign w:val="top"/>
                  <w:tcBorders>
                    <w:right w:val="nil"/>
                    <w:bottom w:val="single" w:color="000000" w:sz="10" w:space="0"/>
                  </w:tcBorders>
                </w:tcPr>
                <w:p>
                  <w:pPr>
                    <w:ind w:left="1189"/>
                    <w:spacing w:before="16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bl>
          <w:p>
            <w:pPr>
              <w:pStyle w:val="TableText"/>
              <w:ind w:left="596"/>
              <w:spacing w:before="195" w:line="219" w:lineRule="auto"/>
              <w:rPr/>
            </w:pPr>
            <w:r>
              <w:rPr>
                <w:spacing w:val="-1"/>
              </w:rPr>
              <w:t>主要原辅材料形态、理化性质及储存方式见表</w:t>
            </w:r>
            <w:r>
              <w:rPr>
                <w:rFonts w:ascii="Times New Roman" w:hAnsi="Times New Roman" w:eastAsia="Times New Roman" w:cs="Times New Roman"/>
                <w:spacing w:val="-1"/>
              </w:rPr>
              <w:t>2.4-2</w:t>
            </w:r>
            <w:r>
              <w:rPr>
                <w:spacing w:val="-1"/>
              </w:rPr>
              <w:t>。</w:t>
            </w:r>
          </w:p>
          <w:p>
            <w:pPr>
              <w:pStyle w:val="TableText"/>
              <w:ind w:left="1437"/>
              <w:spacing w:before="135" w:line="219" w:lineRule="auto"/>
              <w:rPr/>
            </w:pPr>
            <w:r>
              <w:rPr>
                <w14:textOutline w14:w="4358" w14:cap="sq" w14:cmpd="sng">
                  <w14:solidFill>
                    <w14:srgbClr w14:val="000000"/>
                  </w14:solidFill>
                  <w14:prstDash w14:val="solid"/>
                  <w14:bevel/>
                </w14:textOutline>
              </w:rPr>
              <w:t>表</w:t>
            </w:r>
            <w:r>
              <w:rPr>
                <w:rFonts w:ascii="Times New Roman" w:hAnsi="Times New Roman" w:eastAsia="Times New Roman" w:cs="Times New Roman"/>
                <w:b/>
                <w:bCs/>
              </w:rPr>
              <w:t>2.4-2  </w:t>
            </w:r>
            <w:r>
              <w:rPr>
                <w14:textOutline w14:w="4358" w14:cap="sq" w14:cmpd="sng">
                  <w14:solidFill>
                    <w14:srgbClr w14:val="000000"/>
                  </w14:solidFill>
                  <w14:prstDash w14:val="solid"/>
                  <w14:bevel/>
                </w14:textOutline>
              </w:rPr>
              <w:t>主要原辅材料形态、理化性质及储存方式</w:t>
            </w:r>
          </w:p>
          <w:p>
            <w:pPr>
              <w:spacing w:line="19" w:lineRule="auto"/>
              <w:rPr>
                <w:rFonts w:ascii="Arial"/>
                <w:sz w:val="2"/>
              </w:rPr>
            </w:pPr>
            <w:r>
              <w:rPr>
                <w:rFonts w:ascii="Arial"/>
                <w:sz w:val="2"/>
              </w:rPr>
            </w:r>
          </w:p>
          <w:tbl>
            <w:tblPr>
              <w:tblStyle w:val="TableNormal"/>
              <w:tblW w:w="7834" w:type="dxa"/>
              <w:tblInd w:w="10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87"/>
              <w:gridCol w:w="705"/>
              <w:gridCol w:w="5234"/>
              <w:gridCol w:w="1108"/>
            </w:tblGrid>
            <w:tr>
              <w:trPr>
                <w:trHeight w:val="308" w:hRule="atLeast"/>
              </w:trPr>
              <w:tc>
                <w:tcPr>
                  <w:tcW w:w="787" w:type="dxa"/>
                  <w:vAlign w:val="top"/>
                  <w:tcBorders>
                    <w:top w:val="single" w:color="000000" w:sz="10" w:space="0"/>
                    <w:left w:val="nil"/>
                  </w:tcBorders>
                </w:tcPr>
                <w:p>
                  <w:pPr>
                    <w:pStyle w:val="TableText"/>
                    <w:ind w:left="193"/>
                    <w:spacing w:before="63" w:line="216" w:lineRule="auto"/>
                    <w:rPr>
                      <w:sz w:val="20"/>
                      <w:szCs w:val="20"/>
                    </w:rPr>
                  </w:pPr>
                  <w:r>
                    <w:rPr>
                      <w:sz w:val="20"/>
                      <w:szCs w:val="20"/>
                      <w:spacing w:val="3"/>
                    </w:rPr>
                    <w:t>名称</w:t>
                  </w:r>
                </w:p>
              </w:tc>
              <w:tc>
                <w:tcPr>
                  <w:tcW w:w="705" w:type="dxa"/>
                  <w:vAlign w:val="top"/>
                  <w:tcBorders>
                    <w:top w:val="single" w:color="000000" w:sz="10" w:space="0"/>
                  </w:tcBorders>
                </w:tcPr>
                <w:p>
                  <w:pPr>
                    <w:pStyle w:val="TableText"/>
                    <w:ind w:left="150"/>
                    <w:spacing w:before="63" w:line="216" w:lineRule="auto"/>
                    <w:rPr>
                      <w:sz w:val="20"/>
                      <w:szCs w:val="20"/>
                    </w:rPr>
                  </w:pPr>
                  <w:r>
                    <w:rPr>
                      <w:sz w:val="20"/>
                      <w:szCs w:val="20"/>
                      <w:spacing w:val="3"/>
                    </w:rPr>
                    <w:t>形态</w:t>
                  </w:r>
                </w:p>
              </w:tc>
              <w:tc>
                <w:tcPr>
                  <w:tcW w:w="5234" w:type="dxa"/>
                  <w:vAlign w:val="top"/>
                  <w:tcBorders>
                    <w:top w:val="single" w:color="000000" w:sz="10" w:space="0"/>
                  </w:tcBorders>
                </w:tcPr>
                <w:p>
                  <w:pPr>
                    <w:pStyle w:val="TableText"/>
                    <w:ind w:left="2205"/>
                    <w:spacing w:before="63" w:line="216" w:lineRule="auto"/>
                    <w:rPr>
                      <w:sz w:val="20"/>
                      <w:szCs w:val="20"/>
                    </w:rPr>
                  </w:pPr>
                  <w:r>
                    <w:rPr>
                      <w:sz w:val="20"/>
                      <w:szCs w:val="20"/>
                      <w:spacing w:val="6"/>
                    </w:rPr>
                    <w:t>理化性质</w:t>
                  </w:r>
                </w:p>
              </w:tc>
              <w:tc>
                <w:tcPr>
                  <w:tcW w:w="1108" w:type="dxa"/>
                  <w:vAlign w:val="top"/>
                  <w:tcBorders>
                    <w:top w:val="single" w:color="000000" w:sz="10" w:space="0"/>
                    <w:right w:val="nil"/>
                  </w:tcBorders>
                </w:tcPr>
                <w:p>
                  <w:pPr>
                    <w:pStyle w:val="TableText"/>
                    <w:ind w:left="138"/>
                    <w:spacing w:before="63" w:line="216" w:lineRule="auto"/>
                    <w:rPr>
                      <w:sz w:val="20"/>
                      <w:szCs w:val="20"/>
                    </w:rPr>
                  </w:pPr>
                  <w:r>
                    <w:rPr>
                      <w:sz w:val="20"/>
                      <w:szCs w:val="20"/>
                      <w:spacing w:val="7"/>
                    </w:rPr>
                    <w:t>储存方式</w:t>
                  </w:r>
                </w:p>
              </w:tc>
            </w:tr>
            <w:tr>
              <w:trPr>
                <w:trHeight w:val="2992" w:hRule="atLeast"/>
              </w:trPr>
              <w:tc>
                <w:tcPr>
                  <w:tcW w:w="787" w:type="dxa"/>
                  <w:vAlign w:val="top"/>
                  <w:vMerge w:val="restart"/>
                  <w:tcBorders>
                    <w:bottom w:val="nil"/>
                    <w:left w:val="nil"/>
                  </w:tcBorders>
                </w:tcPr>
                <w:p>
                  <w:pPr>
                    <w:pStyle w:val="TableText"/>
                    <w:ind w:left="199"/>
                    <w:spacing w:before="61" w:line="228" w:lineRule="auto"/>
                    <w:rPr>
                      <w:sz w:val="20"/>
                      <w:szCs w:val="20"/>
                    </w:rPr>
                  </w:pPr>
                  <w:r>
                    <w:rPr>
                      <w:sz w:val="20"/>
                      <w:szCs w:val="20"/>
                    </w:rPr>
                    <w:t>聚乙</w:t>
                  </w:r>
                </w:p>
                <w:p>
                  <w:pPr>
                    <w:pStyle w:val="TableText"/>
                    <w:ind w:left="192"/>
                    <w:spacing w:before="52" w:line="228" w:lineRule="auto"/>
                    <w:rPr>
                      <w:sz w:val="20"/>
                      <w:szCs w:val="20"/>
                    </w:rPr>
                  </w:pPr>
                  <w:r>
                    <w:rPr>
                      <w:sz w:val="20"/>
                      <w:szCs w:val="20"/>
                      <w:spacing w:val="4"/>
                    </w:rPr>
                    <w:t>烯颗</w:t>
                  </w:r>
                </w:p>
                <w:p>
                  <w:pPr>
                    <w:pStyle w:val="TableText"/>
                    <w:ind w:left="296"/>
                    <w:spacing w:before="53" w:line="228" w:lineRule="auto"/>
                    <w:rPr>
                      <w:sz w:val="20"/>
                      <w:szCs w:val="20"/>
                    </w:rPr>
                  </w:pPr>
                  <w:r>
                    <w:rPr>
                      <w:sz w:val="20"/>
                      <w:szCs w:val="20"/>
                    </w:rPr>
                    <w:t>粒</w:t>
                  </w:r>
                </w:p>
              </w:tc>
              <w:tc>
                <w:tcPr>
                  <w:tcW w:w="705" w:type="dxa"/>
                  <w:vAlign w:val="top"/>
                  <w:vMerge w:val="restart"/>
                  <w:tcBorders>
                    <w:bottom w:val="nil"/>
                  </w:tcBorders>
                </w:tcPr>
                <w:p>
                  <w:pPr>
                    <w:pStyle w:val="TableText"/>
                    <w:ind w:left="166"/>
                    <w:spacing w:before="61" w:line="228" w:lineRule="auto"/>
                    <w:rPr>
                      <w:sz w:val="20"/>
                      <w:szCs w:val="20"/>
                    </w:rPr>
                  </w:pPr>
                  <w:r>
                    <w:rPr>
                      <w:sz w:val="20"/>
                      <w:szCs w:val="20"/>
                      <w:spacing w:val="-5"/>
                    </w:rPr>
                    <w:t>固态</w:t>
                  </w:r>
                </w:p>
              </w:tc>
              <w:tc>
                <w:tcPr>
                  <w:tcW w:w="5234" w:type="dxa"/>
                  <w:vAlign w:val="top"/>
                </w:tcPr>
                <w:p>
                  <w:pPr>
                    <w:pStyle w:val="TableText"/>
                    <w:ind w:left="113" w:right="34" w:firstLine="7"/>
                    <w:spacing w:before="57" w:line="271" w:lineRule="auto"/>
                    <w:jc w:val="both"/>
                    <w:rPr>
                      <w:sz w:val="20"/>
                      <w:szCs w:val="20"/>
                    </w:rPr>
                  </w:pPr>
                  <w:r>
                    <w:rPr>
                      <w:sz w:val="20"/>
                      <w:szCs w:val="20"/>
                      <w:spacing w:val="5"/>
                    </w:rPr>
                    <w:t>聚乙烯分子式为</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rPr>
                    <w:t>CH</w:t>
                  </w:r>
                  <w:r>
                    <w:rPr>
                      <w:rFonts w:ascii="Times New Roman" w:hAnsi="Times New Roman" w:eastAsia="Times New Roman" w:cs="Times New Roman"/>
                      <w:sz w:val="13"/>
                      <w:szCs w:val="13"/>
                      <w:spacing w:val="5"/>
                      <w:position w:val="-1"/>
                    </w:rPr>
                    <w:t>2</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rPr>
                    <w:t>CH</w:t>
                  </w:r>
                  <w:r>
                    <w:rPr>
                      <w:rFonts w:ascii="Times New Roman" w:hAnsi="Times New Roman" w:eastAsia="Times New Roman" w:cs="Times New Roman"/>
                      <w:sz w:val="13"/>
                      <w:szCs w:val="13"/>
                      <w:spacing w:val="5"/>
                      <w:position w:val="-1"/>
                    </w:rPr>
                    <w:t>2</w:t>
                  </w:r>
                  <w:r>
                    <w:rPr>
                      <w:rFonts w:ascii="Times New Roman" w:hAnsi="Times New Roman" w:eastAsia="Times New Roman" w:cs="Times New Roman"/>
                      <w:sz w:val="20"/>
                      <w:szCs w:val="20"/>
                      <w:spacing w:val="5"/>
                    </w:rPr>
                    <w:t>]n</w:t>
                  </w:r>
                  <w:r>
                    <w:rPr>
                      <w:rFonts w:ascii="Times New Roman" w:hAnsi="Times New Roman" w:eastAsia="Times New Roman" w:cs="Times New Roman"/>
                      <w:sz w:val="20"/>
                      <w:szCs w:val="20"/>
                      <w:spacing w:val="-24"/>
                    </w:rPr>
                    <w:t xml:space="preserve"> </w:t>
                  </w:r>
                  <w:r>
                    <w:rPr>
                      <w:sz w:val="20"/>
                      <w:szCs w:val="20"/>
                      <w:spacing w:val="5"/>
                    </w:rPr>
                    <w:t>，简称</w:t>
                  </w:r>
                  <w:r>
                    <w:rPr>
                      <w:rFonts w:ascii="Times New Roman" w:hAnsi="Times New Roman" w:eastAsia="Times New Roman" w:cs="Times New Roman"/>
                      <w:sz w:val="20"/>
                      <w:szCs w:val="20"/>
                    </w:rPr>
                    <w:t>PE</w:t>
                  </w:r>
                  <w:r>
                    <w:rPr>
                      <w:rFonts w:ascii="Times New Roman" w:hAnsi="Times New Roman" w:eastAsia="Times New Roman" w:cs="Times New Roman"/>
                      <w:sz w:val="20"/>
                      <w:szCs w:val="20"/>
                      <w:spacing w:val="-22"/>
                    </w:rPr>
                    <w:t xml:space="preserve"> </w:t>
                  </w:r>
                  <w:r>
                    <w:rPr>
                      <w:sz w:val="20"/>
                      <w:szCs w:val="20"/>
                      <w:spacing w:val="5"/>
                    </w:rPr>
                    <w:t>，是由</w:t>
                  </w:r>
                  <w:r>
                    <w:rPr>
                      <w:sz w:val="20"/>
                      <w:szCs w:val="20"/>
                      <w:spacing w:val="4"/>
                    </w:rPr>
                    <w:t>乙烯聚合而 </w:t>
                  </w:r>
                  <w:r>
                    <w:rPr>
                      <w:sz w:val="20"/>
                      <w:szCs w:val="20"/>
                      <w:spacing w:val="3"/>
                    </w:rPr>
                    <w:t>成的高分子化合物，有低分子量和高分子量两种，无色、</w:t>
                  </w:r>
                  <w:r>
                    <w:rPr>
                      <w:sz w:val="20"/>
                      <w:szCs w:val="20"/>
                      <w:spacing w:val="4"/>
                    </w:rPr>
                    <w:t xml:space="preserve"> </w:t>
                  </w:r>
                  <w:r>
                    <w:rPr>
                      <w:sz w:val="20"/>
                      <w:szCs w:val="20"/>
                      <w:spacing w:val="-1"/>
                    </w:rPr>
                    <w:t>无臭、无味、无毒</w:t>
                  </w:r>
                  <w:r>
                    <w:rPr>
                      <w:rFonts w:ascii="Times New Roman" w:hAnsi="Times New Roman" w:eastAsia="Times New Roman" w:cs="Times New Roman"/>
                      <w:sz w:val="20"/>
                      <w:szCs w:val="20"/>
                      <w:spacing w:val="-1"/>
                    </w:rPr>
                    <w:t>,</w:t>
                  </w:r>
                  <w:r>
                    <w:rPr>
                      <w:sz w:val="20"/>
                      <w:szCs w:val="20"/>
                      <w:spacing w:val="-1"/>
                    </w:rPr>
                    <w:t>密度约为</w:t>
                  </w:r>
                  <w:r>
                    <w:rPr>
                      <w:rFonts w:ascii="Times New Roman" w:hAnsi="Times New Roman" w:eastAsia="Times New Roman" w:cs="Times New Roman"/>
                      <w:sz w:val="20"/>
                      <w:szCs w:val="20"/>
                      <w:spacing w:val="-1"/>
                    </w:rPr>
                    <w:t>0.92</w:t>
                  </w:r>
                  <w:r>
                    <w:rPr>
                      <w:sz w:val="20"/>
                      <w:szCs w:val="20"/>
                      <w:spacing w:val="-1"/>
                    </w:rPr>
                    <w:t>，热分解温度</w:t>
                  </w:r>
                  <w:r>
                    <w:rPr>
                      <w:rFonts w:ascii="Times New Roman" w:hAnsi="Times New Roman" w:eastAsia="Times New Roman" w:cs="Times New Roman"/>
                      <w:sz w:val="20"/>
                      <w:szCs w:val="20"/>
                      <w:spacing w:val="-1"/>
                    </w:rPr>
                    <w:t>335-450</w:t>
                  </w:r>
                  <w:r>
                    <w:rPr>
                      <w:sz w:val="20"/>
                      <w:szCs w:val="20"/>
                      <w:spacing w:val="-1"/>
                    </w:rPr>
                    <w:t>℃</w:t>
                  </w:r>
                  <w:r>
                    <w:rPr>
                      <w:sz w:val="20"/>
                      <w:szCs w:val="20"/>
                      <w:spacing w:val="-72"/>
                    </w:rPr>
                    <w:t xml:space="preserve"> </w:t>
                  </w:r>
                  <w:r>
                    <w:rPr>
                      <w:sz w:val="20"/>
                      <w:szCs w:val="20"/>
                      <w:spacing w:val="-1"/>
                    </w:rPr>
                    <w:t>,</w:t>
                  </w:r>
                  <w:r>
                    <w:rPr>
                      <w:sz w:val="20"/>
                      <w:szCs w:val="20"/>
                    </w:rPr>
                    <w:t xml:space="preserve">  </w:t>
                  </w:r>
                  <w:r>
                    <w:rPr>
                      <w:sz w:val="20"/>
                      <w:szCs w:val="20"/>
                      <w:spacing w:val="10"/>
                    </w:rPr>
                    <w:t>分解为乙烯单体，残留物为</w:t>
                  </w:r>
                  <w:r>
                    <w:rPr>
                      <w:rFonts w:ascii="Times New Roman" w:hAnsi="Times New Roman" w:eastAsia="Times New Roman" w:cs="Times New Roman"/>
                      <w:sz w:val="20"/>
                      <w:szCs w:val="20"/>
                      <w:spacing w:val="10"/>
                    </w:rPr>
                    <w:t>0</w:t>
                  </w:r>
                  <w:r>
                    <w:rPr>
                      <w:rFonts w:ascii="Times New Roman" w:hAnsi="Times New Roman" w:eastAsia="Times New Roman" w:cs="Times New Roman"/>
                      <w:sz w:val="20"/>
                      <w:szCs w:val="20"/>
                      <w:spacing w:val="-21"/>
                    </w:rPr>
                    <w:t xml:space="preserve"> </w:t>
                  </w:r>
                  <w:r>
                    <w:rPr>
                      <w:sz w:val="20"/>
                      <w:szCs w:val="20"/>
                      <w:spacing w:val="10"/>
                    </w:rPr>
                    <w:t>。聚乙烯为白色蜡状</w:t>
                  </w:r>
                  <w:r>
                    <w:rPr>
                      <w:sz w:val="20"/>
                      <w:szCs w:val="20"/>
                      <w:spacing w:val="9"/>
                    </w:rPr>
                    <w:t>半透</w:t>
                  </w:r>
                  <w:r>
                    <w:rPr>
                      <w:sz w:val="20"/>
                      <w:szCs w:val="20"/>
                    </w:rPr>
                    <w:t xml:space="preserve">  </w:t>
                  </w:r>
                  <w:r>
                    <w:rPr>
                      <w:sz w:val="20"/>
                      <w:szCs w:val="20"/>
                      <w:spacing w:val="3"/>
                    </w:rPr>
                    <w:t>明材料，柔而韧，比水轻，无毒，具有优越的介电性能。</w:t>
                  </w:r>
                  <w:r>
                    <w:rPr>
                      <w:sz w:val="20"/>
                      <w:szCs w:val="20"/>
                      <w:spacing w:val="4"/>
                    </w:rPr>
                    <w:t xml:space="preserve"> </w:t>
                  </w:r>
                  <w:r>
                    <w:rPr>
                      <w:sz w:val="20"/>
                      <w:szCs w:val="20"/>
                      <w:spacing w:val="8"/>
                    </w:rPr>
                    <w:t>易燃烧且离火后继续燃烧。透水率低，对有机蒸汽透过 </w:t>
                  </w:r>
                  <w:r>
                    <w:rPr>
                      <w:sz w:val="20"/>
                      <w:szCs w:val="20"/>
                      <w:spacing w:val="7"/>
                    </w:rPr>
                    <w:t>率则较大。常温下不溶于任何已知溶剂中，</w:t>
                  </w:r>
                  <w:r>
                    <w:rPr>
                      <w:rFonts w:ascii="Times New Roman" w:hAnsi="Times New Roman" w:eastAsia="Times New Roman" w:cs="Times New Roman"/>
                      <w:sz w:val="20"/>
                      <w:szCs w:val="20"/>
                      <w:spacing w:val="7"/>
                    </w:rPr>
                    <w:t>70</w:t>
                  </w:r>
                  <w:r>
                    <w:rPr>
                      <w:sz w:val="20"/>
                      <w:szCs w:val="20"/>
                      <w:spacing w:val="7"/>
                    </w:rPr>
                    <w:t>℃以上可 </w:t>
                  </w:r>
                  <w:r>
                    <w:rPr>
                      <w:sz w:val="20"/>
                      <w:szCs w:val="20"/>
                      <w:spacing w:val="8"/>
                    </w:rPr>
                    <w:t>少量溶解于甲苯、乙酸戊酯、三氯乙烯等溶剂中。聚乙</w:t>
                  </w:r>
                </w:p>
                <w:p>
                  <w:pPr>
                    <w:pStyle w:val="TableText"/>
                    <w:ind w:right="11"/>
                    <w:spacing w:before="53" w:line="228" w:lineRule="auto"/>
                    <w:jc w:val="right"/>
                    <w:rPr>
                      <w:sz w:val="20"/>
                      <w:szCs w:val="20"/>
                    </w:rPr>
                  </w:pPr>
                  <w:r>
                    <w:rPr>
                      <w:sz w:val="20"/>
                      <w:szCs w:val="20"/>
                      <w:spacing w:val="4"/>
                    </w:rPr>
                    <w:t>烯有优异的化学稳定性，室温下耐盐酸、氢氟酸、磷酸、</w:t>
                  </w:r>
                </w:p>
                <w:p>
                  <w:pPr>
                    <w:pStyle w:val="TableText"/>
                    <w:ind w:left="233"/>
                    <w:spacing w:before="53" w:line="204" w:lineRule="auto"/>
                    <w:rPr>
                      <w:sz w:val="20"/>
                      <w:szCs w:val="20"/>
                    </w:rPr>
                  </w:pPr>
                  <w:r>
                    <w:rPr>
                      <w:sz w:val="20"/>
                      <w:szCs w:val="20"/>
                      <w:spacing w:val="8"/>
                    </w:rPr>
                    <w:t>甲酸、胺类、氢氧化钠、氢氧化钾等各种化学</w:t>
                  </w:r>
                  <w:r>
                    <w:rPr>
                      <w:sz w:val="20"/>
                      <w:szCs w:val="20"/>
                      <w:spacing w:val="7"/>
                    </w:rPr>
                    <w:t>物质。</w:t>
                  </w:r>
                </w:p>
              </w:tc>
              <w:tc>
                <w:tcPr>
                  <w:tcW w:w="1108" w:type="dxa"/>
                  <w:vAlign w:val="top"/>
                  <w:vMerge w:val="restart"/>
                  <w:tcBorders>
                    <w:bottom w:val="nil"/>
                    <w:right w:val="nil"/>
                  </w:tcBorders>
                </w:tcPr>
                <w:p>
                  <w:pPr>
                    <w:pStyle w:val="TableText"/>
                    <w:ind w:left="350"/>
                    <w:spacing w:before="61" w:line="228" w:lineRule="auto"/>
                    <w:rPr>
                      <w:sz w:val="20"/>
                      <w:szCs w:val="20"/>
                    </w:rPr>
                  </w:pPr>
                  <w:r>
                    <w:rPr>
                      <w:sz w:val="20"/>
                      <w:szCs w:val="20"/>
                      <w:spacing w:val="4"/>
                    </w:rPr>
                    <w:t>袋装</w:t>
                  </w:r>
                </w:p>
              </w:tc>
            </w:tr>
            <w:tr>
              <w:trPr>
                <w:trHeight w:val="2418" w:hRule="atLeast"/>
              </w:trPr>
              <w:tc>
                <w:tcPr>
                  <w:tcW w:w="787" w:type="dxa"/>
                  <w:vAlign w:val="top"/>
                  <w:vMerge w:val="continue"/>
                  <w:tcBorders>
                    <w:bottom w:val="single" w:color="000000" w:sz="10" w:space="0"/>
                    <w:left w:val="nil"/>
                    <w:top w:val="nil"/>
                  </w:tcBorders>
                </w:tcPr>
                <w:p>
                  <w:pPr>
                    <w:rPr>
                      <w:rFonts w:ascii="Arial"/>
                      <w:sz w:val="21"/>
                    </w:rPr>
                  </w:pPr>
                  <w:r/>
                </w:p>
              </w:tc>
              <w:tc>
                <w:tcPr>
                  <w:tcW w:w="705" w:type="dxa"/>
                  <w:vAlign w:val="top"/>
                  <w:vMerge w:val="continue"/>
                  <w:tcBorders>
                    <w:bottom w:val="single" w:color="000000" w:sz="10" w:space="0"/>
                    <w:top w:val="nil"/>
                  </w:tcBorders>
                </w:tcPr>
                <w:p>
                  <w:pPr>
                    <w:rPr>
                      <w:rFonts w:ascii="Arial"/>
                      <w:sz w:val="21"/>
                    </w:rPr>
                  </w:pPr>
                  <w:r/>
                </w:p>
              </w:tc>
              <w:tc>
                <w:tcPr>
                  <w:tcW w:w="5234" w:type="dxa"/>
                  <w:vAlign w:val="top"/>
                  <w:tcBorders>
                    <w:bottom w:val="single" w:color="000000" w:sz="10" w:space="0"/>
                  </w:tcBorders>
                </w:tcPr>
                <w:p>
                  <w:pPr>
                    <w:pStyle w:val="TableText"/>
                    <w:ind w:left="120"/>
                    <w:spacing w:before="72" w:line="228" w:lineRule="auto"/>
                    <w:rPr>
                      <w:rFonts w:ascii="Times New Roman" w:hAnsi="Times New Roman" w:eastAsia="Times New Roman" w:cs="Times New Roman"/>
                      <w:sz w:val="20"/>
                      <w:szCs w:val="20"/>
                    </w:rPr>
                  </w:pPr>
                  <w:r>
                    <w:rPr>
                      <w:sz w:val="20"/>
                      <w:szCs w:val="20"/>
                      <w:spacing w:val="5"/>
                    </w:rPr>
                    <w:t>聚乙烯的性能取决于它的聚合方式。在中等压力（</w:t>
                  </w:r>
                  <w:r>
                    <w:rPr>
                      <w:rFonts w:ascii="Times New Roman" w:hAnsi="Times New Roman" w:eastAsia="Times New Roman" w:cs="Times New Roman"/>
                      <w:sz w:val="20"/>
                      <w:szCs w:val="20"/>
                      <w:spacing w:val="5"/>
                    </w:rPr>
                    <w:t>15-</w:t>
                  </w:r>
                  <w:r>
                    <w:rPr>
                      <w:rFonts w:ascii="Times New Roman" w:hAnsi="Times New Roman" w:eastAsia="Times New Roman" w:cs="Times New Roman"/>
                      <w:sz w:val="20"/>
                      <w:szCs w:val="20"/>
                      <w:spacing w:val="4"/>
                    </w:rPr>
                    <w:t>30</w:t>
                  </w:r>
                </w:p>
                <w:p>
                  <w:pPr>
                    <w:pStyle w:val="TableText"/>
                    <w:ind w:left="115"/>
                    <w:spacing w:before="53" w:line="227" w:lineRule="auto"/>
                    <w:rPr>
                      <w:sz w:val="20"/>
                      <w:szCs w:val="20"/>
                    </w:rPr>
                  </w:pPr>
                  <w:r>
                    <w:rPr>
                      <w:sz w:val="20"/>
                      <w:szCs w:val="20"/>
                      <w:spacing w:val="8"/>
                    </w:rPr>
                    <w:t>大气压）有机化合物催化条件下聚合而成的是高密度聚</w:t>
                  </w:r>
                </w:p>
                <w:p>
                  <w:pPr>
                    <w:pStyle w:val="TableText"/>
                    <w:ind w:left="164"/>
                    <w:spacing w:before="53" w:line="228" w:lineRule="auto"/>
                    <w:rPr>
                      <w:sz w:val="20"/>
                      <w:szCs w:val="20"/>
                    </w:rPr>
                  </w:pPr>
                  <w:r>
                    <w:rPr>
                      <w:sz w:val="20"/>
                      <w:szCs w:val="20"/>
                      <w:spacing w:val="9"/>
                    </w:rPr>
                    <w:t>乙烯（</w:t>
                  </w:r>
                  <w:r>
                    <w:rPr>
                      <w:rFonts w:ascii="Times New Roman" w:hAnsi="Times New Roman" w:eastAsia="Times New Roman" w:cs="Times New Roman"/>
                      <w:sz w:val="20"/>
                      <w:szCs w:val="20"/>
                    </w:rPr>
                    <w:t>HDPE</w:t>
                  </w:r>
                  <w:r>
                    <w:rPr>
                      <w:sz w:val="20"/>
                      <w:szCs w:val="20"/>
                      <w:spacing w:val="9"/>
                    </w:rPr>
                    <w:t>）。这种条件下聚合的聚乙烯分子是线性</w:t>
                  </w:r>
                </w:p>
                <w:p>
                  <w:pPr>
                    <w:pStyle w:val="TableText"/>
                    <w:ind w:left="129"/>
                    <w:spacing w:before="53" w:line="227" w:lineRule="auto"/>
                    <w:rPr>
                      <w:sz w:val="20"/>
                      <w:szCs w:val="20"/>
                    </w:rPr>
                  </w:pPr>
                  <w:r>
                    <w:rPr>
                      <w:sz w:val="20"/>
                      <w:szCs w:val="20"/>
                      <w:spacing w:val="8"/>
                    </w:rPr>
                    <w:t>的，且分子链很长，分子量高达几十万。如果是在高压</w:t>
                  </w:r>
                </w:p>
                <w:p>
                  <w:pPr>
                    <w:pStyle w:val="TableText"/>
                    <w:ind w:left="116"/>
                    <w:spacing w:before="54" w:line="225" w:lineRule="auto"/>
                    <w:rPr>
                      <w:sz w:val="20"/>
                      <w:szCs w:val="20"/>
                    </w:rPr>
                  </w:pPr>
                  <w:r>
                    <w:rPr>
                      <w:sz w:val="20"/>
                      <w:szCs w:val="20"/>
                    </w:rPr>
                    <w:t>力（</w:t>
                  </w:r>
                  <w:r>
                    <w:rPr>
                      <w:rFonts w:ascii="Times New Roman" w:hAnsi="Times New Roman" w:eastAsia="Times New Roman" w:cs="Times New Roman"/>
                      <w:sz w:val="20"/>
                      <w:szCs w:val="20"/>
                    </w:rPr>
                    <w:t>100-300MPa</w:t>
                  </w:r>
                  <w:r>
                    <w:rPr>
                      <w:sz w:val="20"/>
                      <w:szCs w:val="20"/>
                      <w:spacing w:val="6"/>
                    </w:rPr>
                    <w:t>），</w:t>
                  </w:r>
                  <w:r>
                    <w:rPr>
                      <w:sz w:val="20"/>
                      <w:szCs w:val="20"/>
                    </w:rPr>
                    <w:t>高温（</w:t>
                  </w:r>
                  <w:r>
                    <w:rPr>
                      <w:rFonts w:ascii="Times New Roman" w:hAnsi="Times New Roman" w:eastAsia="Times New Roman" w:cs="Times New Roman"/>
                      <w:sz w:val="20"/>
                      <w:szCs w:val="20"/>
                    </w:rPr>
                    <w:t>190</w:t>
                  </w:r>
                  <w:r>
                    <w:rPr>
                      <w:rFonts w:ascii="Times New Roman" w:hAnsi="Times New Roman" w:eastAsia="Times New Roman" w:cs="Times New Roman"/>
                      <w:sz w:val="20"/>
                      <w:szCs w:val="20"/>
                      <w:spacing w:val="15"/>
                      <w:w w:val="101"/>
                    </w:rPr>
                    <w:t xml:space="preserve"> </w:t>
                  </w:r>
                  <w:r>
                    <w:rPr>
                      <w:sz w:val="20"/>
                      <w:szCs w:val="20"/>
                    </w:rPr>
                    <w:t>–</w:t>
                  </w:r>
                  <w:r>
                    <w:rPr>
                      <w:rFonts w:ascii="Times New Roman" w:hAnsi="Times New Roman" w:eastAsia="Times New Roman" w:cs="Times New Roman"/>
                      <w:sz w:val="20"/>
                      <w:szCs w:val="20"/>
                    </w:rPr>
                    <w:t>210</w:t>
                  </w:r>
                  <w:r>
                    <w:rPr>
                      <w:sz w:val="20"/>
                      <w:szCs w:val="20"/>
                    </w:rPr>
                    <w:t>℃)</w:t>
                  </w:r>
                  <w:r>
                    <w:rPr>
                      <w:sz w:val="20"/>
                      <w:szCs w:val="20"/>
                      <w:spacing w:val="33"/>
                    </w:rPr>
                    <w:t xml:space="preserve"> </w:t>
                  </w:r>
                  <w:r>
                    <w:rPr>
                      <w:sz w:val="20"/>
                      <w:szCs w:val="20"/>
                    </w:rPr>
                    <w:t>,</w:t>
                  </w:r>
                  <w:r>
                    <w:rPr>
                      <w:sz w:val="20"/>
                      <w:szCs w:val="20"/>
                      <w:spacing w:val="51"/>
                    </w:rPr>
                    <w:t xml:space="preserve"> </w:t>
                  </w:r>
                  <w:r>
                    <w:rPr>
                      <w:sz w:val="20"/>
                      <w:szCs w:val="20"/>
                    </w:rPr>
                    <w:t>过氧化物催</w:t>
                  </w:r>
                </w:p>
                <w:p>
                  <w:pPr>
                    <w:pStyle w:val="TableText"/>
                    <w:ind w:left="312"/>
                    <w:spacing w:before="56" w:line="228" w:lineRule="auto"/>
                    <w:rPr>
                      <w:sz w:val="20"/>
                      <w:szCs w:val="20"/>
                    </w:rPr>
                  </w:pPr>
                  <w:r>
                    <w:rPr>
                      <w:sz w:val="20"/>
                      <w:szCs w:val="20"/>
                      <w:spacing w:val="9"/>
                    </w:rPr>
                    <w:t>化条件下自由基聚合，生产出的则是低密度聚乙烯</w:t>
                  </w:r>
                </w:p>
                <w:p>
                  <w:pPr>
                    <w:pStyle w:val="TableText"/>
                    <w:ind w:left="122"/>
                    <w:spacing w:before="53" w:line="228" w:lineRule="auto"/>
                    <w:rPr>
                      <w:sz w:val="20"/>
                      <w:szCs w:val="20"/>
                    </w:rPr>
                  </w:pPr>
                  <w:r>
                    <w:rPr>
                      <w:sz w:val="20"/>
                      <w:szCs w:val="20"/>
                      <w:spacing w:val="10"/>
                    </w:rPr>
                    <w:t>（</w:t>
                  </w:r>
                  <w:r>
                    <w:rPr>
                      <w:rFonts w:ascii="Times New Roman" w:hAnsi="Times New Roman" w:eastAsia="Times New Roman" w:cs="Times New Roman"/>
                      <w:sz w:val="20"/>
                      <w:szCs w:val="20"/>
                    </w:rPr>
                    <w:t>LDPE</w:t>
                  </w:r>
                  <w:r>
                    <w:rPr>
                      <w:sz w:val="20"/>
                      <w:szCs w:val="20"/>
                      <w:spacing w:val="19"/>
                    </w:rPr>
                    <w:t>），</w:t>
                  </w:r>
                  <w:r>
                    <w:rPr>
                      <w:sz w:val="20"/>
                      <w:szCs w:val="20"/>
                      <w:spacing w:val="10"/>
                    </w:rPr>
                    <w:t>它是支化结构的。低密度聚乙烯（</w:t>
                  </w:r>
                  <w:r>
                    <w:rPr>
                      <w:rFonts w:ascii="Times New Roman" w:hAnsi="Times New Roman" w:eastAsia="Times New Roman" w:cs="Times New Roman"/>
                      <w:sz w:val="20"/>
                      <w:szCs w:val="20"/>
                    </w:rPr>
                    <w:t>LDPE</w:t>
                  </w:r>
                  <w:r>
                    <w:rPr>
                      <w:sz w:val="20"/>
                      <w:szCs w:val="20"/>
                      <w:spacing w:val="10"/>
                    </w:rPr>
                    <w:t>）</w:t>
                  </w:r>
                </w:p>
                <w:p>
                  <w:pPr>
                    <w:pStyle w:val="TableText"/>
                    <w:ind w:right="11"/>
                    <w:spacing w:before="53" w:line="217" w:lineRule="auto"/>
                    <w:jc w:val="right"/>
                    <w:rPr>
                      <w:sz w:val="20"/>
                      <w:szCs w:val="20"/>
                    </w:rPr>
                  </w:pPr>
                  <w:r>
                    <w:rPr>
                      <w:sz w:val="20"/>
                      <w:szCs w:val="20"/>
                      <w:spacing w:val="3"/>
                    </w:rPr>
                    <w:t>因密度较低，材质最软，主要用在塑胶袋、农业用膜等。</w:t>
                  </w:r>
                </w:p>
              </w:tc>
              <w:tc>
                <w:tcPr>
                  <w:tcW w:w="1108" w:type="dxa"/>
                  <w:vAlign w:val="top"/>
                  <w:vMerge w:val="continue"/>
                  <w:tcBorders>
                    <w:bottom w:val="single" w:color="000000" w:sz="10" w:space="0"/>
                    <w:right w:val="nil"/>
                    <w:top w:val="nil"/>
                  </w:tcBorders>
                </w:tcPr>
                <w:p>
                  <w:pPr>
                    <w:rPr>
                      <w:rFonts w:ascii="Arial"/>
                      <w:sz w:val="21"/>
                    </w:rPr>
                  </w:pPr>
                  <w:r/>
                </w:p>
              </w:tc>
            </w:tr>
          </w:tbl>
          <w:p>
            <w:pPr>
              <w:pStyle w:val="TableText"/>
              <w:ind w:right="37"/>
              <w:spacing w:before="195" w:line="219" w:lineRule="auto"/>
              <w:jc w:val="right"/>
              <w:rPr/>
            </w:pPr>
            <w:r>
              <w:rPr>
                <w:spacing w:val="-1"/>
              </w:rPr>
              <w:t>项目所使用聚乙烯颗粒均为原生产品，不使用再生的聚乙烯颗粒原料。</w:t>
            </w:r>
          </w:p>
        </w:tc>
      </w:tr>
    </w:tbl>
    <w:p>
      <w:pPr>
        <w:pStyle w:val="BodyText"/>
        <w:rPr/>
      </w:pPr>
      <w:r/>
    </w:p>
    <w:p>
      <w:pPr>
        <w:sectPr>
          <w:headerReference w:type="default" r:id="rId3"/>
          <w:footerReference w:type="default" r:id="rId160"/>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59"/>
        <w:gridCol w:w="832"/>
        <w:gridCol w:w="1168"/>
        <w:gridCol w:w="700"/>
        <w:gridCol w:w="735"/>
        <w:gridCol w:w="3260"/>
        <w:gridCol w:w="1372"/>
      </w:tblGrid>
      <w:tr>
        <w:trPr>
          <w:trHeight w:val="919" w:hRule="atLeast"/>
        </w:trPr>
        <w:tc>
          <w:tcPr>
            <w:tcW w:w="459" w:type="dxa"/>
            <w:vAlign w:val="top"/>
            <w:vMerge w:val="restart"/>
            <w:tcBorders>
              <w:bottom w:val="nil"/>
            </w:tcBorders>
          </w:tcPr>
          <w:p>
            <w:pPr>
              <w:rPr>
                <w:rFonts w:ascii="Arial"/>
                <w:sz w:val="21"/>
              </w:rPr>
            </w:pPr>
            <w:r/>
          </w:p>
        </w:tc>
        <w:tc>
          <w:tcPr>
            <w:tcW w:w="8067" w:type="dxa"/>
            <w:vAlign w:val="top"/>
            <w:gridSpan w:val="6"/>
            <w:tcBorders>
              <w:bottom w:val="single" w:color="000000" w:sz="10" w:space="0"/>
            </w:tcBorders>
          </w:tcPr>
          <w:p>
            <w:pPr>
              <w:pStyle w:val="TableText"/>
              <w:ind w:left="605"/>
              <w:spacing w:before="200" w:line="219" w:lineRule="auto"/>
              <w:rPr/>
            </w:pPr>
            <w:r>
              <w:rPr>
                <w:spacing w:val="-2"/>
              </w:rPr>
              <w:t>（</w:t>
            </w:r>
            <w:r>
              <w:rPr>
                <w:rFonts w:ascii="Times New Roman" w:hAnsi="Times New Roman" w:eastAsia="Times New Roman" w:cs="Times New Roman"/>
                <w:spacing w:val="-2"/>
              </w:rPr>
              <w:t>2</w:t>
            </w:r>
            <w:r>
              <w:rPr>
                <w:spacing w:val="-2"/>
              </w:rPr>
              <w:t>）产品方案及产品指标</w:t>
            </w:r>
          </w:p>
          <w:p>
            <w:pPr>
              <w:pStyle w:val="TableText"/>
              <w:ind w:left="3125"/>
              <w:spacing w:before="135" w:line="219" w:lineRule="auto"/>
              <w:rPr/>
            </w:pPr>
            <w:r>
              <w:rPr>
                <w14:textOutline w14:w="4358" w14:cap="sq" w14:cmpd="sng">
                  <w14:solidFill>
                    <w14:srgbClr w14:val="000000"/>
                  </w14:solidFill>
                  <w14:prstDash w14:val="solid"/>
                  <w14:bevel/>
                </w14:textOutline>
                <w:spacing w:val="-1"/>
              </w:rPr>
              <w:t>表</w:t>
            </w:r>
            <w:r>
              <w:rPr>
                <w:rFonts w:ascii="Times New Roman" w:hAnsi="Times New Roman" w:eastAsia="Times New Roman" w:cs="Times New Roman"/>
                <w:b/>
                <w:bCs/>
                <w:spacing w:val="-1"/>
              </w:rPr>
              <w:t>2.4-3  </w:t>
            </w:r>
            <w:r>
              <w:rPr>
                <w14:textOutline w14:w="4358" w14:cap="sq" w14:cmpd="sng">
                  <w14:solidFill>
                    <w14:srgbClr w14:val="000000"/>
                  </w14:solidFill>
                  <w14:prstDash w14:val="solid"/>
                  <w14:bevel/>
                </w14:textOutline>
                <w:spacing w:val="-1"/>
              </w:rPr>
              <w:t>产品方案</w:t>
            </w:r>
          </w:p>
        </w:tc>
      </w:tr>
      <w:tr>
        <w:trPr>
          <w:trHeight w:val="399" w:hRule="atLeast"/>
        </w:trPr>
        <w:tc>
          <w:tcPr>
            <w:tcW w:w="459" w:type="dxa"/>
            <w:vAlign w:val="top"/>
            <w:vMerge w:val="continue"/>
            <w:tcBorders>
              <w:top w:val="nil"/>
              <w:bottom w:val="nil"/>
            </w:tcBorders>
          </w:tcPr>
          <w:p>
            <w:pPr>
              <w:rPr>
                <w:rFonts w:ascii="Arial"/>
                <w:sz w:val="21"/>
              </w:rPr>
            </w:pPr>
            <w:r/>
          </w:p>
        </w:tc>
        <w:tc>
          <w:tcPr>
            <w:tcW w:w="832" w:type="dxa"/>
            <w:vAlign w:val="top"/>
            <w:tcBorders>
              <w:top w:val="single" w:color="000000" w:sz="10" w:space="0"/>
            </w:tcBorders>
          </w:tcPr>
          <w:p>
            <w:pPr>
              <w:pStyle w:val="TableText"/>
              <w:ind w:left="251"/>
              <w:spacing w:before="120" w:line="229" w:lineRule="auto"/>
              <w:rPr>
                <w:sz w:val="20"/>
                <w:szCs w:val="20"/>
              </w:rPr>
            </w:pPr>
            <w:r>
              <w:rPr>
                <w:sz w:val="20"/>
                <w:szCs w:val="20"/>
                <w:spacing w:val="5"/>
              </w:rPr>
              <w:t>序号</w:t>
            </w:r>
          </w:p>
        </w:tc>
        <w:tc>
          <w:tcPr>
            <w:tcW w:w="1168" w:type="dxa"/>
            <w:vAlign w:val="top"/>
            <w:tcBorders>
              <w:top w:val="single" w:color="000000" w:sz="10" w:space="0"/>
            </w:tcBorders>
          </w:tcPr>
          <w:p>
            <w:pPr>
              <w:pStyle w:val="TableText"/>
              <w:ind w:left="168"/>
              <w:spacing w:before="120" w:line="228" w:lineRule="auto"/>
              <w:rPr>
                <w:sz w:val="20"/>
                <w:szCs w:val="20"/>
              </w:rPr>
            </w:pPr>
            <w:r>
              <w:rPr>
                <w:sz w:val="20"/>
                <w:szCs w:val="20"/>
                <w:spacing w:val="7"/>
              </w:rPr>
              <w:t>产品名称</w:t>
            </w:r>
          </w:p>
        </w:tc>
        <w:tc>
          <w:tcPr>
            <w:tcW w:w="700" w:type="dxa"/>
            <w:vAlign w:val="top"/>
            <w:tcBorders>
              <w:top w:val="single" w:color="000000" w:sz="10" w:space="0"/>
            </w:tcBorders>
          </w:tcPr>
          <w:p>
            <w:pPr>
              <w:pStyle w:val="TableText"/>
              <w:ind w:left="147"/>
              <w:spacing w:before="120" w:line="228" w:lineRule="auto"/>
              <w:rPr>
                <w:sz w:val="20"/>
                <w:szCs w:val="20"/>
              </w:rPr>
            </w:pPr>
            <w:r>
              <w:rPr>
                <w:sz w:val="20"/>
                <w:szCs w:val="20"/>
                <w:spacing w:val="3"/>
              </w:rPr>
              <w:t>单位</w:t>
            </w:r>
          </w:p>
        </w:tc>
        <w:tc>
          <w:tcPr>
            <w:tcW w:w="735" w:type="dxa"/>
            <w:vAlign w:val="top"/>
            <w:tcBorders>
              <w:top w:val="single" w:color="000000" w:sz="10" w:space="0"/>
            </w:tcBorders>
          </w:tcPr>
          <w:p>
            <w:pPr>
              <w:pStyle w:val="TableText"/>
              <w:ind w:left="163"/>
              <w:spacing w:before="120" w:line="228" w:lineRule="auto"/>
              <w:rPr>
                <w:sz w:val="20"/>
                <w:szCs w:val="20"/>
              </w:rPr>
            </w:pPr>
            <w:r>
              <w:rPr>
                <w:sz w:val="20"/>
                <w:szCs w:val="20"/>
                <w:spacing w:val="4"/>
              </w:rPr>
              <w:t>产能</w:t>
            </w:r>
          </w:p>
        </w:tc>
        <w:tc>
          <w:tcPr>
            <w:tcW w:w="3260" w:type="dxa"/>
            <w:vAlign w:val="top"/>
            <w:tcBorders>
              <w:top w:val="single" w:color="000000" w:sz="10" w:space="0"/>
            </w:tcBorders>
          </w:tcPr>
          <w:p>
            <w:pPr>
              <w:pStyle w:val="TableText"/>
              <w:ind w:left="1428"/>
              <w:spacing w:before="98" w:line="228" w:lineRule="auto"/>
              <w:rPr>
                <w:sz w:val="20"/>
                <w:szCs w:val="20"/>
              </w:rPr>
            </w:pPr>
            <w:r>
              <w:rPr>
                <w:sz w:val="20"/>
                <w:szCs w:val="20"/>
                <w:spacing w:val="4"/>
              </w:rPr>
              <w:t>规格</w:t>
            </w:r>
          </w:p>
        </w:tc>
        <w:tc>
          <w:tcPr>
            <w:tcW w:w="1372" w:type="dxa"/>
            <w:vAlign w:val="top"/>
            <w:tcBorders>
              <w:top w:val="single" w:color="000000" w:sz="10" w:space="0"/>
            </w:tcBorders>
          </w:tcPr>
          <w:p>
            <w:pPr>
              <w:pStyle w:val="TableText"/>
              <w:ind w:left="440"/>
              <w:spacing w:before="120" w:line="229" w:lineRule="auto"/>
              <w:rPr>
                <w:sz w:val="20"/>
                <w:szCs w:val="20"/>
              </w:rPr>
            </w:pPr>
            <w:r>
              <w:rPr>
                <w:sz w:val="20"/>
                <w:szCs w:val="20"/>
                <w:spacing w:val="3"/>
              </w:rPr>
              <w:t>备注</w:t>
            </w:r>
          </w:p>
        </w:tc>
      </w:tr>
      <w:tr>
        <w:trPr>
          <w:trHeight w:val="739" w:hRule="atLeast"/>
        </w:trPr>
        <w:tc>
          <w:tcPr>
            <w:tcW w:w="459" w:type="dxa"/>
            <w:vAlign w:val="top"/>
            <w:vMerge w:val="continue"/>
            <w:tcBorders>
              <w:top w:val="nil"/>
              <w:bottom w:val="nil"/>
            </w:tcBorders>
          </w:tcPr>
          <w:p>
            <w:pPr>
              <w:rPr>
                <w:rFonts w:ascii="Arial"/>
                <w:sz w:val="21"/>
              </w:rPr>
            </w:pPr>
            <w:r/>
          </w:p>
        </w:tc>
        <w:tc>
          <w:tcPr>
            <w:tcW w:w="832" w:type="dxa"/>
            <w:vAlign w:val="top"/>
            <w:tcBorders>
              <w:bottom w:val="single" w:color="000000" w:sz="10" w:space="0"/>
            </w:tcBorders>
          </w:tcPr>
          <w:p>
            <w:pPr>
              <w:spacing w:line="269" w:lineRule="auto"/>
              <w:rPr>
                <w:rFonts w:ascii="Arial"/>
                <w:sz w:val="21"/>
              </w:rPr>
            </w:pPr>
            <w:r/>
          </w:p>
          <w:p>
            <w:pPr>
              <w:ind w:left="426"/>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68" w:type="dxa"/>
            <w:vAlign w:val="top"/>
            <w:tcBorders>
              <w:bottom w:val="single" w:color="000000" w:sz="10" w:space="0"/>
            </w:tcBorders>
          </w:tcPr>
          <w:p>
            <w:pPr>
              <w:pStyle w:val="TableText"/>
              <w:ind w:left="168"/>
              <w:spacing w:before="292" w:line="228" w:lineRule="auto"/>
              <w:rPr>
                <w:sz w:val="20"/>
                <w:szCs w:val="20"/>
              </w:rPr>
            </w:pPr>
            <w:r>
              <w:rPr>
                <w:sz w:val="20"/>
                <w:szCs w:val="20"/>
                <w:spacing w:val="7"/>
              </w:rPr>
              <w:t>农用地膜</w:t>
            </w:r>
          </w:p>
        </w:tc>
        <w:tc>
          <w:tcPr>
            <w:tcW w:w="700" w:type="dxa"/>
            <w:vAlign w:val="top"/>
            <w:tcBorders>
              <w:bottom w:val="single" w:color="000000" w:sz="10" w:space="0"/>
            </w:tcBorders>
          </w:tcPr>
          <w:p>
            <w:pPr>
              <w:spacing w:line="265" w:lineRule="auto"/>
              <w:rPr>
                <w:rFonts w:ascii="Arial"/>
                <w:sz w:val="21"/>
              </w:rPr>
            </w:pPr>
            <w:r/>
          </w:p>
          <w:p>
            <w:pPr>
              <w:ind w:left="245"/>
              <w:spacing w:before="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t/a</w:t>
            </w:r>
          </w:p>
        </w:tc>
        <w:tc>
          <w:tcPr>
            <w:tcW w:w="735" w:type="dxa"/>
            <w:vAlign w:val="top"/>
            <w:tcBorders>
              <w:bottom w:val="single" w:color="000000" w:sz="10" w:space="0"/>
            </w:tcBorders>
          </w:tcPr>
          <w:p>
            <w:pPr>
              <w:spacing w:line="269" w:lineRule="auto"/>
              <w:rPr>
                <w:rFonts w:ascii="Arial"/>
                <w:sz w:val="21"/>
              </w:rPr>
            </w:pPr>
            <w:r/>
          </w:p>
          <w:p>
            <w:pPr>
              <w:ind w:left="218"/>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500</w:t>
            </w:r>
          </w:p>
        </w:tc>
        <w:tc>
          <w:tcPr>
            <w:tcW w:w="3260" w:type="dxa"/>
            <w:vAlign w:val="top"/>
            <w:tcBorders>
              <w:bottom w:val="single" w:color="000000" w:sz="10" w:space="0"/>
            </w:tcBorders>
          </w:tcPr>
          <w:p>
            <w:pPr>
              <w:pStyle w:val="TableText"/>
              <w:ind w:left="494" w:right="186" w:hanging="297"/>
              <w:spacing w:before="113" w:line="280" w:lineRule="auto"/>
              <w:rPr>
                <w:rFonts w:ascii="Times New Roman" w:hAnsi="Times New Roman" w:eastAsia="Times New Roman" w:cs="Times New Roman"/>
                <w:sz w:val="20"/>
                <w:szCs w:val="20"/>
              </w:rPr>
            </w:pPr>
            <w:r>
              <w:rPr>
                <w:sz w:val="20"/>
                <w:szCs w:val="20"/>
                <w:spacing w:val="5"/>
              </w:rPr>
              <w:t>制品宽度：</w:t>
            </w:r>
            <w:r>
              <w:rPr>
                <w:rFonts w:ascii="Times New Roman" w:hAnsi="Times New Roman" w:eastAsia="Times New Roman" w:cs="Times New Roman"/>
                <w:sz w:val="20"/>
                <w:szCs w:val="20"/>
                <w:spacing w:val="5"/>
              </w:rPr>
              <w:t>800~</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spacing w:val="5"/>
              </w:rPr>
              <w:t>1500</w:t>
            </w:r>
            <w:r>
              <w:rPr>
                <w:rFonts w:ascii="Times New Roman" w:hAnsi="Times New Roman" w:eastAsia="Times New Roman" w:cs="Times New Roman"/>
                <w:sz w:val="20"/>
                <w:szCs w:val="20"/>
              </w:rPr>
              <w:t>mm</w:t>
            </w:r>
            <w:r>
              <w:rPr>
                <w:rFonts w:ascii="Times New Roman" w:hAnsi="Times New Roman" w:eastAsia="Times New Roman" w:cs="Times New Roman"/>
                <w:sz w:val="20"/>
                <w:szCs w:val="20"/>
                <w:spacing w:val="5"/>
              </w:rPr>
              <w:t>&lt;</w:t>
            </w:r>
            <w:r>
              <w:rPr>
                <w:sz w:val="20"/>
                <w:szCs w:val="20"/>
                <w:spacing w:val="5"/>
              </w:rPr>
              <w:t>折径</w:t>
            </w:r>
            <w:r>
              <w:rPr>
                <w:rFonts w:ascii="Times New Roman" w:hAnsi="Times New Roman" w:eastAsia="Times New Roman" w:cs="Times New Roman"/>
                <w:sz w:val="20"/>
                <w:szCs w:val="20"/>
                <w:spacing w:val="5"/>
              </w:rPr>
              <w:t>&gt;</w:t>
            </w:r>
            <w:r>
              <w:rPr>
                <w:rFonts w:ascii="Times New Roman" w:hAnsi="Times New Roman" w:eastAsia="Times New Roman" w:cs="Times New Roman"/>
                <w:sz w:val="20"/>
                <w:szCs w:val="20"/>
              </w:rPr>
              <w:t xml:space="preserve"> </w:t>
            </w:r>
            <w:r>
              <w:rPr>
                <w:sz w:val="20"/>
                <w:szCs w:val="20"/>
                <w:spacing w:val="6"/>
              </w:rPr>
              <w:t>制品厚度：</w:t>
            </w:r>
            <w:r>
              <w:rPr>
                <w:rFonts w:ascii="Times New Roman" w:hAnsi="Times New Roman" w:eastAsia="Times New Roman" w:cs="Times New Roman"/>
                <w:sz w:val="20"/>
                <w:szCs w:val="20"/>
                <w:spacing w:val="6"/>
              </w:rPr>
              <w:t>0.004-0.08</w:t>
            </w:r>
            <w:r>
              <w:rPr>
                <w:rFonts w:ascii="Times New Roman" w:hAnsi="Times New Roman" w:eastAsia="Times New Roman" w:cs="Times New Roman"/>
                <w:sz w:val="20"/>
                <w:szCs w:val="20"/>
              </w:rPr>
              <w:t>mm</w:t>
            </w:r>
          </w:p>
        </w:tc>
        <w:tc>
          <w:tcPr>
            <w:tcW w:w="1372" w:type="dxa"/>
            <w:vAlign w:val="top"/>
            <w:tcBorders>
              <w:bottom w:val="single" w:color="000000" w:sz="10" w:space="0"/>
            </w:tcBorders>
          </w:tcPr>
          <w:p>
            <w:pPr>
              <w:pStyle w:val="TableText"/>
              <w:ind w:left="253" w:right="202" w:hanging="130"/>
              <w:spacing w:before="112" w:line="280" w:lineRule="auto"/>
              <w:rPr>
                <w:rFonts w:ascii="Times New Roman" w:hAnsi="Times New Roman" w:eastAsia="Times New Roman" w:cs="Times New Roman"/>
                <w:sz w:val="20"/>
                <w:szCs w:val="20"/>
              </w:rPr>
            </w:pPr>
            <w:r>
              <w:rPr>
                <w:sz w:val="20"/>
                <w:szCs w:val="20"/>
                <w:spacing w:val="8"/>
              </w:rPr>
              <w:t>每条生产线</w:t>
            </w:r>
            <w:r>
              <w:rPr>
                <w:sz w:val="20"/>
                <w:szCs w:val="20"/>
              </w:rPr>
              <w:t xml:space="preserve"> </w:t>
            </w:r>
            <w:r>
              <w:rPr>
                <w:sz w:val="20"/>
                <w:szCs w:val="20"/>
                <w:spacing w:val="5"/>
              </w:rPr>
              <w:t>年产</w:t>
            </w:r>
            <w:r>
              <w:rPr>
                <w:rFonts w:ascii="Times New Roman" w:hAnsi="Times New Roman" w:eastAsia="Times New Roman" w:cs="Times New Roman"/>
                <w:sz w:val="20"/>
                <w:szCs w:val="20"/>
                <w:spacing w:val="5"/>
              </w:rPr>
              <w:t>250t</w:t>
            </w:r>
          </w:p>
        </w:tc>
      </w:tr>
      <w:tr>
        <w:trPr>
          <w:trHeight w:val="11304" w:hRule="atLeast"/>
        </w:trPr>
        <w:tc>
          <w:tcPr>
            <w:tcW w:w="459" w:type="dxa"/>
            <w:vAlign w:val="top"/>
            <w:vMerge w:val="continue"/>
            <w:tcBorders>
              <w:top w:val="nil"/>
            </w:tcBorders>
          </w:tcPr>
          <w:p>
            <w:pPr>
              <w:rPr>
                <w:rFonts w:ascii="Arial"/>
                <w:sz w:val="21"/>
              </w:rPr>
            </w:pPr>
            <w:r/>
          </w:p>
        </w:tc>
        <w:tc>
          <w:tcPr>
            <w:tcW w:w="8067" w:type="dxa"/>
            <w:vAlign w:val="top"/>
            <w:gridSpan w:val="6"/>
            <w:tcBorders>
              <w:top w:val="single" w:color="000000" w:sz="10" w:space="0"/>
            </w:tcBorders>
          </w:tcPr>
          <w:p>
            <w:pPr>
              <w:pStyle w:val="TableText"/>
              <w:ind w:left="605"/>
              <w:spacing w:before="185" w:line="502" w:lineRule="exact"/>
              <w:rPr/>
            </w:pPr>
            <w:r>
              <w:rPr>
                <w:spacing w:val="-1"/>
                <w:position w:val="20"/>
              </w:rPr>
              <w:t>（</w:t>
            </w:r>
            <w:r>
              <w:rPr>
                <w:rFonts w:ascii="Times New Roman" w:hAnsi="Times New Roman" w:eastAsia="Times New Roman" w:cs="Times New Roman"/>
                <w:spacing w:val="-1"/>
                <w:position w:val="20"/>
              </w:rPr>
              <w:t>3</w:t>
            </w:r>
            <w:r>
              <w:rPr>
                <w:spacing w:val="-1"/>
                <w:position w:val="20"/>
              </w:rPr>
              <w:t>）本项目建设完成后全厂原料和产品变化情况</w:t>
            </w:r>
          </w:p>
          <w:p>
            <w:pPr>
              <w:pStyle w:val="TableText"/>
              <w:ind w:left="595"/>
              <w:spacing w:line="218" w:lineRule="auto"/>
              <w:rPr/>
            </w:pPr>
            <w:r>
              <w:rPr>
                <w:spacing w:val="-1"/>
              </w:rPr>
              <w:t>本项目建设完成后原辅料变化情况见表</w:t>
            </w:r>
            <w:r>
              <w:rPr>
                <w:rFonts w:ascii="Times New Roman" w:hAnsi="Times New Roman" w:eastAsia="Times New Roman" w:cs="Times New Roman"/>
                <w:spacing w:val="-1"/>
              </w:rPr>
              <w:t>2.4-4</w:t>
            </w:r>
            <w:r>
              <w:rPr>
                <w:spacing w:val="-1"/>
              </w:rPr>
              <w:t>。</w:t>
            </w:r>
          </w:p>
          <w:p>
            <w:pPr>
              <w:pStyle w:val="TableText"/>
              <w:ind w:left="2765"/>
              <w:spacing w:before="135" w:line="219" w:lineRule="auto"/>
              <w:rPr/>
            </w:pPr>
            <w:r>
              <w:rPr>
                <w14:textOutline w14:w="4358" w14:cap="sq" w14:cmpd="sng">
                  <w14:solidFill>
                    <w14:srgbClr w14:val="000000"/>
                  </w14:solidFill>
                  <w14:prstDash w14:val="solid"/>
                  <w14:bevel/>
                </w14:textOutline>
                <w:spacing w:val="-1"/>
              </w:rPr>
              <w:t>表</w:t>
            </w:r>
            <w:r>
              <w:rPr>
                <w:rFonts w:ascii="Times New Roman" w:hAnsi="Times New Roman" w:eastAsia="Times New Roman" w:cs="Times New Roman"/>
                <w:b/>
                <w:bCs/>
                <w:spacing w:val="-1"/>
              </w:rPr>
              <w:t>2.4-4  </w:t>
            </w:r>
            <w:r>
              <w:rPr>
                <w14:textOutline w14:w="4358" w14:cap="sq" w14:cmpd="sng">
                  <w14:solidFill>
                    <w14:srgbClr w14:val="000000"/>
                  </w14:solidFill>
                  <w14:prstDash w14:val="solid"/>
                  <w14:bevel/>
                </w14:textOutline>
                <w:spacing w:val="-1"/>
              </w:rPr>
              <w:t>原辅料变化情况</w:t>
            </w:r>
          </w:p>
          <w:tbl>
            <w:tblPr>
              <w:tblStyle w:val="TableNormal"/>
              <w:tblW w:w="7847" w:type="dxa"/>
              <w:tblInd w:w="10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2"/>
              <w:gridCol w:w="1566"/>
              <w:gridCol w:w="1637"/>
              <w:gridCol w:w="1842"/>
              <w:gridCol w:w="1239"/>
              <w:gridCol w:w="891"/>
            </w:tblGrid>
            <w:tr>
              <w:trPr>
                <w:trHeight w:val="365" w:hRule="atLeast"/>
              </w:trPr>
              <w:tc>
                <w:tcPr>
                  <w:tcW w:w="672" w:type="dxa"/>
                  <w:vAlign w:val="top"/>
                  <w:tcBorders>
                    <w:left w:val="nil"/>
                    <w:top w:val="single" w:color="000000" w:sz="10" w:space="0"/>
                  </w:tcBorders>
                </w:tcPr>
                <w:p>
                  <w:pPr>
                    <w:pStyle w:val="TableText"/>
                    <w:ind w:left="133"/>
                    <w:spacing w:before="113" w:line="223" w:lineRule="auto"/>
                    <w:rPr>
                      <w:sz w:val="20"/>
                      <w:szCs w:val="20"/>
                    </w:rPr>
                  </w:pPr>
                  <w:r>
                    <w:rPr>
                      <w:sz w:val="20"/>
                      <w:szCs w:val="20"/>
                      <w:spacing w:val="5"/>
                    </w:rPr>
                    <w:t>序号</w:t>
                  </w:r>
                </w:p>
              </w:tc>
              <w:tc>
                <w:tcPr>
                  <w:tcW w:w="1566" w:type="dxa"/>
                  <w:vAlign w:val="top"/>
                  <w:tcBorders>
                    <w:top w:val="single" w:color="000000" w:sz="10" w:space="0"/>
                  </w:tcBorders>
                </w:tcPr>
                <w:p>
                  <w:pPr>
                    <w:pStyle w:val="TableText"/>
                    <w:ind w:left="268"/>
                    <w:spacing w:before="113" w:line="223" w:lineRule="auto"/>
                    <w:rPr>
                      <w:sz w:val="20"/>
                      <w:szCs w:val="20"/>
                    </w:rPr>
                  </w:pPr>
                  <w:r>
                    <w:rPr>
                      <w:sz w:val="20"/>
                      <w:szCs w:val="20"/>
                      <w:spacing w:val="7"/>
                    </w:rPr>
                    <w:t>原辅料名称</w:t>
                  </w:r>
                </w:p>
              </w:tc>
              <w:tc>
                <w:tcPr>
                  <w:tcW w:w="1637" w:type="dxa"/>
                  <w:vAlign w:val="top"/>
                  <w:tcBorders>
                    <w:top w:val="single" w:color="000000" w:sz="10" w:space="0"/>
                  </w:tcBorders>
                </w:tcPr>
                <w:p>
                  <w:pPr>
                    <w:pStyle w:val="TableText"/>
                    <w:ind w:left="196"/>
                    <w:spacing w:before="113" w:line="223" w:lineRule="auto"/>
                    <w:rPr>
                      <w:sz w:val="20"/>
                      <w:szCs w:val="20"/>
                    </w:rPr>
                  </w:pPr>
                  <w:r>
                    <w:rPr>
                      <w:sz w:val="20"/>
                      <w:szCs w:val="20"/>
                      <w:spacing w:val="7"/>
                    </w:rPr>
                    <w:t>现有工程用量</w:t>
                  </w:r>
                </w:p>
              </w:tc>
              <w:tc>
                <w:tcPr>
                  <w:tcW w:w="1842" w:type="dxa"/>
                  <w:vAlign w:val="top"/>
                  <w:tcBorders>
                    <w:top w:val="single" w:color="000000" w:sz="10" w:space="0"/>
                  </w:tcBorders>
                </w:tcPr>
                <w:p>
                  <w:pPr>
                    <w:pStyle w:val="TableText"/>
                    <w:ind w:left="193"/>
                    <w:spacing w:before="113" w:line="223" w:lineRule="auto"/>
                    <w:rPr>
                      <w:sz w:val="20"/>
                      <w:szCs w:val="20"/>
                    </w:rPr>
                  </w:pPr>
                  <w:r>
                    <w:rPr>
                      <w:sz w:val="20"/>
                      <w:szCs w:val="20"/>
                      <w:spacing w:val="8"/>
                    </w:rPr>
                    <w:t>本项目新增用量</w:t>
                  </w:r>
                </w:p>
              </w:tc>
              <w:tc>
                <w:tcPr>
                  <w:tcW w:w="1239" w:type="dxa"/>
                  <w:vAlign w:val="top"/>
                  <w:tcBorders>
                    <w:top w:val="single" w:color="000000" w:sz="10" w:space="0"/>
                  </w:tcBorders>
                </w:tcPr>
                <w:p>
                  <w:pPr>
                    <w:pStyle w:val="TableText"/>
                    <w:ind w:left="205"/>
                    <w:spacing w:before="113" w:line="223" w:lineRule="auto"/>
                    <w:rPr>
                      <w:sz w:val="20"/>
                      <w:szCs w:val="20"/>
                    </w:rPr>
                  </w:pPr>
                  <w:r>
                    <w:rPr>
                      <w:sz w:val="20"/>
                      <w:szCs w:val="20"/>
                      <w:spacing w:val="7"/>
                    </w:rPr>
                    <w:t>全厂总量</w:t>
                  </w:r>
                </w:p>
              </w:tc>
              <w:tc>
                <w:tcPr>
                  <w:tcW w:w="891" w:type="dxa"/>
                  <w:vAlign w:val="top"/>
                  <w:tcBorders>
                    <w:right w:val="nil"/>
                    <w:top w:val="single" w:color="000000" w:sz="10" w:space="0"/>
                  </w:tcBorders>
                </w:tcPr>
                <w:p>
                  <w:pPr>
                    <w:pStyle w:val="TableText"/>
                    <w:ind w:left="243"/>
                    <w:spacing w:before="113" w:line="223" w:lineRule="auto"/>
                    <w:rPr>
                      <w:sz w:val="20"/>
                      <w:szCs w:val="20"/>
                    </w:rPr>
                  </w:pPr>
                  <w:r>
                    <w:rPr>
                      <w:sz w:val="20"/>
                      <w:szCs w:val="20"/>
                      <w:spacing w:val="3"/>
                    </w:rPr>
                    <w:t>备注</w:t>
                  </w:r>
                </w:p>
              </w:tc>
            </w:tr>
            <w:tr>
              <w:trPr>
                <w:trHeight w:val="361" w:hRule="atLeast"/>
              </w:trPr>
              <w:tc>
                <w:tcPr>
                  <w:tcW w:w="672" w:type="dxa"/>
                  <w:vAlign w:val="top"/>
                  <w:tcBorders>
                    <w:left w:val="nil"/>
                  </w:tcBorders>
                </w:tcPr>
                <w:p>
                  <w:pPr>
                    <w:ind w:left="306"/>
                    <w:spacing w:before="1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66" w:type="dxa"/>
                  <w:vAlign w:val="top"/>
                </w:tcPr>
                <w:p>
                  <w:pPr>
                    <w:pStyle w:val="TableText"/>
                    <w:ind w:left="271"/>
                    <w:spacing w:before="112" w:line="220" w:lineRule="auto"/>
                    <w:rPr>
                      <w:sz w:val="20"/>
                      <w:szCs w:val="20"/>
                    </w:rPr>
                  </w:pPr>
                  <w:r>
                    <w:rPr>
                      <w:sz w:val="20"/>
                      <w:szCs w:val="20"/>
                      <w:spacing w:val="6"/>
                    </w:rPr>
                    <w:t>聚乙烯颗粒</w:t>
                  </w:r>
                </w:p>
              </w:tc>
              <w:tc>
                <w:tcPr>
                  <w:tcW w:w="1637" w:type="dxa"/>
                  <w:vAlign w:val="top"/>
                </w:tcPr>
                <w:p>
                  <w:pPr>
                    <w:ind w:left="578"/>
                    <w:spacing w:before="14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100t/a</w:t>
                  </w:r>
                </w:p>
              </w:tc>
              <w:tc>
                <w:tcPr>
                  <w:tcW w:w="1842" w:type="dxa"/>
                  <w:vAlign w:val="top"/>
                </w:tcPr>
                <w:p>
                  <w:pPr>
                    <w:ind w:left="667"/>
                    <w:spacing w:before="14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510t/a</w:t>
                  </w:r>
                </w:p>
              </w:tc>
              <w:tc>
                <w:tcPr>
                  <w:tcW w:w="1239" w:type="dxa"/>
                  <w:vAlign w:val="top"/>
                </w:tcPr>
                <w:p>
                  <w:pPr>
                    <w:ind w:left="364"/>
                    <w:spacing w:before="14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610t/a</w:t>
                  </w:r>
                </w:p>
              </w:tc>
              <w:tc>
                <w:tcPr>
                  <w:tcW w:w="891" w:type="dxa"/>
                  <w:vAlign w:val="top"/>
                  <w:tcBorders>
                    <w:right w:val="nil"/>
                  </w:tcBorders>
                </w:tcPr>
                <w:p>
                  <w:pPr>
                    <w:ind w:left="415"/>
                    <w:spacing w:before="14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61" w:hRule="atLeast"/>
              </w:trPr>
              <w:tc>
                <w:tcPr>
                  <w:tcW w:w="672" w:type="dxa"/>
                  <w:vAlign w:val="top"/>
                  <w:tcBorders>
                    <w:left w:val="nil"/>
                  </w:tcBorders>
                </w:tcPr>
                <w:p>
                  <w:pPr>
                    <w:ind w:left="286"/>
                    <w:spacing w:before="15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566" w:type="dxa"/>
                  <w:vAlign w:val="top"/>
                </w:tcPr>
                <w:p>
                  <w:pPr>
                    <w:pStyle w:val="TableText"/>
                    <w:ind w:left="369"/>
                    <w:spacing w:before="115" w:line="217" w:lineRule="auto"/>
                    <w:rPr>
                      <w:sz w:val="20"/>
                      <w:szCs w:val="20"/>
                    </w:rPr>
                  </w:pPr>
                  <w:r>
                    <w:rPr>
                      <w:sz w:val="20"/>
                      <w:szCs w:val="20"/>
                      <w:spacing w:val="7"/>
                    </w:rPr>
                    <w:t>抗老化剂</w:t>
                  </w:r>
                </w:p>
              </w:tc>
              <w:tc>
                <w:tcPr>
                  <w:tcW w:w="1637" w:type="dxa"/>
                  <w:vAlign w:val="top"/>
                </w:tcPr>
                <w:p>
                  <w:pPr>
                    <w:ind w:left="669"/>
                    <w:spacing w:before="14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5t/a</w:t>
                  </w:r>
                </w:p>
              </w:tc>
              <w:tc>
                <w:tcPr>
                  <w:tcW w:w="1842" w:type="dxa"/>
                  <w:vAlign w:val="top"/>
                </w:tcPr>
                <w:p>
                  <w:pPr>
                    <w:ind w:left="770"/>
                    <w:spacing w:before="14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5t/a</w:t>
                  </w:r>
                </w:p>
              </w:tc>
              <w:tc>
                <w:tcPr>
                  <w:tcW w:w="1239" w:type="dxa"/>
                  <w:vAlign w:val="top"/>
                </w:tcPr>
                <w:p>
                  <w:pPr>
                    <w:ind w:left="430"/>
                    <w:spacing w:before="14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10t/a</w:t>
                  </w:r>
                </w:p>
              </w:tc>
              <w:tc>
                <w:tcPr>
                  <w:tcW w:w="891" w:type="dxa"/>
                  <w:vAlign w:val="top"/>
                  <w:tcBorders>
                    <w:right w:val="nil"/>
                  </w:tcBorders>
                </w:tcPr>
                <w:p>
                  <w:pPr>
                    <w:ind w:left="415"/>
                    <w:spacing w:before="14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61" w:hRule="atLeast"/>
              </w:trPr>
              <w:tc>
                <w:tcPr>
                  <w:tcW w:w="672" w:type="dxa"/>
                  <w:vAlign w:val="top"/>
                  <w:tcBorders>
                    <w:left w:val="nil"/>
                  </w:tcBorders>
                </w:tcPr>
                <w:p>
                  <w:pPr>
                    <w:ind w:left="290"/>
                    <w:spacing w:before="1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566" w:type="dxa"/>
                  <w:vAlign w:val="top"/>
                </w:tcPr>
                <w:p>
                  <w:pPr>
                    <w:pStyle w:val="TableText"/>
                    <w:ind w:left="262"/>
                    <w:spacing w:before="122" w:line="211" w:lineRule="auto"/>
                    <w:rPr>
                      <w:sz w:val="20"/>
                      <w:szCs w:val="20"/>
                    </w:rPr>
                  </w:pPr>
                  <w:r>
                    <w:rPr>
                      <w:sz w:val="20"/>
                      <w:szCs w:val="20"/>
                      <w:spacing w:val="8"/>
                    </w:rPr>
                    <w:t>废旧滴灌带</w:t>
                  </w:r>
                </w:p>
              </w:tc>
              <w:tc>
                <w:tcPr>
                  <w:tcW w:w="1637" w:type="dxa"/>
                  <w:vAlign w:val="top"/>
                </w:tcPr>
                <w:p>
                  <w:pPr>
                    <w:ind w:left="563"/>
                    <w:spacing w:before="15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600t/a</w:t>
                  </w:r>
                </w:p>
              </w:tc>
              <w:tc>
                <w:tcPr>
                  <w:tcW w:w="1842" w:type="dxa"/>
                  <w:vAlign w:val="top"/>
                </w:tcPr>
                <w:p>
                  <w:pPr>
                    <w:ind w:left="767"/>
                    <w:spacing w:before="15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0t/a</w:t>
                  </w:r>
                </w:p>
              </w:tc>
              <w:tc>
                <w:tcPr>
                  <w:tcW w:w="1239" w:type="dxa"/>
                  <w:vAlign w:val="top"/>
                </w:tcPr>
                <w:p>
                  <w:pPr>
                    <w:ind w:left="364"/>
                    <w:spacing w:before="15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600t/a</w:t>
                  </w:r>
                </w:p>
              </w:tc>
              <w:tc>
                <w:tcPr>
                  <w:tcW w:w="891" w:type="dxa"/>
                  <w:vAlign w:val="top"/>
                  <w:tcBorders>
                    <w:right w:val="nil"/>
                  </w:tcBorders>
                </w:tcPr>
                <w:p>
                  <w:pPr>
                    <w:ind w:left="415"/>
                    <w:spacing w:before="15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61" w:hRule="atLeast"/>
              </w:trPr>
              <w:tc>
                <w:tcPr>
                  <w:tcW w:w="672" w:type="dxa"/>
                  <w:vAlign w:val="top"/>
                  <w:tcBorders>
                    <w:left w:val="nil"/>
                  </w:tcBorders>
                </w:tcPr>
                <w:p>
                  <w:pPr>
                    <w:ind w:left="285"/>
                    <w:spacing w:before="16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566" w:type="dxa"/>
                  <w:vAlign w:val="top"/>
                </w:tcPr>
                <w:p>
                  <w:pPr>
                    <w:pStyle w:val="TableText"/>
                    <w:ind w:left="476"/>
                    <w:spacing w:before="125" w:line="208" w:lineRule="auto"/>
                    <w:rPr>
                      <w:sz w:val="20"/>
                      <w:szCs w:val="20"/>
                    </w:rPr>
                  </w:pPr>
                  <w:r>
                    <w:rPr>
                      <w:sz w:val="20"/>
                      <w:szCs w:val="20"/>
                      <w:spacing w:val="6"/>
                    </w:rPr>
                    <w:t>纸芯桶</w:t>
                  </w:r>
                </w:p>
              </w:tc>
              <w:tc>
                <w:tcPr>
                  <w:tcW w:w="1637" w:type="dxa"/>
                  <w:vAlign w:val="top"/>
                </w:tcPr>
                <w:p>
                  <w:pPr>
                    <w:ind w:left="631"/>
                    <w:spacing w:before="1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10t/a</w:t>
                  </w:r>
                </w:p>
              </w:tc>
              <w:tc>
                <w:tcPr>
                  <w:tcW w:w="1842" w:type="dxa"/>
                  <w:vAlign w:val="top"/>
                </w:tcPr>
                <w:p>
                  <w:pPr>
                    <w:ind w:left="734"/>
                    <w:spacing w:before="1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10t/a</w:t>
                  </w:r>
                </w:p>
              </w:tc>
              <w:tc>
                <w:tcPr>
                  <w:tcW w:w="1239" w:type="dxa"/>
                  <w:vAlign w:val="top"/>
                </w:tcPr>
                <w:p>
                  <w:pPr>
                    <w:ind w:left="410"/>
                    <w:spacing w:before="1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20t/a</w:t>
                  </w:r>
                </w:p>
              </w:tc>
              <w:tc>
                <w:tcPr>
                  <w:tcW w:w="891" w:type="dxa"/>
                  <w:vAlign w:val="top"/>
                  <w:tcBorders>
                    <w:right w:val="nil"/>
                  </w:tcBorders>
                </w:tcPr>
                <w:p>
                  <w:pPr>
                    <w:ind w:left="415"/>
                    <w:spacing w:before="1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84" w:hRule="atLeast"/>
              </w:trPr>
              <w:tc>
                <w:tcPr>
                  <w:tcW w:w="672" w:type="dxa"/>
                  <w:vAlign w:val="top"/>
                  <w:tcBorders>
                    <w:left w:val="nil"/>
                    <w:bottom w:val="single" w:color="000000" w:sz="10" w:space="0"/>
                  </w:tcBorders>
                </w:tcPr>
                <w:p>
                  <w:pPr>
                    <w:ind w:left="291"/>
                    <w:spacing w:before="16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66" w:type="dxa"/>
                  <w:vAlign w:val="top"/>
                  <w:tcBorders>
                    <w:bottom w:val="single" w:color="000000" w:sz="10" w:space="0"/>
                  </w:tcBorders>
                </w:tcPr>
                <w:p>
                  <w:pPr>
                    <w:pStyle w:val="TableText"/>
                    <w:ind w:left="474"/>
                    <w:spacing w:before="129" w:line="226" w:lineRule="auto"/>
                    <w:rPr>
                      <w:sz w:val="20"/>
                      <w:szCs w:val="20"/>
                    </w:rPr>
                  </w:pPr>
                  <w:r>
                    <w:rPr>
                      <w:sz w:val="20"/>
                      <w:szCs w:val="20"/>
                      <w:spacing w:val="6"/>
                    </w:rPr>
                    <w:t>包装袋</w:t>
                  </w:r>
                </w:p>
              </w:tc>
              <w:tc>
                <w:tcPr>
                  <w:tcW w:w="1637" w:type="dxa"/>
                  <w:vAlign w:val="top"/>
                  <w:tcBorders>
                    <w:bottom w:val="single" w:color="000000" w:sz="10" w:space="0"/>
                  </w:tcBorders>
                </w:tcPr>
                <w:p>
                  <w:pPr>
                    <w:ind w:left="672"/>
                    <w:spacing w:before="16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8t/a</w:t>
                  </w:r>
                </w:p>
              </w:tc>
              <w:tc>
                <w:tcPr>
                  <w:tcW w:w="1842" w:type="dxa"/>
                  <w:vAlign w:val="top"/>
                  <w:tcBorders>
                    <w:bottom w:val="single" w:color="000000" w:sz="10" w:space="0"/>
                  </w:tcBorders>
                </w:tcPr>
                <w:p>
                  <w:pPr>
                    <w:ind w:left="773"/>
                    <w:spacing w:before="16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8t/a</w:t>
                  </w:r>
                </w:p>
              </w:tc>
              <w:tc>
                <w:tcPr>
                  <w:tcW w:w="1239" w:type="dxa"/>
                  <w:vAlign w:val="top"/>
                  <w:tcBorders>
                    <w:bottom w:val="single" w:color="000000" w:sz="10" w:space="0"/>
                  </w:tcBorders>
                </w:tcPr>
                <w:p>
                  <w:pPr>
                    <w:ind w:left="430"/>
                    <w:spacing w:before="16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16t/a</w:t>
                  </w:r>
                </w:p>
              </w:tc>
              <w:tc>
                <w:tcPr>
                  <w:tcW w:w="891" w:type="dxa"/>
                  <w:vAlign w:val="top"/>
                  <w:tcBorders>
                    <w:right w:val="nil"/>
                    <w:bottom w:val="single" w:color="000000" w:sz="10" w:space="0"/>
                  </w:tcBorders>
                </w:tcPr>
                <w:p>
                  <w:pPr>
                    <w:ind w:left="415"/>
                    <w:spacing w:before="16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bl>
          <w:p>
            <w:pPr>
              <w:pStyle w:val="TableText"/>
              <w:ind w:left="595"/>
              <w:spacing w:before="196" w:line="219" w:lineRule="auto"/>
              <w:rPr/>
            </w:pPr>
            <w:r>
              <w:rPr>
                <w:spacing w:val="-1"/>
              </w:rPr>
              <w:t>本项目建设完成后产品变化情况见表</w:t>
            </w:r>
            <w:r>
              <w:rPr>
                <w:rFonts w:ascii="Times New Roman" w:hAnsi="Times New Roman" w:eastAsia="Times New Roman" w:cs="Times New Roman"/>
                <w:spacing w:val="-1"/>
              </w:rPr>
              <w:t>2.4-5</w:t>
            </w:r>
            <w:r>
              <w:rPr>
                <w:spacing w:val="-1"/>
              </w:rPr>
              <w:t>。</w:t>
            </w:r>
          </w:p>
          <w:p>
            <w:pPr>
              <w:pStyle w:val="TableText"/>
              <w:ind w:left="2040"/>
              <w:spacing w:before="135" w:line="219" w:lineRule="auto"/>
              <w:rPr/>
            </w:pPr>
            <w:r>
              <w:rPr>
                <w14:textOutline w14:w="4358" w14:cap="sq" w14:cmpd="sng">
                  <w14:solidFill>
                    <w14:srgbClr w14:val="000000"/>
                  </w14:solidFill>
                  <w14:prstDash w14:val="solid"/>
                  <w14:bevel/>
                </w14:textOutline>
              </w:rPr>
              <w:t>表</w:t>
            </w:r>
            <w:r>
              <w:rPr>
                <w:rFonts w:ascii="Times New Roman" w:hAnsi="Times New Roman" w:eastAsia="Times New Roman" w:cs="Times New Roman"/>
                <w:b/>
                <w:bCs/>
              </w:rPr>
              <w:t>2.4-5  </w:t>
            </w:r>
            <w:r>
              <w:rPr>
                <w14:textOutline w14:w="4358" w14:cap="sq" w14:cmpd="sng">
                  <w14:solidFill>
                    <w14:srgbClr w14:val="000000"/>
                  </w14:solidFill>
                  <w14:prstDash w14:val="solid"/>
                  <w14:bevel/>
                </w14:textOutline>
              </w:rPr>
              <w:t>本项目建设前后产品变化情况</w:t>
            </w:r>
          </w:p>
          <w:tbl>
            <w:tblPr>
              <w:tblStyle w:val="TableNormal"/>
              <w:tblW w:w="7847" w:type="dxa"/>
              <w:tblInd w:w="10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3"/>
              <w:gridCol w:w="1512"/>
              <w:gridCol w:w="1992"/>
              <w:gridCol w:w="1827"/>
              <w:gridCol w:w="1145"/>
              <w:gridCol w:w="658"/>
            </w:tblGrid>
            <w:tr>
              <w:trPr>
                <w:trHeight w:val="364" w:hRule="atLeast"/>
              </w:trPr>
              <w:tc>
                <w:tcPr>
                  <w:tcW w:w="713" w:type="dxa"/>
                  <w:vAlign w:val="top"/>
                  <w:tcBorders>
                    <w:top w:val="single" w:color="000000" w:sz="10" w:space="0"/>
                    <w:left w:val="nil"/>
                  </w:tcBorders>
                </w:tcPr>
                <w:p>
                  <w:pPr>
                    <w:pStyle w:val="TableText"/>
                    <w:ind w:left="152"/>
                    <w:spacing w:before="113" w:line="222" w:lineRule="auto"/>
                    <w:rPr>
                      <w:sz w:val="20"/>
                      <w:szCs w:val="20"/>
                    </w:rPr>
                  </w:pPr>
                  <w:r>
                    <w:rPr>
                      <w:sz w:val="20"/>
                      <w:szCs w:val="20"/>
                      <w:spacing w:val="5"/>
                    </w:rPr>
                    <w:t>序号</w:t>
                  </w:r>
                </w:p>
              </w:tc>
              <w:tc>
                <w:tcPr>
                  <w:tcW w:w="1512" w:type="dxa"/>
                  <w:vAlign w:val="top"/>
                  <w:tcBorders>
                    <w:top w:val="single" w:color="000000" w:sz="10" w:space="0"/>
                  </w:tcBorders>
                </w:tcPr>
                <w:p>
                  <w:pPr>
                    <w:pStyle w:val="TableText"/>
                    <w:ind w:left="342"/>
                    <w:spacing w:before="113" w:line="222" w:lineRule="auto"/>
                    <w:rPr>
                      <w:sz w:val="20"/>
                      <w:szCs w:val="20"/>
                    </w:rPr>
                  </w:pPr>
                  <w:r>
                    <w:rPr>
                      <w:sz w:val="20"/>
                      <w:szCs w:val="20"/>
                      <w:spacing w:val="7"/>
                    </w:rPr>
                    <w:t>产品名称</w:t>
                  </w:r>
                </w:p>
              </w:tc>
              <w:tc>
                <w:tcPr>
                  <w:tcW w:w="1992" w:type="dxa"/>
                  <w:vAlign w:val="top"/>
                  <w:tcBorders>
                    <w:top w:val="single" w:color="000000" w:sz="10" w:space="0"/>
                  </w:tcBorders>
                </w:tcPr>
                <w:p>
                  <w:pPr>
                    <w:pStyle w:val="TableText"/>
                    <w:ind w:left="164"/>
                    <w:spacing w:before="113" w:line="222" w:lineRule="auto"/>
                    <w:rPr>
                      <w:sz w:val="20"/>
                      <w:szCs w:val="20"/>
                    </w:rPr>
                  </w:pPr>
                  <w:r>
                    <w:rPr>
                      <w:sz w:val="20"/>
                      <w:szCs w:val="20"/>
                      <w:spacing w:val="8"/>
                    </w:rPr>
                    <w:t>现有工程产品产量</w:t>
                  </w:r>
                </w:p>
              </w:tc>
              <w:tc>
                <w:tcPr>
                  <w:tcW w:w="1827" w:type="dxa"/>
                  <w:vAlign w:val="top"/>
                  <w:tcBorders>
                    <w:top w:val="single" w:color="000000" w:sz="10" w:space="0"/>
                  </w:tcBorders>
                </w:tcPr>
                <w:p>
                  <w:pPr>
                    <w:pStyle w:val="TableText"/>
                    <w:ind w:left="184"/>
                    <w:spacing w:before="113" w:line="222" w:lineRule="auto"/>
                    <w:rPr>
                      <w:sz w:val="20"/>
                      <w:szCs w:val="20"/>
                    </w:rPr>
                  </w:pPr>
                  <w:r>
                    <w:rPr>
                      <w:sz w:val="20"/>
                      <w:szCs w:val="20"/>
                      <w:spacing w:val="8"/>
                    </w:rPr>
                    <w:t>本项目新增用量</w:t>
                  </w:r>
                </w:p>
              </w:tc>
              <w:tc>
                <w:tcPr>
                  <w:tcW w:w="1145" w:type="dxa"/>
                  <w:vAlign w:val="top"/>
                  <w:tcBorders>
                    <w:top w:val="single" w:color="000000" w:sz="10" w:space="0"/>
                  </w:tcBorders>
                </w:tcPr>
                <w:p>
                  <w:pPr>
                    <w:pStyle w:val="TableText"/>
                    <w:ind w:left="159"/>
                    <w:spacing w:before="113" w:line="222" w:lineRule="auto"/>
                    <w:rPr>
                      <w:sz w:val="20"/>
                      <w:szCs w:val="20"/>
                    </w:rPr>
                  </w:pPr>
                  <w:r>
                    <w:rPr>
                      <w:sz w:val="20"/>
                      <w:szCs w:val="20"/>
                      <w:spacing w:val="7"/>
                    </w:rPr>
                    <w:t>全厂总量</w:t>
                  </w:r>
                </w:p>
              </w:tc>
              <w:tc>
                <w:tcPr>
                  <w:tcW w:w="658" w:type="dxa"/>
                  <w:vAlign w:val="top"/>
                  <w:tcBorders>
                    <w:top w:val="single" w:color="000000" w:sz="10" w:space="0"/>
                    <w:right w:val="nil"/>
                  </w:tcBorders>
                </w:tcPr>
                <w:p>
                  <w:pPr>
                    <w:pStyle w:val="TableText"/>
                    <w:ind w:left="128"/>
                    <w:spacing w:before="113" w:line="222" w:lineRule="auto"/>
                    <w:rPr>
                      <w:sz w:val="20"/>
                      <w:szCs w:val="20"/>
                    </w:rPr>
                  </w:pPr>
                  <w:r>
                    <w:rPr>
                      <w:sz w:val="20"/>
                      <w:szCs w:val="20"/>
                      <w:spacing w:val="3"/>
                    </w:rPr>
                    <w:t>备注</w:t>
                  </w:r>
                </w:p>
              </w:tc>
            </w:tr>
            <w:tr>
              <w:trPr>
                <w:trHeight w:val="360" w:hRule="atLeast"/>
              </w:trPr>
              <w:tc>
                <w:tcPr>
                  <w:tcW w:w="713" w:type="dxa"/>
                  <w:vAlign w:val="top"/>
                  <w:tcBorders>
                    <w:left w:val="nil"/>
                  </w:tcBorders>
                </w:tcPr>
                <w:p>
                  <w:pPr>
                    <w:ind w:left="327"/>
                    <w:spacing w:before="15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12" w:type="dxa"/>
                  <w:vAlign w:val="top"/>
                </w:tcPr>
                <w:p>
                  <w:pPr>
                    <w:pStyle w:val="TableText"/>
                    <w:ind w:left="132"/>
                    <w:spacing w:before="113" w:line="218" w:lineRule="auto"/>
                    <w:rPr>
                      <w:sz w:val="20"/>
                      <w:szCs w:val="20"/>
                    </w:rPr>
                  </w:pPr>
                  <w:r>
                    <w:rPr>
                      <w:sz w:val="20"/>
                      <w:szCs w:val="20"/>
                      <w:spacing w:val="7"/>
                    </w:rPr>
                    <w:t>再生塑料颗粒</w:t>
                  </w:r>
                </w:p>
              </w:tc>
              <w:tc>
                <w:tcPr>
                  <w:tcW w:w="1992" w:type="dxa"/>
                  <w:vAlign w:val="top"/>
                </w:tcPr>
                <w:p>
                  <w:pPr>
                    <w:ind w:left="738"/>
                    <w:spacing w:before="14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700t/a</w:t>
                  </w:r>
                </w:p>
              </w:tc>
              <w:tc>
                <w:tcPr>
                  <w:tcW w:w="1827" w:type="dxa"/>
                  <w:vAlign w:val="top"/>
                </w:tcPr>
                <w:p>
                  <w:pPr>
                    <w:ind w:left="761"/>
                    <w:spacing w:before="14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0t/a</w:t>
                  </w:r>
                </w:p>
              </w:tc>
              <w:tc>
                <w:tcPr>
                  <w:tcW w:w="1145" w:type="dxa"/>
                  <w:vAlign w:val="top"/>
                </w:tcPr>
                <w:p>
                  <w:pPr>
                    <w:ind w:left="315"/>
                    <w:spacing w:before="14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700t/a</w:t>
                  </w:r>
                </w:p>
              </w:tc>
              <w:tc>
                <w:tcPr>
                  <w:tcW w:w="658" w:type="dxa"/>
                  <w:vAlign w:val="top"/>
                  <w:tcBorders>
                    <w:right w:val="nil"/>
                  </w:tcBorders>
                </w:tcPr>
                <w:p>
                  <w:pPr>
                    <w:ind w:left="297"/>
                    <w:spacing w:before="14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60" w:hRule="atLeast"/>
              </w:trPr>
              <w:tc>
                <w:tcPr>
                  <w:tcW w:w="713" w:type="dxa"/>
                  <w:vAlign w:val="top"/>
                  <w:tcBorders>
                    <w:left w:val="nil"/>
                  </w:tcBorders>
                </w:tcPr>
                <w:p>
                  <w:pPr>
                    <w:ind w:left="307"/>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512" w:type="dxa"/>
                  <w:vAlign w:val="top"/>
                </w:tcPr>
                <w:p>
                  <w:pPr>
                    <w:pStyle w:val="TableText"/>
                    <w:ind w:left="447"/>
                    <w:spacing w:before="118" w:line="214" w:lineRule="auto"/>
                    <w:rPr>
                      <w:sz w:val="20"/>
                      <w:szCs w:val="20"/>
                    </w:rPr>
                  </w:pPr>
                  <w:r>
                    <w:rPr>
                      <w:sz w:val="20"/>
                      <w:szCs w:val="20"/>
                      <w:spacing w:val="6"/>
                    </w:rPr>
                    <w:t>滴灌带</w:t>
                  </w:r>
                </w:p>
              </w:tc>
              <w:tc>
                <w:tcPr>
                  <w:tcW w:w="1992" w:type="dxa"/>
                  <w:vAlign w:val="top"/>
                </w:tcPr>
                <w:p>
                  <w:pPr>
                    <w:ind w:left="739"/>
                    <w:spacing w:before="15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600t/a</w:t>
                  </w:r>
                </w:p>
              </w:tc>
              <w:tc>
                <w:tcPr>
                  <w:tcW w:w="1827" w:type="dxa"/>
                  <w:vAlign w:val="top"/>
                </w:tcPr>
                <w:p>
                  <w:pPr>
                    <w:ind w:left="761"/>
                    <w:spacing w:before="15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0t/a</w:t>
                  </w:r>
                </w:p>
              </w:tc>
              <w:tc>
                <w:tcPr>
                  <w:tcW w:w="1145" w:type="dxa"/>
                  <w:vAlign w:val="top"/>
                </w:tcPr>
                <w:p>
                  <w:pPr>
                    <w:ind w:left="316"/>
                    <w:spacing w:before="15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600t/a</w:t>
                  </w:r>
                </w:p>
              </w:tc>
              <w:tc>
                <w:tcPr>
                  <w:tcW w:w="658" w:type="dxa"/>
                  <w:vAlign w:val="top"/>
                  <w:tcBorders>
                    <w:right w:val="nil"/>
                  </w:tcBorders>
                </w:tcPr>
                <w:p>
                  <w:pPr>
                    <w:ind w:left="297"/>
                    <w:spacing w:before="15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60" w:hRule="atLeast"/>
              </w:trPr>
              <w:tc>
                <w:tcPr>
                  <w:tcW w:w="713" w:type="dxa"/>
                  <w:vAlign w:val="top"/>
                  <w:tcBorders>
                    <w:left w:val="nil"/>
                  </w:tcBorders>
                </w:tcPr>
                <w:p>
                  <w:pPr>
                    <w:ind w:left="311"/>
                    <w:spacing w:before="15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512" w:type="dxa"/>
                  <w:vAlign w:val="top"/>
                </w:tcPr>
                <w:p>
                  <w:pPr>
                    <w:pStyle w:val="TableText"/>
                    <w:ind w:left="424"/>
                    <w:spacing w:before="123" w:line="209" w:lineRule="auto"/>
                    <w:rPr>
                      <w:sz w:val="20"/>
                      <w:szCs w:val="20"/>
                    </w:rPr>
                  </w:pPr>
                  <w:r>
                    <w:rPr>
                      <w:rFonts w:ascii="Times New Roman" w:hAnsi="Times New Roman" w:eastAsia="Times New Roman" w:cs="Times New Roman"/>
                      <w:sz w:val="20"/>
                      <w:szCs w:val="20"/>
                    </w:rPr>
                    <w:t>PE</w:t>
                  </w:r>
                  <w:r>
                    <w:rPr>
                      <w:sz w:val="20"/>
                      <w:szCs w:val="20"/>
                      <w:spacing w:val="12"/>
                    </w:rPr>
                    <w:t>水带</w:t>
                  </w:r>
                </w:p>
              </w:tc>
              <w:tc>
                <w:tcPr>
                  <w:tcW w:w="1992" w:type="dxa"/>
                  <w:vAlign w:val="top"/>
                </w:tcPr>
                <w:p>
                  <w:pPr>
                    <w:ind w:left="754"/>
                    <w:spacing w:before="15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100t/a</w:t>
                  </w:r>
                </w:p>
              </w:tc>
              <w:tc>
                <w:tcPr>
                  <w:tcW w:w="1827" w:type="dxa"/>
                  <w:vAlign w:val="top"/>
                </w:tcPr>
                <w:p>
                  <w:pPr>
                    <w:ind w:left="761"/>
                    <w:spacing w:before="15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0t/a</w:t>
                  </w:r>
                </w:p>
              </w:tc>
              <w:tc>
                <w:tcPr>
                  <w:tcW w:w="1145" w:type="dxa"/>
                  <w:vAlign w:val="top"/>
                </w:tcPr>
                <w:p>
                  <w:pPr>
                    <w:ind w:left="331"/>
                    <w:spacing w:before="15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100t/a</w:t>
                  </w:r>
                </w:p>
              </w:tc>
              <w:tc>
                <w:tcPr>
                  <w:tcW w:w="658" w:type="dxa"/>
                  <w:vAlign w:val="top"/>
                  <w:tcBorders>
                    <w:right w:val="nil"/>
                  </w:tcBorders>
                </w:tcPr>
                <w:p>
                  <w:pPr>
                    <w:ind w:left="297"/>
                    <w:spacing w:before="15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84" w:hRule="atLeast"/>
              </w:trPr>
              <w:tc>
                <w:tcPr>
                  <w:tcW w:w="713" w:type="dxa"/>
                  <w:vAlign w:val="top"/>
                  <w:tcBorders>
                    <w:bottom w:val="single" w:color="000000" w:sz="10" w:space="0"/>
                    <w:left w:val="nil"/>
                  </w:tcBorders>
                </w:tcPr>
                <w:p>
                  <w:pPr>
                    <w:ind w:left="306"/>
                    <w:spacing w:before="16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512" w:type="dxa"/>
                  <w:vAlign w:val="top"/>
                  <w:tcBorders>
                    <w:bottom w:val="single" w:color="000000" w:sz="10" w:space="0"/>
                  </w:tcBorders>
                </w:tcPr>
                <w:p>
                  <w:pPr>
                    <w:pStyle w:val="TableText"/>
                    <w:ind w:left="342"/>
                    <w:spacing w:before="130" w:line="225" w:lineRule="auto"/>
                    <w:rPr>
                      <w:sz w:val="20"/>
                      <w:szCs w:val="20"/>
                    </w:rPr>
                  </w:pPr>
                  <w:r>
                    <w:rPr>
                      <w:sz w:val="20"/>
                      <w:szCs w:val="20"/>
                      <w:spacing w:val="7"/>
                    </w:rPr>
                    <w:t>农用地膜</w:t>
                  </w:r>
                </w:p>
              </w:tc>
              <w:tc>
                <w:tcPr>
                  <w:tcW w:w="1992" w:type="dxa"/>
                  <w:vAlign w:val="top"/>
                  <w:tcBorders>
                    <w:bottom w:val="single" w:color="000000" w:sz="10" w:space="0"/>
                  </w:tcBorders>
                </w:tcPr>
                <w:p>
                  <w:pPr>
                    <w:ind w:left="843"/>
                    <w:spacing w:before="16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0t/a</w:t>
                  </w:r>
                </w:p>
              </w:tc>
              <w:tc>
                <w:tcPr>
                  <w:tcW w:w="1827" w:type="dxa"/>
                  <w:vAlign w:val="top"/>
                  <w:tcBorders>
                    <w:bottom w:val="single" w:color="000000" w:sz="10" w:space="0"/>
                  </w:tcBorders>
                </w:tcPr>
                <w:p>
                  <w:pPr>
                    <w:ind w:left="658"/>
                    <w:spacing w:before="16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500t/a</w:t>
                  </w:r>
                </w:p>
              </w:tc>
              <w:tc>
                <w:tcPr>
                  <w:tcW w:w="1145" w:type="dxa"/>
                  <w:vAlign w:val="top"/>
                  <w:tcBorders>
                    <w:bottom w:val="single" w:color="000000" w:sz="10" w:space="0"/>
                  </w:tcBorders>
                </w:tcPr>
                <w:p>
                  <w:pPr>
                    <w:ind w:left="317"/>
                    <w:spacing w:before="16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500t/a</w:t>
                  </w:r>
                </w:p>
              </w:tc>
              <w:tc>
                <w:tcPr>
                  <w:tcW w:w="658" w:type="dxa"/>
                  <w:vAlign w:val="top"/>
                  <w:tcBorders>
                    <w:bottom w:val="single" w:color="000000" w:sz="10" w:space="0"/>
                    <w:right w:val="nil"/>
                  </w:tcBorders>
                </w:tcPr>
                <w:p>
                  <w:pPr>
                    <w:ind w:left="297"/>
                    <w:spacing w:before="16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bl>
          <w:p>
            <w:pPr>
              <w:pStyle w:val="TableText"/>
              <w:ind w:left="111"/>
              <w:spacing w:before="160" w:line="220" w:lineRule="auto"/>
              <w:outlineLvl w:val="1"/>
              <w:rPr>
                <w:sz w:val="28"/>
                <w:szCs w:val="28"/>
              </w:rPr>
            </w:pPr>
            <w:r>
              <w:rPr>
                <w:rFonts w:ascii="Times New Roman" w:hAnsi="Times New Roman" w:eastAsia="Times New Roman" w:cs="Times New Roman"/>
                <w:sz w:val="28"/>
                <w:szCs w:val="28"/>
                <w:b/>
                <w:bCs/>
              </w:rPr>
              <w:t>2.5  </w:t>
            </w:r>
            <w:r>
              <w:rPr>
                <w:sz w:val="28"/>
                <w:szCs w:val="28"/>
                <w14:textOutline w14:w="5103" w14:cap="sq" w14:cmpd="sng">
                  <w14:solidFill>
                    <w14:srgbClr w14:val="000000"/>
                  </w14:solidFill>
                  <w14:prstDash w14:val="solid"/>
                  <w14:bevel/>
                </w14:textOutline>
              </w:rPr>
              <w:t>主要生产设备</w:t>
            </w:r>
          </w:p>
          <w:p>
            <w:pPr>
              <w:pStyle w:val="TableText"/>
              <w:ind w:left="598"/>
              <w:spacing w:before="204" w:line="219" w:lineRule="auto"/>
              <w:rPr/>
            </w:pPr>
            <w:r>
              <w:rPr>
                <w:spacing w:val="-3"/>
              </w:rPr>
              <w:t>项目主要生产设备见表</w:t>
            </w:r>
            <w:r>
              <w:rPr>
                <w:rFonts w:ascii="Times New Roman" w:hAnsi="Times New Roman" w:eastAsia="Times New Roman" w:cs="Times New Roman"/>
                <w:spacing w:val="-3"/>
              </w:rPr>
              <w:t>2.5-</w:t>
            </w:r>
            <w:r>
              <w:rPr>
                <w:rFonts w:ascii="Times New Roman" w:hAnsi="Times New Roman" w:eastAsia="Times New Roman" w:cs="Times New Roman"/>
                <w:spacing w:val="-27"/>
              </w:rPr>
              <w:t xml:space="preserve"> </w:t>
            </w:r>
            <w:r>
              <w:rPr>
                <w:rFonts w:ascii="Times New Roman" w:hAnsi="Times New Roman" w:eastAsia="Times New Roman" w:cs="Times New Roman"/>
                <w:spacing w:val="-3"/>
              </w:rPr>
              <w:t>1</w:t>
            </w:r>
            <w:r>
              <w:rPr>
                <w:spacing w:val="-3"/>
              </w:rPr>
              <w:t>。</w:t>
            </w:r>
          </w:p>
          <w:p>
            <w:pPr>
              <w:pStyle w:val="TableText"/>
              <w:ind w:left="2885"/>
              <w:spacing w:before="134" w:line="219" w:lineRule="auto"/>
              <w:rPr/>
            </w:pPr>
            <w:r>
              <w:rPr>
                <w14:textOutline w14:w="4358" w14:cap="sq" w14:cmpd="sng">
                  <w14:solidFill>
                    <w14:srgbClr w14:val="000000"/>
                  </w14:solidFill>
                  <w14:prstDash w14:val="solid"/>
                  <w14:bevel/>
                </w14:textOutline>
                <w:spacing w:val="-1"/>
              </w:rPr>
              <w:t>表</w:t>
            </w:r>
            <w:r>
              <w:rPr>
                <w:rFonts w:ascii="Times New Roman" w:hAnsi="Times New Roman" w:eastAsia="Times New Roman" w:cs="Times New Roman"/>
                <w:b/>
                <w:bCs/>
                <w:spacing w:val="-1"/>
              </w:rPr>
              <w:t>2.5-1  </w:t>
            </w:r>
            <w:r>
              <w:rPr>
                <w14:textOutline w14:w="4358" w14:cap="sq" w14:cmpd="sng">
                  <w14:solidFill>
                    <w14:srgbClr w14:val="000000"/>
                  </w14:solidFill>
                  <w14:prstDash w14:val="solid"/>
                  <w14:bevel/>
                </w14:textOutline>
                <w:spacing w:val="-1"/>
              </w:rPr>
              <w:t>主要生产设备</w:t>
            </w:r>
          </w:p>
          <w:tbl>
            <w:tblPr>
              <w:tblStyle w:val="TableNormal"/>
              <w:tblW w:w="7848" w:type="dxa"/>
              <w:tblInd w:w="10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41"/>
              <w:gridCol w:w="1079"/>
              <w:gridCol w:w="3067"/>
              <w:gridCol w:w="688"/>
              <w:gridCol w:w="2373"/>
            </w:tblGrid>
            <w:tr>
              <w:trPr>
                <w:trHeight w:val="309" w:hRule="atLeast"/>
              </w:trPr>
              <w:tc>
                <w:tcPr>
                  <w:tcW w:w="641" w:type="dxa"/>
                  <w:vAlign w:val="top"/>
                  <w:tcBorders>
                    <w:left w:val="nil"/>
                    <w:top w:val="single" w:color="000000" w:sz="10" w:space="0"/>
                  </w:tcBorders>
                </w:tcPr>
                <w:p>
                  <w:pPr>
                    <w:pStyle w:val="TableText"/>
                    <w:ind w:left="116"/>
                    <w:spacing w:before="64" w:line="216" w:lineRule="auto"/>
                    <w:rPr>
                      <w:sz w:val="20"/>
                      <w:szCs w:val="20"/>
                    </w:rPr>
                  </w:pPr>
                  <w:r>
                    <w:rPr>
                      <w:sz w:val="20"/>
                      <w:szCs w:val="20"/>
                      <w:spacing w:val="5"/>
                    </w:rPr>
                    <w:t>序号</w:t>
                  </w:r>
                </w:p>
              </w:tc>
              <w:tc>
                <w:tcPr>
                  <w:tcW w:w="1079" w:type="dxa"/>
                  <w:vAlign w:val="top"/>
                  <w:tcBorders>
                    <w:top w:val="single" w:color="000000" w:sz="10" w:space="0"/>
                  </w:tcBorders>
                </w:tcPr>
                <w:p>
                  <w:pPr>
                    <w:pStyle w:val="TableText"/>
                    <w:ind w:left="127"/>
                    <w:spacing w:before="64" w:line="216" w:lineRule="auto"/>
                    <w:rPr>
                      <w:sz w:val="20"/>
                      <w:szCs w:val="20"/>
                    </w:rPr>
                  </w:pPr>
                  <w:r>
                    <w:rPr>
                      <w:sz w:val="20"/>
                      <w:szCs w:val="20"/>
                      <w:spacing w:val="6"/>
                    </w:rPr>
                    <w:t>设备名称</w:t>
                  </w:r>
                </w:p>
              </w:tc>
              <w:tc>
                <w:tcPr>
                  <w:tcW w:w="3067" w:type="dxa"/>
                  <w:vAlign w:val="top"/>
                  <w:tcBorders>
                    <w:top w:val="single" w:color="000000" w:sz="10" w:space="0"/>
                  </w:tcBorders>
                </w:tcPr>
                <w:p>
                  <w:pPr>
                    <w:pStyle w:val="TableText"/>
                    <w:ind w:left="1019"/>
                    <w:spacing w:before="64" w:line="216" w:lineRule="auto"/>
                    <w:rPr>
                      <w:sz w:val="20"/>
                      <w:szCs w:val="20"/>
                    </w:rPr>
                  </w:pPr>
                  <w:r>
                    <w:rPr>
                      <w:sz w:val="20"/>
                      <w:szCs w:val="20"/>
                      <w:spacing w:val="6"/>
                    </w:rPr>
                    <w:t>型号及规格</w:t>
                  </w:r>
                </w:p>
              </w:tc>
              <w:tc>
                <w:tcPr>
                  <w:tcW w:w="688" w:type="dxa"/>
                  <w:vAlign w:val="top"/>
                  <w:tcBorders>
                    <w:top w:val="single" w:color="000000" w:sz="10" w:space="0"/>
                  </w:tcBorders>
                </w:tcPr>
                <w:p>
                  <w:pPr>
                    <w:pStyle w:val="TableText"/>
                    <w:ind w:left="141"/>
                    <w:spacing w:before="64" w:line="216" w:lineRule="auto"/>
                    <w:rPr>
                      <w:sz w:val="20"/>
                      <w:szCs w:val="20"/>
                    </w:rPr>
                  </w:pPr>
                  <w:r>
                    <w:rPr>
                      <w:sz w:val="20"/>
                      <w:szCs w:val="20"/>
                      <w:spacing w:val="3"/>
                    </w:rPr>
                    <w:t>数量</w:t>
                  </w:r>
                </w:p>
              </w:tc>
              <w:tc>
                <w:tcPr>
                  <w:tcW w:w="2373" w:type="dxa"/>
                  <w:vAlign w:val="top"/>
                  <w:tcBorders>
                    <w:right w:val="nil"/>
                    <w:top w:val="single" w:color="000000" w:sz="10" w:space="0"/>
                  </w:tcBorders>
                </w:tcPr>
                <w:p>
                  <w:pPr>
                    <w:pStyle w:val="TableText"/>
                    <w:ind w:left="985"/>
                    <w:spacing w:before="64" w:line="216" w:lineRule="auto"/>
                    <w:rPr>
                      <w:sz w:val="20"/>
                      <w:szCs w:val="20"/>
                    </w:rPr>
                  </w:pPr>
                  <w:r>
                    <w:rPr>
                      <w:sz w:val="20"/>
                      <w:szCs w:val="20"/>
                      <w:spacing w:val="3"/>
                    </w:rPr>
                    <w:t>备注</w:t>
                  </w:r>
                </w:p>
              </w:tc>
            </w:tr>
            <w:tr>
              <w:trPr>
                <w:trHeight w:val="305" w:hRule="atLeast"/>
              </w:trPr>
              <w:tc>
                <w:tcPr>
                  <w:tcW w:w="641" w:type="dxa"/>
                  <w:vAlign w:val="top"/>
                  <w:tcBorders>
                    <w:left w:val="nil"/>
                  </w:tcBorders>
                </w:tcPr>
                <w:p>
                  <w:pPr>
                    <w:ind w:left="291"/>
                    <w:spacing w:before="111" w:line="19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79" w:type="dxa"/>
                  <w:vAlign w:val="top"/>
                </w:tcPr>
                <w:p>
                  <w:pPr>
                    <w:pStyle w:val="TableText"/>
                    <w:ind w:left="123"/>
                    <w:spacing w:before="61" w:line="216" w:lineRule="auto"/>
                    <w:rPr>
                      <w:sz w:val="20"/>
                      <w:szCs w:val="20"/>
                    </w:rPr>
                  </w:pPr>
                  <w:r>
                    <w:rPr>
                      <w:sz w:val="20"/>
                      <w:szCs w:val="20"/>
                      <w:spacing w:val="7"/>
                    </w:rPr>
                    <w:t>地膜机组</w:t>
                  </w:r>
                </w:p>
              </w:tc>
              <w:tc>
                <w:tcPr>
                  <w:tcW w:w="3067" w:type="dxa"/>
                  <w:vAlign w:val="top"/>
                </w:tcPr>
                <w:p>
                  <w:pPr>
                    <w:ind w:left="1184"/>
                    <w:spacing w:before="111" w:line="19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LD</w:t>
                  </w:r>
                  <w:r>
                    <w:rPr>
                      <w:rFonts w:ascii="Times New Roman" w:hAnsi="Times New Roman" w:eastAsia="Times New Roman" w:cs="Times New Roman"/>
                      <w:sz w:val="20"/>
                      <w:szCs w:val="20"/>
                      <w:spacing w:val="7"/>
                    </w:rPr>
                    <w:t>1600</w:t>
                  </w:r>
                </w:p>
              </w:tc>
              <w:tc>
                <w:tcPr>
                  <w:tcW w:w="688" w:type="dxa"/>
                  <w:vAlign w:val="top"/>
                </w:tcPr>
                <w:p>
                  <w:pPr>
                    <w:pStyle w:val="TableText"/>
                    <w:ind w:left="188"/>
                    <w:spacing w:before="61" w:line="216" w:lineRule="auto"/>
                    <w:rPr>
                      <w:sz w:val="20"/>
                      <w:szCs w:val="20"/>
                    </w:rPr>
                  </w:pPr>
                  <w:r>
                    <w:rPr>
                      <w:rFonts w:ascii="Times New Roman" w:hAnsi="Times New Roman" w:eastAsia="Times New Roman" w:cs="Times New Roman"/>
                      <w:sz w:val="20"/>
                      <w:szCs w:val="20"/>
                      <w:spacing w:val="3"/>
                    </w:rPr>
                    <w:t>2</w:t>
                  </w:r>
                  <w:r>
                    <w:rPr>
                      <w:sz w:val="20"/>
                      <w:szCs w:val="20"/>
                      <w:spacing w:val="3"/>
                    </w:rPr>
                    <w:t>套</w:t>
                  </w:r>
                </w:p>
              </w:tc>
              <w:tc>
                <w:tcPr>
                  <w:tcW w:w="2373" w:type="dxa"/>
                  <w:vAlign w:val="top"/>
                  <w:tcBorders>
                    <w:right w:val="nil"/>
                  </w:tcBorders>
                </w:tcPr>
                <w:p>
                  <w:pPr>
                    <w:pStyle w:val="TableText"/>
                    <w:ind w:left="773"/>
                    <w:spacing w:before="61" w:line="216" w:lineRule="auto"/>
                    <w:rPr>
                      <w:sz w:val="20"/>
                      <w:szCs w:val="20"/>
                    </w:rPr>
                  </w:pPr>
                  <w:r>
                    <w:rPr>
                      <w:sz w:val="20"/>
                      <w:szCs w:val="20"/>
                      <w:spacing w:val="6"/>
                    </w:rPr>
                    <w:t>成套设备</w:t>
                  </w:r>
                </w:p>
              </w:tc>
            </w:tr>
            <w:tr>
              <w:trPr>
                <w:trHeight w:val="605" w:hRule="atLeast"/>
              </w:trPr>
              <w:tc>
                <w:tcPr>
                  <w:tcW w:w="641" w:type="dxa"/>
                  <w:vAlign w:val="top"/>
                  <w:tcBorders>
                    <w:left w:val="nil"/>
                  </w:tcBorders>
                </w:tcPr>
                <w:p>
                  <w:pPr>
                    <w:ind w:left="271"/>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079" w:type="dxa"/>
                  <w:vAlign w:val="top"/>
                </w:tcPr>
                <w:p>
                  <w:pPr>
                    <w:pStyle w:val="TableText"/>
                    <w:ind w:left="123" w:right="120" w:firstLine="1"/>
                    <w:spacing w:before="59" w:line="247" w:lineRule="auto"/>
                    <w:rPr>
                      <w:sz w:val="20"/>
                      <w:szCs w:val="20"/>
                    </w:rPr>
                  </w:pPr>
                  <w:r>
                    <w:rPr>
                      <w:sz w:val="20"/>
                      <w:szCs w:val="20"/>
                      <w:spacing w:val="6"/>
                    </w:rPr>
                    <w:t>单螺杆塑</w:t>
                  </w:r>
                  <w:r>
                    <w:rPr>
                      <w:sz w:val="20"/>
                      <w:szCs w:val="20"/>
                      <w:spacing w:val="2"/>
                    </w:rPr>
                    <w:t xml:space="preserve"> </w:t>
                  </w:r>
                  <w:r>
                    <w:rPr>
                      <w:sz w:val="20"/>
                      <w:szCs w:val="20"/>
                      <w:spacing w:val="7"/>
                    </w:rPr>
                    <w:t>料挤出机</w:t>
                  </w:r>
                </w:p>
              </w:tc>
              <w:tc>
                <w:tcPr>
                  <w:tcW w:w="3067" w:type="dxa"/>
                  <w:vAlign w:val="top"/>
                </w:tcPr>
                <w:p>
                  <w:pPr>
                    <w:pStyle w:val="TableText"/>
                    <w:ind w:left="138" w:right="20" w:hanging="25"/>
                    <w:spacing w:before="59" w:line="247" w:lineRule="auto"/>
                    <w:rPr>
                      <w:sz w:val="20"/>
                      <w:szCs w:val="20"/>
                    </w:rPr>
                  </w:pPr>
                  <w:r>
                    <w:rPr>
                      <w:sz w:val="20"/>
                      <w:szCs w:val="20"/>
                      <w:spacing w:val="11"/>
                    </w:rPr>
                    <w:t>波状型加混炼头螺杆(</w:t>
                  </w:r>
                  <w:r>
                    <w:rPr>
                      <w:rFonts w:ascii="Times New Roman" w:hAnsi="Times New Roman" w:eastAsia="Times New Roman" w:cs="Times New Roman"/>
                      <w:sz w:val="20"/>
                      <w:szCs w:val="20"/>
                      <w:spacing w:val="11"/>
                    </w:rPr>
                    <w:t>Ф65</w:t>
                  </w:r>
                  <w:r>
                    <w:rPr>
                      <w:rFonts w:ascii="Times New Roman" w:hAnsi="Times New Roman" w:eastAsia="Times New Roman" w:cs="Times New Roman"/>
                      <w:sz w:val="20"/>
                      <w:szCs w:val="20"/>
                    </w:rPr>
                    <w:t>mm</w:t>
                  </w:r>
                  <w:r>
                    <w:rPr>
                      <w:sz w:val="20"/>
                      <w:szCs w:val="20"/>
                      <w:spacing w:val="11"/>
                    </w:rPr>
                    <w:t>）</w:t>
                  </w:r>
                  <w:r>
                    <w:rPr>
                      <w:sz w:val="20"/>
                      <w:szCs w:val="20"/>
                      <w:spacing w:val="3"/>
                    </w:rPr>
                    <w:t xml:space="preserve"> </w:t>
                  </w:r>
                  <w:r>
                    <w:rPr>
                      <w:sz w:val="20"/>
                      <w:szCs w:val="20"/>
                      <w:spacing w:val="14"/>
                    </w:rPr>
                    <w:t>螺筒(</w:t>
                  </w:r>
                  <w:r>
                    <w:rPr>
                      <w:rFonts w:ascii="Times New Roman" w:hAnsi="Times New Roman" w:eastAsia="Times New Roman" w:cs="Times New Roman"/>
                      <w:sz w:val="20"/>
                      <w:szCs w:val="20"/>
                      <w:spacing w:val="14"/>
                    </w:rPr>
                    <w:t>Ф65</w:t>
                  </w:r>
                  <w:r>
                    <w:rPr>
                      <w:rFonts w:ascii="Times New Roman" w:hAnsi="Times New Roman" w:eastAsia="Times New Roman" w:cs="Times New Roman"/>
                      <w:sz w:val="20"/>
                      <w:szCs w:val="20"/>
                    </w:rPr>
                    <w:t>mm</w:t>
                  </w:r>
                  <w:r>
                    <w:rPr>
                      <w:rFonts w:ascii="Times New Roman" w:hAnsi="Times New Roman" w:eastAsia="Times New Roman" w:cs="Times New Roman"/>
                      <w:sz w:val="20"/>
                      <w:szCs w:val="20"/>
                      <w:spacing w:val="-24"/>
                    </w:rPr>
                    <w:t xml:space="preserve"> </w:t>
                  </w:r>
                  <w:r>
                    <w:rPr>
                      <w:sz w:val="20"/>
                      <w:szCs w:val="20"/>
                      <w:spacing w:val="14"/>
                    </w:rPr>
                    <w:t>，铸铝加热器）</w:t>
                  </w:r>
                </w:p>
              </w:tc>
              <w:tc>
                <w:tcPr>
                  <w:tcW w:w="688" w:type="dxa"/>
                  <w:vAlign w:val="top"/>
                </w:tcPr>
                <w:p>
                  <w:pPr>
                    <w:pStyle w:val="TableText"/>
                    <w:ind w:left="188"/>
                    <w:spacing w:before="60" w:line="230" w:lineRule="auto"/>
                    <w:rPr>
                      <w:sz w:val="20"/>
                      <w:szCs w:val="20"/>
                    </w:rPr>
                  </w:pPr>
                  <w:r>
                    <w:rPr>
                      <w:rFonts w:ascii="Times New Roman" w:hAnsi="Times New Roman" w:eastAsia="Times New Roman" w:cs="Times New Roman"/>
                      <w:sz w:val="20"/>
                      <w:szCs w:val="20"/>
                      <w:spacing w:val="3"/>
                    </w:rPr>
                    <w:t>2</w:t>
                  </w:r>
                  <w:r>
                    <w:rPr>
                      <w:sz w:val="20"/>
                      <w:szCs w:val="20"/>
                      <w:spacing w:val="3"/>
                    </w:rPr>
                    <w:t>台</w:t>
                  </w:r>
                </w:p>
              </w:tc>
              <w:tc>
                <w:tcPr>
                  <w:tcW w:w="2373" w:type="dxa"/>
                  <w:vAlign w:val="top"/>
                  <w:tcBorders>
                    <w:right w:val="nil"/>
                  </w:tcBorders>
                </w:tcPr>
                <w:p>
                  <w:pPr>
                    <w:pStyle w:val="TableText"/>
                    <w:ind w:left="617"/>
                    <w:spacing w:before="60" w:line="228" w:lineRule="auto"/>
                    <w:rPr>
                      <w:sz w:val="20"/>
                      <w:szCs w:val="20"/>
                    </w:rPr>
                  </w:pPr>
                  <w:r>
                    <w:rPr>
                      <w:sz w:val="20"/>
                      <w:szCs w:val="20"/>
                      <w:spacing w:val="6"/>
                    </w:rPr>
                    <w:t>螺筒</w:t>
                  </w:r>
                  <w:r>
                    <w:rPr>
                      <w:rFonts w:ascii="Times New Roman" w:hAnsi="Times New Roman" w:eastAsia="Times New Roman" w:cs="Times New Roman"/>
                      <w:sz w:val="20"/>
                      <w:szCs w:val="20"/>
                      <w:spacing w:val="6"/>
                    </w:rPr>
                    <w:t>3</w:t>
                  </w:r>
                  <w:r>
                    <w:rPr>
                      <w:sz w:val="20"/>
                      <w:szCs w:val="20"/>
                      <w:spacing w:val="6"/>
                    </w:rPr>
                    <w:t>区风冷</w:t>
                  </w:r>
                </w:p>
              </w:tc>
            </w:tr>
            <w:tr>
              <w:trPr>
                <w:trHeight w:val="305" w:hRule="atLeast"/>
              </w:trPr>
              <w:tc>
                <w:tcPr>
                  <w:tcW w:w="641" w:type="dxa"/>
                  <w:vAlign w:val="top"/>
                  <w:tcBorders>
                    <w:left w:val="nil"/>
                  </w:tcBorders>
                </w:tcPr>
                <w:p>
                  <w:pPr>
                    <w:ind w:left="275"/>
                    <w:spacing w:before="111"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079" w:type="dxa"/>
                  <w:vAlign w:val="top"/>
                </w:tcPr>
                <w:p>
                  <w:pPr>
                    <w:pStyle w:val="TableText"/>
                    <w:ind w:left="235"/>
                    <w:spacing w:before="59" w:line="217" w:lineRule="auto"/>
                    <w:rPr>
                      <w:sz w:val="20"/>
                      <w:szCs w:val="20"/>
                    </w:rPr>
                  </w:pPr>
                  <w:r>
                    <w:rPr>
                      <w:sz w:val="20"/>
                      <w:szCs w:val="20"/>
                      <w:spacing w:val="4"/>
                    </w:rPr>
                    <w:t>空压机</w:t>
                  </w:r>
                </w:p>
              </w:tc>
              <w:tc>
                <w:tcPr>
                  <w:tcW w:w="3067" w:type="dxa"/>
                  <w:vAlign w:val="top"/>
                </w:tcPr>
                <w:p>
                  <w:pPr>
                    <w:ind w:left="1501"/>
                    <w:spacing w:before="107" w:line="19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688" w:type="dxa"/>
                  <w:vAlign w:val="top"/>
                </w:tcPr>
                <w:p>
                  <w:pPr>
                    <w:pStyle w:val="TableText"/>
                    <w:ind w:left="188"/>
                    <w:spacing w:before="59" w:line="217" w:lineRule="auto"/>
                    <w:rPr>
                      <w:sz w:val="20"/>
                      <w:szCs w:val="20"/>
                    </w:rPr>
                  </w:pPr>
                  <w:r>
                    <w:rPr>
                      <w:rFonts w:ascii="Times New Roman" w:hAnsi="Times New Roman" w:eastAsia="Times New Roman" w:cs="Times New Roman"/>
                      <w:sz w:val="20"/>
                      <w:szCs w:val="20"/>
                      <w:spacing w:val="3"/>
                    </w:rPr>
                    <w:t>2</w:t>
                  </w:r>
                  <w:r>
                    <w:rPr>
                      <w:sz w:val="20"/>
                      <w:szCs w:val="20"/>
                      <w:spacing w:val="3"/>
                    </w:rPr>
                    <w:t>台</w:t>
                  </w:r>
                </w:p>
              </w:tc>
              <w:tc>
                <w:tcPr>
                  <w:tcW w:w="2373" w:type="dxa"/>
                  <w:vAlign w:val="top"/>
                  <w:tcBorders>
                    <w:right w:val="nil"/>
                  </w:tcBorders>
                </w:tcPr>
                <w:p>
                  <w:pPr>
                    <w:rPr>
                      <w:rFonts w:ascii="Arial"/>
                      <w:sz w:val="21"/>
                    </w:rPr>
                  </w:pPr>
                  <w:r/>
                </w:p>
              </w:tc>
            </w:tr>
            <w:tr>
              <w:trPr>
                <w:trHeight w:val="305" w:hRule="atLeast"/>
              </w:trPr>
              <w:tc>
                <w:tcPr>
                  <w:tcW w:w="641" w:type="dxa"/>
                  <w:vAlign w:val="top"/>
                  <w:tcBorders>
                    <w:left w:val="nil"/>
                  </w:tcBorders>
                </w:tcPr>
                <w:p>
                  <w:pPr>
                    <w:ind w:left="270"/>
                    <w:spacing w:before="11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079" w:type="dxa"/>
                  <w:vAlign w:val="top"/>
                </w:tcPr>
                <w:p>
                  <w:pPr>
                    <w:pStyle w:val="TableText"/>
                    <w:ind w:left="122"/>
                    <w:spacing w:before="59" w:line="217" w:lineRule="auto"/>
                    <w:rPr>
                      <w:sz w:val="20"/>
                      <w:szCs w:val="20"/>
                    </w:rPr>
                  </w:pPr>
                  <w:r>
                    <w:rPr>
                      <w:sz w:val="20"/>
                      <w:szCs w:val="20"/>
                      <w:spacing w:val="7"/>
                    </w:rPr>
                    <w:t>模头部分</w:t>
                  </w:r>
                </w:p>
              </w:tc>
              <w:tc>
                <w:tcPr>
                  <w:tcW w:w="3067" w:type="dxa"/>
                  <w:vAlign w:val="top"/>
                </w:tcPr>
                <w:p>
                  <w:pPr>
                    <w:pStyle w:val="TableText"/>
                    <w:ind w:left="419"/>
                    <w:spacing w:before="59" w:line="217" w:lineRule="auto"/>
                    <w:rPr>
                      <w:rFonts w:ascii="Times New Roman" w:hAnsi="Times New Roman" w:eastAsia="Times New Roman" w:cs="Times New Roman"/>
                      <w:sz w:val="20"/>
                      <w:szCs w:val="20"/>
                    </w:rPr>
                  </w:pPr>
                  <w:r>
                    <w:rPr>
                      <w:sz w:val="20"/>
                      <w:szCs w:val="20"/>
                      <w:spacing w:val="5"/>
                    </w:rPr>
                    <w:t>模头直径：</w:t>
                  </w:r>
                  <w:r>
                    <w:rPr>
                      <w:rFonts w:ascii="Times New Roman" w:hAnsi="Times New Roman" w:eastAsia="Times New Roman" w:cs="Times New Roman"/>
                      <w:sz w:val="20"/>
                      <w:szCs w:val="20"/>
                      <w:spacing w:val="5"/>
                    </w:rPr>
                    <w:t>Ф350×</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spacing w:val="5"/>
                    </w:rPr>
                    <w:t>1.8</w:t>
                  </w:r>
                  <w:r>
                    <w:rPr>
                      <w:rFonts w:ascii="Times New Roman" w:hAnsi="Times New Roman" w:eastAsia="Times New Roman" w:cs="Times New Roman"/>
                      <w:sz w:val="20"/>
                      <w:szCs w:val="20"/>
                    </w:rPr>
                    <w:t>mm</w:t>
                  </w:r>
                </w:p>
              </w:tc>
              <w:tc>
                <w:tcPr>
                  <w:tcW w:w="688" w:type="dxa"/>
                  <w:vAlign w:val="top"/>
                </w:tcPr>
                <w:p>
                  <w:pPr>
                    <w:pStyle w:val="TableText"/>
                    <w:ind w:left="188"/>
                    <w:spacing w:before="59" w:line="217" w:lineRule="auto"/>
                    <w:rPr>
                      <w:sz w:val="20"/>
                      <w:szCs w:val="20"/>
                    </w:rPr>
                  </w:pPr>
                  <w:r>
                    <w:rPr>
                      <w:rFonts w:ascii="Times New Roman" w:hAnsi="Times New Roman" w:eastAsia="Times New Roman" w:cs="Times New Roman"/>
                      <w:sz w:val="20"/>
                      <w:szCs w:val="20"/>
                      <w:spacing w:val="3"/>
                    </w:rPr>
                    <w:t>2</w:t>
                  </w:r>
                  <w:r>
                    <w:rPr>
                      <w:sz w:val="20"/>
                      <w:szCs w:val="20"/>
                      <w:spacing w:val="3"/>
                    </w:rPr>
                    <w:t>套</w:t>
                  </w:r>
                </w:p>
              </w:tc>
              <w:tc>
                <w:tcPr>
                  <w:tcW w:w="2373" w:type="dxa"/>
                  <w:vAlign w:val="top"/>
                  <w:tcBorders>
                    <w:right w:val="nil"/>
                  </w:tcBorders>
                </w:tcPr>
                <w:p>
                  <w:pPr>
                    <w:pStyle w:val="TableText"/>
                    <w:ind w:left="476"/>
                    <w:spacing w:before="59" w:line="217" w:lineRule="auto"/>
                    <w:rPr>
                      <w:sz w:val="20"/>
                      <w:szCs w:val="20"/>
                    </w:rPr>
                  </w:pPr>
                  <w:r>
                    <w:rPr>
                      <w:sz w:val="20"/>
                      <w:szCs w:val="20"/>
                      <w:spacing w:val="5"/>
                    </w:rPr>
                    <w:t>中心进料螺旋式</w:t>
                  </w:r>
                </w:p>
              </w:tc>
            </w:tr>
            <w:tr>
              <w:trPr>
                <w:trHeight w:val="305" w:hRule="atLeast"/>
              </w:trPr>
              <w:tc>
                <w:tcPr>
                  <w:tcW w:w="641" w:type="dxa"/>
                  <w:vAlign w:val="top"/>
                  <w:tcBorders>
                    <w:left w:val="nil"/>
                  </w:tcBorders>
                </w:tcPr>
                <w:p>
                  <w:pPr>
                    <w:ind w:left="277"/>
                    <w:spacing w:before="115"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079" w:type="dxa"/>
                  <w:vAlign w:val="top"/>
                </w:tcPr>
                <w:p>
                  <w:pPr>
                    <w:pStyle w:val="TableText"/>
                    <w:ind w:left="124"/>
                    <w:spacing w:before="59" w:line="217" w:lineRule="auto"/>
                    <w:rPr>
                      <w:sz w:val="20"/>
                      <w:szCs w:val="20"/>
                    </w:rPr>
                  </w:pPr>
                  <w:r>
                    <w:rPr>
                      <w:sz w:val="20"/>
                      <w:szCs w:val="20"/>
                      <w:spacing w:val="7"/>
                    </w:rPr>
                    <w:t>风环系统</w:t>
                  </w:r>
                </w:p>
              </w:tc>
              <w:tc>
                <w:tcPr>
                  <w:tcW w:w="3067" w:type="dxa"/>
                  <w:vAlign w:val="top"/>
                </w:tcPr>
                <w:p>
                  <w:pPr>
                    <w:pStyle w:val="TableText"/>
                    <w:ind w:left="489"/>
                    <w:spacing w:before="59" w:line="217" w:lineRule="auto"/>
                    <w:rPr>
                      <w:sz w:val="20"/>
                      <w:szCs w:val="20"/>
                    </w:rPr>
                  </w:pPr>
                  <w:r>
                    <w:rPr>
                      <w:sz w:val="20"/>
                      <w:szCs w:val="20"/>
                      <w:spacing w:val="8"/>
                    </w:rPr>
                    <w:t>堤坝大风量角度可调式</w:t>
                  </w:r>
                </w:p>
              </w:tc>
              <w:tc>
                <w:tcPr>
                  <w:tcW w:w="688" w:type="dxa"/>
                  <w:vAlign w:val="top"/>
                </w:tcPr>
                <w:p>
                  <w:pPr>
                    <w:pStyle w:val="TableText"/>
                    <w:ind w:left="188"/>
                    <w:spacing w:before="59" w:line="217" w:lineRule="auto"/>
                    <w:rPr>
                      <w:sz w:val="20"/>
                      <w:szCs w:val="20"/>
                    </w:rPr>
                  </w:pPr>
                  <w:r>
                    <w:rPr>
                      <w:rFonts w:ascii="Times New Roman" w:hAnsi="Times New Roman" w:eastAsia="Times New Roman" w:cs="Times New Roman"/>
                      <w:sz w:val="20"/>
                      <w:szCs w:val="20"/>
                      <w:spacing w:val="3"/>
                    </w:rPr>
                    <w:t>2</w:t>
                  </w:r>
                  <w:r>
                    <w:rPr>
                      <w:sz w:val="20"/>
                      <w:szCs w:val="20"/>
                      <w:spacing w:val="3"/>
                    </w:rPr>
                    <w:t>套</w:t>
                  </w:r>
                </w:p>
              </w:tc>
              <w:tc>
                <w:tcPr>
                  <w:tcW w:w="2373" w:type="dxa"/>
                  <w:vAlign w:val="top"/>
                  <w:tcBorders>
                    <w:right w:val="nil"/>
                  </w:tcBorders>
                </w:tcPr>
                <w:p>
                  <w:pPr>
                    <w:ind w:left="902"/>
                    <w:spacing w:before="111" w:line="19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1.5KW</w:t>
                  </w:r>
                </w:p>
              </w:tc>
            </w:tr>
            <w:tr>
              <w:trPr>
                <w:trHeight w:val="305" w:hRule="atLeast"/>
              </w:trPr>
              <w:tc>
                <w:tcPr>
                  <w:tcW w:w="641" w:type="dxa"/>
                  <w:vAlign w:val="top"/>
                  <w:tcBorders>
                    <w:left w:val="nil"/>
                  </w:tcBorders>
                </w:tcPr>
                <w:p>
                  <w:pPr>
                    <w:ind w:left="276"/>
                    <w:spacing w:before="111" w:line="19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079" w:type="dxa"/>
                  <w:vAlign w:val="top"/>
                </w:tcPr>
                <w:p>
                  <w:pPr>
                    <w:pStyle w:val="TableText"/>
                    <w:ind w:left="125"/>
                    <w:spacing w:before="61" w:line="216" w:lineRule="auto"/>
                    <w:rPr>
                      <w:sz w:val="20"/>
                      <w:szCs w:val="20"/>
                    </w:rPr>
                  </w:pPr>
                  <w:r>
                    <w:rPr>
                      <w:sz w:val="20"/>
                      <w:szCs w:val="20"/>
                      <w:spacing w:val="6"/>
                    </w:rPr>
                    <w:t>牵引系统</w:t>
                  </w:r>
                </w:p>
              </w:tc>
              <w:tc>
                <w:tcPr>
                  <w:tcW w:w="3067" w:type="dxa"/>
                  <w:vAlign w:val="top"/>
                </w:tcPr>
                <w:p>
                  <w:pPr>
                    <w:pStyle w:val="TableText"/>
                    <w:ind w:left="268"/>
                    <w:spacing w:before="61" w:line="216" w:lineRule="auto"/>
                    <w:rPr>
                      <w:rFonts w:ascii="Times New Roman" w:hAnsi="Times New Roman" w:eastAsia="Times New Roman" w:cs="Times New Roman"/>
                      <w:sz w:val="20"/>
                      <w:szCs w:val="20"/>
                    </w:rPr>
                  </w:pPr>
                  <w:r>
                    <w:rPr>
                      <w:sz w:val="20"/>
                      <w:szCs w:val="20"/>
                      <w:spacing w:val="8"/>
                    </w:rPr>
                    <w:t>最高牵引线速度：</w:t>
                  </w:r>
                  <w:r>
                    <w:rPr>
                      <w:rFonts w:ascii="Times New Roman" w:hAnsi="Times New Roman" w:eastAsia="Times New Roman" w:cs="Times New Roman"/>
                      <w:sz w:val="20"/>
                      <w:szCs w:val="20"/>
                      <w:spacing w:val="8"/>
                    </w:rPr>
                    <w:t>120m/</w:t>
                  </w:r>
                  <w:r>
                    <w:rPr>
                      <w:rFonts w:ascii="Times New Roman" w:hAnsi="Times New Roman" w:eastAsia="Times New Roman" w:cs="Times New Roman"/>
                      <w:sz w:val="20"/>
                      <w:szCs w:val="20"/>
                    </w:rPr>
                    <w:t>min</w:t>
                  </w:r>
                </w:p>
              </w:tc>
              <w:tc>
                <w:tcPr>
                  <w:tcW w:w="688" w:type="dxa"/>
                  <w:vAlign w:val="top"/>
                </w:tcPr>
                <w:p>
                  <w:pPr>
                    <w:pStyle w:val="TableText"/>
                    <w:ind w:left="188"/>
                    <w:spacing w:before="61" w:line="216" w:lineRule="auto"/>
                    <w:rPr>
                      <w:sz w:val="20"/>
                      <w:szCs w:val="20"/>
                    </w:rPr>
                  </w:pPr>
                  <w:r>
                    <w:rPr>
                      <w:rFonts w:ascii="Times New Roman" w:hAnsi="Times New Roman" w:eastAsia="Times New Roman" w:cs="Times New Roman"/>
                      <w:sz w:val="20"/>
                      <w:szCs w:val="20"/>
                      <w:spacing w:val="3"/>
                    </w:rPr>
                    <w:t>2</w:t>
                  </w:r>
                  <w:r>
                    <w:rPr>
                      <w:sz w:val="20"/>
                      <w:szCs w:val="20"/>
                      <w:spacing w:val="3"/>
                    </w:rPr>
                    <w:t>套</w:t>
                  </w:r>
                </w:p>
              </w:tc>
              <w:tc>
                <w:tcPr>
                  <w:tcW w:w="2373" w:type="dxa"/>
                  <w:vAlign w:val="top"/>
                  <w:tcBorders>
                    <w:right w:val="nil"/>
                  </w:tcBorders>
                </w:tcPr>
                <w:p>
                  <w:pPr>
                    <w:ind w:left="902"/>
                    <w:spacing w:before="111" w:line="19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1.5KW</w:t>
                  </w:r>
                </w:p>
              </w:tc>
            </w:tr>
            <w:tr>
              <w:trPr>
                <w:trHeight w:val="605" w:hRule="atLeast"/>
              </w:trPr>
              <w:tc>
                <w:tcPr>
                  <w:tcW w:w="641" w:type="dxa"/>
                  <w:vAlign w:val="top"/>
                  <w:tcBorders>
                    <w:left w:val="nil"/>
                  </w:tcBorders>
                </w:tcPr>
                <w:p>
                  <w:pPr>
                    <w:ind w:left="274"/>
                    <w:spacing w:before="114"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079" w:type="dxa"/>
                  <w:vAlign w:val="top"/>
                </w:tcPr>
                <w:p>
                  <w:pPr>
                    <w:pStyle w:val="TableText"/>
                    <w:ind w:left="131"/>
                    <w:spacing w:before="60" w:line="228" w:lineRule="auto"/>
                    <w:rPr>
                      <w:sz w:val="20"/>
                      <w:szCs w:val="20"/>
                    </w:rPr>
                  </w:pPr>
                  <w:r>
                    <w:rPr>
                      <w:sz w:val="20"/>
                      <w:szCs w:val="20"/>
                      <w:spacing w:val="5"/>
                    </w:rPr>
                    <w:t>收卷系统</w:t>
                  </w:r>
                </w:p>
              </w:tc>
              <w:tc>
                <w:tcPr>
                  <w:tcW w:w="3067" w:type="dxa"/>
                  <w:vAlign w:val="top"/>
                </w:tcPr>
                <w:p>
                  <w:pPr>
                    <w:pStyle w:val="TableText"/>
                    <w:ind w:left="131" w:right="126" w:firstLine="137"/>
                    <w:spacing w:before="62" w:line="246" w:lineRule="auto"/>
                    <w:rPr>
                      <w:rFonts w:ascii="Times New Roman" w:hAnsi="Times New Roman" w:eastAsia="Times New Roman" w:cs="Times New Roman"/>
                      <w:sz w:val="20"/>
                      <w:szCs w:val="20"/>
                    </w:rPr>
                  </w:pPr>
                  <w:r>
                    <w:rPr>
                      <w:sz w:val="20"/>
                      <w:szCs w:val="20"/>
                      <w:spacing w:val="8"/>
                    </w:rPr>
                    <w:t>最高收卷线速度：</w:t>
                  </w:r>
                  <w:r>
                    <w:rPr>
                      <w:rFonts w:ascii="Times New Roman" w:hAnsi="Times New Roman" w:eastAsia="Times New Roman" w:cs="Times New Roman"/>
                      <w:sz w:val="20"/>
                      <w:szCs w:val="20"/>
                      <w:spacing w:val="8"/>
                    </w:rPr>
                    <w:t>120m/</w:t>
                  </w:r>
                  <w:r>
                    <w:rPr>
                      <w:rFonts w:ascii="Times New Roman" w:hAnsi="Times New Roman" w:eastAsia="Times New Roman" w:cs="Times New Roman"/>
                      <w:sz w:val="20"/>
                      <w:szCs w:val="20"/>
                    </w:rPr>
                    <w:t>min    </w:t>
                  </w:r>
                  <w:r>
                    <w:rPr>
                      <w:sz w:val="20"/>
                      <w:szCs w:val="20"/>
                      <w:spacing w:val="6"/>
                    </w:rPr>
                    <w:t>卷取钢辊规格：</w:t>
                  </w:r>
                  <w:r>
                    <w:rPr>
                      <w:rFonts w:ascii="Times New Roman" w:hAnsi="Times New Roman" w:eastAsia="Times New Roman" w:cs="Times New Roman"/>
                      <w:sz w:val="20"/>
                      <w:szCs w:val="20"/>
                      <w:spacing w:val="6"/>
                    </w:rPr>
                    <w:t>Ф100×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6"/>
                    </w:rPr>
                    <w:t>1600</w:t>
                  </w:r>
                  <w:r>
                    <w:rPr>
                      <w:rFonts w:ascii="Times New Roman" w:hAnsi="Times New Roman" w:eastAsia="Times New Roman" w:cs="Times New Roman"/>
                      <w:sz w:val="20"/>
                      <w:szCs w:val="20"/>
                    </w:rPr>
                    <w:t>mm</w:t>
                  </w:r>
                </w:p>
              </w:tc>
              <w:tc>
                <w:tcPr>
                  <w:tcW w:w="688" w:type="dxa"/>
                  <w:vAlign w:val="top"/>
                </w:tcPr>
                <w:p>
                  <w:pPr>
                    <w:pStyle w:val="TableText"/>
                    <w:ind w:left="188"/>
                    <w:spacing w:before="61" w:line="228" w:lineRule="auto"/>
                    <w:rPr>
                      <w:sz w:val="20"/>
                      <w:szCs w:val="20"/>
                    </w:rPr>
                  </w:pPr>
                  <w:r>
                    <w:rPr>
                      <w:rFonts w:ascii="Times New Roman" w:hAnsi="Times New Roman" w:eastAsia="Times New Roman" w:cs="Times New Roman"/>
                      <w:sz w:val="20"/>
                      <w:szCs w:val="20"/>
                      <w:spacing w:val="3"/>
                    </w:rPr>
                    <w:t>2</w:t>
                  </w:r>
                  <w:r>
                    <w:rPr>
                      <w:sz w:val="20"/>
                      <w:szCs w:val="20"/>
                      <w:spacing w:val="3"/>
                    </w:rPr>
                    <w:t>套</w:t>
                  </w:r>
                </w:p>
              </w:tc>
              <w:tc>
                <w:tcPr>
                  <w:tcW w:w="2373" w:type="dxa"/>
                  <w:vAlign w:val="top"/>
                  <w:tcBorders>
                    <w:right w:val="nil"/>
                  </w:tcBorders>
                </w:tcPr>
                <w:p>
                  <w:pPr>
                    <w:pStyle w:val="TableText"/>
                    <w:ind w:left="243" w:right="54" w:hanging="130"/>
                    <w:spacing w:before="62" w:line="246" w:lineRule="auto"/>
                    <w:rPr>
                      <w:sz w:val="20"/>
                      <w:szCs w:val="20"/>
                    </w:rPr>
                  </w:pPr>
                  <w:r>
                    <w:rPr>
                      <w:sz w:val="20"/>
                      <w:szCs w:val="20"/>
                    </w:rPr>
                    <w:t>摩擦式卷取，双开双收， </w:t>
                  </w:r>
                  <w:r>
                    <w:rPr>
                      <w:sz w:val="20"/>
                      <w:szCs w:val="20"/>
                      <w:spacing w:val="3"/>
                    </w:rPr>
                    <w:t>钢辊收卷，</w:t>
                  </w:r>
                  <w:r>
                    <w:rPr>
                      <w:sz w:val="20"/>
                      <w:szCs w:val="20"/>
                      <w:spacing w:val="-46"/>
                    </w:rPr>
                    <w:t xml:space="preserve"> </w:t>
                  </w:r>
                  <w:r>
                    <w:rPr>
                      <w:sz w:val="20"/>
                      <w:szCs w:val="20"/>
                      <w:spacing w:val="3"/>
                    </w:rPr>
                    <w:t>自动切割</w:t>
                  </w:r>
                </w:p>
              </w:tc>
            </w:tr>
            <w:tr>
              <w:trPr>
                <w:trHeight w:val="300" w:hRule="atLeast"/>
              </w:trPr>
              <w:tc>
                <w:tcPr>
                  <w:tcW w:w="641" w:type="dxa"/>
                  <w:vAlign w:val="top"/>
                  <w:tcBorders>
                    <w:left w:val="nil"/>
                    <w:bottom w:val="nil"/>
                  </w:tcBorders>
                </w:tcPr>
                <w:p>
                  <w:pPr>
                    <w:ind w:left="279"/>
                    <w:spacing w:before="110"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79" w:type="dxa"/>
                  <w:vAlign w:val="top"/>
                  <w:tcBorders>
                    <w:bottom w:val="nil"/>
                  </w:tcBorders>
                </w:tcPr>
                <w:p>
                  <w:pPr>
                    <w:pStyle w:val="TableText"/>
                    <w:ind w:left="229"/>
                    <w:spacing w:before="60" w:line="212" w:lineRule="auto"/>
                    <w:rPr>
                      <w:sz w:val="20"/>
                      <w:szCs w:val="20"/>
                    </w:rPr>
                  </w:pPr>
                  <w:r>
                    <w:rPr>
                      <w:sz w:val="20"/>
                      <w:szCs w:val="20"/>
                      <w:spacing w:val="6"/>
                    </w:rPr>
                    <w:t>包装机</w:t>
                  </w:r>
                </w:p>
              </w:tc>
              <w:tc>
                <w:tcPr>
                  <w:tcW w:w="3067" w:type="dxa"/>
                  <w:vAlign w:val="top"/>
                  <w:tcBorders>
                    <w:bottom w:val="nil"/>
                  </w:tcBorders>
                </w:tcPr>
                <w:p>
                  <w:pPr>
                    <w:rPr>
                      <w:rFonts w:ascii="Arial"/>
                      <w:sz w:val="21"/>
                    </w:rPr>
                  </w:pPr>
                  <w:r/>
                </w:p>
              </w:tc>
              <w:tc>
                <w:tcPr>
                  <w:tcW w:w="688" w:type="dxa"/>
                  <w:vAlign w:val="top"/>
                  <w:tcBorders>
                    <w:bottom w:val="nil"/>
                  </w:tcBorders>
                </w:tcPr>
                <w:p>
                  <w:pPr>
                    <w:pStyle w:val="TableText"/>
                    <w:ind w:left="188"/>
                    <w:spacing w:before="60" w:line="212" w:lineRule="auto"/>
                    <w:rPr>
                      <w:sz w:val="20"/>
                      <w:szCs w:val="20"/>
                    </w:rPr>
                  </w:pPr>
                  <w:r>
                    <w:rPr>
                      <w:rFonts w:ascii="Times New Roman" w:hAnsi="Times New Roman" w:eastAsia="Times New Roman" w:cs="Times New Roman"/>
                      <w:sz w:val="20"/>
                      <w:szCs w:val="20"/>
                      <w:spacing w:val="3"/>
                    </w:rPr>
                    <w:t>2</w:t>
                  </w:r>
                  <w:r>
                    <w:rPr>
                      <w:sz w:val="20"/>
                      <w:szCs w:val="20"/>
                      <w:spacing w:val="3"/>
                    </w:rPr>
                    <w:t>套</w:t>
                  </w:r>
                </w:p>
              </w:tc>
              <w:tc>
                <w:tcPr>
                  <w:tcW w:w="2373" w:type="dxa"/>
                  <w:vAlign w:val="top"/>
                  <w:tcBorders>
                    <w:bottom w:val="nil"/>
                    <w:right w:val="nil"/>
                  </w:tcBorders>
                </w:tcPr>
                <w:p>
                  <w:pPr>
                    <w:rPr>
                      <w:rFonts w:ascii="Arial"/>
                      <w:sz w:val="21"/>
                    </w:rPr>
                  </w:pPr>
                  <w:r/>
                </w:p>
              </w:tc>
            </w:tr>
          </w:tbl>
          <w:p>
            <w:pPr>
              <w:spacing w:line="22" w:lineRule="exact"/>
              <w:rPr>
                <w:rFonts w:ascii="Arial"/>
                <w:sz w:val="2"/>
              </w:rPr>
            </w:pPr>
            <w:r/>
          </w:p>
        </w:tc>
      </w:tr>
    </w:tbl>
    <w:p>
      <w:pPr>
        <w:pStyle w:val="BodyText"/>
        <w:rPr/>
      </w:pPr>
      <w:r/>
    </w:p>
    <w:p>
      <w:pPr>
        <w:sectPr>
          <w:footerReference w:type="default" r:id="rId161"/>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3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59"/>
        <w:gridCol w:w="8075"/>
      </w:tblGrid>
      <w:tr>
        <w:trPr>
          <w:trHeight w:val="13687" w:hRule="atLeast"/>
        </w:trPr>
        <w:tc>
          <w:tcPr>
            <w:tcW w:w="459" w:type="dxa"/>
            <w:vAlign w:val="top"/>
          </w:tcPr>
          <w:p>
            <w:pPr>
              <w:rPr>
                <w:rFonts w:ascii="Arial"/>
                <w:sz w:val="21"/>
              </w:rPr>
            </w:pPr>
            <w:r/>
          </w:p>
        </w:tc>
        <w:tc>
          <w:tcPr>
            <w:tcW w:w="8075" w:type="dxa"/>
            <w:vAlign w:val="top"/>
          </w:tcPr>
          <w:p>
            <w:pPr>
              <w:pStyle w:val="TableText"/>
              <w:ind w:left="111"/>
              <w:spacing w:before="164" w:line="221" w:lineRule="auto"/>
              <w:outlineLvl w:val="1"/>
              <w:rPr>
                <w:sz w:val="28"/>
                <w:szCs w:val="28"/>
              </w:rPr>
            </w:pPr>
            <w:r>
              <w:rPr>
                <w:rFonts w:ascii="Times New Roman" w:hAnsi="Times New Roman" w:eastAsia="Times New Roman" w:cs="Times New Roman"/>
                <w:sz w:val="28"/>
                <w:szCs w:val="28"/>
                <w:b/>
                <w:bCs/>
              </w:rPr>
              <w:t>2.6  </w:t>
            </w:r>
            <w:r>
              <w:rPr>
                <w:sz w:val="28"/>
                <w:szCs w:val="28"/>
                <w14:textOutline w14:w="5103" w14:cap="sq" w14:cmpd="sng">
                  <w14:solidFill>
                    <w14:srgbClr w14:val="000000"/>
                  </w14:solidFill>
                  <w14:prstDash w14:val="solid"/>
                  <w14:bevel/>
                </w14:textOutline>
              </w:rPr>
              <w:t>公用及辅助工程</w:t>
            </w:r>
          </w:p>
          <w:p>
            <w:pPr>
              <w:pStyle w:val="TableText"/>
              <w:ind w:left="605"/>
              <w:spacing w:before="200" w:line="219" w:lineRule="auto"/>
              <w:rPr/>
            </w:pPr>
            <w:r>
              <w:rPr>
                <w:spacing w:val="-5"/>
              </w:rPr>
              <w:t>（</w:t>
            </w:r>
            <w:r>
              <w:rPr>
                <w:rFonts w:ascii="Times New Roman" w:hAnsi="Times New Roman" w:eastAsia="Times New Roman" w:cs="Times New Roman"/>
                <w:spacing w:val="-5"/>
              </w:rPr>
              <w:t>1</w:t>
            </w:r>
            <w:r>
              <w:rPr>
                <w:spacing w:val="-5"/>
              </w:rPr>
              <w:t>）给水</w:t>
            </w:r>
          </w:p>
          <w:p>
            <w:pPr>
              <w:pStyle w:val="TableText"/>
              <w:ind w:left="595"/>
              <w:spacing w:before="262" w:line="513" w:lineRule="exact"/>
              <w:rPr/>
            </w:pPr>
            <w:r>
              <w:rPr>
                <w:spacing w:val="-1"/>
                <w:position w:val="21"/>
              </w:rPr>
              <w:t>本项目无生产用水，不新增生活用水。</w:t>
            </w:r>
          </w:p>
          <w:p>
            <w:pPr>
              <w:pStyle w:val="TableText"/>
              <w:ind w:left="605"/>
              <w:spacing w:line="219" w:lineRule="auto"/>
              <w:rPr/>
            </w:pPr>
            <w:r>
              <w:rPr>
                <w:spacing w:val="-5"/>
              </w:rPr>
              <w:t>（</w:t>
            </w:r>
            <w:r>
              <w:rPr>
                <w:rFonts w:ascii="Times New Roman" w:hAnsi="Times New Roman" w:eastAsia="Times New Roman" w:cs="Times New Roman"/>
                <w:spacing w:val="-5"/>
              </w:rPr>
              <w:t>2</w:t>
            </w:r>
            <w:r>
              <w:rPr>
                <w:spacing w:val="-5"/>
              </w:rPr>
              <w:t>）排水</w:t>
            </w:r>
          </w:p>
          <w:p>
            <w:pPr>
              <w:pStyle w:val="TableText"/>
              <w:ind w:left="598"/>
              <w:spacing w:before="214" w:line="499" w:lineRule="exact"/>
              <w:rPr/>
            </w:pPr>
            <w:r>
              <w:rPr>
                <w:spacing w:val="-1"/>
                <w:position w:val="19"/>
              </w:rPr>
              <w:t>项目不产生生产废水，不新增生活污水。</w:t>
            </w:r>
          </w:p>
          <w:p>
            <w:pPr>
              <w:pStyle w:val="TableText"/>
              <w:ind w:left="605"/>
              <w:spacing w:line="218" w:lineRule="auto"/>
              <w:rPr/>
            </w:pPr>
            <w:r>
              <w:rPr>
                <w:spacing w:val="-5"/>
              </w:rPr>
              <w:t>（</w:t>
            </w:r>
            <w:r>
              <w:rPr>
                <w:rFonts w:ascii="Times New Roman" w:hAnsi="Times New Roman" w:eastAsia="Times New Roman" w:cs="Times New Roman"/>
                <w:spacing w:val="-5"/>
              </w:rPr>
              <w:t>3</w:t>
            </w:r>
            <w:r>
              <w:rPr>
                <w:spacing w:val="-5"/>
              </w:rPr>
              <w:t>）供电</w:t>
            </w:r>
          </w:p>
          <w:p>
            <w:pPr>
              <w:pStyle w:val="TableText"/>
              <w:ind w:left="113" w:right="114" w:firstLine="481"/>
              <w:spacing w:before="220" w:line="384" w:lineRule="auto"/>
              <w:rPr/>
            </w:pPr>
            <w:r>
              <w:rPr>
                <w:spacing w:val="-3"/>
              </w:rPr>
              <w:t>本项目用电由市政供电线路供给。电源由呼图壁县供电线路架空地埋引</w:t>
            </w:r>
            <w:r>
              <w:rPr>
                <w:spacing w:val="12"/>
              </w:rPr>
              <w:t xml:space="preserve"> </w:t>
            </w:r>
            <w:r>
              <w:rPr>
                <w:spacing w:val="2"/>
              </w:rPr>
              <w:t>入厂区，单回路供电，供电电压等级为</w:t>
            </w:r>
            <w:r>
              <w:rPr>
                <w:rFonts w:ascii="Times New Roman" w:hAnsi="Times New Roman" w:eastAsia="Times New Roman" w:cs="Times New Roman"/>
                <w:spacing w:val="2"/>
              </w:rPr>
              <w:t>10</w:t>
            </w:r>
            <w:r>
              <w:rPr>
                <w:rFonts w:ascii="Times New Roman" w:hAnsi="Times New Roman" w:eastAsia="Times New Roman" w:cs="Times New Roman"/>
              </w:rPr>
              <w:t>kV</w:t>
            </w:r>
            <w:r>
              <w:rPr>
                <w:rFonts w:ascii="Times New Roman" w:hAnsi="Times New Roman" w:eastAsia="Times New Roman" w:cs="Times New Roman"/>
                <w:spacing w:val="-17"/>
              </w:rPr>
              <w:t xml:space="preserve"> </w:t>
            </w:r>
            <w:r>
              <w:rPr>
                <w:spacing w:val="2"/>
              </w:rPr>
              <w:t>。根据本项目的总用电负荷，</w:t>
            </w:r>
            <w:r>
              <w:rPr/>
              <w:t xml:space="preserve"> </w:t>
            </w:r>
            <w:r>
              <w:rPr>
                <w:spacing w:val="-2"/>
              </w:rPr>
              <w:t>供电所提供的专线能满足供电要求。用电负</w:t>
            </w:r>
            <w:r>
              <w:rPr>
                <w:spacing w:val="-3"/>
              </w:rPr>
              <w:t>荷定义为二级用电负荷。全厂低</w:t>
            </w:r>
            <w:r>
              <w:rPr/>
              <w:t xml:space="preserve"> </w:t>
            </w:r>
            <w:r>
              <w:rPr>
                <w:spacing w:val="-2"/>
              </w:rPr>
              <w:t>压主接线为单母线不分段系统，低压配电系统为</w:t>
            </w:r>
            <w:r>
              <w:rPr>
                <w:rFonts w:ascii="Times New Roman" w:hAnsi="Times New Roman" w:eastAsia="Times New Roman" w:cs="Times New Roman"/>
                <w:spacing w:val="-2"/>
              </w:rPr>
              <w:t>380/220V</w:t>
            </w:r>
            <w:r>
              <w:rPr>
                <w:spacing w:val="-2"/>
              </w:rPr>
              <w:t>三相</w:t>
            </w:r>
            <w:r>
              <w:rPr>
                <w:spacing w:val="-3"/>
              </w:rPr>
              <w:t>四线制中性点</w:t>
            </w:r>
            <w:r>
              <w:rPr/>
              <w:t xml:space="preserve"> </w:t>
            </w:r>
            <w:r>
              <w:rPr>
                <w:spacing w:val="-2"/>
              </w:rPr>
              <w:t>接零系统。动力照明供电方式采用树干放射</w:t>
            </w:r>
            <w:r>
              <w:rPr>
                <w:spacing w:val="-3"/>
              </w:rPr>
              <w:t>混合式，低压配电系统采用放射</w:t>
            </w:r>
          </w:p>
          <w:p>
            <w:pPr>
              <w:pStyle w:val="TableText"/>
              <w:ind w:left="118"/>
              <w:spacing w:before="1" w:line="218" w:lineRule="auto"/>
              <w:rPr/>
            </w:pPr>
            <w:r>
              <w:rPr>
                <w:spacing w:val="-1"/>
              </w:rPr>
              <w:t>式，供电线路采用铜芯全塑电缆直埋敷设，由配电室引至各用电设施。</w:t>
            </w:r>
          </w:p>
          <w:p>
            <w:pPr>
              <w:pStyle w:val="TableText"/>
              <w:ind w:left="605"/>
              <w:spacing w:before="217" w:line="219" w:lineRule="auto"/>
              <w:rPr/>
            </w:pPr>
            <w:r>
              <w:rPr>
                <w:color w:val="FF0000"/>
                <w:spacing w:val="-5"/>
              </w:rPr>
              <w:t>（</w:t>
            </w:r>
            <w:r>
              <w:rPr>
                <w:rFonts w:ascii="Times New Roman" w:hAnsi="Times New Roman" w:eastAsia="Times New Roman" w:cs="Times New Roman"/>
                <w:color w:val="FF0000"/>
                <w:spacing w:val="-5"/>
              </w:rPr>
              <w:t>3</w:t>
            </w:r>
            <w:r>
              <w:rPr>
                <w:color w:val="FF0000"/>
                <w:spacing w:val="-5"/>
              </w:rPr>
              <w:t>）供热</w:t>
            </w:r>
          </w:p>
          <w:p>
            <w:pPr>
              <w:pStyle w:val="TableText"/>
              <w:ind w:left="595"/>
              <w:spacing w:before="262" w:line="219" w:lineRule="auto"/>
              <w:rPr/>
            </w:pPr>
            <w:r>
              <w:rPr>
                <w:color w:val="FF0000"/>
                <w:spacing w:val="-3"/>
              </w:rPr>
              <w:t>本项目生产用热采用电能。主要用热设备为螺杆塑料挤出机，加热温度</w:t>
            </w:r>
          </w:p>
          <w:p>
            <w:pPr>
              <w:pStyle w:val="TableText"/>
              <w:spacing w:before="275" w:line="219" w:lineRule="auto"/>
              <w:jc w:val="right"/>
              <w:rPr/>
            </w:pPr>
            <w:r>
              <w:rPr>
                <w:color w:val="FF0000"/>
                <w:spacing w:val="-3"/>
              </w:rPr>
              <w:t>控制在</w:t>
            </w:r>
            <w:r>
              <w:rPr>
                <w:rFonts w:ascii="Times New Roman" w:hAnsi="Times New Roman" w:eastAsia="Times New Roman" w:cs="Times New Roman"/>
                <w:color w:val="FF0000"/>
                <w:spacing w:val="-3"/>
              </w:rPr>
              <w:t>160</w:t>
            </w:r>
            <w:r>
              <w:rPr>
                <w:color w:val="FF0000"/>
                <w:spacing w:val="-3"/>
              </w:rPr>
              <w:t>℃~</w:t>
            </w:r>
            <w:r>
              <w:rPr>
                <w:rFonts w:ascii="Times New Roman" w:hAnsi="Times New Roman" w:eastAsia="Times New Roman" w:cs="Times New Roman"/>
                <w:color w:val="FF0000"/>
                <w:spacing w:val="-3"/>
              </w:rPr>
              <w:t>170</w:t>
            </w:r>
            <w:r>
              <w:rPr>
                <w:color w:val="FF0000"/>
                <w:spacing w:val="-3"/>
              </w:rPr>
              <w:t>℃之间，且为恒温状态。冬季员工用热采</w:t>
            </w:r>
            <w:r>
              <w:rPr>
                <w:color w:val="FF0000"/>
                <w:spacing w:val="-4"/>
              </w:rPr>
              <w:t>用电加热器加热。</w:t>
            </w:r>
          </w:p>
          <w:p>
            <w:pPr>
              <w:pStyle w:val="TableText"/>
              <w:ind w:left="111"/>
              <w:spacing w:before="194" w:line="220" w:lineRule="auto"/>
              <w:outlineLvl w:val="1"/>
              <w:rPr>
                <w:sz w:val="28"/>
                <w:szCs w:val="28"/>
              </w:rPr>
            </w:pPr>
            <w:r>
              <w:rPr>
                <w:rFonts w:ascii="Times New Roman" w:hAnsi="Times New Roman" w:eastAsia="Times New Roman" w:cs="Times New Roman"/>
                <w:sz w:val="28"/>
                <w:szCs w:val="28"/>
                <w:b/>
                <w:bCs/>
              </w:rPr>
              <w:t>2.7  </w:t>
            </w:r>
            <w:r>
              <w:rPr>
                <w:sz w:val="28"/>
                <w:szCs w:val="28"/>
                <w14:textOutline w14:w="5103" w14:cap="sq" w14:cmpd="sng">
                  <w14:solidFill>
                    <w14:srgbClr w14:val="000000"/>
                  </w14:solidFill>
                  <w14:prstDash w14:val="solid"/>
                  <w14:bevel/>
                </w14:textOutline>
              </w:rPr>
              <w:t>劳动定员及工作制度</w:t>
            </w:r>
          </w:p>
          <w:p>
            <w:pPr>
              <w:pStyle w:val="TableText"/>
              <w:ind w:left="118" w:right="114" w:firstLine="477"/>
              <w:spacing w:before="201" w:line="385" w:lineRule="auto"/>
              <w:jc w:val="both"/>
              <w:rPr/>
            </w:pPr>
            <w:r>
              <w:rPr>
                <w:spacing w:val="1"/>
              </w:rPr>
              <w:t>本项目劳动定员</w:t>
            </w:r>
            <w:r>
              <w:rPr>
                <w:rFonts w:ascii="Times New Roman" w:hAnsi="Times New Roman" w:eastAsia="Times New Roman" w:cs="Times New Roman"/>
                <w:spacing w:val="1"/>
              </w:rPr>
              <w:t>3</w:t>
            </w:r>
            <w:r>
              <w:rPr>
                <w:spacing w:val="1"/>
              </w:rPr>
              <w:t>人（现有厂区调拨</w:t>
            </w:r>
            <w:r>
              <w:rPr>
                <w:spacing w:val="7"/>
              </w:rPr>
              <w:t>），</w:t>
            </w:r>
            <w:r>
              <w:rPr>
                <w:spacing w:val="1"/>
              </w:rPr>
              <w:t>项目满负荷</w:t>
            </w:r>
            <w:r>
              <w:rPr/>
              <w:t>生产期为</w:t>
            </w:r>
            <w:r>
              <w:rPr>
                <w:rFonts w:ascii="Times New Roman" w:hAnsi="Times New Roman" w:eastAsia="Times New Roman" w:cs="Times New Roman"/>
              </w:rPr>
              <w:t>90</w:t>
            </w:r>
            <w:r>
              <w:rPr/>
              <w:t>天，实</w:t>
            </w:r>
            <w:r>
              <w:rPr>
                <w:spacing w:val="1"/>
              </w:rPr>
              <w:t xml:space="preserve"> </w:t>
            </w:r>
            <w:r>
              <w:rPr/>
              <w:t>行三班两运转，一班八小时制，年工作</w:t>
            </w:r>
            <w:r>
              <w:rPr>
                <w:rFonts w:ascii="Times New Roman" w:hAnsi="Times New Roman" w:eastAsia="Times New Roman" w:cs="Times New Roman"/>
              </w:rPr>
              <w:t>1440h</w:t>
            </w:r>
            <w:r>
              <w:rPr>
                <w:rFonts w:ascii="Times New Roman" w:hAnsi="Times New Roman" w:eastAsia="Times New Roman" w:cs="Times New Roman"/>
                <w:spacing w:val="-24"/>
              </w:rPr>
              <w:t xml:space="preserve"> </w:t>
            </w:r>
            <w:r>
              <w:rPr/>
              <w:t>。员工宿舍依托已建办公生活</w:t>
            </w:r>
          </w:p>
          <w:p>
            <w:pPr>
              <w:pStyle w:val="TableText"/>
              <w:ind w:left="131"/>
              <w:spacing w:line="218" w:lineRule="auto"/>
              <w:rPr/>
            </w:pPr>
            <w:r>
              <w:rPr>
                <w:spacing w:val="-3"/>
              </w:rPr>
              <w:t>区，餐饮依托已建食堂提供。</w:t>
            </w:r>
          </w:p>
          <w:p>
            <w:pPr>
              <w:pStyle w:val="TableText"/>
              <w:ind w:left="111"/>
              <w:spacing w:before="181" w:line="219" w:lineRule="auto"/>
              <w:outlineLvl w:val="1"/>
              <w:rPr>
                <w:sz w:val="28"/>
                <w:szCs w:val="28"/>
              </w:rPr>
            </w:pPr>
            <w:r>
              <w:rPr>
                <w:rFonts w:ascii="Times New Roman" w:hAnsi="Times New Roman" w:eastAsia="Times New Roman" w:cs="Times New Roman"/>
                <w:sz w:val="28"/>
                <w:szCs w:val="28"/>
                <w:b/>
                <w:bCs/>
              </w:rPr>
              <w:t>2.8  </w:t>
            </w:r>
            <w:r>
              <w:rPr>
                <w:sz w:val="28"/>
                <w:szCs w:val="28"/>
                <w14:textOutline w14:w="5103" w14:cap="sq" w14:cmpd="sng">
                  <w14:solidFill>
                    <w14:srgbClr w14:val="000000"/>
                  </w14:solidFill>
                  <w14:prstDash w14:val="solid"/>
                  <w14:bevel/>
                </w14:textOutline>
              </w:rPr>
              <w:t>厂区平面布置</w:t>
            </w:r>
          </w:p>
          <w:p>
            <w:pPr>
              <w:pStyle w:val="TableText"/>
              <w:ind w:left="112" w:right="114" w:firstLine="485"/>
              <w:spacing w:before="200" w:line="385" w:lineRule="auto"/>
              <w:rPr/>
            </w:pPr>
            <w:r>
              <w:rPr>
                <w:spacing w:val="-3"/>
              </w:rPr>
              <w:t>企业厂区分为办公生活区和生产区。办公生活区独立成区，与生产区隔</w:t>
            </w:r>
            <w:r>
              <w:rPr>
                <w:spacing w:val="9"/>
              </w:rPr>
              <w:t xml:space="preserve"> </w:t>
            </w:r>
            <w:r>
              <w:rPr>
                <w:spacing w:val="-2"/>
              </w:rPr>
              <w:t>离，且靠近厂区主入口和主要道路，便于人员</w:t>
            </w:r>
            <w:r>
              <w:rPr>
                <w:spacing w:val="-3"/>
              </w:rPr>
              <w:t>出入。办公生活区位于厂区北</w:t>
            </w:r>
            <w:r>
              <w:rPr/>
              <w:t xml:space="preserve"> </w:t>
            </w:r>
            <w:r>
              <w:rPr>
                <w:spacing w:val="-2"/>
              </w:rPr>
              <w:t>侧。位于主导风向侧风向。本项目不新增工作</w:t>
            </w:r>
            <w:r>
              <w:rPr>
                <w:spacing w:val="-3"/>
              </w:rPr>
              <w:t>人员，已建办公生活区可满足</w:t>
            </w:r>
          </w:p>
          <w:p>
            <w:pPr>
              <w:pStyle w:val="TableText"/>
              <w:ind w:left="123"/>
              <w:spacing w:line="219" w:lineRule="auto"/>
              <w:rPr/>
            </w:pPr>
            <w:r>
              <w:rPr>
                <w:spacing w:val="-3"/>
              </w:rPr>
              <w:t>员工办公生活。</w:t>
            </w:r>
          </w:p>
          <w:p>
            <w:pPr>
              <w:pStyle w:val="TableText"/>
              <w:ind w:left="121" w:firstLine="468"/>
              <w:spacing w:before="217" w:line="384" w:lineRule="auto"/>
              <w:rPr/>
            </w:pPr>
            <w:r>
              <w:rPr>
                <w:spacing w:val="-12"/>
              </w:rPr>
              <w:t>厂区内道路均为混凝土地面，生产区位于厂区南侧，生产车间为联合“</w:t>
            </w:r>
            <w:r>
              <w:rPr>
                <w:rFonts w:ascii="Times New Roman" w:hAnsi="Times New Roman" w:eastAsia="Times New Roman" w:cs="Times New Roman"/>
                <w:spacing w:val="-12"/>
              </w:rPr>
              <w:t>L </w:t>
            </w:r>
            <w:r>
              <w:rPr>
                <w:spacing w:val="-12"/>
              </w:rPr>
              <w:t>”</w:t>
            </w:r>
            <w:r>
              <w:rPr/>
              <w:t xml:space="preserve"> </w:t>
            </w:r>
            <w:r>
              <w:rPr>
                <w:spacing w:val="-6"/>
              </w:rPr>
              <w:t>型。企业现有项目生产车间布设在厂区南侧，厂区东侧为原料库房。</w:t>
            </w:r>
            <w:r>
              <w:rPr>
                <w:spacing w:val="-7"/>
              </w:rPr>
              <w:t>本项目</w:t>
            </w:r>
          </w:p>
          <w:p>
            <w:pPr>
              <w:pStyle w:val="TableText"/>
              <w:ind w:left="113"/>
              <w:spacing w:before="1" w:line="218" w:lineRule="auto"/>
              <w:rPr/>
            </w:pPr>
            <w:r>
              <w:rPr>
                <w:spacing w:val="-2"/>
              </w:rPr>
              <w:t>在原料库房内布设</w:t>
            </w:r>
            <w:r>
              <w:rPr>
                <w:rFonts w:ascii="Times New Roman" w:hAnsi="Times New Roman" w:eastAsia="Times New Roman" w:cs="Times New Roman"/>
                <w:spacing w:val="-2"/>
              </w:rPr>
              <w:t>2</w:t>
            </w:r>
            <w:r>
              <w:rPr>
                <w:spacing w:val="-2"/>
              </w:rPr>
              <w:t>条地膜生产线。本项目原料堆放在</w:t>
            </w:r>
            <w:r>
              <w:rPr>
                <w:spacing w:val="-3"/>
              </w:rPr>
              <w:t>厂区西北侧，依托企</w:t>
            </w:r>
          </w:p>
        </w:tc>
      </w:tr>
    </w:tbl>
    <w:p>
      <w:pPr>
        <w:pStyle w:val="BodyText"/>
        <w:rPr/>
      </w:pPr>
      <w:r/>
    </w:p>
    <w:p>
      <w:pPr>
        <w:sectPr>
          <w:footerReference w:type="default" r:id="rId162"/>
          <w:pgSz w:w="11906" w:h="16839"/>
          <w:pgMar w:top="400" w:right="1679"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59"/>
        <w:gridCol w:w="8067"/>
      </w:tblGrid>
      <w:tr>
        <w:trPr>
          <w:trHeight w:val="12505" w:hRule="atLeast"/>
        </w:trPr>
        <w:tc>
          <w:tcPr>
            <w:tcW w:w="459" w:type="dxa"/>
            <w:vAlign w:val="top"/>
          </w:tcPr>
          <w:p>
            <w:pPr>
              <w:rPr>
                <w:rFonts w:ascii="Arial"/>
                <w:sz w:val="21"/>
              </w:rPr>
            </w:pPr>
            <w:r/>
          </w:p>
        </w:tc>
        <w:tc>
          <w:tcPr>
            <w:tcW w:w="8067" w:type="dxa"/>
            <w:vAlign w:val="top"/>
          </w:tcPr>
          <w:p>
            <w:pPr>
              <w:pStyle w:val="TableText"/>
              <w:ind w:left="113"/>
              <w:spacing w:before="200" w:line="499" w:lineRule="exact"/>
              <w:rPr/>
            </w:pPr>
            <w:r>
              <w:rPr>
                <w:spacing w:val="-2"/>
                <w:position w:val="19"/>
              </w:rPr>
              <w:t>业已建原料堆场；产品堆放在厂区西北侧，</w:t>
            </w:r>
            <w:r>
              <w:rPr>
                <w:spacing w:val="-3"/>
                <w:position w:val="19"/>
              </w:rPr>
              <w:t>与原料堆场采用围挡隔开。原料</w:t>
            </w:r>
          </w:p>
          <w:p>
            <w:pPr>
              <w:pStyle w:val="TableText"/>
              <w:ind w:left="115"/>
              <w:spacing w:line="218" w:lineRule="auto"/>
              <w:rPr/>
            </w:pPr>
            <w:r>
              <w:rPr>
                <w:spacing w:val="-1"/>
              </w:rPr>
              <w:t>堆场与产品堆场均采取半封闭式，减少日照和易燃设备点燃。</w:t>
            </w:r>
          </w:p>
          <w:p>
            <w:pPr>
              <w:pStyle w:val="TableText"/>
              <w:ind w:left="137" w:right="106" w:firstLine="456"/>
              <w:spacing w:before="214" w:line="385" w:lineRule="auto"/>
              <w:rPr/>
            </w:pPr>
            <w:r>
              <w:rPr>
                <w:spacing w:val="-3"/>
              </w:rPr>
              <w:t>根据本产品的工艺、运输、消防、安全的要求，结合地形等因素，按照</w:t>
            </w:r>
            <w:r>
              <w:rPr>
                <w:spacing w:val="13"/>
              </w:rPr>
              <w:t xml:space="preserve"> </w:t>
            </w:r>
            <w:r>
              <w:rPr>
                <w:spacing w:val="-3"/>
              </w:rPr>
              <w:t>国家有关标准和规定，对生产、运输进行了优化，并供有完善的</w:t>
            </w:r>
            <w:r>
              <w:rPr>
                <w:spacing w:val="-4"/>
              </w:rPr>
              <w:t>供电、排热</w:t>
            </w:r>
          </w:p>
          <w:p>
            <w:pPr>
              <w:pStyle w:val="TableText"/>
              <w:ind w:left="116"/>
              <w:spacing w:line="219" w:lineRule="auto"/>
              <w:rPr/>
            </w:pPr>
            <w:r>
              <w:rPr>
                <w:spacing w:val="-3"/>
              </w:rPr>
              <w:t>等设施。</w:t>
            </w:r>
          </w:p>
          <w:p>
            <w:pPr>
              <w:pStyle w:val="TableText"/>
              <w:ind w:left="595"/>
              <w:spacing w:before="214" w:line="502" w:lineRule="exact"/>
              <w:rPr/>
            </w:pPr>
            <w:r>
              <w:rPr>
                <w:spacing w:val="-3"/>
                <w:position w:val="20"/>
              </w:rPr>
              <w:t>整个建筑空间利用和布局合理，功能分区明确，组织协作良好。厂区内</w:t>
            </w:r>
          </w:p>
          <w:p>
            <w:pPr>
              <w:pStyle w:val="TableText"/>
              <w:spacing w:line="218" w:lineRule="auto"/>
              <w:jc w:val="right"/>
              <w:rPr/>
            </w:pPr>
            <w:r>
              <w:rPr>
                <w:spacing w:val="-7"/>
              </w:rPr>
              <w:t>道路为混凝土地面，道路环状布置。可以满足消防车辆及其它车辆通行要求。</w:t>
            </w:r>
          </w:p>
          <w:p>
            <w:pPr>
              <w:pStyle w:val="TableText"/>
              <w:ind w:left="113" w:right="95" w:firstLine="483"/>
              <w:spacing w:before="214" w:line="385" w:lineRule="auto"/>
              <w:rPr/>
            </w:pPr>
            <w:r>
              <w:rPr>
                <w:spacing w:val="-3"/>
              </w:rPr>
              <w:t>厂区划出车辆行驶路线、严禁烟火标志等并严格执行；厂区配套建设应</w:t>
            </w:r>
            <w:r>
              <w:rPr>
                <w:spacing w:val="10"/>
              </w:rPr>
              <w:t xml:space="preserve"> </w:t>
            </w:r>
            <w:r>
              <w:rPr>
                <w:spacing w:val="-2"/>
              </w:rPr>
              <w:t>急救援设施、救援通道、应急疏散避难所等</w:t>
            </w:r>
            <w:r>
              <w:rPr>
                <w:spacing w:val="-3"/>
              </w:rPr>
              <w:t>防护设施。按《安全标志》规定</w:t>
            </w:r>
            <w:r>
              <w:rPr/>
              <w:t xml:space="preserve"> </w:t>
            </w:r>
            <w:r>
              <w:rPr>
                <w:spacing w:val="-2"/>
              </w:rPr>
              <w:t>在装置区设置有关的安全标志。厂区内道路形成环状，建筑间距符合要</w:t>
            </w:r>
            <w:r>
              <w:rPr>
                <w:spacing w:val="-3"/>
              </w:rPr>
              <w:t>求，</w:t>
            </w:r>
          </w:p>
          <w:p>
            <w:pPr>
              <w:pStyle w:val="TableText"/>
              <w:ind w:left="118"/>
              <w:spacing w:line="219" w:lineRule="auto"/>
              <w:rPr/>
            </w:pPr>
            <w:r>
              <w:rPr>
                <w:spacing w:val="-1"/>
              </w:rPr>
              <w:t>设置大门，将厂前区和人流、物流分开。</w:t>
            </w:r>
          </w:p>
          <w:p>
            <w:pPr>
              <w:pStyle w:val="TableText"/>
              <w:ind w:left="117" w:right="77" w:firstLine="477"/>
              <w:spacing w:before="214" w:line="385" w:lineRule="auto"/>
              <w:rPr/>
            </w:pPr>
            <w:r>
              <w:rPr>
                <w:spacing w:val="-3"/>
              </w:rPr>
              <w:t>根据火灾危险性等级和防火要求，建筑物的防火等级均采用国家现行规</w:t>
            </w:r>
            <w:r>
              <w:rPr>
                <w:spacing w:val="13"/>
              </w:rPr>
              <w:t xml:space="preserve"> </w:t>
            </w:r>
            <w:r>
              <w:rPr>
                <w:spacing w:val="-2"/>
              </w:rPr>
              <w:t>范要求的耐火等级设计，满足建筑防火要求。凡禁火区均设置明显标志牌。</w:t>
            </w:r>
            <w:r>
              <w:rPr>
                <w:spacing w:val="12"/>
              </w:rPr>
              <w:t xml:space="preserve"> </w:t>
            </w:r>
            <w:r>
              <w:rPr>
                <w:spacing w:val="-3"/>
              </w:rPr>
              <w:t>各种易燃物料均储存在阴凉、通风处，远离火源；危险废物暂存间不允许任</w:t>
            </w:r>
            <w:r>
              <w:rPr>
                <w:spacing w:val="16"/>
              </w:rPr>
              <w:t xml:space="preserve"> </w:t>
            </w:r>
            <w:r>
              <w:rPr>
                <w:spacing w:val="5"/>
              </w:rPr>
              <w:t>何人员随便入内。安全出口及安全疏散距离应符合《建</w:t>
            </w:r>
            <w:r>
              <w:rPr>
                <w:spacing w:val="4"/>
              </w:rPr>
              <w:t>筑设计防火规范》</w:t>
            </w:r>
          </w:p>
          <w:p>
            <w:pPr>
              <w:pStyle w:val="TableText"/>
              <w:ind w:left="125"/>
              <w:spacing w:before="1" w:line="220" w:lineRule="auto"/>
              <w:rPr/>
            </w:pPr>
            <w:r>
              <w:rPr>
                <w:spacing w:val="-2"/>
              </w:rPr>
              <w:t>（</w:t>
            </w:r>
            <w:r>
              <w:rPr>
                <w:rFonts w:ascii="Times New Roman" w:hAnsi="Times New Roman" w:eastAsia="Times New Roman" w:cs="Times New Roman"/>
                <w:spacing w:val="-2"/>
              </w:rPr>
              <w:t>GB50016-2006</w:t>
            </w:r>
            <w:r>
              <w:rPr>
                <w:spacing w:val="-2"/>
              </w:rPr>
              <w:t>）的要求。</w:t>
            </w:r>
          </w:p>
          <w:p>
            <w:pPr>
              <w:pStyle w:val="TableText"/>
              <w:ind w:left="115" w:right="106" w:firstLine="481"/>
              <w:spacing w:before="211" w:line="385" w:lineRule="auto"/>
              <w:rPr>
                <w:rFonts w:ascii="Times New Roman" w:hAnsi="Times New Roman" w:eastAsia="Times New Roman" w:cs="Times New Roman"/>
              </w:rPr>
            </w:pPr>
            <w:r>
              <w:rPr>
                <w:spacing w:val="-3"/>
              </w:rPr>
              <w:t>厂区为硬化地面，以满足消防运输要求。同时装置区为耐腐蚀的硬化地</w:t>
            </w:r>
            <w:r>
              <w:rPr>
                <w:spacing w:val="10"/>
              </w:rPr>
              <w:t xml:space="preserve"> </w:t>
            </w:r>
            <w:r>
              <w:rPr>
                <w:spacing w:val="-3"/>
              </w:rPr>
              <w:t>面，且表面无裂隙，进行防渗、防风、防雨、防晒措施。厂区布置满足《建</w:t>
            </w:r>
            <w:r>
              <w:rPr>
                <w:spacing w:val="18"/>
              </w:rPr>
              <w:t xml:space="preserve"> </w:t>
            </w:r>
            <w:r>
              <w:rPr>
                <w:spacing w:val="-6"/>
              </w:rPr>
              <w:t>筑设计防火规范》（</w:t>
            </w:r>
            <w:r>
              <w:rPr>
                <w:rFonts w:ascii="Times New Roman" w:hAnsi="Times New Roman" w:eastAsia="Times New Roman" w:cs="Times New Roman"/>
                <w:spacing w:val="-6"/>
              </w:rPr>
              <w:t>GB50016-2014</w:t>
            </w:r>
            <w:r>
              <w:rPr>
                <w:spacing w:val="-6"/>
              </w:rPr>
              <w:t>）和《石油化工企业设计防火规范》（</w:t>
            </w:r>
            <w:r>
              <w:rPr>
                <w:rFonts w:ascii="Times New Roman" w:hAnsi="Times New Roman" w:eastAsia="Times New Roman" w:cs="Times New Roman"/>
                <w:spacing w:val="-6"/>
              </w:rPr>
              <w:t>GB</w:t>
            </w:r>
          </w:p>
          <w:p>
            <w:pPr>
              <w:pStyle w:val="TableText"/>
              <w:ind w:left="116"/>
              <w:spacing w:before="1" w:line="220" w:lineRule="auto"/>
              <w:rPr/>
            </w:pPr>
            <w:r>
              <w:rPr>
                <w:rFonts w:ascii="Times New Roman" w:hAnsi="Times New Roman" w:eastAsia="Times New Roman" w:cs="Times New Roman"/>
                <w:spacing w:val="-2"/>
              </w:rPr>
              <w:t>50160-2008</w:t>
            </w:r>
            <w:r>
              <w:rPr>
                <w:spacing w:val="-2"/>
              </w:rPr>
              <w:t>）要求。</w:t>
            </w:r>
          </w:p>
          <w:p>
            <w:pPr>
              <w:pStyle w:val="TableText"/>
              <w:ind w:left="119" w:right="45" w:firstLine="478"/>
              <w:spacing w:before="212" w:line="385" w:lineRule="auto"/>
              <w:rPr/>
            </w:pPr>
            <w:r>
              <w:rPr>
                <w:spacing w:val="-8"/>
              </w:rPr>
              <w:t>项目所处位置地势平坦，根据本产品的工艺、运输、消防</w:t>
            </w:r>
            <w:r>
              <w:rPr>
                <w:spacing w:val="-9"/>
              </w:rPr>
              <w:t>、安全的要求，</w:t>
            </w:r>
            <w:r>
              <w:rPr/>
              <w:t xml:space="preserve"> </w:t>
            </w:r>
            <w:r>
              <w:rPr>
                <w:spacing w:val="-3"/>
              </w:rPr>
              <w:t>结合地形等因素，按照国家有关标准和规定，对生产、运输、绿化进行了优</w:t>
            </w:r>
          </w:p>
          <w:p>
            <w:pPr>
              <w:pStyle w:val="TableText"/>
              <w:ind w:left="115"/>
              <w:spacing w:before="1" w:line="218" w:lineRule="auto"/>
              <w:rPr/>
            </w:pPr>
            <w:r>
              <w:rPr>
                <w:spacing w:val="-1"/>
              </w:rPr>
              <w:t>化，并供有完善的供水、供电、排水等设施。</w:t>
            </w:r>
          </w:p>
          <w:p>
            <w:pPr>
              <w:pStyle w:val="TableText"/>
              <w:ind w:left="597"/>
              <w:spacing w:before="215" w:line="501" w:lineRule="exact"/>
              <w:rPr/>
            </w:pPr>
            <w:r>
              <w:rPr>
                <w:spacing w:val="-3"/>
                <w:position w:val="20"/>
              </w:rPr>
              <w:t>综上所述，该项目的建设符合国家产业政策，工程选址合理，平面布置</w:t>
            </w:r>
          </w:p>
          <w:p>
            <w:pPr>
              <w:pStyle w:val="TableText"/>
              <w:ind w:left="115"/>
              <w:spacing w:before="1" w:line="218" w:lineRule="auto"/>
              <w:rPr/>
            </w:pPr>
            <w:r>
              <w:rPr>
                <w:spacing w:val="-1"/>
              </w:rPr>
              <w:t>合理，具有环境可行性。本项目在厂区内位置图见图</w:t>
            </w:r>
            <w:r>
              <w:rPr>
                <w:rFonts w:ascii="Times New Roman" w:hAnsi="Times New Roman" w:eastAsia="Times New Roman" w:cs="Times New Roman"/>
                <w:spacing w:val="-1"/>
              </w:rPr>
              <w:t>4</w:t>
            </w:r>
            <w:r>
              <w:rPr>
                <w:spacing w:val="-1"/>
              </w:rPr>
              <w:t>。</w:t>
            </w:r>
          </w:p>
        </w:tc>
      </w:tr>
      <w:tr>
        <w:trPr>
          <w:trHeight w:val="1207" w:hRule="atLeast"/>
        </w:trPr>
        <w:tc>
          <w:tcPr>
            <w:tcW w:w="459" w:type="dxa"/>
            <w:vAlign w:val="top"/>
            <w:textDirection w:val="tbRlV"/>
          </w:tcPr>
          <w:p>
            <w:pPr>
              <w:pStyle w:val="TableText"/>
              <w:ind w:left="119"/>
              <w:spacing w:before="105" w:line="211" w:lineRule="auto"/>
              <w:rPr/>
            </w:pPr>
            <w:r>
              <w:rPr>
                <w:spacing w:val="-1"/>
              </w:rPr>
              <w:t>工</w:t>
            </w:r>
            <w:r>
              <w:rPr>
                <w:spacing w:val="42"/>
              </w:rPr>
              <w:t xml:space="preserve"> </w:t>
            </w:r>
            <w:r>
              <w:rPr>
                <w:spacing w:val="-1"/>
              </w:rPr>
              <w:t>艺</w:t>
            </w:r>
            <w:r>
              <w:rPr>
                <w:spacing w:val="39"/>
              </w:rPr>
              <w:t xml:space="preserve"> </w:t>
            </w:r>
            <w:r>
              <w:rPr>
                <w:spacing w:val="-1"/>
              </w:rPr>
              <w:t>流</w:t>
            </w:r>
          </w:p>
        </w:tc>
        <w:tc>
          <w:tcPr>
            <w:tcW w:w="8067" w:type="dxa"/>
            <w:vAlign w:val="top"/>
          </w:tcPr>
          <w:p>
            <w:pPr>
              <w:pStyle w:val="TableText"/>
              <w:ind w:left="111"/>
              <w:spacing w:before="163" w:line="221" w:lineRule="auto"/>
              <w:outlineLvl w:val="1"/>
              <w:rPr>
                <w:sz w:val="28"/>
                <w:szCs w:val="28"/>
              </w:rPr>
            </w:pPr>
            <w:r>
              <w:rPr>
                <w:rFonts w:ascii="Times New Roman" w:hAnsi="Times New Roman" w:eastAsia="Times New Roman" w:cs="Times New Roman"/>
                <w:sz w:val="28"/>
                <w:szCs w:val="28"/>
                <w:b/>
                <w:bCs/>
              </w:rPr>
              <w:t>2.9  </w:t>
            </w:r>
            <w:r>
              <w:rPr>
                <w:sz w:val="28"/>
                <w:szCs w:val="28"/>
                <w14:textOutline w14:w="5103" w14:cap="sq" w14:cmpd="sng">
                  <w14:solidFill>
                    <w14:srgbClr w14:val="000000"/>
                  </w14:solidFill>
                  <w14:prstDash w14:val="solid"/>
                  <w14:bevel/>
                </w14:textOutline>
              </w:rPr>
              <w:t>施工期工艺流程</w:t>
            </w:r>
          </w:p>
          <w:p>
            <w:pPr>
              <w:pStyle w:val="TableText"/>
              <w:ind w:right="37"/>
              <w:spacing w:before="184" w:line="219" w:lineRule="auto"/>
              <w:jc w:val="right"/>
              <w:rPr/>
            </w:pPr>
            <w:r>
              <w:rPr/>
              <w:t>本项目属于未批先建项目。施工期已结束，</w:t>
            </w:r>
            <w:r>
              <w:rPr>
                <w:spacing w:val="-1"/>
              </w:rPr>
              <w:t>施工期的环境影响也停止，</w:t>
            </w:r>
          </w:p>
        </w:tc>
      </w:tr>
    </w:tbl>
    <w:p>
      <w:pPr>
        <w:pStyle w:val="BodyText"/>
        <w:rPr/>
      </w:pPr>
      <w:r/>
    </w:p>
    <w:p>
      <w:pPr>
        <w:sectPr>
          <w:footerReference w:type="default" r:id="rId69"/>
          <w:pgSz w:w="11906" w:h="16839"/>
          <w:pgMar w:top="400" w:right="1687" w:bottom="1211" w:left="1687" w:header="0" w:footer="1049" w:gutter="0"/>
        </w:sectPr>
        <w:rPr/>
      </w:pP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5243"/>
        <w:spacing w:before="65" w:line="228" w:lineRule="auto"/>
        <w:rPr>
          <w:rFonts w:ascii="SimSun" w:hAnsi="SimSun" w:eastAsia="SimSun" w:cs="SimSun"/>
          <w:sz w:val="20"/>
          <w:szCs w:val="20"/>
        </w:rPr>
      </w:pPr>
      <w:r>
        <w:drawing>
          <wp:anchor distT="0" distB="0" distL="0" distR="0" simplePos="0" relativeHeight="253319168" behindDoc="1" locked="0" layoutInCell="1" allowOverlap="1">
            <wp:simplePos x="0" y="0"/>
            <wp:positionH relativeFrom="column">
              <wp:posOffset>0</wp:posOffset>
            </wp:positionH>
            <wp:positionV relativeFrom="paragraph">
              <wp:posOffset>-978742</wp:posOffset>
            </wp:positionV>
            <wp:extent cx="8881871" cy="4997450"/>
            <wp:effectExtent l="0" t="0" r="0" b="0"/>
            <wp:wrapNone/>
            <wp:docPr id="140" name="IM 140"/>
            <wp:cNvGraphicFramePr/>
            <a:graphic>
              <a:graphicData uri="http://schemas.openxmlformats.org/drawingml/2006/picture">
                <pic:pic>
                  <pic:nvPicPr>
                    <pic:cNvPr id="140" name="IM 140"/>
                    <pic:cNvPicPr/>
                  </pic:nvPicPr>
                  <pic:blipFill>
                    <a:blip r:embed="rId163"/>
                    <a:stretch>
                      <a:fillRect/>
                    </a:stretch>
                  </pic:blipFill>
                  <pic:spPr>
                    <a:xfrm rot="0">
                      <a:off x="0" y="0"/>
                      <a:ext cx="8881871" cy="4997450"/>
                    </a:xfrm>
                    <a:prstGeom prst="rect">
                      <a:avLst/>
                    </a:prstGeom>
                  </pic:spPr>
                </pic:pic>
              </a:graphicData>
            </a:graphic>
          </wp:anchor>
        </w:drawing>
      </w:r>
      <w:r>
        <w:rPr>
          <w:rFonts w:ascii="SimSun" w:hAnsi="SimSun" w:eastAsia="SimSun" w:cs="SimSun"/>
          <w:sz w:val="20"/>
          <w:szCs w:val="20"/>
          <w:spacing w:val="7"/>
        </w:rPr>
        <w:t>企业厂区边界</w:t>
      </w:r>
    </w:p>
    <w:p>
      <w:pPr>
        <w:pStyle w:val="BodyText"/>
        <w:spacing w:line="310" w:lineRule="auto"/>
        <w:rPr/>
      </w:pPr>
      <w:r/>
    </w:p>
    <w:p>
      <w:pPr>
        <w:pStyle w:val="BodyText"/>
        <w:spacing w:line="311" w:lineRule="auto"/>
        <w:rPr/>
      </w:pPr>
      <w:r/>
    </w:p>
    <w:p>
      <w:pPr>
        <w:ind w:left="5838"/>
        <w:spacing w:before="65" w:line="222" w:lineRule="auto"/>
        <w:rPr>
          <w:rFonts w:ascii="SimSun" w:hAnsi="SimSun" w:eastAsia="SimSun" w:cs="SimSun"/>
          <w:sz w:val="20"/>
          <w:szCs w:val="20"/>
        </w:rPr>
      </w:pPr>
      <w:r>
        <w:drawing>
          <wp:anchor distT="0" distB="0" distL="0" distR="0" simplePos="0" relativeHeight="253322240" behindDoc="0" locked="0" layoutInCell="1" allowOverlap="1">
            <wp:simplePos x="0" y="0"/>
            <wp:positionH relativeFrom="column">
              <wp:posOffset>2317621</wp:posOffset>
            </wp:positionH>
            <wp:positionV relativeFrom="paragraph">
              <wp:posOffset>-379312</wp:posOffset>
            </wp:positionV>
            <wp:extent cx="4350384" cy="1521028"/>
            <wp:effectExtent l="0" t="0" r="0" b="0"/>
            <wp:wrapNone/>
            <wp:docPr id="142" name="IM 142"/>
            <wp:cNvGraphicFramePr/>
            <a:graphic>
              <a:graphicData uri="http://schemas.openxmlformats.org/drawingml/2006/picture">
                <pic:pic>
                  <pic:nvPicPr>
                    <pic:cNvPr id="142" name="IM 142"/>
                    <pic:cNvPicPr/>
                  </pic:nvPicPr>
                  <pic:blipFill>
                    <a:blip r:embed="rId164"/>
                    <a:stretch>
                      <a:fillRect/>
                    </a:stretch>
                  </pic:blipFill>
                  <pic:spPr>
                    <a:xfrm rot="0">
                      <a:off x="0" y="0"/>
                      <a:ext cx="4350384" cy="1521028"/>
                    </a:xfrm>
                    <a:prstGeom prst="rect">
                      <a:avLst/>
                    </a:prstGeom>
                  </pic:spPr>
                </pic:pic>
              </a:graphicData>
            </a:graphic>
          </wp:anchor>
        </w:drawing>
      </w:r>
      <w:r>
        <w:rPr>
          <w:rFonts w:ascii="SimSun" w:hAnsi="SimSun" w:eastAsia="SimSun" w:cs="SimSun"/>
          <w:sz w:val="20"/>
          <w:szCs w:val="20"/>
          <w:spacing w:val="-7"/>
        </w:rPr>
        <w:t>已建</w:t>
      </w:r>
    </w:p>
    <w:p>
      <w:pPr>
        <w:ind w:left="7094"/>
        <w:spacing w:line="229" w:lineRule="auto"/>
        <w:rPr>
          <w:rFonts w:ascii="SimSun" w:hAnsi="SimSun" w:eastAsia="SimSun" w:cs="SimSun"/>
          <w:sz w:val="20"/>
          <w:szCs w:val="20"/>
        </w:rPr>
      </w:pPr>
      <w:r>
        <w:rPr>
          <w:rFonts w:ascii="SimSun" w:hAnsi="SimSun" w:eastAsia="SimSun" w:cs="SimSun"/>
          <w:sz w:val="20"/>
          <w:szCs w:val="20"/>
          <w:spacing w:val="-7"/>
        </w:rPr>
        <w:t>已建</w:t>
      </w:r>
    </w:p>
    <w:p>
      <w:pPr>
        <w:ind w:left="9718"/>
        <w:spacing w:before="282" w:line="312" w:lineRule="exact"/>
        <w:rPr>
          <w:rFonts w:ascii="SimSun" w:hAnsi="SimSun" w:eastAsia="SimSun" w:cs="SimSun"/>
          <w:sz w:val="20"/>
          <w:szCs w:val="20"/>
        </w:rPr>
      </w:pPr>
      <w:r>
        <w:pict>
          <v:shape id="_x0000_s80" style="position:absolute;margin-left:311.346pt;margin-top:29.3116pt;mso-position-vertical-relative:text;mso-position-horizontal-relative:text;width:21.35pt;height:14.45pt;z-index:253320192;" filled="false" stroked="false" type="#_x0000_t202">
            <v:fill on="false"/>
            <v:stroke on="false"/>
            <v:path/>
            <v:imagedata o:title=""/>
            <o:lock v:ext="edit" aspectratio="false"/>
            <v:textbox inset="0mm,0mm,0mm,0mm">
              <w:txbxContent>
                <w:p>
                  <w:pPr>
                    <w:ind w:left="20"/>
                    <w:spacing w:before="20" w:line="229" w:lineRule="auto"/>
                    <w:rPr>
                      <w:rFonts w:ascii="SimSun" w:hAnsi="SimSun" w:eastAsia="SimSun" w:cs="SimSun"/>
                      <w:sz w:val="20"/>
                      <w:szCs w:val="20"/>
                    </w:rPr>
                  </w:pPr>
                  <w:r>
                    <w:rPr>
                      <w:rFonts w:ascii="SimSun" w:hAnsi="SimSun" w:eastAsia="SimSun" w:cs="SimSun"/>
                      <w:sz w:val="20"/>
                      <w:szCs w:val="20"/>
                      <w:spacing w:val="-7"/>
                    </w:rPr>
                    <w:t>已建</w:t>
                  </w:r>
                </w:p>
              </w:txbxContent>
            </v:textbox>
          </v:shape>
        </w:pict>
      </w:r>
      <w:r>
        <w:pict>
          <v:shape id="_x0000_s82" style="position:absolute;margin-left:406.866pt;margin-top:33.9917pt;mso-position-vertical-relative:text;mso-position-horizontal-relative:text;width:21.35pt;height:14.45pt;z-index:253321216;" filled="false" stroked="false" type="#_x0000_t202">
            <v:fill on="false"/>
            <v:stroke on="false"/>
            <v:path/>
            <v:imagedata o:title=""/>
            <o:lock v:ext="edit" aspectratio="false"/>
            <v:textbox inset="0mm,0mm,0mm,0mm">
              <w:txbxContent>
                <w:p>
                  <w:pPr>
                    <w:ind w:left="20"/>
                    <w:spacing w:before="20" w:line="229" w:lineRule="auto"/>
                    <w:rPr>
                      <w:rFonts w:ascii="SimSun" w:hAnsi="SimSun" w:eastAsia="SimSun" w:cs="SimSun"/>
                      <w:sz w:val="20"/>
                      <w:szCs w:val="20"/>
                    </w:rPr>
                  </w:pPr>
                  <w:r>
                    <w:rPr>
                      <w:rFonts w:ascii="SimSun" w:hAnsi="SimSun" w:eastAsia="SimSun" w:cs="SimSun"/>
                      <w:sz w:val="20"/>
                      <w:szCs w:val="20"/>
                      <w:spacing w:val="-7"/>
                    </w:rPr>
                    <w:t>已建</w:t>
                  </w:r>
                </w:p>
              </w:txbxContent>
            </v:textbox>
          </v:shape>
        </w:pict>
      </w:r>
      <w:r>
        <w:rPr>
          <w:rFonts w:ascii="SimSun" w:hAnsi="SimSun" w:eastAsia="SimSun" w:cs="SimSun"/>
          <w:sz w:val="20"/>
          <w:szCs w:val="20"/>
          <w:spacing w:val="6"/>
          <w:position w:val="7"/>
        </w:rPr>
        <w:t>原料库房</w:t>
      </w:r>
    </w:p>
    <w:p>
      <w:pPr>
        <w:ind w:left="9713"/>
        <w:spacing w:line="228" w:lineRule="auto"/>
        <w:rPr>
          <w:rFonts w:ascii="SimSun" w:hAnsi="SimSun" w:eastAsia="SimSun" w:cs="SimSun"/>
          <w:sz w:val="20"/>
          <w:szCs w:val="20"/>
        </w:rPr>
      </w:pPr>
      <w:r>
        <w:rPr>
          <w:rFonts w:ascii="SimSun" w:hAnsi="SimSun" w:eastAsia="SimSun" w:cs="SimSun"/>
          <w:sz w:val="20"/>
          <w:szCs w:val="20"/>
          <w:spacing w:val="7"/>
        </w:rPr>
        <w:t>扩建项目</w:t>
      </w: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5985"/>
        <w:spacing w:before="91" w:line="219" w:lineRule="auto"/>
        <w:rPr>
          <w:rFonts w:ascii="SimSun" w:hAnsi="SimSun" w:eastAsia="SimSun" w:cs="SimSun"/>
          <w:sz w:val="28"/>
          <w:szCs w:val="28"/>
        </w:rPr>
      </w:pPr>
      <w:r>
        <w:rPr>
          <w:rFonts w:ascii="SimSun" w:hAnsi="SimSun" w:eastAsia="SimSun" w:cs="SimSun"/>
          <w:sz w:val="28"/>
          <w:szCs w:val="28"/>
          <w14:textOutline w14:w="5105" w14:cap="flat" w14:cmpd="sng">
            <w14:solidFill>
              <w14:srgbClr w14:val="000000"/>
            </w14:solidFill>
            <w14:prstDash w14:val="solid"/>
            <w14:miter w14:lim="10"/>
          </w14:textOutline>
          <w:spacing w:val="-8"/>
        </w:rPr>
        <w:t>图</w:t>
      </w:r>
      <w:r>
        <w:rPr>
          <w:rFonts w:ascii="SimSun" w:hAnsi="SimSun" w:eastAsia="SimSun" w:cs="SimSun"/>
          <w:sz w:val="28"/>
          <w:szCs w:val="28"/>
          <w:spacing w:val="-56"/>
        </w:rPr>
        <w:t xml:space="preserve"> </w:t>
      </w:r>
      <w:r>
        <w:rPr>
          <w:rFonts w:ascii="SimSun" w:hAnsi="SimSun" w:eastAsia="SimSun" w:cs="SimSun"/>
          <w:sz w:val="28"/>
          <w:szCs w:val="28"/>
          <w14:textOutline w14:w="5105" w14:cap="flat" w14:cmpd="sng">
            <w14:solidFill>
              <w14:srgbClr w14:val="000000"/>
            </w14:solidFill>
            <w14:prstDash w14:val="solid"/>
            <w14:miter w14:lim="10"/>
          </w14:textOutline>
          <w:spacing w:val="-8"/>
        </w:rPr>
        <w:t>4</w:t>
      </w:r>
      <w:r>
        <w:rPr>
          <w:rFonts w:ascii="SimSun" w:hAnsi="SimSun" w:eastAsia="SimSun" w:cs="SimSun"/>
          <w:sz w:val="28"/>
          <w:szCs w:val="28"/>
          <w:spacing w:val="-59"/>
        </w:rPr>
        <w:t xml:space="preserve"> </w:t>
      </w:r>
      <w:r>
        <w:rPr>
          <w:rFonts w:ascii="SimSun" w:hAnsi="SimSun" w:eastAsia="SimSun" w:cs="SimSun"/>
          <w:sz w:val="28"/>
          <w:szCs w:val="28"/>
          <w14:textOutline w14:w="5105" w14:cap="flat" w14:cmpd="sng">
            <w14:solidFill>
              <w14:srgbClr w14:val="000000"/>
            </w14:solidFill>
            <w14:prstDash w14:val="solid"/>
            <w14:miter w14:lim="10"/>
          </w14:textOutline>
          <w:spacing w:val="-8"/>
        </w:rPr>
        <w:t>平面布置图</w:t>
      </w:r>
    </w:p>
    <w:p>
      <w:pPr>
        <w:spacing w:line="219" w:lineRule="auto"/>
        <w:sectPr>
          <w:footerReference w:type="default" r:id="rId16"/>
          <w:pgSz w:w="16839" w:h="11906"/>
          <w:pgMar w:top="400" w:right="1398" w:bottom="400" w:left="1452" w:header="0" w:footer="0" w:gutter="0"/>
        </w:sectPr>
        <w:rPr>
          <w:rFonts w:ascii="SimSun" w:hAnsi="SimSun" w:eastAsia="SimSun" w:cs="SimSun"/>
          <w:sz w:val="28"/>
          <w:szCs w:val="28"/>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59"/>
        <w:gridCol w:w="8067"/>
      </w:tblGrid>
      <w:tr>
        <w:trPr>
          <w:trHeight w:val="13867" w:hRule="atLeast"/>
        </w:trPr>
        <w:tc>
          <w:tcPr>
            <w:tcW w:w="459" w:type="dxa"/>
            <w:vAlign w:val="top"/>
            <w:textDirection w:val="tbRlV"/>
          </w:tcPr>
          <w:p>
            <w:pPr>
              <w:pStyle w:val="TableText"/>
              <w:ind w:left="118"/>
              <w:spacing w:before="105" w:line="209" w:lineRule="auto"/>
              <w:rPr/>
            </w:pPr>
            <w:r>
              <w:rPr>
                <w:spacing w:val="-1"/>
              </w:rPr>
              <w:t>程</w:t>
            </w:r>
            <w:r>
              <w:rPr>
                <w:spacing w:val="44"/>
              </w:rPr>
              <w:t xml:space="preserve"> </w:t>
            </w:r>
            <w:r>
              <w:rPr>
                <w:spacing w:val="-1"/>
              </w:rPr>
              <w:t>和</w:t>
            </w:r>
            <w:r>
              <w:rPr>
                <w:spacing w:val="41"/>
              </w:rPr>
              <w:t xml:space="preserve"> </w:t>
            </w:r>
            <w:r>
              <w:rPr>
                <w:spacing w:val="-1"/>
              </w:rPr>
              <w:t>产</w:t>
            </w:r>
            <w:r>
              <w:rPr>
                <w:spacing w:val="39"/>
              </w:rPr>
              <w:t xml:space="preserve"> </w:t>
            </w:r>
            <w:r>
              <w:rPr>
                <w:spacing w:val="-1"/>
              </w:rPr>
              <w:t>排</w:t>
            </w:r>
            <w:r>
              <w:rPr>
                <w:spacing w:val="41"/>
              </w:rPr>
              <w:t xml:space="preserve"> </w:t>
            </w:r>
            <w:r>
              <w:rPr>
                <w:spacing w:val="-1"/>
              </w:rPr>
              <w:t>污</w:t>
            </w:r>
            <w:r>
              <w:rPr>
                <w:spacing w:val="41"/>
              </w:rPr>
              <w:t xml:space="preserve"> </w:t>
            </w:r>
            <w:r>
              <w:rPr>
                <w:spacing w:val="-1"/>
              </w:rPr>
              <w:t>环</w:t>
            </w:r>
          </w:p>
        </w:tc>
        <w:tc>
          <w:tcPr>
            <w:tcW w:w="8067" w:type="dxa"/>
            <w:vAlign w:val="top"/>
          </w:tcPr>
          <w:p>
            <w:pPr>
              <w:pStyle w:val="TableText"/>
              <w:ind w:left="116"/>
              <w:spacing w:before="182" w:line="219" w:lineRule="auto"/>
              <w:rPr/>
            </w:pPr>
            <w:r>
              <w:rPr>
                <w:spacing w:val="-1"/>
              </w:rPr>
              <w:t>现场无施工期遗留环境问题，故本次环评不对施工期做环境影响分析。</w:t>
            </w:r>
          </w:p>
          <w:p>
            <w:pPr>
              <w:pStyle w:val="TableText"/>
              <w:ind w:left="111"/>
              <w:spacing w:before="177" w:line="219" w:lineRule="auto"/>
              <w:outlineLvl w:val="1"/>
              <w:rPr>
                <w:sz w:val="28"/>
                <w:szCs w:val="28"/>
              </w:rPr>
            </w:pPr>
            <w:r>
              <w:rPr>
                <w:rFonts w:ascii="Times New Roman" w:hAnsi="Times New Roman" w:eastAsia="Times New Roman" w:cs="Times New Roman"/>
                <w:sz w:val="28"/>
                <w:szCs w:val="28"/>
                <w:b/>
                <w:bCs/>
              </w:rPr>
              <w:t>2.10  </w:t>
            </w:r>
            <w:r>
              <w:rPr>
                <w:sz w:val="28"/>
                <w:szCs w:val="28"/>
                <w14:textOutline w14:w="5103" w14:cap="sq" w14:cmpd="sng">
                  <w14:solidFill>
                    <w14:srgbClr w14:val="000000"/>
                  </w14:solidFill>
                  <w14:prstDash w14:val="solid"/>
                  <w14:bevel/>
                </w14:textOutline>
              </w:rPr>
              <w:t>运营期工艺流程简述</w:t>
            </w:r>
          </w:p>
          <w:p>
            <w:pPr>
              <w:pStyle w:val="TableText"/>
              <w:ind w:left="119" w:right="26" w:firstLine="473"/>
              <w:spacing w:before="250" w:line="431" w:lineRule="auto"/>
              <w:rPr/>
            </w:pPr>
            <w:r>
              <w:rPr>
                <w:spacing w:val="-8"/>
              </w:rPr>
              <w:t>①原料进厂：将外购原料聚乙烯颗粒、抗老化剂人工运输至原料储存区。</w:t>
            </w:r>
            <w:r>
              <w:rPr>
                <w:spacing w:val="17"/>
              </w:rPr>
              <w:t xml:space="preserve"> </w:t>
            </w:r>
            <w:r>
              <w:rPr>
                <w:spacing w:val="-2"/>
              </w:rPr>
              <w:t>原料均采用密闭包装袋包装，原料运输过程中不会</w:t>
            </w:r>
            <w:r>
              <w:rPr>
                <w:spacing w:val="-3"/>
              </w:rPr>
              <w:t>产生废气污染物排放。运</w:t>
            </w:r>
          </w:p>
          <w:p>
            <w:pPr>
              <w:pStyle w:val="TableText"/>
              <w:ind w:left="113"/>
              <w:spacing w:line="219" w:lineRule="auto"/>
              <w:rPr/>
            </w:pPr>
            <w:r>
              <w:rPr>
                <w:spacing w:val="-1"/>
              </w:rPr>
              <w:t>输车辆在厂区产生车辆噪声影响。</w:t>
            </w:r>
          </w:p>
          <w:p>
            <w:pPr>
              <w:pStyle w:val="TableText"/>
              <w:spacing w:before="274" w:line="559" w:lineRule="exact"/>
              <w:jc w:val="right"/>
              <w:rPr/>
            </w:pPr>
            <w:r>
              <w:rPr>
                <w:spacing w:val="-8"/>
                <w:position w:val="24"/>
              </w:rPr>
              <w:t>②混料上料：将聚乙烯颗粒、抗老化剂按照计量配料，人工投入混料机，</w:t>
            </w:r>
          </w:p>
          <w:p>
            <w:pPr>
              <w:pStyle w:val="TableText"/>
              <w:ind w:left="112"/>
              <w:spacing w:before="1" w:line="218" w:lineRule="auto"/>
              <w:rPr/>
            </w:pPr>
            <w:r>
              <w:rPr/>
              <w:t>将物料混合均匀，混合均匀的物料自动输送至螺杆</w:t>
            </w:r>
            <w:r>
              <w:rPr>
                <w:spacing w:val="-1"/>
              </w:rPr>
              <w:t>塑料挤出机料斗中。</w:t>
            </w:r>
          </w:p>
          <w:p>
            <w:pPr>
              <w:pStyle w:val="TableText"/>
              <w:ind w:left="115" w:right="106" w:firstLine="480"/>
              <w:spacing w:before="278" w:line="430" w:lineRule="auto"/>
              <w:rPr/>
            </w:pPr>
            <w:r>
              <w:rPr>
                <w:spacing w:val="-3"/>
              </w:rPr>
              <w:t>本项目抗老化剂为颗粒料，在混料和上料过程中不会有粉尘产生；聚乙</w:t>
            </w:r>
            <w:r>
              <w:rPr>
                <w:spacing w:val="12"/>
              </w:rPr>
              <w:t xml:space="preserve"> </w:t>
            </w:r>
            <w:r>
              <w:rPr>
                <w:spacing w:val="-3"/>
              </w:rPr>
              <w:t>烯为颗粒物，在混料和上料过程中不会产生粉尘排放。原辅料均为袋装，上</w:t>
            </w:r>
          </w:p>
          <w:p>
            <w:pPr>
              <w:pStyle w:val="TableText"/>
              <w:ind w:left="114"/>
              <w:spacing w:line="218" w:lineRule="auto"/>
              <w:rPr/>
            </w:pPr>
            <w:r>
              <w:rPr>
                <w:spacing w:val="-1"/>
              </w:rPr>
              <w:t>料过程会有废弃包装物产生、混料过程产生噪声排放。</w:t>
            </w:r>
          </w:p>
          <w:p>
            <w:pPr>
              <w:pStyle w:val="TableText"/>
              <w:ind w:left="113" w:right="106" w:firstLine="479"/>
              <w:spacing w:before="276" w:line="431" w:lineRule="auto"/>
              <w:rPr/>
            </w:pPr>
            <w:r>
              <w:rPr>
                <w:spacing w:val="-3"/>
              </w:rPr>
              <w:t>③塑化挤出：混合物料从料斗进入螺杆塑料挤出机，当颗粒与螺纹斜棱</w:t>
            </w:r>
            <w:r>
              <w:rPr>
                <w:spacing w:val="14"/>
              </w:rPr>
              <w:t xml:space="preserve"> </w:t>
            </w:r>
            <w:r>
              <w:rPr>
                <w:spacing w:val="-2"/>
              </w:rPr>
              <w:t>接触后，旋转的斜棱面对塑料产生于斜棱面</w:t>
            </w:r>
            <w:r>
              <w:rPr>
                <w:spacing w:val="-3"/>
              </w:rPr>
              <w:t>相垂直的推力，将塑料粒子向前</w:t>
            </w:r>
            <w:r>
              <w:rPr/>
              <w:t xml:space="preserve"> </w:t>
            </w:r>
            <w:r>
              <w:rPr>
                <w:spacing w:val="-2"/>
              </w:rPr>
              <w:t>推移，推移过程中，由于塑料与螺杆、塑料</w:t>
            </w:r>
            <w:r>
              <w:rPr>
                <w:spacing w:val="-3"/>
              </w:rPr>
              <w:t>与机筒之间的摩擦以及粒子之间</w:t>
            </w:r>
            <w:r>
              <w:rPr/>
              <w:t xml:space="preserve"> </w:t>
            </w:r>
            <w:r>
              <w:rPr>
                <w:spacing w:val="-2"/>
              </w:rPr>
              <w:t>的碰撞破擦，同时还由于料筒外部加热而逐</w:t>
            </w:r>
            <w:r>
              <w:rPr>
                <w:spacing w:val="-3"/>
              </w:rPr>
              <w:t>步融化达到流动状态，从而并具</w:t>
            </w:r>
          </w:p>
          <w:p>
            <w:pPr>
              <w:pStyle w:val="TableText"/>
              <w:ind w:left="115"/>
              <w:spacing w:line="219" w:lineRule="auto"/>
              <w:rPr/>
            </w:pPr>
            <w:r>
              <w:rPr>
                <w:spacing w:val="-1"/>
              </w:rPr>
              <w:t>有良好的可塑性，熔体在压力的作用下从模头模口挤出。</w:t>
            </w:r>
          </w:p>
          <w:p>
            <w:pPr>
              <w:pStyle w:val="TableText"/>
              <w:ind w:left="113" w:right="106" w:firstLine="483"/>
              <w:spacing w:before="275" w:line="431" w:lineRule="auto"/>
              <w:rPr/>
            </w:pPr>
            <w:r>
              <w:rPr>
                <w:spacing w:val="1"/>
              </w:rPr>
              <w:t>螺杆塑料挤出机挤出温度控制在</w:t>
            </w:r>
            <w:r>
              <w:rPr>
                <w:rFonts w:ascii="Times New Roman" w:hAnsi="Times New Roman" w:eastAsia="Times New Roman" w:cs="Times New Roman"/>
                <w:spacing w:val="1"/>
              </w:rPr>
              <w:t>160</w:t>
            </w:r>
            <w:r>
              <w:rPr>
                <w:spacing w:val="1"/>
              </w:rPr>
              <w:t>℃~</w:t>
            </w:r>
            <w:r>
              <w:rPr>
                <w:rFonts w:ascii="Times New Roman" w:hAnsi="Times New Roman" w:eastAsia="Times New Roman" w:cs="Times New Roman"/>
                <w:spacing w:val="1"/>
              </w:rPr>
              <w:t>170</w:t>
            </w:r>
            <w:r>
              <w:rPr>
                <w:spacing w:val="1"/>
              </w:rPr>
              <w:t>℃之间，且必须保证机头温</w:t>
            </w:r>
            <w:r>
              <w:rPr>
                <w:spacing w:val="3"/>
              </w:rPr>
              <w:t xml:space="preserve"> </w:t>
            </w:r>
            <w:r>
              <w:rPr>
                <w:spacing w:val="-2"/>
              </w:rPr>
              <w:t>度均匀，挤出温度过高，树脂容易分解，且</w:t>
            </w:r>
            <w:r>
              <w:rPr>
                <w:spacing w:val="-3"/>
              </w:rPr>
              <w:t>薄膜发脆，尤其使纵向拉伸强度</w:t>
            </w:r>
            <w:r>
              <w:rPr/>
              <w:t xml:space="preserve"> </w:t>
            </w:r>
            <w:r>
              <w:rPr>
                <w:spacing w:val="-2"/>
              </w:rPr>
              <w:t>显著下降，温度过低，则树脂塑化不良，不</w:t>
            </w:r>
            <w:r>
              <w:rPr>
                <w:spacing w:val="-3"/>
              </w:rPr>
              <w:t>能圆滑地进行膨胀拉伸，薄膜的</w:t>
            </w:r>
            <w:r>
              <w:rPr/>
              <w:t xml:space="preserve"> </w:t>
            </w:r>
            <w:r>
              <w:rPr>
                <w:spacing w:val="-2"/>
              </w:rPr>
              <w:t>拉伸强度较低，且表面的光泽性和透明度差</w:t>
            </w:r>
            <w:r>
              <w:rPr>
                <w:spacing w:val="-3"/>
              </w:rPr>
              <w:t>，甚至出现像木材年轮般的花纹</w:t>
            </w:r>
          </w:p>
          <w:p>
            <w:pPr>
              <w:pStyle w:val="TableText"/>
              <w:ind w:left="141"/>
              <w:spacing w:line="220" w:lineRule="auto"/>
              <w:rPr/>
            </w:pPr>
            <w:r>
              <w:rPr>
                <w:spacing w:val="-3"/>
              </w:rPr>
              <w:t>以及未熔化的晶核（鱼眼）。</w:t>
            </w:r>
          </w:p>
          <w:p>
            <w:pPr>
              <w:pStyle w:val="TableText"/>
              <w:ind w:left="113" w:right="106" w:firstLine="479"/>
              <w:spacing w:before="271" w:line="431" w:lineRule="auto"/>
              <w:rPr/>
            </w:pPr>
            <w:r>
              <w:rPr>
                <w:spacing w:val="-3"/>
              </w:rPr>
              <w:t>④吹胀牵引：挤出机从模头模口挤出成型为薄膜管环，管环另一端连接</w:t>
            </w:r>
            <w:r>
              <w:rPr>
                <w:spacing w:val="14"/>
              </w:rPr>
              <w:t xml:space="preserve"> </w:t>
            </w:r>
            <w:r>
              <w:rPr>
                <w:spacing w:val="-2"/>
              </w:rPr>
              <w:t>牵引辊，经空压机将空气通入管坯中进行吹</w:t>
            </w:r>
            <w:r>
              <w:rPr>
                <w:spacing w:val="-3"/>
              </w:rPr>
              <w:t>胀成型膜泡，直至达到要求的幅</w:t>
            </w:r>
            <w:r>
              <w:rPr/>
              <w:t xml:space="preserve"> </w:t>
            </w:r>
            <w:r>
              <w:rPr>
                <w:spacing w:val="-2"/>
              </w:rPr>
              <w:t>度为止，并使管环中保持恒定的压力。吹胀</w:t>
            </w:r>
            <w:r>
              <w:rPr>
                <w:spacing w:val="-3"/>
              </w:rPr>
              <w:t>后的薄膜，由质检人员检验，对</w:t>
            </w:r>
            <w:r>
              <w:rPr/>
              <w:t xml:space="preserve"> </w:t>
            </w:r>
            <w:r>
              <w:rPr>
                <w:spacing w:val="-2"/>
              </w:rPr>
              <w:t>不合格项进行调整，薄膜的宽度主要通过空</w:t>
            </w:r>
            <w:r>
              <w:rPr>
                <w:spacing w:val="-3"/>
              </w:rPr>
              <w:t>气吹胀比加以调整。合吹胀格的</w:t>
            </w:r>
          </w:p>
          <w:p>
            <w:pPr>
              <w:pStyle w:val="TableText"/>
              <w:ind w:left="118"/>
              <w:spacing w:before="1" w:line="218" w:lineRule="auto"/>
              <w:rPr/>
            </w:pPr>
            <w:r>
              <w:rPr>
                <w:spacing w:val="-1"/>
              </w:rPr>
              <w:t>薄膜经牵引系统进入下一生产环节。</w:t>
            </w:r>
          </w:p>
        </w:tc>
      </w:tr>
    </w:tbl>
    <w:p>
      <w:pPr>
        <w:pStyle w:val="BodyText"/>
        <w:rPr/>
      </w:pPr>
      <w:r/>
    </w:p>
    <w:p>
      <w:pPr>
        <w:sectPr>
          <w:footerReference w:type="default" r:id="rId70"/>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59"/>
        <w:gridCol w:w="8067"/>
      </w:tblGrid>
      <w:tr>
        <w:trPr>
          <w:trHeight w:val="13447" w:hRule="atLeast"/>
        </w:trPr>
        <w:tc>
          <w:tcPr>
            <w:tcW w:w="459" w:type="dxa"/>
            <w:vAlign w:val="top"/>
          </w:tcPr>
          <w:p>
            <w:pPr>
              <w:rPr>
                <w:rFonts w:ascii="Arial"/>
                <w:sz w:val="21"/>
              </w:rPr>
            </w:pPr>
            <w:r/>
          </w:p>
        </w:tc>
        <w:tc>
          <w:tcPr>
            <w:tcW w:w="8067" w:type="dxa"/>
            <w:vAlign w:val="top"/>
          </w:tcPr>
          <w:p>
            <w:pPr>
              <w:pStyle w:val="TableText"/>
              <w:ind w:left="113" w:right="106" w:firstLine="493"/>
              <w:spacing w:before="246" w:line="431" w:lineRule="auto"/>
              <w:jc w:val="both"/>
              <w:rPr/>
            </w:pPr>
            <w:r>
              <w:rPr>
                <w:spacing w:val="-3"/>
              </w:rPr>
              <w:t>吹胀比是吹塑薄膜生产工艺的控制要点之一，是指吹胀后膜泡的直径与</w:t>
            </w:r>
            <w:r>
              <w:rPr/>
              <w:t xml:space="preserve"> </w:t>
            </w:r>
            <w:r>
              <w:rPr>
                <w:spacing w:val="-2"/>
              </w:rPr>
              <w:t>未吹胀的管环直径之间的比值。吹胀比为薄</w:t>
            </w:r>
            <w:r>
              <w:rPr>
                <w:spacing w:val="-3"/>
              </w:rPr>
              <w:t>膜的横向膨胀倍数，实际上是对</w:t>
            </w:r>
            <w:r>
              <w:rPr/>
              <w:t xml:space="preserve"> </w:t>
            </w:r>
            <w:r>
              <w:rPr>
                <w:spacing w:val="-2"/>
              </w:rPr>
              <w:t>薄膜进行横向拉伸，拉伸会对塑料分子产生</w:t>
            </w:r>
            <w:r>
              <w:rPr>
                <w:spacing w:val="-3"/>
              </w:rPr>
              <w:t>一定程度的取向作用，吹胀比增</w:t>
            </w:r>
            <w:r>
              <w:rPr/>
              <w:t xml:space="preserve"> </w:t>
            </w:r>
            <w:r>
              <w:rPr>
                <w:spacing w:val="-2"/>
              </w:rPr>
              <w:t>大，从而使薄膜的横向强度提高。但是，吹</w:t>
            </w:r>
            <w:r>
              <w:rPr>
                <w:spacing w:val="-3"/>
              </w:rPr>
              <w:t>胀比也不能太大，否则容易造成</w:t>
            </w:r>
            <w:r>
              <w:rPr/>
              <w:t xml:space="preserve"> </w:t>
            </w:r>
            <w:r>
              <w:rPr>
                <w:spacing w:val="-2"/>
              </w:rPr>
              <w:t>膜泡不稳定，且薄膜容易出现皱折。因此，</w:t>
            </w:r>
            <w:r>
              <w:rPr>
                <w:spacing w:val="-3"/>
              </w:rPr>
              <w:t>吹胀比应当同牵引比配合适当才</w:t>
            </w:r>
            <w:r>
              <w:rPr/>
              <w:t xml:space="preserve"> </w:t>
            </w:r>
            <w:r>
              <w:rPr>
                <w:spacing w:val="1"/>
              </w:rPr>
              <w:t>行，一般来说，低密度聚乙烯（</w:t>
            </w:r>
            <w:r>
              <w:rPr>
                <w:rFonts w:ascii="Times New Roman" w:hAnsi="Times New Roman" w:eastAsia="Times New Roman" w:cs="Times New Roman"/>
              </w:rPr>
              <w:t>LDPE</w:t>
            </w:r>
            <w:r>
              <w:rPr>
                <w:spacing w:val="1"/>
              </w:rPr>
              <w:t>）薄膜的吹胀比应控制在</w:t>
            </w:r>
            <w:r>
              <w:rPr>
                <w:rFonts w:ascii="Times New Roman" w:hAnsi="Times New Roman" w:eastAsia="Times New Roman" w:cs="Times New Roman"/>
                <w:spacing w:val="1"/>
              </w:rPr>
              <w:t>2.5</w:t>
            </w:r>
            <w:r>
              <w:rPr>
                <w:spacing w:val="1"/>
              </w:rPr>
              <w:t>～</w:t>
            </w:r>
            <w:r>
              <w:rPr>
                <w:rFonts w:ascii="Times New Roman" w:hAnsi="Times New Roman" w:eastAsia="Times New Roman" w:cs="Times New Roman"/>
                <w:spacing w:val="1"/>
              </w:rPr>
              <w:t>3.0  </w:t>
            </w:r>
            <w:r>
              <w:rPr>
                <w:spacing w:val="1"/>
              </w:rPr>
              <w:t>为</w:t>
            </w:r>
          </w:p>
          <w:p>
            <w:pPr>
              <w:pStyle w:val="TableText"/>
              <w:ind w:left="118"/>
              <w:spacing w:line="228" w:lineRule="auto"/>
              <w:rPr/>
            </w:pPr>
            <w:r>
              <w:rPr>
                <w:spacing w:val="-8"/>
              </w:rPr>
              <w:t>宜。</w:t>
            </w:r>
          </w:p>
          <w:p>
            <w:pPr>
              <w:pStyle w:val="TableText"/>
              <w:ind w:left="115" w:right="106" w:firstLine="480"/>
              <w:spacing w:before="259" w:line="431" w:lineRule="auto"/>
              <w:jc w:val="both"/>
              <w:rPr/>
            </w:pPr>
            <w:r>
              <w:rPr>
                <w:spacing w:val="-3"/>
              </w:rPr>
              <w:t>牵引比是指薄膜的牵引速度与管环挤出速度之间的比值。牵引比是纵向</w:t>
            </w:r>
            <w:r>
              <w:rPr>
                <w:spacing w:val="11"/>
              </w:rPr>
              <w:t xml:space="preserve"> </w:t>
            </w:r>
            <w:r>
              <w:rPr>
                <w:spacing w:val="-3"/>
              </w:rPr>
              <w:t>的拉伸倍数，使薄膜在引取方向上具有定向作用。牵引比增大，则纵向强度</w:t>
            </w:r>
            <w:r>
              <w:rPr>
                <w:spacing w:val="18"/>
              </w:rPr>
              <w:t xml:space="preserve"> </w:t>
            </w:r>
            <w:r>
              <w:rPr>
                <w:spacing w:val="-3"/>
              </w:rPr>
              <w:t>也会随之提高，且薄膜的厚度变薄，但如果牵引比过大，薄膜的厚度难以控</w:t>
            </w:r>
            <w:r>
              <w:rPr>
                <w:spacing w:val="18"/>
              </w:rPr>
              <w:t xml:space="preserve"> </w:t>
            </w:r>
            <w:r>
              <w:rPr>
                <w:spacing w:val="1"/>
              </w:rPr>
              <w:t>制，甚至有可能会将薄膜拉断，造成断膜现象。低密度聚乙烯（</w:t>
            </w:r>
            <w:r>
              <w:rPr>
                <w:rFonts w:ascii="Times New Roman" w:hAnsi="Times New Roman" w:eastAsia="Times New Roman" w:cs="Times New Roman"/>
              </w:rPr>
              <w:t>LDPE</w:t>
            </w:r>
            <w:r>
              <w:rPr>
                <w:spacing w:val="1"/>
              </w:rPr>
              <w:t>）薄</w:t>
            </w:r>
          </w:p>
          <w:p>
            <w:pPr>
              <w:pStyle w:val="TableText"/>
              <w:ind w:left="113"/>
              <w:spacing w:before="1" w:line="218" w:lineRule="auto"/>
              <w:rPr/>
            </w:pPr>
            <w:r>
              <w:rPr>
                <w:spacing w:val="-1"/>
              </w:rPr>
              <w:t>膜的牵引比一般控制</w:t>
            </w:r>
            <w:r>
              <w:rPr>
                <w:rFonts w:ascii="Times New Roman" w:hAnsi="Times New Roman" w:eastAsia="Times New Roman" w:cs="Times New Roman"/>
                <w:spacing w:val="-1"/>
              </w:rPr>
              <w:t>4</w:t>
            </w:r>
            <w:r>
              <w:rPr>
                <w:spacing w:val="-1"/>
              </w:rPr>
              <w:t>～</w:t>
            </w:r>
            <w:r>
              <w:rPr>
                <w:rFonts w:ascii="Times New Roman" w:hAnsi="Times New Roman" w:eastAsia="Times New Roman" w:cs="Times New Roman"/>
                <w:spacing w:val="-1"/>
              </w:rPr>
              <w:t>6</w:t>
            </w:r>
            <w:r>
              <w:rPr>
                <w:spacing w:val="-1"/>
              </w:rPr>
              <w:t>之间为宜。</w:t>
            </w:r>
          </w:p>
          <w:p>
            <w:pPr>
              <w:pStyle w:val="TableText"/>
              <w:ind w:left="116" w:right="95" w:firstLine="476"/>
              <w:spacing w:before="275" w:line="431" w:lineRule="auto"/>
              <w:jc w:val="both"/>
              <w:rPr/>
            </w:pPr>
            <w:r>
              <w:rPr>
                <w:spacing w:val="-3"/>
              </w:rPr>
              <w:t>⑤风环冷却：项目采用风环冷却系统对吹胀后的膜泡进行冷却。风环系</w:t>
            </w:r>
            <w:r>
              <w:rPr>
                <w:spacing w:val="14"/>
              </w:rPr>
              <w:t xml:space="preserve"> </w:t>
            </w:r>
            <w:r>
              <w:rPr>
                <w:spacing w:val="-2"/>
              </w:rPr>
              <w:t>统风机吹出的高速单向气流通过风环体中的导流叶片和风墙形成</w:t>
            </w:r>
            <w:r>
              <w:rPr>
                <w:spacing w:val="-3"/>
              </w:rPr>
              <w:t>环形风流，</w:t>
            </w:r>
            <w:r>
              <w:rPr/>
              <w:t xml:space="preserve"> </w:t>
            </w:r>
            <w:r>
              <w:rPr>
                <w:spacing w:val="-3"/>
              </w:rPr>
              <w:t>经过有合适角度的出风口吹向膜泡，高温度的膜泡与冷空气相接触，膜泡的</w:t>
            </w:r>
            <w:r>
              <w:rPr>
                <w:spacing w:val="17"/>
              </w:rPr>
              <w:t xml:space="preserve"> </w:t>
            </w:r>
            <w:r>
              <w:rPr>
                <w:spacing w:val="1"/>
              </w:rPr>
              <w:t>热量会被冷空气带走，其温度会明显下降到低密度聚乙烯（</w:t>
            </w:r>
            <w:r>
              <w:rPr>
                <w:rFonts w:ascii="Times New Roman" w:hAnsi="Times New Roman" w:eastAsia="Times New Roman" w:cs="Times New Roman"/>
              </w:rPr>
              <w:t>LDPE</w:t>
            </w:r>
            <w:r>
              <w:rPr>
                <w:spacing w:val="1"/>
              </w:rPr>
              <w:t>）的粘流</w:t>
            </w:r>
          </w:p>
          <w:p>
            <w:pPr>
              <w:pStyle w:val="TableText"/>
              <w:ind w:left="116"/>
              <w:spacing w:line="219" w:lineRule="auto"/>
              <w:rPr/>
            </w:pPr>
            <w:r>
              <w:rPr>
                <w:spacing w:val="-1"/>
              </w:rPr>
              <w:t>温度以下，从而使其冷却固化。</w:t>
            </w:r>
          </w:p>
          <w:p>
            <w:pPr>
              <w:pStyle w:val="TableText"/>
              <w:ind w:left="109" w:right="106" w:firstLine="494"/>
              <w:spacing w:before="274" w:line="431" w:lineRule="auto"/>
              <w:jc w:val="both"/>
              <w:rPr/>
            </w:pPr>
            <w:r>
              <w:rPr/>
              <w:t>聚乙烯受热分解温度为</w:t>
            </w:r>
            <w:r>
              <w:rPr>
                <w:rFonts w:ascii="Times New Roman" w:hAnsi="Times New Roman" w:eastAsia="Times New Roman" w:cs="Times New Roman"/>
              </w:rPr>
              <w:t>380</w:t>
            </w:r>
            <w:r>
              <w:rPr/>
              <w:t>℃以上，本项目熔融过程控制温度为</w:t>
            </w:r>
            <w:r>
              <w:rPr>
                <w:rFonts w:ascii="Times New Roman" w:hAnsi="Times New Roman" w:eastAsia="Times New Roman" w:cs="Times New Roman"/>
              </w:rPr>
              <w:t>160</w:t>
            </w:r>
            <w:r>
              <w:rPr/>
              <w:t>℃~</w:t>
            </w:r>
            <w:r>
              <w:rPr>
                <w:spacing w:val="10"/>
              </w:rPr>
              <w:t xml:space="preserve"> </w:t>
            </w:r>
            <w:r>
              <w:rPr>
                <w:rFonts w:ascii="Times New Roman" w:hAnsi="Times New Roman" w:eastAsia="Times New Roman" w:cs="Times New Roman"/>
                <w:spacing w:val="-2"/>
              </w:rPr>
              <w:t>170</w:t>
            </w:r>
            <w:r>
              <w:rPr>
                <w:spacing w:val="-2"/>
              </w:rPr>
              <w:t>℃</w:t>
            </w:r>
            <w:r>
              <w:rPr>
                <w:spacing w:val="-72"/>
              </w:rPr>
              <w:t xml:space="preserve"> </w:t>
            </w:r>
            <w:r>
              <w:rPr>
                <w:spacing w:val="-2"/>
              </w:rPr>
              <w:t>,</w:t>
            </w:r>
            <w:r>
              <w:rPr>
                <w:spacing w:val="64"/>
              </w:rPr>
              <w:t xml:space="preserve"> </w:t>
            </w:r>
            <w:r>
              <w:rPr>
                <w:spacing w:val="-2"/>
              </w:rPr>
              <w:t>达不到聚乙烯的分解温度，但在固态树脂加热转化到流态树脂的过</w:t>
            </w:r>
            <w:r>
              <w:rPr/>
              <w:t xml:space="preserve"> </w:t>
            </w:r>
            <w:r>
              <w:rPr>
                <w:spacing w:val="-2"/>
              </w:rPr>
              <w:t>程中会有少量有机气体挥发，以非甲烷总烃计。本项目</w:t>
            </w:r>
            <w:r>
              <w:rPr>
                <w:spacing w:val="-3"/>
              </w:rPr>
              <w:t>在塑化挤出、吹胀牵</w:t>
            </w:r>
            <w:r>
              <w:rPr/>
              <w:t xml:space="preserve"> </w:t>
            </w:r>
            <w:r>
              <w:rPr>
                <w:spacing w:val="-2"/>
              </w:rPr>
              <w:t>引及风环冷却环节等，配置集气设施对有机废气进行收</w:t>
            </w:r>
            <w:r>
              <w:rPr>
                <w:spacing w:val="-3"/>
              </w:rPr>
              <w:t>集，采用活性炭吸附</w:t>
            </w:r>
            <w:r>
              <w:rPr/>
              <w:t xml:space="preserve"> </w:t>
            </w:r>
            <w:r>
              <w:rPr>
                <w:rFonts w:ascii="Times New Roman" w:hAnsi="Times New Roman" w:eastAsia="Times New Roman" w:cs="Times New Roman"/>
                <w:spacing w:val="1"/>
              </w:rPr>
              <w:t>+</w:t>
            </w:r>
            <w:r>
              <w:rPr>
                <w:spacing w:val="1"/>
              </w:rPr>
              <w:t>直接催化燃烧法装置对收集的废气进行处理。塑化挤出、吹胀牵</w:t>
            </w:r>
            <w:r>
              <w:rPr/>
              <w:t>引及风环</w:t>
            </w:r>
          </w:p>
          <w:p>
            <w:pPr>
              <w:pStyle w:val="TableText"/>
              <w:ind w:left="116"/>
              <w:spacing w:line="219" w:lineRule="auto"/>
              <w:rPr/>
            </w:pPr>
            <w:r>
              <w:rPr>
                <w:spacing w:val="-1"/>
              </w:rPr>
              <w:t>冷却设备运行过程中产生噪声排放。</w:t>
            </w:r>
          </w:p>
          <w:p>
            <w:pPr>
              <w:pStyle w:val="TableText"/>
              <w:spacing w:before="274" w:line="217" w:lineRule="auto"/>
              <w:jc w:val="right"/>
              <w:rPr/>
            </w:pPr>
            <w:r>
              <w:rPr>
                <w:spacing w:val="-8"/>
              </w:rPr>
              <w:t>⑥分切收卷：冷却固化后的地膜，通过牵引辊以恒定的速度进入收卷机，</w:t>
            </w:r>
          </w:p>
        </w:tc>
      </w:tr>
    </w:tbl>
    <w:p>
      <w:pPr>
        <w:pStyle w:val="BodyText"/>
        <w:rPr/>
      </w:pPr>
      <w:r/>
    </w:p>
    <w:p>
      <w:pPr>
        <w:sectPr>
          <w:footerReference w:type="default" r:id="rId165"/>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59"/>
        <w:gridCol w:w="774"/>
        <w:gridCol w:w="669"/>
        <w:gridCol w:w="1464"/>
        <w:gridCol w:w="1318"/>
        <w:gridCol w:w="3842"/>
      </w:tblGrid>
      <w:tr>
        <w:trPr>
          <w:trHeight w:val="3914" w:hRule="atLeast"/>
        </w:trPr>
        <w:tc>
          <w:tcPr>
            <w:tcW w:w="459" w:type="dxa"/>
            <w:vAlign w:val="top"/>
            <w:vMerge w:val="restart"/>
            <w:tcBorders>
              <w:bottom w:val="nil"/>
            </w:tcBorders>
          </w:tcPr>
          <w:p>
            <w:pPr>
              <w:rPr>
                <w:rFonts w:ascii="Arial"/>
                <w:sz w:val="21"/>
              </w:rPr>
            </w:pPr>
            <w:r/>
          </w:p>
        </w:tc>
        <w:tc>
          <w:tcPr>
            <w:tcW w:w="8067" w:type="dxa"/>
            <w:vAlign w:val="top"/>
            <w:gridSpan w:val="5"/>
            <w:tcBorders>
              <w:bottom w:val="nil"/>
            </w:tcBorders>
          </w:tcPr>
          <w:p>
            <w:pPr>
              <w:pStyle w:val="TableText"/>
              <w:ind w:left="116"/>
              <w:spacing w:before="248" w:line="559" w:lineRule="exact"/>
              <w:rPr/>
            </w:pPr>
            <w:r>
              <w:rPr>
                <w:spacing w:val="-1"/>
                <w:position w:val="24"/>
              </w:rPr>
              <w:t>经收卷到一定量时按照尺寸要求进行切断，得到膜卷。</w:t>
            </w:r>
          </w:p>
          <w:p>
            <w:pPr>
              <w:pStyle w:val="TableText"/>
              <w:ind w:left="597"/>
              <w:spacing w:line="219" w:lineRule="auto"/>
              <w:rPr/>
            </w:pPr>
            <w:r>
              <w:rPr>
                <w:spacing w:val="-1"/>
              </w:rPr>
              <w:t>分切收卷设备运行过程中产生噪声排放。</w:t>
            </w:r>
          </w:p>
          <w:p>
            <w:pPr>
              <w:pStyle w:val="TableText"/>
              <w:ind w:left="592"/>
              <w:spacing w:before="274" w:line="561" w:lineRule="exact"/>
              <w:rPr/>
            </w:pPr>
            <w:r>
              <w:rPr>
                <w:spacing w:val="-3"/>
                <w:position w:val="24"/>
              </w:rPr>
              <w:t>⑦检验包装：成品通过抽样检验，检验主要为厚度、韧性测试，检验后</w:t>
            </w:r>
          </w:p>
          <w:p>
            <w:pPr>
              <w:pStyle w:val="TableText"/>
              <w:ind w:left="115"/>
              <w:spacing w:line="218" w:lineRule="auto"/>
              <w:rPr/>
            </w:pPr>
            <w:r>
              <w:rPr>
                <w:spacing w:val="-1"/>
              </w:rPr>
              <w:t>合格产品卷经自动打包机进行包装，成品送入库房储存待售。</w:t>
            </w:r>
          </w:p>
          <w:p>
            <w:pPr>
              <w:pStyle w:val="TableText"/>
              <w:ind w:left="594"/>
              <w:spacing w:before="275" w:line="559" w:lineRule="exact"/>
              <w:rPr/>
            </w:pPr>
            <w:r>
              <w:rPr>
                <w:spacing w:val="-3"/>
                <w:position w:val="24"/>
              </w:rPr>
              <w:t>检验产生的不合格产品，定期外售至废品回收站。检验包装设备运行过</w:t>
            </w:r>
          </w:p>
          <w:p>
            <w:pPr>
              <w:pStyle w:val="TableText"/>
              <w:ind w:left="113"/>
              <w:spacing w:line="219" w:lineRule="auto"/>
              <w:rPr/>
            </w:pPr>
            <w:r>
              <w:rPr>
                <w:spacing w:val="-1"/>
              </w:rPr>
              <w:t>程中产生噪声排放。</w:t>
            </w:r>
          </w:p>
          <w:p>
            <w:pPr>
              <w:pStyle w:val="TableText"/>
              <w:ind w:left="595"/>
              <w:spacing w:before="276" w:line="219" w:lineRule="auto"/>
              <w:rPr/>
            </w:pPr>
            <w:r>
              <w:rPr>
                <w:spacing w:val="-2"/>
              </w:rPr>
              <w:t>本项目农用地膜生产工艺流程及产污环节分析见图</w:t>
            </w:r>
            <w:r>
              <w:rPr>
                <w:rFonts w:ascii="Times New Roman" w:hAnsi="Times New Roman" w:eastAsia="Times New Roman" w:cs="Times New Roman"/>
                <w:spacing w:val="-2"/>
              </w:rPr>
              <w:t>2.10-</w:t>
            </w:r>
            <w:r>
              <w:rPr>
                <w:rFonts w:ascii="Times New Roman" w:hAnsi="Times New Roman" w:eastAsia="Times New Roman" w:cs="Times New Roman"/>
                <w:spacing w:val="-15"/>
              </w:rPr>
              <w:t xml:space="preserve"> </w:t>
            </w:r>
            <w:r>
              <w:rPr>
                <w:rFonts w:ascii="Times New Roman" w:hAnsi="Times New Roman" w:eastAsia="Times New Roman" w:cs="Times New Roman"/>
                <w:spacing w:val="-2"/>
              </w:rPr>
              <w:t>1</w:t>
            </w:r>
            <w:r>
              <w:rPr>
                <w:spacing w:val="-2"/>
              </w:rPr>
              <w:t>。</w:t>
            </w:r>
          </w:p>
        </w:tc>
      </w:tr>
      <w:tr>
        <w:trPr>
          <w:trHeight w:val="2868" w:hRule="atLeast"/>
        </w:trPr>
        <w:tc>
          <w:tcPr>
            <w:tcW w:w="459" w:type="dxa"/>
            <w:vAlign w:val="top"/>
            <w:vMerge w:val="continue"/>
            <w:tcBorders>
              <w:top w:val="nil"/>
              <w:bottom w:val="nil"/>
            </w:tcBorders>
          </w:tcPr>
          <w:p>
            <w:pPr>
              <w:rPr>
                <w:rFonts w:ascii="Arial"/>
                <w:sz w:val="21"/>
              </w:rPr>
            </w:pPr>
            <w:r/>
          </w:p>
        </w:tc>
        <w:tc>
          <w:tcPr>
            <w:tcW w:w="8067" w:type="dxa"/>
            <w:vAlign w:val="top"/>
            <w:gridSpan w:val="5"/>
            <w:tcBorders>
              <w:bottom w:val="nil"/>
              <w:top w:val="nil"/>
            </w:tcBorders>
          </w:tcPr>
          <w:p>
            <w:pPr>
              <w:ind w:firstLine="1842"/>
              <w:spacing w:before="76" w:line="2741" w:lineRule="exact"/>
              <w:rPr/>
            </w:pPr>
            <w:r>
              <w:pict>
                <v:shape id="_x0000_s84" style="position:absolute;margin-left:-256.36pt;margin-top:2.45001pt;mso-position-vertical-relative:top-margin-area;mso-position-horizontal-relative:right-margin-area;width:31.65pt;height:15.25pt;z-index:253393920;" filled="false" stroked="false" type="#_x0000_t202">
                  <v:fill on="false"/>
                  <v:stroke on="false"/>
                  <v:path/>
                  <v:imagedata o:title=""/>
                  <o:lock v:ext="edit" aspectratio="false"/>
                  <v:textbox inset="0mm,0mm,0mm,0mm">
                    <w:txbxContent>
                      <w:p>
                        <w:pPr>
                          <w:spacing w:line="20" w:lineRule="exact"/>
                          <w:rPr/>
                        </w:pPr>
                        <w:r/>
                      </w:p>
                      <w:tbl>
                        <w:tblPr>
                          <w:tblStyle w:val="TableNormal"/>
                          <w:tblW w:w="572" w:type="dxa"/>
                          <w:tblInd w:w="30" w:type="dxa"/>
                          <w:shd w:val="clear" w:fill="FFFFFF"/>
                          <w:tblLayout w:type="fixed"/>
                          <w:tblBorders>
                            <w:left w:val="single" w:color="FFFFFF" w:sz="8" w:space="0"/>
                            <w:bottom w:val="single" w:color="FFFFFF" w:sz="8" w:space="0"/>
                            <w:right w:val="single" w:color="FFFFFF" w:sz="8" w:space="0"/>
                            <w:top w:val="single" w:color="FFFFFF" w:sz="8" w:space="0"/>
                          </w:tblBorders>
                        </w:tblPr>
                        <w:tblGrid>
                          <w:gridCol w:w="572"/>
                        </w:tblGrid>
                        <w:tr>
                          <w:trPr>
                            <w:trHeight w:val="225" w:hRule="atLeast"/>
                          </w:trPr>
                          <w:tc>
                            <w:tcPr>
                              <w:shd w:val="clear" w:fill="FFFFFF"/>
                              <w:tcW w:w="572" w:type="dxa"/>
                              <w:vAlign w:val="top"/>
                            </w:tcPr>
                            <w:p>
                              <w:pPr>
                                <w:spacing w:line="215" w:lineRule="exact"/>
                                <w:rPr>
                                  <w:rFonts w:ascii="Arial"/>
                                  <w:sz w:val="18"/>
                                </w:rPr>
                              </w:pPr>
                              <w:r/>
                            </w:p>
                          </w:tc>
                        </w:tr>
                      </w:tbl>
                      <w:p>
                        <w:pPr>
                          <w:rPr>
                            <w:rFonts w:ascii="Arial"/>
                            <w:sz w:val="21"/>
                          </w:rPr>
                        </w:pPr>
                        <w:r/>
                      </w:p>
                    </w:txbxContent>
                  </v:textbox>
                </v:shape>
              </w:pict>
            </w:r>
            <w:r>
              <w:pict>
                <v:shape id="_x0000_s86" style="position:absolute;margin-left:-374.086pt;margin-top:7.40894pt;mso-position-vertical-relative:top-margin-area;mso-position-horizontal-relative:right-margin-area;width:19.25pt;height:12.75pt;z-index:253395968;" filled="false" stroked="false" type="#_x0000_t202">
                  <v:fill on="false"/>
                  <v:stroke on="false"/>
                  <v:path/>
                  <v:imagedata o:title=""/>
                  <o:lock v:ext="edit" aspectratio="false"/>
                  <v:textbox inset="0mm,0mm,0mm,0mm">
                    <w:txbxContent>
                      <w:p>
                        <w:pPr>
                          <w:pStyle w:val="TableText"/>
                          <w:ind w:left="20"/>
                          <w:spacing w:before="20" w:line="220" w:lineRule="auto"/>
                          <w:rPr>
                            <w:sz w:val="18"/>
                            <w:szCs w:val="18"/>
                          </w:rPr>
                        </w:pPr>
                        <w:r>
                          <w:rPr>
                            <w:sz w:val="18"/>
                            <w:szCs w:val="18"/>
                            <w:spacing w:val="-8"/>
                          </w:rPr>
                          <w:t>噪声</w:t>
                        </w:r>
                      </w:p>
                    </w:txbxContent>
                  </v:textbox>
                </v:shape>
              </w:pict>
            </w:r>
            <w:r>
              <w:pict>
                <v:shape id="_x0000_s88" style="position:absolute;margin-left:-395.06pt;margin-top:34.2pt;mso-position-vertical-relative:top-margin-area;mso-position-horizontal-relative:right-margin-area;width:60.95pt;height:23.45pt;z-index:253394944;" filled="false" stroked="false" type="#_x0000_t202">
                  <v:fill on="false"/>
                  <v:stroke on="false"/>
                  <v:path/>
                  <v:imagedata o:title=""/>
                  <o:lock v:ext="edit" aspectratio="false"/>
                  <v:textbox inset="0mm,0mm,0mm,0mm">
                    <w:txbxContent>
                      <w:p>
                        <w:pPr>
                          <w:spacing w:line="20" w:lineRule="exact"/>
                          <w:rPr/>
                        </w:pPr>
                        <w:r/>
                      </w:p>
                      <w:tbl>
                        <w:tblPr>
                          <w:tblStyle w:val="TableNormal"/>
                          <w:tblW w:w="1158" w:type="dxa"/>
                          <w:tblInd w:w="30" w:type="dxa"/>
                          <w:tblLayout w:type="fixed"/>
                          <w:tblBorders>
                            <w:left w:val="single" w:color="000000" w:sz="8" w:space="0"/>
                            <w:bottom w:val="single" w:color="000000" w:sz="8" w:space="0"/>
                            <w:right w:val="single" w:color="000000" w:sz="8" w:space="0"/>
                            <w:top w:val="single" w:color="000000" w:sz="8" w:space="0"/>
                          </w:tblBorders>
                        </w:tblPr>
                        <w:tblGrid>
                          <w:gridCol w:w="1158"/>
                        </w:tblGrid>
                        <w:tr>
                          <w:trPr>
                            <w:trHeight w:val="388" w:hRule="atLeast"/>
                          </w:trPr>
                          <w:tc>
                            <w:tcPr>
                              <w:tcW w:w="1158" w:type="dxa"/>
                              <w:vAlign w:val="top"/>
                            </w:tcPr>
                            <w:p>
                              <w:pPr>
                                <w:pStyle w:val="TableText"/>
                                <w:ind w:left="161"/>
                                <w:spacing w:before="103" w:line="228" w:lineRule="auto"/>
                                <w:rPr>
                                  <w:sz w:val="20"/>
                                  <w:szCs w:val="20"/>
                                </w:rPr>
                              </w:pPr>
                              <w:r>
                                <w:rPr>
                                  <w:sz w:val="20"/>
                                  <w:szCs w:val="20"/>
                                  <w:spacing w:val="6"/>
                                </w:rPr>
                                <w:t>原料入场</w:t>
                              </w:r>
                            </w:p>
                          </w:tc>
                        </w:tr>
                      </w:tbl>
                      <w:p>
                        <w:pPr>
                          <w:rPr>
                            <w:rFonts w:ascii="Arial"/>
                            <w:sz w:val="21"/>
                          </w:rPr>
                        </w:pPr>
                        <w:r/>
                      </w:p>
                    </w:txbxContent>
                  </v:textbox>
                </v:shape>
              </w:pict>
            </w:r>
            <w:r>
              <w:drawing>
                <wp:anchor distT="0" distB="0" distL="0" distR="0" simplePos="0" relativeHeight="253396992" behindDoc="0" locked="0" layoutInCell="1" allowOverlap="1">
                  <wp:simplePos x="0" y="0"/>
                  <wp:positionH relativeFrom="rightMargin">
                    <wp:posOffset>-4680572</wp:posOffset>
                  </wp:positionH>
                  <wp:positionV relativeFrom="topMargin">
                    <wp:posOffset>260349</wp:posOffset>
                  </wp:positionV>
                  <wp:extent cx="96443" cy="193104"/>
                  <wp:effectExtent l="0" t="0" r="0" b="0"/>
                  <wp:wrapNone/>
                  <wp:docPr id="144" name="IM 144"/>
                  <wp:cNvGraphicFramePr/>
                  <a:graphic>
                    <a:graphicData uri="http://schemas.openxmlformats.org/drawingml/2006/picture">
                      <pic:pic>
                        <pic:nvPicPr>
                          <pic:cNvPr id="144" name="IM 144"/>
                          <pic:cNvPicPr/>
                        </pic:nvPicPr>
                        <pic:blipFill>
                          <a:blip r:embed="rId167"/>
                          <a:stretch>
                            <a:fillRect/>
                          </a:stretch>
                        </pic:blipFill>
                        <pic:spPr>
                          <a:xfrm rot="0">
                            <a:off x="0" y="0"/>
                            <a:ext cx="96443" cy="193104"/>
                          </a:xfrm>
                          <a:prstGeom prst="rect">
                            <a:avLst/>
                          </a:prstGeom>
                        </pic:spPr>
                      </pic:pic>
                    </a:graphicData>
                  </a:graphic>
                </wp:anchor>
              </w:drawing>
            </w:r>
            <w:r>
              <w:drawing>
                <wp:anchor distT="0" distB="0" distL="0" distR="0" simplePos="0" relativeHeight="253398016" behindDoc="0" locked="0" layoutInCell="1" allowOverlap="1">
                  <wp:simplePos x="0" y="0"/>
                  <wp:positionH relativeFrom="rightMargin">
                    <wp:posOffset>-4262894</wp:posOffset>
                  </wp:positionH>
                  <wp:positionV relativeFrom="topMargin">
                    <wp:posOffset>534389</wp:posOffset>
                  </wp:positionV>
                  <wp:extent cx="328942" cy="96456"/>
                  <wp:effectExtent l="0" t="0" r="0" b="0"/>
                  <wp:wrapNone/>
                  <wp:docPr id="146" name="IM 146"/>
                  <wp:cNvGraphicFramePr/>
                  <a:graphic>
                    <a:graphicData uri="http://schemas.openxmlformats.org/drawingml/2006/picture">
                      <pic:pic>
                        <pic:nvPicPr>
                          <pic:cNvPr id="146" name="IM 146"/>
                          <pic:cNvPicPr/>
                        </pic:nvPicPr>
                        <pic:blipFill>
                          <a:blip r:embed="rId168"/>
                          <a:stretch>
                            <a:fillRect/>
                          </a:stretch>
                        </pic:blipFill>
                        <pic:spPr>
                          <a:xfrm rot="0">
                            <a:off x="0" y="0"/>
                            <a:ext cx="328942" cy="96456"/>
                          </a:xfrm>
                          <a:prstGeom prst="rect">
                            <a:avLst/>
                          </a:prstGeom>
                        </pic:spPr>
                      </pic:pic>
                    </a:graphicData>
                  </a:graphic>
                </wp:anchor>
              </w:drawing>
            </w:r>
            <w:r>
              <w:rPr>
                <w:position w:val="-54"/>
              </w:rPr>
              <w:drawing>
                <wp:inline distT="0" distB="0" distL="0" distR="0">
                  <wp:extent cx="3898392" cy="1740408"/>
                  <wp:effectExtent l="0" t="0" r="0" b="0"/>
                  <wp:docPr id="148" name="IM 148"/>
                  <wp:cNvGraphicFramePr/>
                  <a:graphic>
                    <a:graphicData uri="http://schemas.openxmlformats.org/drawingml/2006/picture">
                      <pic:pic>
                        <pic:nvPicPr>
                          <pic:cNvPr id="148" name="IM 148"/>
                          <pic:cNvPicPr/>
                        </pic:nvPicPr>
                        <pic:blipFill>
                          <a:blip r:embed="rId169"/>
                          <a:stretch>
                            <a:fillRect/>
                          </a:stretch>
                        </pic:blipFill>
                        <pic:spPr>
                          <a:xfrm rot="0">
                            <a:off x="0" y="0"/>
                            <a:ext cx="3898392" cy="1740408"/>
                          </a:xfrm>
                          <a:prstGeom prst="rect">
                            <a:avLst/>
                          </a:prstGeom>
                        </pic:spPr>
                      </pic:pic>
                    </a:graphicData>
                  </a:graphic>
                </wp:inline>
              </w:drawing>
            </w:r>
          </w:p>
        </w:tc>
      </w:tr>
      <w:tr>
        <w:trPr>
          <w:trHeight w:val="754" w:hRule="atLeast"/>
        </w:trPr>
        <w:tc>
          <w:tcPr>
            <w:tcW w:w="459" w:type="dxa"/>
            <w:vAlign w:val="top"/>
            <w:vMerge w:val="continue"/>
            <w:tcBorders>
              <w:top w:val="nil"/>
              <w:bottom w:val="nil"/>
            </w:tcBorders>
          </w:tcPr>
          <w:p>
            <w:pPr>
              <w:rPr>
                <w:rFonts w:ascii="Arial"/>
                <w:sz w:val="21"/>
              </w:rPr>
            </w:pPr>
            <w:r/>
          </w:p>
        </w:tc>
        <w:tc>
          <w:tcPr>
            <w:tcW w:w="8067" w:type="dxa"/>
            <w:vAlign w:val="top"/>
            <w:gridSpan w:val="5"/>
            <w:tcBorders>
              <w:bottom w:val="single" w:color="000000" w:sz="10" w:space="0"/>
              <w:top w:val="nil"/>
            </w:tcBorders>
          </w:tcPr>
          <w:p>
            <w:pPr>
              <w:pStyle w:val="TableText"/>
              <w:ind w:left="1522"/>
              <w:spacing w:before="56" w:line="401" w:lineRule="exact"/>
              <w:rPr/>
            </w:pPr>
            <w:r>
              <w:rPr>
                <w14:textOutline w14:w="4358" w14:cap="sq" w14:cmpd="sng">
                  <w14:solidFill>
                    <w14:srgbClr w14:val="000000"/>
                  </w14:solidFill>
                  <w14:prstDash w14:val="solid"/>
                  <w14:bevel/>
                </w14:textOutline>
                <w:spacing w:val="-1"/>
                <w:position w:val="11"/>
              </w:rPr>
              <w:t>图</w:t>
            </w:r>
            <w:r>
              <w:rPr>
                <w:rFonts w:ascii="Times New Roman" w:hAnsi="Times New Roman" w:eastAsia="Times New Roman" w:cs="Times New Roman"/>
                <w:b/>
                <w:bCs/>
                <w:spacing w:val="-1"/>
                <w:position w:val="11"/>
              </w:rPr>
              <w:t>2.10-1  </w:t>
            </w:r>
            <w:r>
              <w:rPr>
                <w14:textOutline w14:w="4358" w14:cap="sq" w14:cmpd="sng">
                  <w14:solidFill>
                    <w14:srgbClr w14:val="000000"/>
                  </w14:solidFill>
                  <w14:prstDash w14:val="solid"/>
                  <w14:bevel/>
                </w14:textOutline>
                <w:spacing w:val="-1"/>
                <w:position w:val="11"/>
              </w:rPr>
              <w:t>地膜生产工艺流程图及产污环节分析图</w:t>
            </w:r>
          </w:p>
          <w:p>
            <w:pPr>
              <w:pStyle w:val="TableText"/>
              <w:ind w:left="2100"/>
              <w:spacing w:line="219" w:lineRule="auto"/>
              <w:rPr/>
            </w:pPr>
            <w:r>
              <w:rPr>
                <w14:textOutline w14:w="4358" w14:cap="sq" w14:cmpd="sng">
                  <w14:solidFill>
                    <w14:srgbClr w14:val="000000"/>
                  </w14:solidFill>
                  <w14:prstDash w14:val="solid"/>
                  <w14:bevel/>
                </w14:textOutline>
              </w:rPr>
              <w:t>表</w:t>
            </w:r>
            <w:r>
              <w:rPr>
                <w:rFonts w:ascii="Times New Roman" w:hAnsi="Times New Roman" w:eastAsia="Times New Roman" w:cs="Times New Roman"/>
                <w:b/>
                <w:bCs/>
              </w:rPr>
              <w:t>2.10-1  </w:t>
            </w:r>
            <w:r>
              <w:rPr>
                <w14:textOutline w14:w="4358" w14:cap="sq" w14:cmpd="sng">
                  <w14:solidFill>
                    <w14:srgbClr w14:val="000000"/>
                  </w14:solidFill>
                  <w14:prstDash w14:val="solid"/>
                  <w14:bevel/>
                </w14:textOutline>
              </w:rPr>
              <w:t>运营期产污环节汇总一览表</w:t>
            </w:r>
          </w:p>
        </w:tc>
      </w:tr>
      <w:tr>
        <w:trPr>
          <w:trHeight w:val="355" w:hRule="atLeast"/>
        </w:trPr>
        <w:tc>
          <w:tcPr>
            <w:tcW w:w="459" w:type="dxa"/>
            <w:vAlign w:val="top"/>
            <w:vMerge w:val="continue"/>
            <w:tcBorders>
              <w:top w:val="nil"/>
              <w:bottom w:val="nil"/>
            </w:tcBorders>
          </w:tcPr>
          <w:p>
            <w:pPr>
              <w:rPr>
                <w:rFonts w:ascii="Arial"/>
                <w:sz w:val="21"/>
              </w:rPr>
            </w:pPr>
            <w:r/>
          </w:p>
        </w:tc>
        <w:tc>
          <w:tcPr>
            <w:tcW w:w="774" w:type="dxa"/>
            <w:vAlign w:val="top"/>
            <w:tcBorders>
              <w:top w:val="single" w:color="000000" w:sz="10" w:space="0"/>
            </w:tcBorders>
          </w:tcPr>
          <w:p>
            <w:pPr>
              <w:pStyle w:val="TableText"/>
              <w:ind w:left="236"/>
              <w:spacing w:before="103" w:line="223" w:lineRule="auto"/>
              <w:rPr>
                <w:sz w:val="20"/>
                <w:szCs w:val="20"/>
              </w:rPr>
            </w:pPr>
            <w:r>
              <w:rPr>
                <w:sz w:val="20"/>
                <w:szCs w:val="20"/>
                <w:spacing w:val="5"/>
              </w:rPr>
              <w:t>序号</w:t>
            </w:r>
          </w:p>
        </w:tc>
        <w:tc>
          <w:tcPr>
            <w:tcW w:w="669" w:type="dxa"/>
            <w:vAlign w:val="top"/>
            <w:tcBorders>
              <w:top w:val="single" w:color="000000" w:sz="10" w:space="0"/>
            </w:tcBorders>
          </w:tcPr>
          <w:p>
            <w:pPr>
              <w:pStyle w:val="TableText"/>
              <w:ind w:left="128"/>
              <w:spacing w:before="103" w:line="223" w:lineRule="auto"/>
              <w:rPr>
                <w:sz w:val="20"/>
                <w:szCs w:val="20"/>
              </w:rPr>
            </w:pPr>
            <w:r>
              <w:rPr>
                <w:sz w:val="20"/>
                <w:szCs w:val="20"/>
                <w:spacing w:val="4"/>
              </w:rPr>
              <w:t>类型</w:t>
            </w:r>
          </w:p>
        </w:tc>
        <w:tc>
          <w:tcPr>
            <w:tcW w:w="1464" w:type="dxa"/>
            <w:vAlign w:val="top"/>
            <w:tcBorders>
              <w:top w:val="single" w:color="000000" w:sz="10" w:space="0"/>
            </w:tcBorders>
          </w:tcPr>
          <w:p>
            <w:pPr>
              <w:pStyle w:val="TableText"/>
              <w:ind w:left="316"/>
              <w:spacing w:before="103" w:line="223" w:lineRule="auto"/>
              <w:rPr>
                <w:sz w:val="20"/>
                <w:szCs w:val="20"/>
              </w:rPr>
            </w:pPr>
            <w:r>
              <w:rPr>
                <w:sz w:val="20"/>
                <w:szCs w:val="20"/>
                <w:spacing w:val="7"/>
              </w:rPr>
              <w:t>产污环节</w:t>
            </w:r>
          </w:p>
        </w:tc>
        <w:tc>
          <w:tcPr>
            <w:tcW w:w="1318" w:type="dxa"/>
            <w:vAlign w:val="top"/>
            <w:tcBorders>
              <w:top w:val="single" w:color="000000" w:sz="10" w:space="0"/>
            </w:tcBorders>
          </w:tcPr>
          <w:p>
            <w:pPr>
              <w:pStyle w:val="TableText"/>
              <w:ind w:left="140"/>
              <w:spacing w:before="103" w:line="223" w:lineRule="auto"/>
              <w:rPr>
                <w:sz w:val="20"/>
                <w:szCs w:val="20"/>
              </w:rPr>
            </w:pPr>
            <w:r>
              <w:rPr>
                <w:sz w:val="20"/>
                <w:szCs w:val="20"/>
                <w:spacing w:val="7"/>
              </w:rPr>
              <w:t>污染物类型</w:t>
            </w:r>
          </w:p>
        </w:tc>
        <w:tc>
          <w:tcPr>
            <w:tcW w:w="3842" w:type="dxa"/>
            <w:vAlign w:val="top"/>
            <w:tcBorders>
              <w:top w:val="single" w:color="000000" w:sz="10" w:space="0"/>
            </w:tcBorders>
          </w:tcPr>
          <w:p>
            <w:pPr>
              <w:pStyle w:val="TableText"/>
              <w:ind w:left="1455"/>
              <w:spacing w:before="103" w:line="223" w:lineRule="auto"/>
              <w:rPr>
                <w:sz w:val="20"/>
                <w:szCs w:val="20"/>
              </w:rPr>
            </w:pPr>
            <w:r>
              <w:rPr>
                <w:sz w:val="20"/>
                <w:szCs w:val="20"/>
                <w:spacing w:val="6"/>
              </w:rPr>
              <w:t>污染因子</w:t>
            </w:r>
          </w:p>
        </w:tc>
      </w:tr>
      <w:tr>
        <w:trPr>
          <w:trHeight w:val="365" w:hRule="atLeast"/>
        </w:trPr>
        <w:tc>
          <w:tcPr>
            <w:tcW w:w="459" w:type="dxa"/>
            <w:vAlign w:val="top"/>
            <w:vMerge w:val="continue"/>
            <w:tcBorders>
              <w:top w:val="nil"/>
              <w:bottom w:val="nil"/>
            </w:tcBorders>
          </w:tcPr>
          <w:p>
            <w:pPr>
              <w:rPr>
                <w:rFonts w:ascii="Arial"/>
                <w:sz w:val="21"/>
              </w:rPr>
            </w:pPr>
            <w:r/>
          </w:p>
        </w:tc>
        <w:tc>
          <w:tcPr>
            <w:tcW w:w="774" w:type="dxa"/>
            <w:vAlign w:val="top"/>
          </w:tcPr>
          <w:p>
            <w:pPr>
              <w:ind w:left="318"/>
              <w:spacing w:before="1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G1</w:t>
            </w:r>
          </w:p>
        </w:tc>
        <w:tc>
          <w:tcPr>
            <w:tcW w:w="669" w:type="dxa"/>
            <w:vAlign w:val="top"/>
            <w:vMerge w:val="restart"/>
            <w:tcBorders>
              <w:bottom w:val="nil"/>
            </w:tcBorders>
          </w:tcPr>
          <w:p>
            <w:pPr>
              <w:pStyle w:val="TableText"/>
              <w:ind w:left="127"/>
              <w:spacing w:before="113" w:line="228" w:lineRule="auto"/>
              <w:rPr>
                <w:sz w:val="20"/>
                <w:szCs w:val="20"/>
              </w:rPr>
            </w:pPr>
            <w:r>
              <w:rPr>
                <w:sz w:val="20"/>
                <w:szCs w:val="20"/>
                <w:spacing w:val="5"/>
              </w:rPr>
              <w:t>废气</w:t>
            </w:r>
          </w:p>
        </w:tc>
        <w:tc>
          <w:tcPr>
            <w:tcW w:w="1464" w:type="dxa"/>
            <w:vAlign w:val="top"/>
          </w:tcPr>
          <w:p>
            <w:pPr>
              <w:pStyle w:val="TableText"/>
              <w:ind w:left="320"/>
              <w:spacing w:before="113" w:line="223" w:lineRule="auto"/>
              <w:rPr>
                <w:sz w:val="20"/>
                <w:szCs w:val="20"/>
              </w:rPr>
            </w:pPr>
            <w:r>
              <w:rPr>
                <w:sz w:val="20"/>
                <w:szCs w:val="20"/>
                <w:spacing w:val="6"/>
              </w:rPr>
              <w:t>塑化挤出</w:t>
            </w:r>
          </w:p>
        </w:tc>
        <w:tc>
          <w:tcPr>
            <w:tcW w:w="1318" w:type="dxa"/>
            <w:vAlign w:val="top"/>
          </w:tcPr>
          <w:p>
            <w:pPr>
              <w:pStyle w:val="TableText"/>
              <w:ind w:left="454"/>
              <w:spacing w:before="113" w:line="223" w:lineRule="auto"/>
              <w:rPr>
                <w:sz w:val="20"/>
                <w:szCs w:val="20"/>
              </w:rPr>
            </w:pPr>
            <w:r>
              <w:rPr>
                <w:sz w:val="20"/>
                <w:szCs w:val="20"/>
                <w:spacing w:val="5"/>
              </w:rPr>
              <w:t>废气</w:t>
            </w:r>
          </w:p>
        </w:tc>
        <w:tc>
          <w:tcPr>
            <w:tcW w:w="3842" w:type="dxa"/>
            <w:vAlign w:val="top"/>
          </w:tcPr>
          <w:p>
            <w:pPr>
              <w:pStyle w:val="TableText"/>
              <w:ind w:left="196"/>
              <w:spacing w:before="113" w:line="223" w:lineRule="auto"/>
              <w:rPr>
                <w:sz w:val="20"/>
                <w:szCs w:val="20"/>
              </w:rPr>
            </w:pPr>
            <w:r>
              <w:rPr>
                <w:sz w:val="20"/>
                <w:szCs w:val="20"/>
                <w:spacing w:val="9"/>
              </w:rPr>
              <w:t>非甲烷总烃、氨、硫化氢、臭气浓度</w:t>
            </w:r>
          </w:p>
        </w:tc>
      </w:tr>
      <w:tr>
        <w:trPr>
          <w:trHeight w:val="365" w:hRule="atLeast"/>
        </w:trPr>
        <w:tc>
          <w:tcPr>
            <w:tcW w:w="459" w:type="dxa"/>
            <w:vAlign w:val="top"/>
            <w:vMerge w:val="continue"/>
            <w:tcBorders>
              <w:top w:val="nil"/>
              <w:bottom w:val="nil"/>
            </w:tcBorders>
          </w:tcPr>
          <w:p>
            <w:pPr>
              <w:rPr>
                <w:rFonts w:ascii="Arial"/>
                <w:sz w:val="21"/>
              </w:rPr>
            </w:pPr>
            <w:r/>
          </w:p>
        </w:tc>
        <w:tc>
          <w:tcPr>
            <w:tcW w:w="774" w:type="dxa"/>
            <w:vAlign w:val="top"/>
          </w:tcPr>
          <w:p>
            <w:pPr>
              <w:ind w:left="318"/>
              <w:spacing w:before="1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G2</w:t>
            </w:r>
          </w:p>
        </w:tc>
        <w:tc>
          <w:tcPr>
            <w:tcW w:w="669" w:type="dxa"/>
            <w:vAlign w:val="top"/>
            <w:vMerge w:val="continue"/>
            <w:tcBorders>
              <w:top w:val="nil"/>
              <w:bottom w:val="nil"/>
            </w:tcBorders>
          </w:tcPr>
          <w:p>
            <w:pPr>
              <w:rPr>
                <w:rFonts w:ascii="Arial"/>
                <w:sz w:val="21"/>
              </w:rPr>
            </w:pPr>
            <w:r/>
          </w:p>
        </w:tc>
        <w:tc>
          <w:tcPr>
            <w:tcW w:w="1464" w:type="dxa"/>
            <w:vAlign w:val="top"/>
          </w:tcPr>
          <w:p>
            <w:pPr>
              <w:pStyle w:val="TableText"/>
              <w:ind w:left="327"/>
              <w:spacing w:before="112" w:line="224" w:lineRule="auto"/>
              <w:rPr>
                <w:sz w:val="20"/>
                <w:szCs w:val="20"/>
              </w:rPr>
            </w:pPr>
            <w:r>
              <w:rPr>
                <w:sz w:val="20"/>
                <w:szCs w:val="20"/>
                <w:spacing w:val="4"/>
              </w:rPr>
              <w:t>吹胀牵引</w:t>
            </w:r>
          </w:p>
        </w:tc>
        <w:tc>
          <w:tcPr>
            <w:tcW w:w="1318" w:type="dxa"/>
            <w:vAlign w:val="top"/>
          </w:tcPr>
          <w:p>
            <w:pPr>
              <w:pStyle w:val="TableText"/>
              <w:ind w:left="454"/>
              <w:spacing w:before="112" w:line="224" w:lineRule="auto"/>
              <w:rPr>
                <w:sz w:val="20"/>
                <w:szCs w:val="20"/>
              </w:rPr>
            </w:pPr>
            <w:r>
              <w:rPr>
                <w:sz w:val="20"/>
                <w:szCs w:val="20"/>
                <w:spacing w:val="5"/>
              </w:rPr>
              <w:t>废气</w:t>
            </w:r>
          </w:p>
        </w:tc>
        <w:tc>
          <w:tcPr>
            <w:tcW w:w="3842" w:type="dxa"/>
            <w:vAlign w:val="top"/>
          </w:tcPr>
          <w:p>
            <w:pPr>
              <w:pStyle w:val="TableText"/>
              <w:ind w:left="196"/>
              <w:spacing w:before="112" w:line="224" w:lineRule="auto"/>
              <w:rPr>
                <w:sz w:val="20"/>
                <w:szCs w:val="20"/>
              </w:rPr>
            </w:pPr>
            <w:r>
              <w:rPr>
                <w:sz w:val="20"/>
                <w:szCs w:val="20"/>
                <w:spacing w:val="9"/>
              </w:rPr>
              <w:t>非甲烷总烃、氨、硫化氢、臭气浓度</w:t>
            </w:r>
          </w:p>
        </w:tc>
      </w:tr>
      <w:tr>
        <w:trPr>
          <w:trHeight w:val="365" w:hRule="atLeast"/>
        </w:trPr>
        <w:tc>
          <w:tcPr>
            <w:tcW w:w="459" w:type="dxa"/>
            <w:vAlign w:val="top"/>
            <w:vMerge w:val="continue"/>
            <w:tcBorders>
              <w:top w:val="nil"/>
              <w:bottom w:val="nil"/>
            </w:tcBorders>
          </w:tcPr>
          <w:p>
            <w:pPr>
              <w:rPr>
                <w:rFonts w:ascii="Arial"/>
                <w:sz w:val="21"/>
              </w:rPr>
            </w:pPr>
            <w:r/>
          </w:p>
        </w:tc>
        <w:tc>
          <w:tcPr>
            <w:tcW w:w="774" w:type="dxa"/>
            <w:vAlign w:val="top"/>
          </w:tcPr>
          <w:p>
            <w:pPr>
              <w:ind w:left="318"/>
              <w:spacing w:before="1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G3</w:t>
            </w:r>
          </w:p>
        </w:tc>
        <w:tc>
          <w:tcPr>
            <w:tcW w:w="669" w:type="dxa"/>
            <w:vAlign w:val="top"/>
            <w:vMerge w:val="continue"/>
            <w:tcBorders>
              <w:top w:val="nil"/>
            </w:tcBorders>
          </w:tcPr>
          <w:p>
            <w:pPr>
              <w:rPr>
                <w:rFonts w:ascii="Arial"/>
                <w:sz w:val="21"/>
              </w:rPr>
            </w:pPr>
            <w:r/>
          </w:p>
        </w:tc>
        <w:tc>
          <w:tcPr>
            <w:tcW w:w="1464" w:type="dxa"/>
            <w:vAlign w:val="top"/>
          </w:tcPr>
          <w:p>
            <w:pPr>
              <w:pStyle w:val="TableText"/>
              <w:ind w:left="317"/>
              <w:spacing w:before="112" w:line="224" w:lineRule="auto"/>
              <w:rPr>
                <w:sz w:val="20"/>
                <w:szCs w:val="20"/>
              </w:rPr>
            </w:pPr>
            <w:r>
              <w:rPr>
                <w:sz w:val="20"/>
                <w:szCs w:val="20"/>
                <w:spacing w:val="7"/>
              </w:rPr>
              <w:t>风环冷却</w:t>
            </w:r>
          </w:p>
        </w:tc>
        <w:tc>
          <w:tcPr>
            <w:tcW w:w="1318" w:type="dxa"/>
            <w:vAlign w:val="top"/>
          </w:tcPr>
          <w:p>
            <w:pPr>
              <w:pStyle w:val="TableText"/>
              <w:ind w:left="454"/>
              <w:spacing w:before="112" w:line="224" w:lineRule="auto"/>
              <w:rPr>
                <w:sz w:val="20"/>
                <w:szCs w:val="20"/>
              </w:rPr>
            </w:pPr>
            <w:r>
              <w:rPr>
                <w:sz w:val="20"/>
                <w:szCs w:val="20"/>
                <w:spacing w:val="5"/>
              </w:rPr>
              <w:t>废气</w:t>
            </w:r>
          </w:p>
        </w:tc>
        <w:tc>
          <w:tcPr>
            <w:tcW w:w="3842" w:type="dxa"/>
            <w:vAlign w:val="top"/>
          </w:tcPr>
          <w:p>
            <w:pPr>
              <w:pStyle w:val="TableText"/>
              <w:ind w:left="196"/>
              <w:spacing w:before="112" w:line="224" w:lineRule="auto"/>
              <w:rPr>
                <w:sz w:val="20"/>
                <w:szCs w:val="20"/>
              </w:rPr>
            </w:pPr>
            <w:r>
              <w:rPr>
                <w:sz w:val="20"/>
                <w:szCs w:val="20"/>
                <w:spacing w:val="9"/>
              </w:rPr>
              <w:t>非甲烷总烃、氨、硫化氢、臭气浓度</w:t>
            </w:r>
          </w:p>
        </w:tc>
      </w:tr>
      <w:tr>
        <w:trPr>
          <w:trHeight w:val="391" w:hRule="atLeast"/>
        </w:trPr>
        <w:tc>
          <w:tcPr>
            <w:tcW w:w="459" w:type="dxa"/>
            <w:vAlign w:val="top"/>
            <w:vMerge w:val="continue"/>
            <w:tcBorders>
              <w:top w:val="nil"/>
              <w:bottom w:val="nil"/>
            </w:tcBorders>
          </w:tcPr>
          <w:p>
            <w:pPr>
              <w:rPr>
                <w:rFonts w:ascii="Arial"/>
                <w:sz w:val="21"/>
              </w:rPr>
            </w:pPr>
            <w:r/>
          </w:p>
        </w:tc>
        <w:tc>
          <w:tcPr>
            <w:tcW w:w="774" w:type="dxa"/>
            <w:vAlign w:val="top"/>
          </w:tcPr>
          <w:p>
            <w:pPr>
              <w:ind w:left="341"/>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S1</w:t>
            </w:r>
          </w:p>
        </w:tc>
        <w:tc>
          <w:tcPr>
            <w:tcW w:w="669" w:type="dxa"/>
            <w:vAlign w:val="top"/>
            <w:vMerge w:val="restart"/>
            <w:tcBorders>
              <w:bottom w:val="nil"/>
            </w:tcBorders>
          </w:tcPr>
          <w:p>
            <w:pPr>
              <w:pStyle w:val="TableText"/>
              <w:ind w:left="146"/>
              <w:spacing w:before="112" w:line="228" w:lineRule="auto"/>
              <w:rPr>
                <w:sz w:val="20"/>
                <w:szCs w:val="20"/>
              </w:rPr>
            </w:pPr>
            <w:r>
              <w:rPr>
                <w:sz w:val="20"/>
                <w:szCs w:val="20"/>
                <w:spacing w:val="-5"/>
              </w:rPr>
              <w:t>固废</w:t>
            </w:r>
          </w:p>
        </w:tc>
        <w:tc>
          <w:tcPr>
            <w:tcW w:w="1464" w:type="dxa"/>
            <w:vAlign w:val="top"/>
          </w:tcPr>
          <w:p>
            <w:pPr>
              <w:pStyle w:val="TableText"/>
              <w:ind w:left="318"/>
              <w:spacing w:before="112" w:line="228" w:lineRule="auto"/>
              <w:rPr>
                <w:sz w:val="20"/>
                <w:szCs w:val="20"/>
              </w:rPr>
            </w:pPr>
            <w:r>
              <w:rPr>
                <w:sz w:val="20"/>
                <w:szCs w:val="20"/>
                <w:spacing w:val="6"/>
              </w:rPr>
              <w:t>混料上料</w:t>
            </w:r>
          </w:p>
        </w:tc>
        <w:tc>
          <w:tcPr>
            <w:tcW w:w="5160" w:type="dxa"/>
            <w:vAlign w:val="top"/>
            <w:gridSpan w:val="2"/>
          </w:tcPr>
          <w:p>
            <w:pPr>
              <w:pStyle w:val="TableText"/>
              <w:ind w:left="2005"/>
              <w:spacing w:before="111" w:line="228" w:lineRule="auto"/>
              <w:rPr>
                <w:sz w:val="20"/>
                <w:szCs w:val="20"/>
              </w:rPr>
            </w:pPr>
            <w:r>
              <w:rPr>
                <w:sz w:val="20"/>
                <w:szCs w:val="20"/>
                <w:spacing w:val="8"/>
              </w:rPr>
              <w:t>废弃包装物</w:t>
            </w:r>
          </w:p>
        </w:tc>
      </w:tr>
      <w:tr>
        <w:trPr>
          <w:trHeight w:val="391" w:hRule="atLeast"/>
        </w:trPr>
        <w:tc>
          <w:tcPr>
            <w:tcW w:w="459" w:type="dxa"/>
            <w:vAlign w:val="top"/>
            <w:vMerge w:val="continue"/>
            <w:tcBorders>
              <w:top w:val="nil"/>
              <w:bottom w:val="nil"/>
            </w:tcBorders>
          </w:tcPr>
          <w:p>
            <w:pPr>
              <w:rPr>
                <w:rFonts w:ascii="Arial"/>
                <w:sz w:val="21"/>
              </w:rPr>
            </w:pPr>
            <w:r/>
          </w:p>
        </w:tc>
        <w:tc>
          <w:tcPr>
            <w:tcW w:w="774" w:type="dxa"/>
            <w:vAlign w:val="top"/>
          </w:tcPr>
          <w:p>
            <w:pPr>
              <w:ind w:left="341"/>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S2</w:t>
            </w:r>
          </w:p>
        </w:tc>
        <w:tc>
          <w:tcPr>
            <w:tcW w:w="669" w:type="dxa"/>
            <w:vAlign w:val="top"/>
            <w:vMerge w:val="continue"/>
            <w:tcBorders>
              <w:top w:val="nil"/>
              <w:bottom w:val="nil"/>
            </w:tcBorders>
          </w:tcPr>
          <w:p>
            <w:pPr>
              <w:rPr>
                <w:rFonts w:ascii="Arial"/>
                <w:sz w:val="21"/>
              </w:rPr>
            </w:pPr>
            <w:r/>
          </w:p>
        </w:tc>
        <w:tc>
          <w:tcPr>
            <w:tcW w:w="1464" w:type="dxa"/>
            <w:vAlign w:val="top"/>
          </w:tcPr>
          <w:p>
            <w:pPr>
              <w:pStyle w:val="TableText"/>
              <w:ind w:left="316"/>
              <w:spacing w:before="111" w:line="228" w:lineRule="auto"/>
              <w:rPr>
                <w:sz w:val="20"/>
                <w:szCs w:val="20"/>
              </w:rPr>
            </w:pPr>
            <w:r>
              <w:rPr>
                <w:sz w:val="20"/>
                <w:szCs w:val="20"/>
                <w:spacing w:val="7"/>
              </w:rPr>
              <w:t>检验包装</w:t>
            </w:r>
          </w:p>
        </w:tc>
        <w:tc>
          <w:tcPr>
            <w:tcW w:w="5160" w:type="dxa"/>
            <w:vAlign w:val="top"/>
            <w:gridSpan w:val="2"/>
          </w:tcPr>
          <w:p>
            <w:pPr>
              <w:pStyle w:val="TableText"/>
              <w:ind w:left="2009"/>
              <w:spacing w:before="111" w:line="228" w:lineRule="auto"/>
              <w:rPr>
                <w:sz w:val="20"/>
                <w:szCs w:val="20"/>
              </w:rPr>
            </w:pPr>
            <w:r>
              <w:rPr>
                <w:sz w:val="20"/>
                <w:szCs w:val="20"/>
                <w:spacing w:val="7"/>
              </w:rPr>
              <w:t>不合格产品</w:t>
            </w:r>
          </w:p>
        </w:tc>
      </w:tr>
      <w:tr>
        <w:trPr>
          <w:trHeight w:val="391" w:hRule="atLeast"/>
        </w:trPr>
        <w:tc>
          <w:tcPr>
            <w:tcW w:w="459" w:type="dxa"/>
            <w:vAlign w:val="top"/>
            <w:vMerge w:val="continue"/>
            <w:tcBorders>
              <w:top w:val="nil"/>
              <w:bottom w:val="nil"/>
            </w:tcBorders>
          </w:tcPr>
          <w:p>
            <w:pPr>
              <w:rPr>
                <w:rFonts w:ascii="Arial"/>
                <w:sz w:val="21"/>
              </w:rPr>
            </w:pPr>
            <w:r/>
          </w:p>
        </w:tc>
        <w:tc>
          <w:tcPr>
            <w:tcW w:w="774" w:type="dxa"/>
            <w:vAlign w:val="top"/>
          </w:tcPr>
          <w:p>
            <w:pPr>
              <w:ind w:left="341"/>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S3</w:t>
            </w:r>
          </w:p>
        </w:tc>
        <w:tc>
          <w:tcPr>
            <w:tcW w:w="669" w:type="dxa"/>
            <w:vAlign w:val="top"/>
            <w:vMerge w:val="continue"/>
            <w:tcBorders>
              <w:top w:val="nil"/>
              <w:bottom w:val="nil"/>
            </w:tcBorders>
          </w:tcPr>
          <w:p>
            <w:pPr>
              <w:rPr>
                <w:rFonts w:ascii="Arial"/>
                <w:sz w:val="21"/>
              </w:rPr>
            </w:pPr>
            <w:r/>
          </w:p>
        </w:tc>
        <w:tc>
          <w:tcPr>
            <w:tcW w:w="1464" w:type="dxa"/>
            <w:vAlign w:val="top"/>
          </w:tcPr>
          <w:p>
            <w:pPr>
              <w:pStyle w:val="TableText"/>
              <w:ind w:left="315"/>
              <w:spacing w:before="112" w:line="228" w:lineRule="auto"/>
              <w:rPr>
                <w:sz w:val="20"/>
                <w:szCs w:val="20"/>
              </w:rPr>
            </w:pPr>
            <w:r>
              <w:rPr>
                <w:sz w:val="20"/>
                <w:szCs w:val="20"/>
                <w:spacing w:val="7"/>
              </w:rPr>
              <w:t>废气治理</w:t>
            </w:r>
          </w:p>
        </w:tc>
        <w:tc>
          <w:tcPr>
            <w:tcW w:w="5160" w:type="dxa"/>
            <w:vAlign w:val="top"/>
            <w:gridSpan w:val="2"/>
          </w:tcPr>
          <w:p>
            <w:pPr>
              <w:pStyle w:val="TableText"/>
              <w:ind w:left="1585"/>
              <w:spacing w:before="111" w:line="227" w:lineRule="auto"/>
              <w:rPr>
                <w:sz w:val="20"/>
                <w:szCs w:val="20"/>
              </w:rPr>
            </w:pPr>
            <w:r>
              <w:rPr>
                <w:sz w:val="20"/>
                <w:szCs w:val="20"/>
                <w:spacing w:val="9"/>
              </w:rPr>
              <w:t>废催化剂、废活性炭</w:t>
            </w:r>
          </w:p>
        </w:tc>
      </w:tr>
      <w:tr>
        <w:trPr>
          <w:trHeight w:val="391" w:hRule="atLeast"/>
        </w:trPr>
        <w:tc>
          <w:tcPr>
            <w:tcW w:w="459" w:type="dxa"/>
            <w:vAlign w:val="top"/>
            <w:vMerge w:val="continue"/>
            <w:tcBorders>
              <w:top w:val="nil"/>
              <w:bottom w:val="nil"/>
            </w:tcBorders>
          </w:tcPr>
          <w:p>
            <w:pPr>
              <w:rPr>
                <w:rFonts w:ascii="Arial"/>
                <w:sz w:val="21"/>
              </w:rPr>
            </w:pPr>
            <w:r/>
          </w:p>
        </w:tc>
        <w:tc>
          <w:tcPr>
            <w:tcW w:w="774" w:type="dxa"/>
            <w:vAlign w:val="top"/>
          </w:tcPr>
          <w:p>
            <w:pPr>
              <w:ind w:left="341"/>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S4</w:t>
            </w:r>
          </w:p>
        </w:tc>
        <w:tc>
          <w:tcPr>
            <w:tcW w:w="669" w:type="dxa"/>
            <w:vAlign w:val="top"/>
            <w:vMerge w:val="continue"/>
            <w:tcBorders>
              <w:top w:val="nil"/>
            </w:tcBorders>
          </w:tcPr>
          <w:p>
            <w:pPr>
              <w:rPr>
                <w:rFonts w:ascii="Arial"/>
                <w:sz w:val="21"/>
              </w:rPr>
            </w:pPr>
            <w:r/>
          </w:p>
        </w:tc>
        <w:tc>
          <w:tcPr>
            <w:tcW w:w="1464" w:type="dxa"/>
            <w:vAlign w:val="top"/>
          </w:tcPr>
          <w:p>
            <w:pPr>
              <w:pStyle w:val="TableText"/>
              <w:ind w:left="315"/>
              <w:spacing w:before="111" w:line="227" w:lineRule="auto"/>
              <w:rPr>
                <w:sz w:val="20"/>
                <w:szCs w:val="20"/>
              </w:rPr>
            </w:pPr>
            <w:r>
              <w:rPr>
                <w:sz w:val="20"/>
                <w:szCs w:val="20"/>
                <w:spacing w:val="7"/>
              </w:rPr>
              <w:t>机械维修</w:t>
            </w:r>
          </w:p>
        </w:tc>
        <w:tc>
          <w:tcPr>
            <w:tcW w:w="5160" w:type="dxa"/>
            <w:vAlign w:val="top"/>
            <w:gridSpan w:val="2"/>
          </w:tcPr>
          <w:p>
            <w:pPr>
              <w:pStyle w:val="TableText"/>
              <w:ind w:left="2216"/>
              <w:spacing w:before="111" w:line="227" w:lineRule="auto"/>
              <w:rPr>
                <w:sz w:val="20"/>
                <w:szCs w:val="20"/>
              </w:rPr>
            </w:pPr>
            <w:r>
              <w:rPr>
                <w:sz w:val="20"/>
                <w:szCs w:val="20"/>
                <w:spacing w:val="7"/>
              </w:rPr>
              <w:t>废机油</w:t>
            </w:r>
          </w:p>
        </w:tc>
      </w:tr>
      <w:tr>
        <w:trPr>
          <w:trHeight w:val="365" w:hRule="atLeast"/>
        </w:trPr>
        <w:tc>
          <w:tcPr>
            <w:tcW w:w="459" w:type="dxa"/>
            <w:vAlign w:val="top"/>
            <w:vMerge w:val="continue"/>
            <w:tcBorders>
              <w:top w:val="nil"/>
              <w:bottom w:val="nil"/>
            </w:tcBorders>
          </w:tcPr>
          <w:p>
            <w:pPr>
              <w:rPr>
                <w:rFonts w:ascii="Arial"/>
                <w:sz w:val="21"/>
              </w:rPr>
            </w:pPr>
            <w:r/>
          </w:p>
        </w:tc>
        <w:tc>
          <w:tcPr>
            <w:tcW w:w="774" w:type="dxa"/>
            <w:vAlign w:val="top"/>
          </w:tcPr>
          <w:p>
            <w:pPr>
              <w:ind w:left="308"/>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N1</w:t>
            </w:r>
          </w:p>
        </w:tc>
        <w:tc>
          <w:tcPr>
            <w:tcW w:w="669" w:type="dxa"/>
            <w:vAlign w:val="top"/>
            <w:vMerge w:val="restart"/>
            <w:tcBorders>
              <w:bottom w:val="nil"/>
            </w:tcBorders>
          </w:tcPr>
          <w:p>
            <w:pPr>
              <w:pStyle w:val="TableText"/>
              <w:ind w:left="138"/>
              <w:spacing w:before="112" w:line="228" w:lineRule="auto"/>
              <w:rPr>
                <w:sz w:val="20"/>
                <w:szCs w:val="20"/>
              </w:rPr>
            </w:pPr>
            <w:r>
              <w:rPr>
                <w:sz w:val="20"/>
                <w:szCs w:val="20"/>
                <w:spacing w:val="-1"/>
              </w:rPr>
              <w:t>噪声</w:t>
            </w:r>
          </w:p>
        </w:tc>
        <w:tc>
          <w:tcPr>
            <w:tcW w:w="1464" w:type="dxa"/>
            <w:vAlign w:val="top"/>
          </w:tcPr>
          <w:p>
            <w:pPr>
              <w:pStyle w:val="TableText"/>
              <w:ind w:left="318"/>
              <w:spacing w:before="112" w:line="224" w:lineRule="auto"/>
              <w:rPr>
                <w:sz w:val="20"/>
                <w:szCs w:val="20"/>
              </w:rPr>
            </w:pPr>
            <w:r>
              <w:rPr>
                <w:sz w:val="20"/>
                <w:szCs w:val="20"/>
                <w:spacing w:val="6"/>
              </w:rPr>
              <w:t>车辆运输</w:t>
            </w:r>
          </w:p>
        </w:tc>
        <w:tc>
          <w:tcPr>
            <w:tcW w:w="5160" w:type="dxa"/>
            <w:vAlign w:val="top"/>
            <w:gridSpan w:val="2"/>
          </w:tcPr>
          <w:p>
            <w:pPr>
              <w:pStyle w:val="TableText"/>
              <w:ind w:left="1904"/>
              <w:spacing w:before="112" w:line="224" w:lineRule="auto"/>
              <w:rPr>
                <w:sz w:val="20"/>
                <w:szCs w:val="20"/>
              </w:rPr>
            </w:pPr>
            <w:r>
              <w:rPr>
                <w:sz w:val="20"/>
                <w:szCs w:val="20"/>
                <w:spacing w:val="7"/>
              </w:rPr>
              <w:t>车辆运输噪声</w:t>
            </w:r>
          </w:p>
        </w:tc>
      </w:tr>
      <w:tr>
        <w:trPr>
          <w:trHeight w:val="365" w:hRule="atLeast"/>
        </w:trPr>
        <w:tc>
          <w:tcPr>
            <w:tcW w:w="459" w:type="dxa"/>
            <w:vAlign w:val="top"/>
            <w:vMerge w:val="continue"/>
            <w:tcBorders>
              <w:top w:val="nil"/>
              <w:bottom w:val="nil"/>
            </w:tcBorders>
          </w:tcPr>
          <w:p>
            <w:pPr>
              <w:rPr>
                <w:rFonts w:ascii="Arial"/>
                <w:sz w:val="21"/>
              </w:rPr>
            </w:pPr>
            <w:r/>
          </w:p>
        </w:tc>
        <w:tc>
          <w:tcPr>
            <w:tcW w:w="774" w:type="dxa"/>
            <w:vAlign w:val="top"/>
          </w:tcPr>
          <w:p>
            <w:pPr>
              <w:ind w:left="308"/>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N2</w:t>
            </w:r>
          </w:p>
        </w:tc>
        <w:tc>
          <w:tcPr>
            <w:tcW w:w="669" w:type="dxa"/>
            <w:vAlign w:val="top"/>
            <w:vMerge w:val="continue"/>
            <w:tcBorders>
              <w:top w:val="nil"/>
              <w:bottom w:val="nil"/>
            </w:tcBorders>
          </w:tcPr>
          <w:p>
            <w:pPr>
              <w:rPr>
                <w:rFonts w:ascii="Arial"/>
                <w:sz w:val="21"/>
              </w:rPr>
            </w:pPr>
            <w:r/>
          </w:p>
        </w:tc>
        <w:tc>
          <w:tcPr>
            <w:tcW w:w="1464" w:type="dxa"/>
            <w:vAlign w:val="top"/>
          </w:tcPr>
          <w:p>
            <w:pPr>
              <w:pStyle w:val="TableText"/>
              <w:ind w:left="318"/>
              <w:spacing w:before="111" w:line="225" w:lineRule="auto"/>
              <w:rPr>
                <w:sz w:val="20"/>
                <w:szCs w:val="20"/>
              </w:rPr>
            </w:pPr>
            <w:r>
              <w:rPr>
                <w:sz w:val="20"/>
                <w:szCs w:val="20"/>
                <w:spacing w:val="6"/>
              </w:rPr>
              <w:t>混料上料</w:t>
            </w:r>
          </w:p>
        </w:tc>
        <w:tc>
          <w:tcPr>
            <w:tcW w:w="5160" w:type="dxa"/>
            <w:vAlign w:val="top"/>
            <w:gridSpan w:val="2"/>
          </w:tcPr>
          <w:p>
            <w:pPr>
              <w:pStyle w:val="TableText"/>
              <w:ind w:left="2110"/>
              <w:spacing w:before="111" w:line="225" w:lineRule="auto"/>
              <w:rPr>
                <w:sz w:val="20"/>
                <w:szCs w:val="20"/>
              </w:rPr>
            </w:pPr>
            <w:r>
              <w:rPr>
                <w:sz w:val="20"/>
                <w:szCs w:val="20"/>
                <w:spacing w:val="7"/>
              </w:rPr>
              <w:t>机械设备</w:t>
            </w:r>
          </w:p>
        </w:tc>
      </w:tr>
      <w:tr>
        <w:trPr>
          <w:trHeight w:val="365" w:hRule="atLeast"/>
        </w:trPr>
        <w:tc>
          <w:tcPr>
            <w:tcW w:w="459" w:type="dxa"/>
            <w:vAlign w:val="top"/>
            <w:vMerge w:val="continue"/>
            <w:tcBorders>
              <w:top w:val="nil"/>
              <w:bottom w:val="nil"/>
            </w:tcBorders>
          </w:tcPr>
          <w:p>
            <w:pPr>
              <w:rPr>
                <w:rFonts w:ascii="Arial"/>
                <w:sz w:val="21"/>
              </w:rPr>
            </w:pPr>
            <w:r/>
          </w:p>
        </w:tc>
        <w:tc>
          <w:tcPr>
            <w:tcW w:w="774" w:type="dxa"/>
            <w:vAlign w:val="top"/>
          </w:tcPr>
          <w:p>
            <w:pPr>
              <w:ind w:left="308"/>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N3</w:t>
            </w:r>
          </w:p>
        </w:tc>
        <w:tc>
          <w:tcPr>
            <w:tcW w:w="669" w:type="dxa"/>
            <w:vAlign w:val="top"/>
            <w:vMerge w:val="continue"/>
            <w:tcBorders>
              <w:top w:val="nil"/>
              <w:bottom w:val="nil"/>
            </w:tcBorders>
          </w:tcPr>
          <w:p>
            <w:pPr>
              <w:rPr>
                <w:rFonts w:ascii="Arial"/>
                <w:sz w:val="21"/>
              </w:rPr>
            </w:pPr>
            <w:r/>
          </w:p>
        </w:tc>
        <w:tc>
          <w:tcPr>
            <w:tcW w:w="1464" w:type="dxa"/>
            <w:vAlign w:val="top"/>
          </w:tcPr>
          <w:p>
            <w:pPr>
              <w:pStyle w:val="TableText"/>
              <w:ind w:left="320"/>
              <w:spacing w:before="113" w:line="223" w:lineRule="auto"/>
              <w:rPr>
                <w:sz w:val="20"/>
                <w:szCs w:val="20"/>
              </w:rPr>
            </w:pPr>
            <w:r>
              <w:rPr>
                <w:sz w:val="20"/>
                <w:szCs w:val="20"/>
                <w:spacing w:val="6"/>
              </w:rPr>
              <w:t>塑化挤出</w:t>
            </w:r>
          </w:p>
        </w:tc>
        <w:tc>
          <w:tcPr>
            <w:tcW w:w="5160" w:type="dxa"/>
            <w:vAlign w:val="top"/>
            <w:gridSpan w:val="2"/>
          </w:tcPr>
          <w:p>
            <w:pPr>
              <w:pStyle w:val="TableText"/>
              <w:ind w:left="2110"/>
              <w:spacing w:before="113" w:line="223" w:lineRule="auto"/>
              <w:rPr>
                <w:sz w:val="20"/>
                <w:szCs w:val="20"/>
              </w:rPr>
            </w:pPr>
            <w:r>
              <w:rPr>
                <w:sz w:val="20"/>
                <w:szCs w:val="20"/>
                <w:spacing w:val="7"/>
              </w:rPr>
              <w:t>机械设备</w:t>
            </w:r>
          </w:p>
        </w:tc>
      </w:tr>
      <w:tr>
        <w:trPr>
          <w:trHeight w:val="365" w:hRule="atLeast"/>
        </w:trPr>
        <w:tc>
          <w:tcPr>
            <w:tcW w:w="459" w:type="dxa"/>
            <w:vAlign w:val="top"/>
            <w:vMerge w:val="continue"/>
            <w:tcBorders>
              <w:top w:val="nil"/>
              <w:bottom w:val="nil"/>
            </w:tcBorders>
          </w:tcPr>
          <w:p>
            <w:pPr>
              <w:rPr>
                <w:rFonts w:ascii="Arial"/>
                <w:sz w:val="21"/>
              </w:rPr>
            </w:pPr>
            <w:r/>
          </w:p>
        </w:tc>
        <w:tc>
          <w:tcPr>
            <w:tcW w:w="774" w:type="dxa"/>
            <w:vAlign w:val="top"/>
          </w:tcPr>
          <w:p>
            <w:pPr>
              <w:ind w:left="308"/>
              <w:spacing w:before="1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N4</w:t>
            </w:r>
          </w:p>
        </w:tc>
        <w:tc>
          <w:tcPr>
            <w:tcW w:w="669" w:type="dxa"/>
            <w:vAlign w:val="top"/>
            <w:vMerge w:val="continue"/>
            <w:tcBorders>
              <w:top w:val="nil"/>
              <w:bottom w:val="nil"/>
            </w:tcBorders>
          </w:tcPr>
          <w:p>
            <w:pPr>
              <w:rPr>
                <w:rFonts w:ascii="Arial"/>
                <w:sz w:val="21"/>
              </w:rPr>
            </w:pPr>
            <w:r/>
          </w:p>
        </w:tc>
        <w:tc>
          <w:tcPr>
            <w:tcW w:w="1464" w:type="dxa"/>
            <w:vAlign w:val="top"/>
          </w:tcPr>
          <w:p>
            <w:pPr>
              <w:pStyle w:val="TableText"/>
              <w:ind w:left="327"/>
              <w:spacing w:before="113" w:line="223" w:lineRule="auto"/>
              <w:rPr>
                <w:sz w:val="20"/>
                <w:szCs w:val="20"/>
              </w:rPr>
            </w:pPr>
            <w:r>
              <w:rPr>
                <w:sz w:val="20"/>
                <w:szCs w:val="20"/>
                <w:spacing w:val="4"/>
              </w:rPr>
              <w:t>吹胀牵引</w:t>
            </w:r>
          </w:p>
        </w:tc>
        <w:tc>
          <w:tcPr>
            <w:tcW w:w="5160" w:type="dxa"/>
            <w:vAlign w:val="top"/>
            <w:gridSpan w:val="2"/>
          </w:tcPr>
          <w:p>
            <w:pPr>
              <w:pStyle w:val="TableText"/>
              <w:ind w:left="2110"/>
              <w:spacing w:before="113" w:line="223" w:lineRule="auto"/>
              <w:rPr>
                <w:sz w:val="20"/>
                <w:szCs w:val="20"/>
              </w:rPr>
            </w:pPr>
            <w:r>
              <w:rPr>
                <w:sz w:val="20"/>
                <w:szCs w:val="20"/>
                <w:spacing w:val="7"/>
              </w:rPr>
              <w:t>机械设备</w:t>
            </w:r>
          </w:p>
        </w:tc>
      </w:tr>
      <w:tr>
        <w:trPr>
          <w:trHeight w:val="365" w:hRule="atLeast"/>
        </w:trPr>
        <w:tc>
          <w:tcPr>
            <w:tcW w:w="459" w:type="dxa"/>
            <w:vAlign w:val="top"/>
            <w:vMerge w:val="continue"/>
            <w:tcBorders>
              <w:top w:val="nil"/>
              <w:bottom w:val="nil"/>
            </w:tcBorders>
          </w:tcPr>
          <w:p>
            <w:pPr>
              <w:rPr>
                <w:rFonts w:ascii="Arial"/>
                <w:sz w:val="21"/>
              </w:rPr>
            </w:pPr>
            <w:r/>
          </w:p>
        </w:tc>
        <w:tc>
          <w:tcPr>
            <w:tcW w:w="774" w:type="dxa"/>
            <w:vAlign w:val="top"/>
          </w:tcPr>
          <w:p>
            <w:pPr>
              <w:ind w:left="308"/>
              <w:spacing w:before="151"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N5</w:t>
            </w:r>
          </w:p>
        </w:tc>
        <w:tc>
          <w:tcPr>
            <w:tcW w:w="669" w:type="dxa"/>
            <w:vAlign w:val="top"/>
            <w:vMerge w:val="continue"/>
            <w:tcBorders>
              <w:top w:val="nil"/>
              <w:bottom w:val="nil"/>
            </w:tcBorders>
          </w:tcPr>
          <w:p>
            <w:pPr>
              <w:rPr>
                <w:rFonts w:ascii="Arial"/>
                <w:sz w:val="21"/>
              </w:rPr>
            </w:pPr>
            <w:r/>
          </w:p>
        </w:tc>
        <w:tc>
          <w:tcPr>
            <w:tcW w:w="1464" w:type="dxa"/>
            <w:vAlign w:val="top"/>
          </w:tcPr>
          <w:p>
            <w:pPr>
              <w:pStyle w:val="TableText"/>
              <w:ind w:left="317"/>
              <w:spacing w:before="112" w:line="224" w:lineRule="auto"/>
              <w:rPr>
                <w:sz w:val="20"/>
                <w:szCs w:val="20"/>
              </w:rPr>
            </w:pPr>
            <w:r>
              <w:rPr>
                <w:sz w:val="20"/>
                <w:szCs w:val="20"/>
                <w:spacing w:val="7"/>
              </w:rPr>
              <w:t>风环冷却</w:t>
            </w:r>
          </w:p>
        </w:tc>
        <w:tc>
          <w:tcPr>
            <w:tcW w:w="5160" w:type="dxa"/>
            <w:vAlign w:val="top"/>
            <w:gridSpan w:val="2"/>
          </w:tcPr>
          <w:p>
            <w:pPr>
              <w:pStyle w:val="TableText"/>
              <w:ind w:left="2110"/>
              <w:spacing w:before="112" w:line="224" w:lineRule="auto"/>
              <w:rPr>
                <w:sz w:val="20"/>
                <w:szCs w:val="20"/>
              </w:rPr>
            </w:pPr>
            <w:r>
              <w:rPr>
                <w:sz w:val="20"/>
                <w:szCs w:val="20"/>
                <w:spacing w:val="7"/>
              </w:rPr>
              <w:t>机械设备</w:t>
            </w:r>
          </w:p>
        </w:tc>
      </w:tr>
      <w:tr>
        <w:trPr>
          <w:trHeight w:val="372" w:hRule="atLeast"/>
        </w:trPr>
        <w:tc>
          <w:tcPr>
            <w:tcW w:w="459" w:type="dxa"/>
            <w:vAlign w:val="top"/>
            <w:vMerge w:val="continue"/>
            <w:tcBorders>
              <w:top w:val="nil"/>
            </w:tcBorders>
          </w:tcPr>
          <w:p>
            <w:pPr>
              <w:rPr>
                <w:rFonts w:ascii="Arial"/>
                <w:sz w:val="21"/>
              </w:rPr>
            </w:pPr>
            <w:r/>
          </w:p>
        </w:tc>
        <w:tc>
          <w:tcPr>
            <w:tcW w:w="774" w:type="dxa"/>
            <w:vAlign w:val="top"/>
          </w:tcPr>
          <w:p>
            <w:pPr>
              <w:ind w:left="308"/>
              <w:spacing w:before="1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N6</w:t>
            </w:r>
          </w:p>
        </w:tc>
        <w:tc>
          <w:tcPr>
            <w:tcW w:w="669" w:type="dxa"/>
            <w:vAlign w:val="top"/>
            <w:vMerge w:val="continue"/>
            <w:tcBorders>
              <w:top w:val="nil"/>
            </w:tcBorders>
          </w:tcPr>
          <w:p>
            <w:pPr>
              <w:rPr>
                <w:rFonts w:ascii="Arial"/>
                <w:sz w:val="21"/>
              </w:rPr>
            </w:pPr>
            <w:r/>
          </w:p>
        </w:tc>
        <w:tc>
          <w:tcPr>
            <w:tcW w:w="1464" w:type="dxa"/>
            <w:vAlign w:val="top"/>
          </w:tcPr>
          <w:p>
            <w:pPr>
              <w:pStyle w:val="TableText"/>
              <w:ind w:left="318"/>
              <w:spacing w:before="111" w:line="228" w:lineRule="auto"/>
              <w:rPr>
                <w:sz w:val="20"/>
                <w:szCs w:val="20"/>
              </w:rPr>
            </w:pPr>
            <w:r>
              <w:rPr>
                <w:sz w:val="20"/>
                <w:szCs w:val="20"/>
                <w:spacing w:val="6"/>
              </w:rPr>
              <w:t>分切收卷</w:t>
            </w:r>
          </w:p>
        </w:tc>
        <w:tc>
          <w:tcPr>
            <w:tcW w:w="5160" w:type="dxa"/>
            <w:vAlign w:val="top"/>
            <w:gridSpan w:val="2"/>
          </w:tcPr>
          <w:p>
            <w:pPr>
              <w:pStyle w:val="TableText"/>
              <w:ind w:left="2110"/>
              <w:spacing w:before="112" w:line="227" w:lineRule="auto"/>
              <w:rPr>
                <w:sz w:val="20"/>
                <w:szCs w:val="20"/>
              </w:rPr>
            </w:pPr>
            <w:r>
              <w:rPr>
                <w:sz w:val="20"/>
                <w:szCs w:val="20"/>
                <w:spacing w:val="7"/>
              </w:rPr>
              <w:t>机械设备</w:t>
            </w:r>
          </w:p>
        </w:tc>
      </w:tr>
      <w:tr>
        <w:trPr>
          <w:trHeight w:val="1039" w:hRule="atLeast"/>
        </w:trPr>
        <w:tc>
          <w:tcPr>
            <w:tcW w:w="459" w:type="dxa"/>
            <w:vAlign w:val="top"/>
            <w:textDirection w:val="tbRlV"/>
          </w:tcPr>
          <w:p>
            <w:pPr>
              <w:pStyle w:val="TableText"/>
              <w:ind w:left="140"/>
              <w:spacing w:before="106" w:line="198" w:lineRule="auto"/>
              <w:rPr/>
            </w:pPr>
            <w:r>
              <w:rPr>
                <w:spacing w:val="-1"/>
              </w:rPr>
              <w:t>项</w:t>
            </w:r>
            <w:r>
              <w:rPr>
                <w:spacing w:val="41"/>
              </w:rPr>
              <w:t xml:space="preserve"> </w:t>
            </w:r>
            <w:r>
              <w:rPr>
                <w:spacing w:val="-1"/>
                <w:position w:val="1"/>
              </w:rPr>
              <w:t>目</w:t>
            </w:r>
          </w:p>
        </w:tc>
        <w:tc>
          <w:tcPr>
            <w:tcW w:w="8067" w:type="dxa"/>
            <w:vAlign w:val="top"/>
            <w:gridSpan w:val="5"/>
          </w:tcPr>
          <w:p>
            <w:pPr>
              <w:pStyle w:val="TableText"/>
              <w:ind w:left="111"/>
              <w:spacing w:before="186" w:line="220" w:lineRule="auto"/>
              <w:outlineLvl w:val="1"/>
              <w:rPr>
                <w:sz w:val="28"/>
                <w:szCs w:val="28"/>
              </w:rPr>
            </w:pPr>
            <w:r>
              <w:rPr>
                <w:rFonts w:ascii="Times New Roman" w:hAnsi="Times New Roman" w:eastAsia="Times New Roman" w:cs="Times New Roman"/>
                <w:sz w:val="28"/>
                <w:szCs w:val="28"/>
                <w:b/>
                <w:bCs/>
              </w:rPr>
              <w:t>2.11  </w:t>
            </w:r>
            <w:r>
              <w:rPr>
                <w:sz w:val="28"/>
                <w:szCs w:val="28"/>
                <w14:textOutline w14:w="5103" w14:cap="sq" w14:cmpd="sng">
                  <w14:solidFill>
                    <w14:srgbClr w14:val="000000"/>
                  </w14:solidFill>
                  <w14:prstDash w14:val="solid"/>
                  <w14:bevel/>
                </w14:textOutline>
              </w:rPr>
              <w:t>现有项目工程概况</w:t>
            </w:r>
          </w:p>
          <w:p>
            <w:pPr>
              <w:pStyle w:val="TableText"/>
              <w:ind w:left="590"/>
              <w:spacing w:before="200" w:line="220" w:lineRule="auto"/>
              <w:outlineLvl w:val="2"/>
              <w:rPr/>
            </w:pPr>
            <w:r>
              <w:rPr>
                <w:rFonts w:ascii="Times New Roman" w:hAnsi="Times New Roman" w:eastAsia="Times New Roman" w:cs="Times New Roman"/>
                <w:b/>
                <w:bCs/>
              </w:rPr>
              <w:t>2.11.1</w:t>
            </w:r>
            <w:r>
              <w:rPr>
                <w14:textOutline w14:w="4358" w14:cap="sq" w14:cmpd="sng">
                  <w14:solidFill>
                    <w14:srgbClr w14:val="000000"/>
                  </w14:solidFill>
                  <w14:prstDash w14:val="solid"/>
                  <w14:bevel/>
                </w14:textOutline>
              </w:rPr>
              <w:t>现有工程环保手续</w:t>
            </w:r>
          </w:p>
        </w:tc>
      </w:tr>
    </w:tbl>
    <w:p>
      <w:pPr>
        <w:pStyle w:val="BodyText"/>
        <w:rPr/>
      </w:pPr>
      <w:r/>
    </w:p>
    <w:p>
      <w:pPr>
        <w:sectPr>
          <w:footerReference w:type="default" r:id="rId166"/>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59"/>
        <w:gridCol w:w="750"/>
        <w:gridCol w:w="1185"/>
        <w:gridCol w:w="5445"/>
        <w:gridCol w:w="687"/>
      </w:tblGrid>
      <w:tr>
        <w:trPr>
          <w:trHeight w:val="9416" w:hRule="atLeast"/>
        </w:trPr>
        <w:tc>
          <w:tcPr>
            <w:tcW w:w="459" w:type="dxa"/>
            <w:vAlign w:val="top"/>
            <w:vMerge w:val="restart"/>
            <w:textDirection w:val="tbRlV"/>
            <w:tcBorders>
              <w:bottom w:val="nil"/>
            </w:tcBorders>
          </w:tcPr>
          <w:p>
            <w:pPr>
              <w:pStyle w:val="TableText"/>
              <w:ind w:left="118"/>
              <w:spacing w:before="106" w:line="201" w:lineRule="auto"/>
              <w:rPr/>
            </w:pPr>
            <w:r>
              <w:rPr>
                <w:spacing w:val="-1"/>
              </w:rPr>
              <w:t>有</w:t>
            </w:r>
            <w:r>
              <w:rPr>
                <w:spacing w:val="47"/>
              </w:rPr>
              <w:t xml:space="preserve"> </w:t>
            </w:r>
            <w:r>
              <w:rPr>
                <w:spacing w:val="-1"/>
              </w:rPr>
              <w:t>关</w:t>
            </w:r>
            <w:r>
              <w:rPr>
                <w:spacing w:val="41"/>
              </w:rPr>
              <w:t xml:space="preserve"> </w:t>
            </w:r>
            <w:r>
              <w:rPr>
                <w:spacing w:val="-1"/>
              </w:rPr>
              <w:t>的</w:t>
            </w:r>
            <w:r>
              <w:rPr>
                <w:spacing w:val="39"/>
              </w:rPr>
              <w:t xml:space="preserve"> </w:t>
            </w:r>
            <w:r>
              <w:rPr>
                <w:spacing w:val="-1"/>
              </w:rPr>
              <w:t>原</w:t>
            </w:r>
            <w:r>
              <w:rPr>
                <w:spacing w:val="41"/>
              </w:rPr>
              <w:t xml:space="preserve"> </w:t>
            </w:r>
            <w:r>
              <w:rPr>
                <w:spacing w:val="-1"/>
              </w:rPr>
              <w:t>有</w:t>
            </w:r>
            <w:r>
              <w:rPr>
                <w:spacing w:val="41"/>
              </w:rPr>
              <w:t xml:space="preserve"> </w:t>
            </w:r>
            <w:r>
              <w:rPr>
                <w:spacing w:val="-1"/>
              </w:rPr>
              <w:t>环</w:t>
            </w:r>
            <w:r>
              <w:rPr>
                <w:spacing w:val="39"/>
              </w:rPr>
              <w:t xml:space="preserve"> </w:t>
            </w:r>
            <w:r>
              <w:rPr>
                <w:spacing w:val="-1"/>
              </w:rPr>
              <w:t>境</w:t>
            </w:r>
            <w:r>
              <w:rPr>
                <w:spacing w:val="41"/>
              </w:rPr>
              <w:t xml:space="preserve"> </w:t>
            </w:r>
            <w:r>
              <w:rPr>
                <w:spacing w:val="-1"/>
              </w:rPr>
              <w:t>污</w:t>
            </w:r>
            <w:r>
              <w:rPr>
                <w:spacing w:val="41"/>
              </w:rPr>
              <w:t xml:space="preserve"> </w:t>
            </w:r>
            <w:r>
              <w:rPr>
                <w:spacing w:val="-1"/>
              </w:rPr>
              <w:t>染</w:t>
            </w:r>
            <w:r>
              <w:rPr>
                <w:spacing w:val="38"/>
              </w:rPr>
              <w:t xml:space="preserve"> </w:t>
            </w:r>
            <w:r>
              <w:rPr>
                <w:spacing w:val="-1"/>
                <w:position w:val="1"/>
              </w:rPr>
              <w:t>问</w:t>
            </w:r>
          </w:p>
        </w:tc>
        <w:tc>
          <w:tcPr>
            <w:tcW w:w="8067" w:type="dxa"/>
            <w:vAlign w:val="top"/>
            <w:gridSpan w:val="4"/>
            <w:tcBorders>
              <w:bottom w:val="single" w:color="000000" w:sz="10" w:space="0"/>
            </w:tcBorders>
          </w:tcPr>
          <w:p>
            <w:pPr>
              <w:pStyle w:val="TableText"/>
              <w:ind w:left="114" w:right="106" w:firstLine="493"/>
              <w:spacing w:before="202" w:line="384" w:lineRule="auto"/>
              <w:rPr/>
            </w:pPr>
            <w:r>
              <w:rPr>
                <w:spacing w:val="5"/>
              </w:rPr>
              <w:t>呼图壁县丰收塑料制品厂滴灌带生产线建设项目厂址位于新</w:t>
            </w:r>
            <w:r>
              <w:rPr>
                <w:spacing w:val="4"/>
              </w:rPr>
              <w:t>疆昌吉州</w:t>
            </w:r>
            <w:r>
              <w:rPr/>
              <w:t xml:space="preserve"> </w:t>
            </w:r>
            <w:r>
              <w:rPr>
                <w:spacing w:val="1"/>
              </w:rPr>
              <w:t>呼图壁县种牛场良种站以东与二十里交界处。</w:t>
            </w:r>
            <w:r>
              <w:rPr>
                <w:rFonts w:ascii="Times New Roman" w:hAnsi="Times New Roman" w:eastAsia="Times New Roman" w:cs="Times New Roman"/>
                <w:spacing w:val="1"/>
              </w:rPr>
              <w:t>2015</w:t>
            </w:r>
            <w:r>
              <w:rPr>
                <w:spacing w:val="1"/>
              </w:rPr>
              <w:t>年</w:t>
            </w:r>
            <w:r>
              <w:rPr>
                <w:rFonts w:ascii="Times New Roman" w:hAnsi="Times New Roman" w:eastAsia="Times New Roman" w:cs="Times New Roman"/>
                <w:spacing w:val="1"/>
              </w:rPr>
              <w:t>7</w:t>
            </w:r>
            <w:r>
              <w:rPr>
                <w:spacing w:val="1"/>
              </w:rPr>
              <w:t>月，呼图壁县丰收塑</w:t>
            </w:r>
            <w:r>
              <w:rPr>
                <w:spacing w:val="2"/>
              </w:rPr>
              <w:t xml:space="preserve"> </w:t>
            </w:r>
            <w:r>
              <w:rPr>
                <w:spacing w:val="-2"/>
              </w:rPr>
              <w:t>料制品厂委托新疆奥邦科技有限公司完成《</w:t>
            </w:r>
            <w:r>
              <w:rPr>
                <w:spacing w:val="-3"/>
              </w:rPr>
              <w:t>呼图壁县丰收塑料制品厂滴灌带</w:t>
            </w:r>
            <w:r>
              <w:rPr/>
              <w:t xml:space="preserve"> </w:t>
            </w:r>
            <w:r>
              <w:rPr>
                <w:spacing w:val="-2"/>
              </w:rPr>
              <w:t>生产线建设项目环境影响报告表》。</w:t>
            </w:r>
            <w:r>
              <w:rPr>
                <w:rFonts w:ascii="Times New Roman" w:hAnsi="Times New Roman" w:eastAsia="Times New Roman" w:cs="Times New Roman"/>
                <w:spacing w:val="-2"/>
              </w:rPr>
              <w:t>2015</w:t>
            </w:r>
            <w:r>
              <w:rPr>
                <w:spacing w:val="-2"/>
              </w:rPr>
              <w:t>年</w:t>
            </w:r>
            <w:r>
              <w:rPr>
                <w:rFonts w:ascii="Times New Roman" w:hAnsi="Times New Roman" w:eastAsia="Times New Roman" w:cs="Times New Roman"/>
                <w:spacing w:val="-2"/>
              </w:rPr>
              <w:t>10</w:t>
            </w:r>
            <w:r>
              <w:rPr>
                <w:spacing w:val="-2"/>
              </w:rPr>
              <w:t>月</w:t>
            </w:r>
            <w:r>
              <w:rPr>
                <w:rFonts w:ascii="Times New Roman" w:hAnsi="Times New Roman" w:eastAsia="Times New Roman" w:cs="Times New Roman"/>
                <w:spacing w:val="-2"/>
              </w:rPr>
              <w:t>27</w:t>
            </w:r>
            <w:r>
              <w:rPr>
                <w:spacing w:val="-2"/>
              </w:rPr>
              <w:t>日，原呼图</w:t>
            </w:r>
            <w:r>
              <w:rPr>
                <w:spacing w:val="-3"/>
              </w:rPr>
              <w:t>壁县环境保护</w:t>
            </w:r>
            <w:r>
              <w:rPr/>
              <w:t xml:space="preserve"> </w:t>
            </w:r>
            <w:r>
              <w:rPr>
                <w:spacing w:val="-2"/>
              </w:rPr>
              <w:t>局出具《关于呼图壁县丰收塑料制品厂滴灌</w:t>
            </w:r>
            <w:r>
              <w:rPr>
                <w:spacing w:val="-3"/>
              </w:rPr>
              <w:t>带生产线建设项目环境影响报告</w:t>
            </w:r>
          </w:p>
          <w:p>
            <w:pPr>
              <w:pStyle w:val="TableText"/>
              <w:ind w:left="113"/>
              <w:spacing w:line="219" w:lineRule="auto"/>
              <w:rPr/>
            </w:pPr>
            <w:r>
              <w:rPr>
                <w:spacing w:val="-1"/>
              </w:rPr>
              <w:t>表的批复》（呼环评字〔</w:t>
            </w:r>
            <w:r>
              <w:rPr>
                <w:rFonts w:ascii="Times New Roman" w:hAnsi="Times New Roman" w:eastAsia="Times New Roman" w:cs="Times New Roman"/>
                <w:spacing w:val="-1"/>
              </w:rPr>
              <w:t>2015</w:t>
            </w:r>
            <w:r>
              <w:rPr>
                <w:spacing w:val="-1"/>
              </w:rPr>
              <w:t>〕</w:t>
            </w:r>
            <w:r>
              <w:rPr>
                <w:rFonts w:ascii="Times New Roman" w:hAnsi="Times New Roman" w:eastAsia="Times New Roman" w:cs="Times New Roman"/>
                <w:spacing w:val="-1"/>
              </w:rPr>
              <w:t>59</w:t>
            </w:r>
            <w:r>
              <w:rPr>
                <w:spacing w:val="-1"/>
              </w:rPr>
              <w:t>号）。</w:t>
            </w:r>
          </w:p>
          <w:p>
            <w:pPr>
              <w:pStyle w:val="TableText"/>
              <w:ind w:left="109" w:right="109" w:firstLine="497"/>
              <w:spacing w:before="216" w:line="384" w:lineRule="auto"/>
              <w:rPr/>
            </w:pPr>
            <w:r>
              <w:rPr>
                <w:spacing w:val="8"/>
              </w:rPr>
              <w:t>呼图壁县丰收塑料制品厂于</w:t>
            </w:r>
            <w:r>
              <w:rPr>
                <w:rFonts w:ascii="Times New Roman" w:hAnsi="Times New Roman" w:eastAsia="Times New Roman" w:cs="Times New Roman"/>
                <w:spacing w:val="8"/>
              </w:rPr>
              <w:t>2022</w:t>
            </w:r>
            <w:r>
              <w:rPr>
                <w:spacing w:val="8"/>
              </w:rPr>
              <w:t>年</w:t>
            </w:r>
            <w:r>
              <w:rPr>
                <w:rFonts w:ascii="Times New Roman" w:hAnsi="Times New Roman" w:eastAsia="Times New Roman" w:cs="Times New Roman"/>
                <w:spacing w:val="8"/>
              </w:rPr>
              <w:t>6</w:t>
            </w:r>
            <w:r>
              <w:rPr>
                <w:spacing w:val="8"/>
              </w:rPr>
              <w:t>月启动竣工环境保护验收工作， </w:t>
            </w:r>
            <w:r>
              <w:rPr>
                <w:rFonts w:ascii="Times New Roman" w:hAnsi="Times New Roman" w:eastAsia="Times New Roman" w:cs="Times New Roman"/>
                <w:spacing w:val="1"/>
              </w:rPr>
              <w:t>2022</w:t>
            </w:r>
            <w:r>
              <w:rPr>
                <w:spacing w:val="1"/>
              </w:rPr>
              <w:t>年</w:t>
            </w:r>
            <w:r>
              <w:rPr>
                <w:rFonts w:ascii="Times New Roman" w:hAnsi="Times New Roman" w:eastAsia="Times New Roman" w:cs="Times New Roman"/>
                <w:spacing w:val="1"/>
              </w:rPr>
              <w:t>7</w:t>
            </w:r>
            <w:r>
              <w:rPr>
                <w:spacing w:val="1"/>
              </w:rPr>
              <w:t>月</w:t>
            </w:r>
            <w:r>
              <w:rPr>
                <w:rFonts w:ascii="Times New Roman" w:hAnsi="Times New Roman" w:eastAsia="Times New Roman" w:cs="Times New Roman"/>
                <w:spacing w:val="1"/>
              </w:rPr>
              <w:t>21</w:t>
            </w:r>
            <w:r>
              <w:rPr>
                <w:spacing w:val="1"/>
              </w:rPr>
              <w:t>日，组织专家和技术人员开展视频验收会，会议上形成了验收</w:t>
            </w:r>
          </w:p>
          <w:p>
            <w:pPr>
              <w:pStyle w:val="TableText"/>
              <w:ind w:left="120"/>
              <w:spacing w:line="219" w:lineRule="auto"/>
              <w:rPr/>
            </w:pPr>
            <w:r>
              <w:rPr>
                <w:spacing w:val="-1"/>
              </w:rPr>
              <w:t>意见，项目完成后了竣工环境保护验收工作。</w:t>
            </w:r>
          </w:p>
          <w:p>
            <w:pPr>
              <w:pStyle w:val="TableText"/>
              <w:ind w:left="598"/>
              <w:spacing w:before="216" w:line="499" w:lineRule="exact"/>
              <w:rPr/>
            </w:pPr>
            <w:r>
              <w:rPr>
                <w:spacing w:val="1"/>
                <w:position w:val="19"/>
              </w:rPr>
              <w:t>企业于</w:t>
            </w:r>
            <w:r>
              <w:rPr>
                <w:rFonts w:ascii="Times New Roman" w:hAnsi="Times New Roman" w:eastAsia="Times New Roman" w:cs="Times New Roman"/>
                <w:spacing w:val="1"/>
                <w:position w:val="19"/>
              </w:rPr>
              <w:t>2023</w:t>
            </w:r>
            <w:r>
              <w:rPr>
                <w:spacing w:val="1"/>
                <w:position w:val="19"/>
              </w:rPr>
              <w:t>年</w:t>
            </w:r>
            <w:r>
              <w:rPr>
                <w:rFonts w:ascii="Times New Roman" w:hAnsi="Times New Roman" w:eastAsia="Times New Roman" w:cs="Times New Roman"/>
                <w:spacing w:val="1"/>
                <w:position w:val="19"/>
              </w:rPr>
              <w:t>1</w:t>
            </w:r>
            <w:r>
              <w:rPr>
                <w:spacing w:val="1"/>
                <w:position w:val="19"/>
              </w:rPr>
              <w:t>月</w:t>
            </w:r>
            <w:r>
              <w:rPr>
                <w:rFonts w:ascii="Times New Roman" w:hAnsi="Times New Roman" w:eastAsia="Times New Roman" w:cs="Times New Roman"/>
                <w:spacing w:val="1"/>
                <w:position w:val="19"/>
              </w:rPr>
              <w:t>13</w:t>
            </w:r>
            <w:r>
              <w:rPr>
                <w:spacing w:val="1"/>
                <w:position w:val="19"/>
              </w:rPr>
              <w:t>日进行排污许可证申报，现已取得排污许可证，证</w:t>
            </w:r>
          </w:p>
          <w:p>
            <w:pPr>
              <w:pStyle w:val="TableText"/>
              <w:ind w:left="118"/>
              <w:spacing w:before="1" w:line="218" w:lineRule="auto"/>
              <w:rPr/>
            </w:pPr>
            <w:r>
              <w:rPr>
                <w:spacing w:val="-1"/>
              </w:rPr>
              <w:t>书编号为：</w:t>
            </w:r>
            <w:r>
              <w:rPr>
                <w:rFonts w:ascii="Times New Roman" w:hAnsi="Times New Roman" w:eastAsia="Times New Roman" w:cs="Times New Roman"/>
                <w:spacing w:val="-1"/>
              </w:rPr>
              <w:t>92652323L90268280N001Y</w:t>
            </w:r>
            <w:r>
              <w:rPr>
                <w:spacing w:val="-1"/>
              </w:rPr>
              <w:t>。</w:t>
            </w:r>
          </w:p>
          <w:p>
            <w:pPr>
              <w:pStyle w:val="TableText"/>
              <w:ind w:left="590"/>
              <w:spacing w:before="215" w:line="219" w:lineRule="auto"/>
              <w:outlineLvl w:val="2"/>
              <w:rPr/>
            </w:pPr>
            <w:r>
              <w:rPr>
                <w:rFonts w:ascii="Times New Roman" w:hAnsi="Times New Roman" w:eastAsia="Times New Roman" w:cs="Times New Roman"/>
                <w:b/>
                <w:bCs/>
                <w:spacing w:val="-1"/>
              </w:rPr>
              <w:t>2.11.2</w:t>
            </w:r>
            <w:r>
              <w:rPr>
                <w14:textOutline w14:w="4358" w14:cap="sq" w14:cmpd="sng">
                  <w14:solidFill>
                    <w14:srgbClr w14:val="000000"/>
                  </w14:solidFill>
                  <w14:prstDash w14:val="solid"/>
                  <w14:bevel/>
                </w14:textOutline>
                <w:spacing w:val="-1"/>
              </w:rPr>
              <w:t>现有工程建设内容</w:t>
            </w:r>
          </w:p>
          <w:p>
            <w:pPr>
              <w:pStyle w:val="TableText"/>
              <w:ind w:left="597"/>
              <w:spacing w:before="217" w:line="499" w:lineRule="exact"/>
              <w:rPr/>
            </w:pPr>
            <w:r>
              <w:rPr>
                <w:spacing w:val="-3"/>
                <w:position w:val="19"/>
              </w:rPr>
              <w:t>建设内容为：</w:t>
            </w:r>
            <w:r>
              <w:rPr>
                <w:rFonts w:ascii="Times New Roman" w:hAnsi="Times New Roman" w:eastAsia="Times New Roman" w:cs="Times New Roman"/>
                <w:spacing w:val="-3"/>
                <w:position w:val="19"/>
              </w:rPr>
              <w:t>1</w:t>
            </w:r>
            <w:r>
              <w:rPr>
                <w:spacing w:val="-3"/>
                <w:position w:val="19"/>
              </w:rPr>
              <w:t>座联合生产厂房、</w:t>
            </w:r>
            <w:r>
              <w:rPr>
                <w:rFonts w:ascii="Times New Roman" w:hAnsi="Times New Roman" w:eastAsia="Times New Roman" w:cs="Times New Roman"/>
                <w:spacing w:val="-3"/>
                <w:position w:val="19"/>
              </w:rPr>
              <w:t>1</w:t>
            </w:r>
            <w:r>
              <w:rPr>
                <w:spacing w:val="-3"/>
                <w:position w:val="19"/>
              </w:rPr>
              <w:t>座成品库、</w:t>
            </w:r>
            <w:r>
              <w:rPr>
                <w:rFonts w:ascii="Times New Roman" w:hAnsi="Times New Roman" w:eastAsia="Times New Roman" w:cs="Times New Roman"/>
                <w:spacing w:val="-3"/>
                <w:position w:val="19"/>
              </w:rPr>
              <w:t>1</w:t>
            </w:r>
            <w:r>
              <w:rPr>
                <w:spacing w:val="-3"/>
                <w:position w:val="19"/>
              </w:rPr>
              <w:t>座原料库、</w:t>
            </w:r>
            <w:r>
              <w:rPr>
                <w:rFonts w:ascii="Times New Roman" w:hAnsi="Times New Roman" w:eastAsia="Times New Roman" w:cs="Times New Roman"/>
                <w:spacing w:val="-3"/>
                <w:position w:val="19"/>
              </w:rPr>
              <w:t>1</w:t>
            </w:r>
            <w:r>
              <w:rPr>
                <w:spacing w:val="-3"/>
                <w:position w:val="19"/>
              </w:rPr>
              <w:t>座职工宿舍</w:t>
            </w:r>
          </w:p>
          <w:p>
            <w:pPr>
              <w:pStyle w:val="TableText"/>
              <w:ind w:left="115"/>
              <w:spacing w:line="219" w:lineRule="auto"/>
              <w:rPr/>
            </w:pPr>
            <w:r>
              <w:rPr>
                <w:spacing w:val="-1"/>
              </w:rPr>
              <w:t>和办公区，并配套公用工程、辅助工程、环保工程。</w:t>
            </w:r>
          </w:p>
          <w:p>
            <w:pPr>
              <w:pStyle w:val="TableText"/>
              <w:ind w:left="116" w:right="106" w:firstLine="480"/>
              <w:spacing w:before="214" w:line="385" w:lineRule="auto"/>
              <w:rPr>
                <w:rFonts w:ascii="Times New Roman" w:hAnsi="Times New Roman" w:eastAsia="Times New Roman" w:cs="Times New Roman"/>
              </w:rPr>
            </w:pPr>
            <w:r>
              <w:rPr>
                <w:spacing w:val="-3"/>
              </w:rPr>
              <w:t>建设规模：建设</w:t>
            </w:r>
            <w:r>
              <w:rPr>
                <w:rFonts w:ascii="Times New Roman" w:hAnsi="Times New Roman" w:eastAsia="Times New Roman" w:cs="Times New Roman"/>
                <w:spacing w:val="-3"/>
              </w:rPr>
              <w:t>1</w:t>
            </w:r>
            <w:r>
              <w:rPr>
                <w:spacing w:val="-3"/>
              </w:rPr>
              <w:t>条破碎生产线、</w:t>
            </w:r>
            <w:r>
              <w:rPr>
                <w:rFonts w:ascii="Times New Roman" w:hAnsi="Times New Roman" w:eastAsia="Times New Roman" w:cs="Times New Roman"/>
                <w:spacing w:val="-3"/>
              </w:rPr>
              <w:t>1</w:t>
            </w:r>
            <w:r>
              <w:rPr>
                <w:spacing w:val="-3"/>
              </w:rPr>
              <w:t>条造粒生产线、</w:t>
            </w:r>
            <w:r>
              <w:rPr>
                <w:rFonts w:ascii="Times New Roman" w:hAnsi="Times New Roman" w:eastAsia="Times New Roman" w:cs="Times New Roman"/>
                <w:spacing w:val="-3"/>
              </w:rPr>
              <w:t>2</w:t>
            </w:r>
            <w:r>
              <w:rPr>
                <w:spacing w:val="-3"/>
              </w:rPr>
              <w:t>条滴灌带生产线和</w:t>
            </w:r>
            <w:r>
              <w:rPr>
                <w:rFonts w:ascii="Times New Roman" w:hAnsi="Times New Roman" w:eastAsia="Times New Roman" w:cs="Times New Roman"/>
                <w:spacing w:val="-3"/>
              </w:rPr>
              <w:t>1</w:t>
            </w:r>
            <w:r>
              <w:rPr>
                <w:rFonts w:ascii="Times New Roman" w:hAnsi="Times New Roman" w:eastAsia="Times New Roman" w:cs="Times New Roman"/>
                <w:spacing w:val="16"/>
              </w:rPr>
              <w:t xml:space="preserve"> </w:t>
            </w:r>
            <w:r>
              <w:rPr>
                <w:spacing w:val="-6"/>
              </w:rPr>
              <w:t>条</w:t>
            </w:r>
            <w:r>
              <w:rPr>
                <w:rFonts w:ascii="Times New Roman" w:hAnsi="Times New Roman" w:eastAsia="Times New Roman" w:cs="Times New Roman"/>
                <w:spacing w:val="-6"/>
              </w:rPr>
              <w:t>PE</w:t>
            </w:r>
            <w:r>
              <w:rPr>
                <w:spacing w:val="-6"/>
              </w:rPr>
              <w:t>水带生产线，年产</w:t>
            </w:r>
            <w:r>
              <w:rPr>
                <w:rFonts w:ascii="Times New Roman" w:hAnsi="Times New Roman" w:eastAsia="Times New Roman" w:cs="Times New Roman"/>
                <w:spacing w:val="-6"/>
              </w:rPr>
              <w:t>700</w:t>
            </w:r>
            <w:r>
              <w:rPr>
                <w:spacing w:val="-6"/>
              </w:rPr>
              <w:t>吨塑料颗粒，塑料颗粒用于生产</w:t>
            </w:r>
            <w:r>
              <w:rPr>
                <w:rFonts w:ascii="Times New Roman" w:hAnsi="Times New Roman" w:eastAsia="Times New Roman" w:cs="Times New Roman"/>
                <w:spacing w:val="-6"/>
              </w:rPr>
              <w:t>600</w:t>
            </w:r>
            <w:r>
              <w:rPr>
                <w:spacing w:val="-7"/>
              </w:rPr>
              <w:t>吨滴灌带和</w:t>
            </w:r>
            <w:r>
              <w:rPr>
                <w:rFonts w:ascii="Times New Roman" w:hAnsi="Times New Roman" w:eastAsia="Times New Roman" w:cs="Times New Roman"/>
                <w:spacing w:val="-7"/>
              </w:rPr>
              <w:t>100</w:t>
            </w:r>
          </w:p>
          <w:p>
            <w:pPr>
              <w:pStyle w:val="TableText"/>
              <w:ind w:left="125"/>
              <w:spacing w:before="1" w:line="219" w:lineRule="auto"/>
              <w:rPr/>
            </w:pPr>
            <w:r>
              <w:rPr>
                <w:spacing w:val="-4"/>
              </w:rPr>
              <w:t>吨</w:t>
            </w:r>
            <w:r>
              <w:rPr>
                <w:rFonts w:ascii="Times New Roman" w:hAnsi="Times New Roman" w:eastAsia="Times New Roman" w:cs="Times New Roman"/>
                <w:spacing w:val="-4"/>
              </w:rPr>
              <w:t>PE</w:t>
            </w:r>
            <w:r>
              <w:rPr>
                <w:spacing w:val="-4"/>
              </w:rPr>
              <w:t>水带。</w:t>
            </w:r>
          </w:p>
          <w:p>
            <w:pPr>
              <w:pStyle w:val="TableText"/>
              <w:ind w:left="598"/>
              <w:spacing w:before="214" w:line="219" w:lineRule="auto"/>
              <w:rPr/>
            </w:pPr>
            <w:r>
              <w:rPr>
                <w:spacing w:val="-3"/>
              </w:rPr>
              <w:t>企业现有工程组成情况见表</w:t>
            </w:r>
            <w:r>
              <w:rPr>
                <w:rFonts w:ascii="Times New Roman" w:hAnsi="Times New Roman" w:eastAsia="Times New Roman" w:cs="Times New Roman"/>
                <w:spacing w:val="-3"/>
              </w:rPr>
              <w:t>2.11-</w:t>
            </w:r>
            <w:r>
              <w:rPr>
                <w:rFonts w:ascii="Times New Roman" w:hAnsi="Times New Roman" w:eastAsia="Times New Roman" w:cs="Times New Roman"/>
                <w:spacing w:val="-18"/>
              </w:rPr>
              <w:t xml:space="preserve"> </w:t>
            </w:r>
            <w:r>
              <w:rPr>
                <w:rFonts w:ascii="Times New Roman" w:hAnsi="Times New Roman" w:eastAsia="Times New Roman" w:cs="Times New Roman"/>
                <w:spacing w:val="-3"/>
              </w:rPr>
              <w:t>1</w:t>
            </w:r>
            <w:r>
              <w:rPr>
                <w:spacing w:val="-3"/>
              </w:rPr>
              <w:t>。</w:t>
            </w:r>
          </w:p>
          <w:p>
            <w:pPr>
              <w:pStyle w:val="TableText"/>
              <w:ind w:left="2582"/>
              <w:spacing w:before="135" w:line="220" w:lineRule="auto"/>
              <w:rPr/>
            </w:pPr>
            <w:r>
              <w:rPr>
                <w14:textOutline w14:w="4358" w14:cap="sq" w14:cmpd="sng">
                  <w14:solidFill>
                    <w14:srgbClr w14:val="000000"/>
                  </w14:solidFill>
                  <w14:prstDash w14:val="solid"/>
                  <w14:bevel/>
                </w14:textOutline>
                <w:spacing w:val="-1"/>
              </w:rPr>
              <w:t>表</w:t>
            </w:r>
            <w:r>
              <w:rPr>
                <w:rFonts w:ascii="Times New Roman" w:hAnsi="Times New Roman" w:eastAsia="Times New Roman" w:cs="Times New Roman"/>
                <w:b/>
                <w:bCs/>
                <w:spacing w:val="-1"/>
              </w:rPr>
              <w:t>2.11-1  </w:t>
            </w:r>
            <w:r>
              <w:rPr>
                <w14:textOutline w14:w="4358" w14:cap="sq" w14:cmpd="sng">
                  <w14:solidFill>
                    <w14:srgbClr w14:val="000000"/>
                  </w14:solidFill>
                  <w14:prstDash w14:val="solid"/>
                  <w14:bevel/>
                </w14:textOutline>
                <w:spacing w:val="-1"/>
              </w:rPr>
              <w:t>项目工程组成情况</w:t>
            </w:r>
          </w:p>
        </w:tc>
      </w:tr>
      <w:tr>
        <w:trPr>
          <w:trHeight w:val="315" w:hRule="atLeast"/>
        </w:trPr>
        <w:tc>
          <w:tcPr>
            <w:tcW w:w="459" w:type="dxa"/>
            <w:vAlign w:val="top"/>
            <w:vMerge w:val="continue"/>
            <w:textDirection w:val="tbRlV"/>
            <w:tcBorders>
              <w:top w:val="nil"/>
              <w:bottom w:val="nil"/>
            </w:tcBorders>
          </w:tcPr>
          <w:p>
            <w:pPr>
              <w:rPr>
                <w:rFonts w:ascii="Arial"/>
                <w:sz w:val="21"/>
              </w:rPr>
            </w:pPr>
            <w:r/>
          </w:p>
        </w:tc>
        <w:tc>
          <w:tcPr>
            <w:tcW w:w="750" w:type="dxa"/>
            <w:vAlign w:val="top"/>
            <w:tcBorders>
              <w:top w:val="single" w:color="000000" w:sz="10" w:space="0"/>
            </w:tcBorders>
          </w:tcPr>
          <w:p>
            <w:pPr>
              <w:pStyle w:val="TableText"/>
              <w:ind w:left="223"/>
              <w:spacing w:before="71" w:line="216" w:lineRule="auto"/>
              <w:rPr>
                <w:sz w:val="20"/>
                <w:szCs w:val="20"/>
              </w:rPr>
            </w:pPr>
            <w:r>
              <w:rPr>
                <w:sz w:val="20"/>
                <w:szCs w:val="20"/>
                <w:spacing w:val="4"/>
              </w:rPr>
              <w:t>类别</w:t>
            </w:r>
          </w:p>
        </w:tc>
        <w:tc>
          <w:tcPr>
            <w:tcW w:w="6630" w:type="dxa"/>
            <w:vAlign w:val="top"/>
            <w:gridSpan w:val="2"/>
            <w:tcBorders>
              <w:top w:val="single" w:color="000000" w:sz="10" w:space="0"/>
            </w:tcBorders>
          </w:tcPr>
          <w:p>
            <w:pPr>
              <w:pStyle w:val="TableText"/>
              <w:ind w:left="2903"/>
              <w:spacing w:before="71" w:line="216" w:lineRule="auto"/>
              <w:rPr>
                <w:sz w:val="20"/>
                <w:szCs w:val="20"/>
              </w:rPr>
            </w:pPr>
            <w:r>
              <w:rPr>
                <w:sz w:val="20"/>
                <w:szCs w:val="20"/>
                <w:spacing w:val="6"/>
              </w:rPr>
              <w:t>建设内容</w:t>
            </w:r>
          </w:p>
        </w:tc>
        <w:tc>
          <w:tcPr>
            <w:tcW w:w="687" w:type="dxa"/>
            <w:vAlign w:val="top"/>
            <w:tcBorders>
              <w:top w:val="single" w:color="000000" w:sz="10" w:space="0"/>
            </w:tcBorders>
          </w:tcPr>
          <w:p>
            <w:pPr>
              <w:pStyle w:val="TableText"/>
              <w:ind w:left="86"/>
              <w:spacing w:before="71" w:line="216" w:lineRule="auto"/>
              <w:rPr>
                <w:sz w:val="20"/>
                <w:szCs w:val="20"/>
              </w:rPr>
            </w:pPr>
            <w:r>
              <w:rPr>
                <w:sz w:val="20"/>
                <w:szCs w:val="20"/>
                <w:spacing w:val="3"/>
              </w:rPr>
              <w:t>备注</w:t>
            </w:r>
          </w:p>
        </w:tc>
      </w:tr>
      <w:tr>
        <w:trPr>
          <w:trHeight w:val="645" w:hRule="atLeast"/>
        </w:trPr>
        <w:tc>
          <w:tcPr>
            <w:tcW w:w="459" w:type="dxa"/>
            <w:vAlign w:val="top"/>
            <w:vMerge w:val="continue"/>
            <w:textDirection w:val="tbRlV"/>
            <w:tcBorders>
              <w:top w:val="nil"/>
              <w:bottom w:val="nil"/>
            </w:tcBorders>
          </w:tcPr>
          <w:p>
            <w:pPr>
              <w:rPr>
                <w:rFonts w:ascii="Arial"/>
                <w:sz w:val="21"/>
              </w:rPr>
            </w:pPr>
            <w:r/>
          </w:p>
        </w:tc>
        <w:tc>
          <w:tcPr>
            <w:tcW w:w="750" w:type="dxa"/>
            <w:vAlign w:val="top"/>
          </w:tcPr>
          <w:p>
            <w:pPr>
              <w:pStyle w:val="TableText"/>
              <w:ind w:left="225" w:right="112"/>
              <w:spacing w:before="80" w:line="256" w:lineRule="auto"/>
              <w:rPr>
                <w:sz w:val="20"/>
                <w:szCs w:val="20"/>
              </w:rPr>
            </w:pPr>
            <w:r>
              <w:rPr>
                <w:sz w:val="20"/>
                <w:szCs w:val="20"/>
                <w:spacing w:val="3"/>
              </w:rPr>
              <w:t>主体</w:t>
            </w:r>
            <w:r>
              <w:rPr>
                <w:sz w:val="20"/>
                <w:szCs w:val="20"/>
              </w:rPr>
              <w:t xml:space="preserve"> </w:t>
            </w:r>
            <w:r>
              <w:rPr>
                <w:sz w:val="20"/>
                <w:szCs w:val="20"/>
                <w:spacing w:val="3"/>
              </w:rPr>
              <w:t>工程</w:t>
            </w:r>
          </w:p>
        </w:tc>
        <w:tc>
          <w:tcPr>
            <w:tcW w:w="1185" w:type="dxa"/>
            <w:vAlign w:val="top"/>
          </w:tcPr>
          <w:p>
            <w:pPr>
              <w:pStyle w:val="TableText"/>
              <w:ind w:left="178"/>
              <w:spacing w:before="240" w:line="228" w:lineRule="auto"/>
              <w:rPr>
                <w:sz w:val="20"/>
                <w:szCs w:val="20"/>
              </w:rPr>
            </w:pPr>
            <w:r>
              <w:rPr>
                <w:sz w:val="20"/>
                <w:szCs w:val="20"/>
                <w:spacing w:val="6"/>
              </w:rPr>
              <w:t>生产车间</w:t>
            </w:r>
          </w:p>
        </w:tc>
        <w:tc>
          <w:tcPr>
            <w:tcW w:w="5445" w:type="dxa"/>
            <w:vAlign w:val="top"/>
          </w:tcPr>
          <w:p>
            <w:pPr>
              <w:pStyle w:val="TableText"/>
              <w:ind w:left="716" w:right="53" w:hanging="652"/>
              <w:spacing w:before="80" w:line="256" w:lineRule="auto"/>
              <w:rPr>
                <w:sz w:val="20"/>
                <w:szCs w:val="20"/>
              </w:rPr>
            </w:pPr>
            <w:r>
              <w:rPr>
                <w:sz w:val="20"/>
                <w:szCs w:val="20"/>
                <w:spacing w:val="8"/>
              </w:rPr>
              <w:t>建设</w:t>
            </w:r>
            <w:r>
              <w:rPr>
                <w:rFonts w:ascii="Times New Roman" w:hAnsi="Times New Roman" w:eastAsia="Times New Roman" w:cs="Times New Roman"/>
                <w:sz w:val="20"/>
                <w:szCs w:val="20"/>
                <w:spacing w:val="8"/>
              </w:rPr>
              <w:t>1</w:t>
            </w:r>
            <w:r>
              <w:rPr>
                <w:sz w:val="20"/>
                <w:szCs w:val="20"/>
                <w:spacing w:val="8"/>
              </w:rPr>
              <w:t>座联合生产厂房，建设</w:t>
            </w:r>
            <w:r>
              <w:rPr>
                <w:rFonts w:ascii="Times New Roman" w:hAnsi="Times New Roman" w:eastAsia="Times New Roman" w:cs="Times New Roman"/>
                <w:sz w:val="20"/>
                <w:szCs w:val="20"/>
                <w:spacing w:val="8"/>
              </w:rPr>
              <w:t>1</w:t>
            </w:r>
            <w:r>
              <w:rPr>
                <w:sz w:val="20"/>
                <w:szCs w:val="20"/>
                <w:spacing w:val="8"/>
              </w:rPr>
              <w:t>条破碎生产线、</w:t>
            </w:r>
            <w:r>
              <w:rPr>
                <w:rFonts w:ascii="Times New Roman" w:hAnsi="Times New Roman" w:eastAsia="Times New Roman" w:cs="Times New Roman"/>
                <w:sz w:val="20"/>
                <w:szCs w:val="20"/>
                <w:spacing w:val="8"/>
              </w:rPr>
              <w:t>1</w:t>
            </w:r>
            <w:r>
              <w:rPr>
                <w:sz w:val="20"/>
                <w:szCs w:val="20"/>
                <w:spacing w:val="8"/>
              </w:rPr>
              <w:t>条造粒生产</w:t>
            </w:r>
            <w:r>
              <w:rPr>
                <w:sz w:val="20"/>
                <w:szCs w:val="20"/>
                <w:spacing w:val="5"/>
              </w:rPr>
              <w:t xml:space="preserve"> </w:t>
            </w:r>
            <w:r>
              <w:rPr>
                <w:sz w:val="20"/>
                <w:szCs w:val="20"/>
                <w:spacing w:val="9"/>
              </w:rPr>
              <w:t>线、</w:t>
            </w:r>
            <w:r>
              <w:rPr>
                <w:rFonts w:ascii="Times New Roman" w:hAnsi="Times New Roman" w:eastAsia="Times New Roman" w:cs="Times New Roman"/>
                <w:sz w:val="20"/>
                <w:szCs w:val="20"/>
                <w:spacing w:val="9"/>
              </w:rPr>
              <w:t>2</w:t>
            </w:r>
            <w:r>
              <w:rPr>
                <w:sz w:val="20"/>
                <w:szCs w:val="20"/>
                <w:spacing w:val="9"/>
              </w:rPr>
              <w:t>条滴灌带生产线和</w:t>
            </w:r>
            <w:r>
              <w:rPr>
                <w:rFonts w:ascii="Times New Roman" w:hAnsi="Times New Roman" w:eastAsia="Times New Roman" w:cs="Times New Roman"/>
                <w:sz w:val="20"/>
                <w:szCs w:val="20"/>
                <w:spacing w:val="9"/>
              </w:rPr>
              <w:t>1</w:t>
            </w:r>
            <w:r>
              <w:rPr>
                <w:sz w:val="20"/>
                <w:szCs w:val="20"/>
                <w:spacing w:val="9"/>
              </w:rPr>
              <w:t>条</w:t>
            </w:r>
            <w:r>
              <w:rPr>
                <w:rFonts w:ascii="Times New Roman" w:hAnsi="Times New Roman" w:eastAsia="Times New Roman" w:cs="Times New Roman"/>
                <w:sz w:val="20"/>
                <w:szCs w:val="20"/>
              </w:rPr>
              <w:t>PE</w:t>
            </w:r>
            <w:r>
              <w:rPr>
                <w:sz w:val="20"/>
                <w:szCs w:val="20"/>
                <w:spacing w:val="9"/>
              </w:rPr>
              <w:t>水带生产线。</w:t>
            </w:r>
          </w:p>
        </w:tc>
        <w:tc>
          <w:tcPr>
            <w:tcW w:w="687" w:type="dxa"/>
            <w:vAlign w:val="top"/>
          </w:tcPr>
          <w:p>
            <w:pPr>
              <w:pStyle w:val="TableText"/>
              <w:ind w:left="106"/>
              <w:spacing w:before="241" w:line="229" w:lineRule="auto"/>
              <w:rPr>
                <w:sz w:val="20"/>
                <w:szCs w:val="20"/>
              </w:rPr>
            </w:pPr>
            <w:r>
              <w:rPr>
                <w:sz w:val="20"/>
                <w:szCs w:val="20"/>
                <w:spacing w:val="-7"/>
              </w:rPr>
              <w:t>已建</w:t>
            </w:r>
          </w:p>
        </w:tc>
      </w:tr>
      <w:tr>
        <w:trPr>
          <w:trHeight w:val="325" w:hRule="atLeast"/>
        </w:trPr>
        <w:tc>
          <w:tcPr>
            <w:tcW w:w="459" w:type="dxa"/>
            <w:vAlign w:val="top"/>
            <w:vMerge w:val="continue"/>
            <w:textDirection w:val="tbRlV"/>
            <w:tcBorders>
              <w:top w:val="nil"/>
              <w:bottom w:val="nil"/>
            </w:tcBorders>
          </w:tcPr>
          <w:p>
            <w:pPr>
              <w:rPr>
                <w:rFonts w:ascii="Arial"/>
                <w:sz w:val="21"/>
              </w:rPr>
            </w:pPr>
            <w:r/>
          </w:p>
        </w:tc>
        <w:tc>
          <w:tcPr>
            <w:tcW w:w="750" w:type="dxa"/>
            <w:vAlign w:val="top"/>
            <w:vMerge w:val="restart"/>
            <w:tcBorders>
              <w:bottom w:val="nil"/>
            </w:tcBorders>
          </w:tcPr>
          <w:p>
            <w:pPr>
              <w:spacing w:line="346" w:lineRule="auto"/>
              <w:rPr>
                <w:rFonts w:ascii="Arial"/>
                <w:sz w:val="21"/>
              </w:rPr>
            </w:pPr>
            <w:r/>
          </w:p>
          <w:p>
            <w:pPr>
              <w:pStyle w:val="TableText"/>
              <w:ind w:left="225" w:right="112"/>
              <w:spacing w:before="65" w:line="263" w:lineRule="auto"/>
              <w:rPr>
                <w:sz w:val="20"/>
                <w:szCs w:val="20"/>
              </w:rPr>
            </w:pPr>
            <w:r>
              <w:rPr>
                <w:sz w:val="20"/>
                <w:szCs w:val="20"/>
                <w:spacing w:val="3"/>
              </w:rPr>
              <w:t>辅助</w:t>
            </w:r>
            <w:r>
              <w:rPr>
                <w:sz w:val="20"/>
                <w:szCs w:val="20"/>
              </w:rPr>
              <w:t xml:space="preserve"> </w:t>
            </w:r>
            <w:r>
              <w:rPr>
                <w:sz w:val="20"/>
                <w:szCs w:val="20"/>
                <w:spacing w:val="3"/>
              </w:rPr>
              <w:t>工程</w:t>
            </w:r>
          </w:p>
        </w:tc>
        <w:tc>
          <w:tcPr>
            <w:tcW w:w="1185" w:type="dxa"/>
            <w:vAlign w:val="top"/>
          </w:tcPr>
          <w:p>
            <w:pPr>
              <w:pStyle w:val="TableText"/>
              <w:ind w:left="181"/>
              <w:spacing w:before="81" w:line="216" w:lineRule="auto"/>
              <w:rPr>
                <w:sz w:val="20"/>
                <w:szCs w:val="20"/>
              </w:rPr>
            </w:pPr>
            <w:r>
              <w:rPr>
                <w:sz w:val="20"/>
                <w:szCs w:val="20"/>
                <w:spacing w:val="6"/>
              </w:rPr>
              <w:t>原料堆场</w:t>
            </w:r>
          </w:p>
        </w:tc>
        <w:tc>
          <w:tcPr>
            <w:tcW w:w="5445" w:type="dxa"/>
            <w:vAlign w:val="top"/>
          </w:tcPr>
          <w:p>
            <w:pPr>
              <w:pStyle w:val="TableText"/>
              <w:ind w:left="906"/>
              <w:spacing w:before="81" w:line="216" w:lineRule="auto"/>
              <w:rPr>
                <w:sz w:val="20"/>
                <w:szCs w:val="20"/>
              </w:rPr>
            </w:pPr>
            <w:r>
              <w:rPr>
                <w:rFonts w:ascii="Times New Roman" w:hAnsi="Times New Roman" w:eastAsia="Times New Roman" w:cs="Times New Roman"/>
                <w:sz w:val="20"/>
                <w:szCs w:val="20"/>
                <w:spacing w:val="2"/>
              </w:rPr>
              <w:t>1</w:t>
            </w:r>
            <w:r>
              <w:rPr>
                <w:sz w:val="20"/>
                <w:szCs w:val="20"/>
                <w:spacing w:val="2"/>
              </w:rPr>
              <w:t>座，</w:t>
            </w:r>
            <w:r>
              <w:rPr>
                <w:sz w:val="20"/>
                <w:szCs w:val="20"/>
                <w:spacing w:val="-45"/>
              </w:rPr>
              <w:t xml:space="preserve"> </w:t>
            </w:r>
            <w:r>
              <w:rPr>
                <w:sz w:val="20"/>
                <w:szCs w:val="20"/>
                <w:spacing w:val="2"/>
              </w:rPr>
              <w:t>占地面积</w:t>
            </w:r>
            <w:r>
              <w:rPr>
                <w:rFonts w:ascii="Times New Roman" w:hAnsi="Times New Roman" w:eastAsia="Times New Roman" w:cs="Times New Roman"/>
                <w:sz w:val="20"/>
                <w:szCs w:val="20"/>
                <w:spacing w:val="2"/>
              </w:rPr>
              <w:t>1000</w:t>
            </w:r>
            <w:r>
              <w:rPr>
                <w:sz w:val="20"/>
                <w:szCs w:val="20"/>
                <w:spacing w:val="2"/>
              </w:rPr>
              <w:t>㎡</w:t>
            </w:r>
            <w:r>
              <w:rPr>
                <w:sz w:val="20"/>
                <w:szCs w:val="20"/>
                <w:spacing w:val="-58"/>
              </w:rPr>
              <w:t xml:space="preserve"> </w:t>
            </w:r>
            <w:r>
              <w:rPr>
                <w:sz w:val="20"/>
                <w:szCs w:val="20"/>
                <w:spacing w:val="2"/>
              </w:rPr>
              <w:t>，位于厂区西侧。</w:t>
            </w:r>
          </w:p>
        </w:tc>
        <w:tc>
          <w:tcPr>
            <w:tcW w:w="687" w:type="dxa"/>
            <w:vAlign w:val="top"/>
          </w:tcPr>
          <w:p>
            <w:pPr>
              <w:pStyle w:val="TableText"/>
              <w:ind w:left="106"/>
              <w:spacing w:before="81" w:line="216" w:lineRule="auto"/>
              <w:rPr>
                <w:sz w:val="20"/>
                <w:szCs w:val="20"/>
              </w:rPr>
            </w:pPr>
            <w:r>
              <w:rPr>
                <w:sz w:val="20"/>
                <w:szCs w:val="20"/>
                <w:spacing w:val="-7"/>
              </w:rPr>
              <w:t>已建</w:t>
            </w:r>
          </w:p>
        </w:tc>
      </w:tr>
      <w:tr>
        <w:trPr>
          <w:trHeight w:val="325" w:hRule="atLeast"/>
        </w:trPr>
        <w:tc>
          <w:tcPr>
            <w:tcW w:w="459" w:type="dxa"/>
            <w:vAlign w:val="top"/>
            <w:vMerge w:val="continue"/>
            <w:textDirection w:val="tbRlV"/>
            <w:tcBorders>
              <w:top w:val="nil"/>
              <w:bottom w:val="nil"/>
            </w:tcBorders>
          </w:tcPr>
          <w:p>
            <w:pPr>
              <w:rPr>
                <w:rFonts w:ascii="Arial"/>
                <w:sz w:val="21"/>
              </w:rPr>
            </w:pPr>
            <w:r/>
          </w:p>
        </w:tc>
        <w:tc>
          <w:tcPr>
            <w:tcW w:w="750" w:type="dxa"/>
            <w:vAlign w:val="top"/>
            <w:vMerge w:val="continue"/>
            <w:tcBorders>
              <w:top w:val="nil"/>
              <w:bottom w:val="nil"/>
            </w:tcBorders>
          </w:tcPr>
          <w:p>
            <w:pPr>
              <w:rPr>
                <w:rFonts w:ascii="Arial"/>
                <w:sz w:val="21"/>
              </w:rPr>
            </w:pPr>
            <w:r/>
          </w:p>
        </w:tc>
        <w:tc>
          <w:tcPr>
            <w:tcW w:w="1185" w:type="dxa"/>
            <w:vAlign w:val="top"/>
          </w:tcPr>
          <w:p>
            <w:pPr>
              <w:pStyle w:val="TableText"/>
              <w:ind w:left="178"/>
              <w:spacing w:before="79" w:line="217" w:lineRule="auto"/>
              <w:rPr>
                <w:sz w:val="20"/>
                <w:szCs w:val="20"/>
              </w:rPr>
            </w:pPr>
            <w:r>
              <w:rPr>
                <w:sz w:val="20"/>
                <w:szCs w:val="20"/>
                <w:spacing w:val="6"/>
              </w:rPr>
              <w:t>成品仓库</w:t>
            </w:r>
          </w:p>
        </w:tc>
        <w:tc>
          <w:tcPr>
            <w:tcW w:w="5445" w:type="dxa"/>
            <w:vAlign w:val="top"/>
          </w:tcPr>
          <w:p>
            <w:pPr>
              <w:pStyle w:val="TableText"/>
              <w:ind w:left="959"/>
              <w:spacing w:before="79" w:line="217" w:lineRule="auto"/>
              <w:rPr>
                <w:sz w:val="20"/>
                <w:szCs w:val="20"/>
              </w:rPr>
            </w:pPr>
            <w:r>
              <w:rPr>
                <w:rFonts w:ascii="Times New Roman" w:hAnsi="Times New Roman" w:eastAsia="Times New Roman" w:cs="Times New Roman"/>
                <w:sz w:val="20"/>
                <w:szCs w:val="20"/>
                <w:spacing w:val="1"/>
              </w:rPr>
              <w:t>1</w:t>
            </w:r>
            <w:r>
              <w:rPr>
                <w:sz w:val="20"/>
                <w:szCs w:val="20"/>
                <w:spacing w:val="1"/>
              </w:rPr>
              <w:t>座，</w:t>
            </w:r>
            <w:r>
              <w:rPr>
                <w:sz w:val="20"/>
                <w:szCs w:val="20"/>
                <w:spacing w:val="-33"/>
              </w:rPr>
              <w:t xml:space="preserve"> </w:t>
            </w:r>
            <w:r>
              <w:rPr>
                <w:sz w:val="20"/>
                <w:szCs w:val="20"/>
                <w:spacing w:val="1"/>
              </w:rPr>
              <w:t>占地面积</w:t>
            </w:r>
            <w:r>
              <w:rPr>
                <w:rFonts w:ascii="Times New Roman" w:hAnsi="Times New Roman" w:eastAsia="Times New Roman" w:cs="Times New Roman"/>
                <w:sz w:val="20"/>
                <w:szCs w:val="20"/>
                <w:spacing w:val="1"/>
              </w:rPr>
              <w:t>200</w:t>
            </w:r>
            <w:r>
              <w:rPr>
                <w:sz w:val="20"/>
                <w:szCs w:val="20"/>
                <w:spacing w:val="1"/>
              </w:rPr>
              <w:t>㎡</w:t>
            </w:r>
            <w:r>
              <w:rPr>
                <w:sz w:val="20"/>
                <w:szCs w:val="20"/>
                <w:spacing w:val="-54"/>
              </w:rPr>
              <w:t xml:space="preserve"> </w:t>
            </w:r>
            <w:r>
              <w:rPr>
                <w:sz w:val="20"/>
                <w:szCs w:val="20"/>
                <w:spacing w:val="1"/>
              </w:rPr>
              <w:t>。位于厂区东侧。</w:t>
            </w:r>
          </w:p>
        </w:tc>
        <w:tc>
          <w:tcPr>
            <w:tcW w:w="687" w:type="dxa"/>
            <w:vAlign w:val="top"/>
          </w:tcPr>
          <w:p>
            <w:pPr>
              <w:pStyle w:val="TableText"/>
              <w:ind w:left="106"/>
              <w:spacing w:before="79" w:line="217" w:lineRule="auto"/>
              <w:rPr>
                <w:sz w:val="20"/>
                <w:szCs w:val="20"/>
              </w:rPr>
            </w:pPr>
            <w:r>
              <w:rPr>
                <w:sz w:val="20"/>
                <w:szCs w:val="20"/>
                <w:spacing w:val="-7"/>
              </w:rPr>
              <w:t>已建</w:t>
            </w:r>
          </w:p>
        </w:tc>
      </w:tr>
      <w:tr>
        <w:trPr>
          <w:trHeight w:val="325" w:hRule="atLeast"/>
        </w:trPr>
        <w:tc>
          <w:tcPr>
            <w:tcW w:w="459" w:type="dxa"/>
            <w:vAlign w:val="top"/>
            <w:vMerge w:val="continue"/>
            <w:textDirection w:val="tbRlV"/>
            <w:tcBorders>
              <w:top w:val="nil"/>
              <w:bottom w:val="nil"/>
            </w:tcBorders>
          </w:tcPr>
          <w:p>
            <w:pPr>
              <w:rPr>
                <w:rFonts w:ascii="Arial"/>
                <w:sz w:val="21"/>
              </w:rPr>
            </w:pPr>
            <w:r/>
          </w:p>
        </w:tc>
        <w:tc>
          <w:tcPr>
            <w:tcW w:w="750" w:type="dxa"/>
            <w:vAlign w:val="top"/>
            <w:vMerge w:val="continue"/>
            <w:tcBorders>
              <w:top w:val="nil"/>
              <w:bottom w:val="nil"/>
            </w:tcBorders>
          </w:tcPr>
          <w:p>
            <w:pPr>
              <w:rPr>
                <w:rFonts w:ascii="Arial"/>
                <w:sz w:val="21"/>
              </w:rPr>
            </w:pPr>
            <w:r/>
          </w:p>
        </w:tc>
        <w:tc>
          <w:tcPr>
            <w:tcW w:w="1185" w:type="dxa"/>
            <w:vAlign w:val="top"/>
          </w:tcPr>
          <w:p>
            <w:pPr>
              <w:pStyle w:val="TableText"/>
              <w:ind w:left="176"/>
              <w:spacing w:before="81" w:line="216" w:lineRule="auto"/>
              <w:rPr>
                <w:sz w:val="20"/>
                <w:szCs w:val="20"/>
              </w:rPr>
            </w:pPr>
            <w:r>
              <w:rPr>
                <w:sz w:val="20"/>
                <w:szCs w:val="20"/>
                <w:spacing w:val="7"/>
              </w:rPr>
              <w:t>产品堆场</w:t>
            </w:r>
          </w:p>
        </w:tc>
        <w:tc>
          <w:tcPr>
            <w:tcW w:w="5445" w:type="dxa"/>
            <w:vAlign w:val="top"/>
          </w:tcPr>
          <w:p>
            <w:pPr>
              <w:pStyle w:val="TableText"/>
              <w:ind w:left="119"/>
              <w:spacing w:before="81" w:line="216" w:lineRule="auto"/>
              <w:rPr>
                <w:sz w:val="20"/>
                <w:szCs w:val="20"/>
              </w:rPr>
            </w:pPr>
            <w:r>
              <w:rPr>
                <w:rFonts w:ascii="Times New Roman" w:hAnsi="Times New Roman" w:eastAsia="Times New Roman" w:cs="Times New Roman"/>
                <w:sz w:val="20"/>
                <w:szCs w:val="20"/>
                <w:spacing w:val="4"/>
              </w:rPr>
              <w:t>1</w:t>
            </w:r>
            <w:r>
              <w:rPr>
                <w:sz w:val="20"/>
                <w:szCs w:val="20"/>
                <w:spacing w:val="4"/>
              </w:rPr>
              <w:t>座，</w:t>
            </w:r>
            <w:r>
              <w:rPr>
                <w:sz w:val="20"/>
                <w:szCs w:val="20"/>
                <w:spacing w:val="-42"/>
              </w:rPr>
              <w:t xml:space="preserve"> </w:t>
            </w:r>
            <w:r>
              <w:rPr>
                <w:sz w:val="20"/>
                <w:szCs w:val="20"/>
                <w:spacing w:val="4"/>
              </w:rPr>
              <w:t>占地面积</w:t>
            </w:r>
            <w:r>
              <w:rPr>
                <w:rFonts w:ascii="Times New Roman" w:hAnsi="Times New Roman" w:eastAsia="Times New Roman" w:cs="Times New Roman"/>
                <w:sz w:val="20"/>
                <w:szCs w:val="20"/>
                <w:spacing w:val="4"/>
              </w:rPr>
              <w:t>500</w:t>
            </w:r>
            <w:r>
              <w:rPr>
                <w:sz w:val="20"/>
                <w:szCs w:val="20"/>
                <w:spacing w:val="4"/>
              </w:rPr>
              <w:t>㎡</w:t>
            </w:r>
            <w:r>
              <w:rPr>
                <w:sz w:val="20"/>
                <w:szCs w:val="20"/>
                <w:spacing w:val="-54"/>
              </w:rPr>
              <w:t xml:space="preserve"> </w:t>
            </w:r>
            <w:r>
              <w:rPr>
                <w:sz w:val="20"/>
                <w:szCs w:val="20"/>
                <w:spacing w:val="4"/>
              </w:rPr>
              <w:t>。位于厂区北侧，办公生活区西侧。</w:t>
            </w:r>
          </w:p>
        </w:tc>
        <w:tc>
          <w:tcPr>
            <w:tcW w:w="687" w:type="dxa"/>
            <w:vAlign w:val="top"/>
          </w:tcPr>
          <w:p>
            <w:pPr>
              <w:pStyle w:val="TableText"/>
              <w:ind w:left="106"/>
              <w:spacing w:before="81" w:line="216" w:lineRule="auto"/>
              <w:rPr>
                <w:sz w:val="20"/>
                <w:szCs w:val="20"/>
              </w:rPr>
            </w:pPr>
            <w:r>
              <w:rPr>
                <w:sz w:val="20"/>
                <w:szCs w:val="20"/>
                <w:spacing w:val="-7"/>
              </w:rPr>
              <w:t>已建</w:t>
            </w:r>
          </w:p>
        </w:tc>
      </w:tr>
      <w:tr>
        <w:trPr>
          <w:trHeight w:val="325" w:hRule="atLeast"/>
        </w:trPr>
        <w:tc>
          <w:tcPr>
            <w:tcW w:w="459" w:type="dxa"/>
            <w:vAlign w:val="top"/>
            <w:vMerge w:val="continue"/>
            <w:textDirection w:val="tbRlV"/>
            <w:tcBorders>
              <w:top w:val="nil"/>
              <w:bottom w:val="nil"/>
            </w:tcBorders>
          </w:tcPr>
          <w:p>
            <w:pPr>
              <w:rPr>
                <w:rFonts w:ascii="Arial"/>
                <w:sz w:val="21"/>
              </w:rPr>
            </w:pPr>
            <w:r/>
          </w:p>
        </w:tc>
        <w:tc>
          <w:tcPr>
            <w:tcW w:w="750" w:type="dxa"/>
            <w:vAlign w:val="top"/>
            <w:vMerge w:val="continue"/>
            <w:tcBorders>
              <w:top w:val="nil"/>
            </w:tcBorders>
          </w:tcPr>
          <w:p>
            <w:pPr>
              <w:rPr>
                <w:rFonts w:ascii="Arial"/>
                <w:sz w:val="21"/>
              </w:rPr>
            </w:pPr>
            <w:r/>
          </w:p>
        </w:tc>
        <w:tc>
          <w:tcPr>
            <w:tcW w:w="1185" w:type="dxa"/>
            <w:vAlign w:val="top"/>
          </w:tcPr>
          <w:p>
            <w:pPr>
              <w:pStyle w:val="TableText"/>
              <w:ind w:left="75"/>
              <w:spacing w:before="79" w:line="217" w:lineRule="auto"/>
              <w:rPr>
                <w:sz w:val="20"/>
                <w:szCs w:val="20"/>
              </w:rPr>
            </w:pPr>
            <w:r>
              <w:rPr>
                <w:sz w:val="20"/>
                <w:szCs w:val="20"/>
                <w:spacing w:val="7"/>
              </w:rPr>
              <w:t>办公生活区</w:t>
            </w:r>
          </w:p>
        </w:tc>
        <w:tc>
          <w:tcPr>
            <w:tcW w:w="5445" w:type="dxa"/>
            <w:vAlign w:val="top"/>
          </w:tcPr>
          <w:p>
            <w:pPr>
              <w:pStyle w:val="TableText"/>
              <w:ind w:left="1312"/>
              <w:spacing w:before="79" w:line="217" w:lineRule="auto"/>
              <w:rPr>
                <w:sz w:val="20"/>
                <w:szCs w:val="20"/>
              </w:rPr>
            </w:pPr>
            <w:r>
              <w:rPr>
                <w:sz w:val="20"/>
                <w:szCs w:val="20"/>
                <w:spacing w:val="8"/>
              </w:rPr>
              <w:t>建设综合办公区、宿舍区</w:t>
            </w:r>
            <w:r>
              <w:rPr>
                <w:rFonts w:ascii="Times New Roman" w:hAnsi="Times New Roman" w:eastAsia="Times New Roman" w:cs="Times New Roman"/>
                <w:sz w:val="20"/>
                <w:szCs w:val="20"/>
                <w:spacing w:val="8"/>
              </w:rPr>
              <w:t>1</w:t>
            </w:r>
            <w:r>
              <w:rPr>
                <w:sz w:val="20"/>
                <w:szCs w:val="20"/>
                <w:spacing w:val="8"/>
              </w:rPr>
              <w:t>座。</w:t>
            </w:r>
          </w:p>
        </w:tc>
        <w:tc>
          <w:tcPr>
            <w:tcW w:w="687" w:type="dxa"/>
            <w:vAlign w:val="top"/>
          </w:tcPr>
          <w:p>
            <w:pPr>
              <w:pStyle w:val="TableText"/>
              <w:ind w:left="106"/>
              <w:spacing w:before="79" w:line="217" w:lineRule="auto"/>
              <w:rPr>
                <w:sz w:val="20"/>
                <w:szCs w:val="20"/>
              </w:rPr>
            </w:pPr>
            <w:r>
              <w:rPr>
                <w:sz w:val="20"/>
                <w:szCs w:val="20"/>
                <w:spacing w:val="-7"/>
              </w:rPr>
              <w:t>已建</w:t>
            </w:r>
          </w:p>
        </w:tc>
      </w:tr>
      <w:tr>
        <w:trPr>
          <w:trHeight w:val="325" w:hRule="atLeast"/>
        </w:trPr>
        <w:tc>
          <w:tcPr>
            <w:tcW w:w="459" w:type="dxa"/>
            <w:vAlign w:val="top"/>
            <w:vMerge w:val="continue"/>
            <w:textDirection w:val="tbRlV"/>
            <w:tcBorders>
              <w:top w:val="nil"/>
              <w:bottom w:val="nil"/>
            </w:tcBorders>
          </w:tcPr>
          <w:p>
            <w:pPr>
              <w:rPr>
                <w:rFonts w:ascii="Arial"/>
                <w:sz w:val="21"/>
              </w:rPr>
            </w:pPr>
            <w:r/>
          </w:p>
        </w:tc>
        <w:tc>
          <w:tcPr>
            <w:tcW w:w="750" w:type="dxa"/>
            <w:vAlign w:val="top"/>
            <w:vMerge w:val="restart"/>
            <w:tcBorders>
              <w:bottom w:val="nil"/>
            </w:tcBorders>
          </w:tcPr>
          <w:p>
            <w:pPr>
              <w:spacing w:line="255" w:lineRule="auto"/>
              <w:rPr>
                <w:rFonts w:ascii="Arial"/>
                <w:sz w:val="21"/>
              </w:rPr>
            </w:pPr>
            <w:r/>
          </w:p>
          <w:p>
            <w:pPr>
              <w:spacing w:line="255" w:lineRule="auto"/>
              <w:rPr>
                <w:rFonts w:ascii="Arial"/>
                <w:sz w:val="21"/>
              </w:rPr>
            </w:pPr>
            <w:r/>
          </w:p>
          <w:p>
            <w:pPr>
              <w:pStyle w:val="TableText"/>
              <w:ind w:left="225" w:right="112" w:firstLine="3"/>
              <w:spacing w:before="65" w:line="261" w:lineRule="auto"/>
              <w:rPr>
                <w:sz w:val="20"/>
                <w:szCs w:val="20"/>
              </w:rPr>
            </w:pPr>
            <w:r>
              <w:rPr>
                <w:sz w:val="20"/>
                <w:szCs w:val="20"/>
                <w:spacing w:val="1"/>
              </w:rPr>
              <w:t>公用</w:t>
            </w:r>
            <w:r>
              <w:rPr>
                <w:sz w:val="20"/>
                <w:szCs w:val="20"/>
              </w:rPr>
              <w:t xml:space="preserve"> </w:t>
            </w:r>
            <w:r>
              <w:rPr>
                <w:sz w:val="20"/>
                <w:szCs w:val="20"/>
                <w:spacing w:val="3"/>
              </w:rPr>
              <w:t>工程</w:t>
            </w:r>
          </w:p>
        </w:tc>
        <w:tc>
          <w:tcPr>
            <w:tcW w:w="1185" w:type="dxa"/>
            <w:vAlign w:val="top"/>
          </w:tcPr>
          <w:p>
            <w:pPr>
              <w:pStyle w:val="TableText"/>
              <w:ind w:left="387"/>
              <w:spacing w:before="81" w:line="216" w:lineRule="auto"/>
              <w:rPr>
                <w:sz w:val="20"/>
                <w:szCs w:val="20"/>
              </w:rPr>
            </w:pPr>
            <w:r>
              <w:rPr>
                <w:sz w:val="20"/>
                <w:szCs w:val="20"/>
                <w:spacing w:val="4"/>
              </w:rPr>
              <w:t>供热</w:t>
            </w:r>
          </w:p>
        </w:tc>
        <w:tc>
          <w:tcPr>
            <w:tcW w:w="5445" w:type="dxa"/>
            <w:vAlign w:val="top"/>
          </w:tcPr>
          <w:p>
            <w:pPr>
              <w:pStyle w:val="TableText"/>
              <w:ind w:left="630"/>
              <w:spacing w:before="81" w:line="216" w:lineRule="auto"/>
              <w:rPr>
                <w:sz w:val="20"/>
                <w:szCs w:val="20"/>
              </w:rPr>
            </w:pPr>
            <w:r>
              <w:rPr>
                <w:sz w:val="20"/>
                <w:szCs w:val="20"/>
                <w:spacing w:val="8"/>
              </w:rPr>
              <w:t>生产用热、办公及生活取暖采用电加热设备。</w:t>
            </w:r>
          </w:p>
        </w:tc>
        <w:tc>
          <w:tcPr>
            <w:tcW w:w="687" w:type="dxa"/>
            <w:vAlign w:val="top"/>
          </w:tcPr>
          <w:p>
            <w:pPr>
              <w:pStyle w:val="TableText"/>
              <w:ind w:left="106"/>
              <w:spacing w:before="81" w:line="216" w:lineRule="auto"/>
              <w:rPr>
                <w:sz w:val="20"/>
                <w:szCs w:val="20"/>
              </w:rPr>
            </w:pPr>
            <w:r>
              <w:rPr>
                <w:sz w:val="20"/>
                <w:szCs w:val="20"/>
                <w:spacing w:val="-7"/>
              </w:rPr>
              <w:t>已建</w:t>
            </w:r>
          </w:p>
        </w:tc>
      </w:tr>
      <w:tr>
        <w:trPr>
          <w:trHeight w:val="325" w:hRule="atLeast"/>
        </w:trPr>
        <w:tc>
          <w:tcPr>
            <w:tcW w:w="459" w:type="dxa"/>
            <w:vAlign w:val="top"/>
            <w:vMerge w:val="continue"/>
            <w:textDirection w:val="tbRlV"/>
            <w:tcBorders>
              <w:top w:val="nil"/>
              <w:bottom w:val="nil"/>
            </w:tcBorders>
          </w:tcPr>
          <w:p>
            <w:pPr>
              <w:rPr>
                <w:rFonts w:ascii="Arial"/>
                <w:sz w:val="21"/>
              </w:rPr>
            </w:pPr>
            <w:r/>
          </w:p>
        </w:tc>
        <w:tc>
          <w:tcPr>
            <w:tcW w:w="750" w:type="dxa"/>
            <w:vAlign w:val="top"/>
            <w:vMerge w:val="continue"/>
            <w:tcBorders>
              <w:top w:val="nil"/>
              <w:bottom w:val="nil"/>
            </w:tcBorders>
          </w:tcPr>
          <w:p>
            <w:pPr>
              <w:rPr>
                <w:rFonts w:ascii="Arial"/>
                <w:sz w:val="21"/>
              </w:rPr>
            </w:pPr>
            <w:r/>
          </w:p>
        </w:tc>
        <w:tc>
          <w:tcPr>
            <w:tcW w:w="1185" w:type="dxa"/>
            <w:vAlign w:val="top"/>
          </w:tcPr>
          <w:p>
            <w:pPr>
              <w:pStyle w:val="TableText"/>
              <w:ind w:left="387"/>
              <w:spacing w:before="79" w:line="217" w:lineRule="auto"/>
              <w:rPr>
                <w:sz w:val="20"/>
                <w:szCs w:val="20"/>
              </w:rPr>
            </w:pPr>
            <w:r>
              <w:rPr>
                <w:sz w:val="20"/>
                <w:szCs w:val="20"/>
                <w:spacing w:val="4"/>
              </w:rPr>
              <w:t>供电</w:t>
            </w:r>
          </w:p>
        </w:tc>
        <w:tc>
          <w:tcPr>
            <w:tcW w:w="5445" w:type="dxa"/>
            <w:vAlign w:val="top"/>
          </w:tcPr>
          <w:p>
            <w:pPr>
              <w:pStyle w:val="TableText"/>
              <w:ind w:left="1704"/>
              <w:spacing w:before="79" w:line="217" w:lineRule="auto"/>
              <w:rPr>
                <w:sz w:val="20"/>
                <w:szCs w:val="20"/>
              </w:rPr>
            </w:pPr>
            <w:r>
              <w:rPr>
                <w:sz w:val="20"/>
                <w:szCs w:val="20"/>
                <w:spacing w:val="5"/>
              </w:rPr>
              <w:t>由市政供电系统供应。</w:t>
            </w:r>
          </w:p>
        </w:tc>
        <w:tc>
          <w:tcPr>
            <w:tcW w:w="687" w:type="dxa"/>
            <w:vAlign w:val="top"/>
          </w:tcPr>
          <w:p>
            <w:pPr>
              <w:pStyle w:val="TableText"/>
              <w:ind w:left="106"/>
              <w:spacing w:before="79" w:line="217" w:lineRule="auto"/>
              <w:rPr>
                <w:sz w:val="20"/>
                <w:szCs w:val="20"/>
              </w:rPr>
            </w:pPr>
            <w:r>
              <w:rPr>
                <w:sz w:val="20"/>
                <w:szCs w:val="20"/>
                <w:spacing w:val="-7"/>
              </w:rPr>
              <w:t>已建</w:t>
            </w:r>
          </w:p>
        </w:tc>
      </w:tr>
      <w:tr>
        <w:trPr>
          <w:trHeight w:val="325" w:hRule="atLeast"/>
        </w:trPr>
        <w:tc>
          <w:tcPr>
            <w:tcW w:w="459" w:type="dxa"/>
            <w:vAlign w:val="top"/>
            <w:vMerge w:val="continue"/>
            <w:textDirection w:val="tbRlV"/>
            <w:tcBorders>
              <w:top w:val="nil"/>
              <w:bottom w:val="nil"/>
            </w:tcBorders>
          </w:tcPr>
          <w:p>
            <w:pPr>
              <w:rPr>
                <w:rFonts w:ascii="Arial"/>
                <w:sz w:val="21"/>
              </w:rPr>
            </w:pPr>
            <w:r/>
          </w:p>
        </w:tc>
        <w:tc>
          <w:tcPr>
            <w:tcW w:w="750" w:type="dxa"/>
            <w:vAlign w:val="top"/>
            <w:vMerge w:val="continue"/>
            <w:tcBorders>
              <w:top w:val="nil"/>
              <w:bottom w:val="nil"/>
            </w:tcBorders>
          </w:tcPr>
          <w:p>
            <w:pPr>
              <w:rPr>
                <w:rFonts w:ascii="Arial"/>
                <w:sz w:val="21"/>
              </w:rPr>
            </w:pPr>
            <w:r/>
          </w:p>
        </w:tc>
        <w:tc>
          <w:tcPr>
            <w:tcW w:w="1185" w:type="dxa"/>
            <w:vAlign w:val="top"/>
          </w:tcPr>
          <w:p>
            <w:pPr>
              <w:pStyle w:val="TableText"/>
              <w:ind w:left="387"/>
              <w:spacing w:before="81" w:line="216" w:lineRule="auto"/>
              <w:rPr>
                <w:sz w:val="20"/>
                <w:szCs w:val="20"/>
              </w:rPr>
            </w:pPr>
            <w:r>
              <w:rPr>
                <w:sz w:val="20"/>
                <w:szCs w:val="20"/>
                <w:spacing w:val="4"/>
              </w:rPr>
              <w:t>供水</w:t>
            </w:r>
          </w:p>
        </w:tc>
        <w:tc>
          <w:tcPr>
            <w:tcW w:w="5445" w:type="dxa"/>
            <w:vAlign w:val="top"/>
          </w:tcPr>
          <w:p>
            <w:pPr>
              <w:pStyle w:val="TableText"/>
              <w:ind w:left="1788"/>
              <w:spacing w:before="81" w:line="216" w:lineRule="auto"/>
              <w:rPr>
                <w:sz w:val="20"/>
                <w:szCs w:val="20"/>
              </w:rPr>
            </w:pPr>
            <w:r>
              <w:rPr>
                <w:sz w:val="20"/>
                <w:szCs w:val="20"/>
                <w:spacing w:val="7"/>
              </w:rPr>
              <w:t>市政供水水井供应。</w:t>
            </w:r>
          </w:p>
        </w:tc>
        <w:tc>
          <w:tcPr>
            <w:tcW w:w="687" w:type="dxa"/>
            <w:vAlign w:val="top"/>
          </w:tcPr>
          <w:p>
            <w:pPr>
              <w:pStyle w:val="TableText"/>
              <w:ind w:left="106"/>
              <w:spacing w:before="81" w:line="216" w:lineRule="auto"/>
              <w:rPr>
                <w:sz w:val="20"/>
                <w:szCs w:val="20"/>
              </w:rPr>
            </w:pPr>
            <w:r>
              <w:rPr>
                <w:sz w:val="20"/>
                <w:szCs w:val="20"/>
                <w:spacing w:val="-7"/>
              </w:rPr>
              <w:t>已建</w:t>
            </w:r>
          </w:p>
        </w:tc>
      </w:tr>
      <w:tr>
        <w:trPr>
          <w:trHeight w:val="648" w:hRule="atLeast"/>
        </w:trPr>
        <w:tc>
          <w:tcPr>
            <w:tcW w:w="459" w:type="dxa"/>
            <w:vAlign w:val="top"/>
            <w:vMerge w:val="continue"/>
            <w:textDirection w:val="tbRlV"/>
            <w:tcBorders>
              <w:top w:val="nil"/>
              <w:bottom w:val="nil"/>
            </w:tcBorders>
          </w:tcPr>
          <w:p>
            <w:pPr>
              <w:rPr>
                <w:rFonts w:ascii="Arial"/>
                <w:sz w:val="21"/>
              </w:rPr>
            </w:pPr>
            <w:r/>
          </w:p>
        </w:tc>
        <w:tc>
          <w:tcPr>
            <w:tcW w:w="750" w:type="dxa"/>
            <w:vAlign w:val="top"/>
            <w:vMerge w:val="continue"/>
            <w:tcBorders>
              <w:top w:val="nil"/>
            </w:tcBorders>
          </w:tcPr>
          <w:p>
            <w:pPr>
              <w:rPr>
                <w:rFonts w:ascii="Arial"/>
                <w:sz w:val="21"/>
              </w:rPr>
            </w:pPr>
            <w:r/>
          </w:p>
        </w:tc>
        <w:tc>
          <w:tcPr>
            <w:tcW w:w="1185" w:type="dxa"/>
            <w:vAlign w:val="top"/>
          </w:tcPr>
          <w:p>
            <w:pPr>
              <w:pStyle w:val="TableText"/>
              <w:ind w:left="387"/>
              <w:spacing w:before="242" w:line="228" w:lineRule="auto"/>
              <w:rPr>
                <w:sz w:val="20"/>
                <w:szCs w:val="20"/>
              </w:rPr>
            </w:pPr>
            <w:r>
              <w:rPr>
                <w:sz w:val="20"/>
                <w:szCs w:val="20"/>
                <w:spacing w:val="4"/>
              </w:rPr>
              <w:t>排水</w:t>
            </w:r>
          </w:p>
        </w:tc>
        <w:tc>
          <w:tcPr>
            <w:tcW w:w="5445" w:type="dxa"/>
            <w:vAlign w:val="top"/>
          </w:tcPr>
          <w:p>
            <w:pPr>
              <w:pStyle w:val="TableText"/>
              <w:ind w:left="2102" w:right="96" w:hanging="1997"/>
              <w:spacing w:before="81" w:line="257" w:lineRule="auto"/>
              <w:rPr>
                <w:sz w:val="20"/>
                <w:szCs w:val="20"/>
              </w:rPr>
            </w:pPr>
            <w:r>
              <w:rPr>
                <w:sz w:val="20"/>
                <w:szCs w:val="20"/>
                <w:spacing w:val="9"/>
              </w:rPr>
              <w:t>建设地埋式一体化污水处理设施，生活污水经处理后用于</w:t>
            </w:r>
            <w:r>
              <w:rPr>
                <w:sz w:val="20"/>
                <w:szCs w:val="20"/>
                <w:spacing w:val="12"/>
              </w:rPr>
              <w:t xml:space="preserve"> </w:t>
            </w:r>
            <w:r>
              <w:rPr>
                <w:sz w:val="20"/>
                <w:szCs w:val="20"/>
                <w:spacing w:val="6"/>
              </w:rPr>
              <w:t>项目区绿化。</w:t>
            </w:r>
          </w:p>
        </w:tc>
        <w:tc>
          <w:tcPr>
            <w:tcW w:w="687" w:type="dxa"/>
            <w:vAlign w:val="top"/>
          </w:tcPr>
          <w:p>
            <w:pPr>
              <w:pStyle w:val="TableText"/>
              <w:ind w:left="106"/>
              <w:spacing w:before="242" w:line="229" w:lineRule="auto"/>
              <w:rPr>
                <w:sz w:val="20"/>
                <w:szCs w:val="20"/>
              </w:rPr>
            </w:pPr>
            <w:r>
              <w:rPr>
                <w:sz w:val="20"/>
                <w:szCs w:val="20"/>
                <w:spacing w:val="-7"/>
              </w:rPr>
              <w:t>已建</w:t>
            </w:r>
          </w:p>
        </w:tc>
      </w:tr>
      <w:tr>
        <w:trPr>
          <w:trHeight w:val="337" w:hRule="atLeast"/>
        </w:trPr>
        <w:tc>
          <w:tcPr>
            <w:tcW w:w="459" w:type="dxa"/>
            <w:vAlign w:val="top"/>
            <w:vMerge w:val="continue"/>
            <w:textDirection w:val="tbRlV"/>
            <w:tcBorders>
              <w:top w:val="nil"/>
            </w:tcBorders>
          </w:tcPr>
          <w:p>
            <w:pPr>
              <w:rPr>
                <w:rFonts w:ascii="Arial"/>
                <w:sz w:val="21"/>
              </w:rPr>
            </w:pPr>
            <w:r/>
          </w:p>
        </w:tc>
        <w:tc>
          <w:tcPr>
            <w:tcW w:w="750" w:type="dxa"/>
            <w:vAlign w:val="top"/>
          </w:tcPr>
          <w:p>
            <w:pPr>
              <w:pStyle w:val="TableText"/>
              <w:ind w:left="223"/>
              <w:spacing w:before="82" w:line="226" w:lineRule="auto"/>
              <w:rPr>
                <w:sz w:val="20"/>
                <w:szCs w:val="20"/>
              </w:rPr>
            </w:pPr>
            <w:r>
              <w:rPr>
                <w:sz w:val="20"/>
                <w:szCs w:val="20"/>
                <w:spacing w:val="4"/>
              </w:rPr>
              <w:t>环保</w:t>
            </w:r>
          </w:p>
        </w:tc>
        <w:tc>
          <w:tcPr>
            <w:tcW w:w="1185" w:type="dxa"/>
            <w:vAlign w:val="top"/>
          </w:tcPr>
          <w:p>
            <w:pPr>
              <w:pStyle w:val="TableText"/>
              <w:ind w:left="386"/>
              <w:spacing w:before="82" w:line="226" w:lineRule="auto"/>
              <w:rPr>
                <w:sz w:val="20"/>
                <w:szCs w:val="20"/>
              </w:rPr>
            </w:pPr>
            <w:r>
              <w:rPr>
                <w:sz w:val="20"/>
                <w:szCs w:val="20"/>
                <w:spacing w:val="5"/>
              </w:rPr>
              <w:t>废气</w:t>
            </w:r>
          </w:p>
        </w:tc>
        <w:tc>
          <w:tcPr>
            <w:tcW w:w="5445" w:type="dxa"/>
            <w:vAlign w:val="top"/>
          </w:tcPr>
          <w:p>
            <w:pPr>
              <w:pStyle w:val="TableText"/>
              <w:ind w:left="61"/>
              <w:spacing w:before="82" w:line="226" w:lineRule="auto"/>
              <w:rPr>
                <w:sz w:val="20"/>
                <w:szCs w:val="20"/>
              </w:rPr>
            </w:pPr>
            <w:r>
              <w:rPr>
                <w:sz w:val="20"/>
                <w:szCs w:val="20"/>
                <w:spacing w:val="10"/>
              </w:rPr>
              <w:t>造粒工段：挥发性有机废气经集气罩收集后</w:t>
            </w:r>
            <w:r>
              <w:rPr>
                <w:sz w:val="20"/>
                <w:szCs w:val="20"/>
                <w:spacing w:val="9"/>
              </w:rPr>
              <w:t>，经两级</w:t>
            </w:r>
            <w:r>
              <w:rPr>
                <w:rFonts w:ascii="Times New Roman" w:hAnsi="Times New Roman" w:eastAsia="Times New Roman" w:cs="Times New Roman"/>
                <w:sz w:val="20"/>
                <w:szCs w:val="20"/>
              </w:rPr>
              <w:t>UV</w:t>
            </w:r>
            <w:r>
              <w:rPr>
                <w:sz w:val="20"/>
                <w:szCs w:val="20"/>
                <w:spacing w:val="9"/>
              </w:rPr>
              <w:t>光</w:t>
            </w:r>
          </w:p>
        </w:tc>
        <w:tc>
          <w:tcPr>
            <w:tcW w:w="687" w:type="dxa"/>
            <w:vAlign w:val="top"/>
          </w:tcPr>
          <w:p>
            <w:pPr>
              <w:pStyle w:val="TableText"/>
              <w:ind w:left="106"/>
              <w:spacing w:before="82" w:line="226" w:lineRule="auto"/>
              <w:rPr>
                <w:sz w:val="20"/>
                <w:szCs w:val="20"/>
              </w:rPr>
            </w:pPr>
            <w:r>
              <w:rPr>
                <w:sz w:val="20"/>
                <w:szCs w:val="20"/>
                <w:spacing w:val="-7"/>
              </w:rPr>
              <w:t>已建</w:t>
            </w:r>
          </w:p>
        </w:tc>
      </w:tr>
    </w:tbl>
    <w:p>
      <w:pPr>
        <w:pStyle w:val="BodyText"/>
        <w:rPr/>
      </w:pPr>
      <w:r/>
    </w:p>
    <w:p>
      <w:pPr>
        <w:sectPr>
          <w:footerReference w:type="default" r:id="rId170"/>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59"/>
        <w:gridCol w:w="8067"/>
      </w:tblGrid>
      <w:tr>
        <w:trPr>
          <w:trHeight w:val="13767" w:hRule="atLeast"/>
        </w:trPr>
        <w:tc>
          <w:tcPr>
            <w:tcW w:w="459" w:type="dxa"/>
            <w:vAlign w:val="top"/>
          </w:tcPr>
          <w:p>
            <w:pPr>
              <w:rPr>
                <w:rFonts w:ascii="Arial"/>
                <w:sz w:val="21"/>
              </w:rPr>
            </w:pPr>
            <w:r/>
          </w:p>
        </w:tc>
        <w:tc>
          <w:tcPr>
            <w:tcW w:w="8067" w:type="dxa"/>
            <w:vAlign w:val="top"/>
          </w:tcPr>
          <w:p>
            <w:pPr>
              <w:spacing w:before="18"/>
              <w:rPr/>
            </w:pPr>
            <w:r>
              <w:pict>
                <v:shape id="_x0000_s90" style="position:absolute;margin-left:-392.807pt;margin-top:3.62341pt;mso-position-vertical-relative:top-margin-area;mso-position-horizontal-relative:right-margin-area;width:356.8pt;height:62.35pt;z-index:253443072;" filled="false" stroked="false" type="#_x0000_t202">
                  <v:fill on="false"/>
                  <v:stroke on="false"/>
                  <v:path/>
                  <v:imagedata o:title=""/>
                  <o:lock v:ext="edit" aspectratio="false"/>
                  <v:textbox inset="0mm,0mm,0mm,0mm">
                    <w:txbxContent>
                      <w:p>
                        <w:pPr>
                          <w:pStyle w:val="TableText"/>
                          <w:ind w:left="20"/>
                          <w:spacing w:before="19" w:line="227" w:lineRule="auto"/>
                          <w:rPr>
                            <w:sz w:val="20"/>
                            <w:szCs w:val="20"/>
                          </w:rPr>
                        </w:pPr>
                        <w:r>
                          <w:rPr>
                            <w:sz w:val="20"/>
                            <w:szCs w:val="20"/>
                            <w:spacing w:val="7"/>
                          </w:rPr>
                          <w:t>工程                   氧净化处理后通过</w:t>
                        </w:r>
                        <w:r>
                          <w:rPr>
                            <w:rFonts w:ascii="Times New Roman" w:hAnsi="Times New Roman" w:eastAsia="Times New Roman" w:cs="Times New Roman"/>
                            <w:sz w:val="20"/>
                            <w:szCs w:val="20"/>
                            <w:spacing w:val="7"/>
                          </w:rPr>
                          <w:t>1</w:t>
                        </w:r>
                        <w:r>
                          <w:rPr>
                            <w:sz w:val="20"/>
                            <w:szCs w:val="20"/>
                            <w:spacing w:val="7"/>
                          </w:rPr>
                          <w:t>根</w:t>
                        </w:r>
                        <w:r>
                          <w:rPr>
                            <w:rFonts w:ascii="Times New Roman" w:hAnsi="Times New Roman" w:eastAsia="Times New Roman" w:cs="Times New Roman"/>
                            <w:sz w:val="20"/>
                            <w:szCs w:val="20"/>
                            <w:spacing w:val="7"/>
                          </w:rPr>
                          <w:t>15m</w:t>
                        </w:r>
                        <w:r>
                          <w:rPr>
                            <w:sz w:val="20"/>
                            <w:szCs w:val="20"/>
                            <w:spacing w:val="7"/>
                          </w:rPr>
                          <w:t>高</w:t>
                        </w:r>
                        <w:r>
                          <w:rPr>
                            <w:sz w:val="20"/>
                            <w:szCs w:val="20"/>
                            <w:spacing w:val="6"/>
                          </w:rPr>
                          <w:t>的排气筒排放；</w:t>
                        </w:r>
                      </w:p>
                      <w:p>
                        <w:pPr>
                          <w:pStyle w:val="TableText"/>
                          <w:ind w:left="1833"/>
                          <w:spacing w:before="73" w:line="227" w:lineRule="auto"/>
                          <w:rPr>
                            <w:sz w:val="20"/>
                            <w:szCs w:val="20"/>
                          </w:rPr>
                        </w:pPr>
                        <w:r>
                          <w:rPr>
                            <w:sz w:val="20"/>
                            <w:szCs w:val="20"/>
                            <w:spacing w:val="9"/>
                          </w:rPr>
                          <w:t>滴灌带、水带生产工段：挥发性有机物经集气罩收集后，</w:t>
                        </w:r>
                      </w:p>
                      <w:p>
                        <w:pPr>
                          <w:pStyle w:val="TableText"/>
                          <w:ind w:left="3196" w:right="20" w:hanging="1404"/>
                          <w:spacing w:before="73" w:line="262" w:lineRule="auto"/>
                          <w:rPr>
                            <w:sz w:val="20"/>
                            <w:szCs w:val="20"/>
                          </w:rPr>
                        </w:pPr>
                        <w:r>
                          <w:rPr>
                            <w:sz w:val="20"/>
                            <w:szCs w:val="20"/>
                            <w:spacing w:val="7"/>
                          </w:rPr>
                          <w:t>经两级</w:t>
                        </w:r>
                        <w:r>
                          <w:rPr>
                            <w:rFonts w:ascii="Times New Roman" w:hAnsi="Times New Roman" w:eastAsia="Times New Roman" w:cs="Times New Roman"/>
                            <w:sz w:val="20"/>
                            <w:szCs w:val="20"/>
                          </w:rPr>
                          <w:t>UV</w:t>
                        </w:r>
                        <w:r>
                          <w:rPr>
                            <w:sz w:val="20"/>
                            <w:szCs w:val="20"/>
                            <w:spacing w:val="7"/>
                          </w:rPr>
                          <w:t>光氧净化处理后通过</w:t>
                        </w:r>
                        <w:r>
                          <w:rPr>
                            <w:rFonts w:ascii="Times New Roman" w:hAnsi="Times New Roman" w:eastAsia="Times New Roman" w:cs="Times New Roman"/>
                            <w:sz w:val="20"/>
                            <w:szCs w:val="20"/>
                            <w:spacing w:val="7"/>
                          </w:rPr>
                          <w:t>1</w:t>
                        </w:r>
                        <w:r>
                          <w:rPr>
                            <w:sz w:val="20"/>
                            <w:szCs w:val="20"/>
                            <w:spacing w:val="7"/>
                          </w:rPr>
                          <w:t>根</w:t>
                        </w:r>
                        <w:r>
                          <w:rPr>
                            <w:rFonts w:ascii="Times New Roman" w:hAnsi="Times New Roman" w:eastAsia="Times New Roman" w:cs="Times New Roman"/>
                            <w:sz w:val="20"/>
                            <w:szCs w:val="20"/>
                            <w:spacing w:val="7"/>
                          </w:rPr>
                          <w:t>15m</w:t>
                        </w:r>
                        <w:r>
                          <w:rPr>
                            <w:sz w:val="20"/>
                            <w:szCs w:val="20"/>
                            <w:spacing w:val="7"/>
                          </w:rPr>
                          <w:t>高的排气</w:t>
                        </w:r>
                        <w:r>
                          <w:rPr>
                            <w:sz w:val="20"/>
                            <w:szCs w:val="20"/>
                            <w:spacing w:val="6"/>
                          </w:rPr>
                          <w:t>筒排放；安</w:t>
                        </w:r>
                        <w:r>
                          <w:rPr>
                            <w:sz w:val="20"/>
                            <w:szCs w:val="20"/>
                          </w:rPr>
                          <w:t xml:space="preserve"> </w:t>
                        </w:r>
                        <w:r>
                          <w:rPr>
                            <w:sz w:val="20"/>
                            <w:szCs w:val="20"/>
                            <w:spacing w:val="8"/>
                          </w:rPr>
                          <w:t>装排风扇，加强车间通风。</w:t>
                        </w:r>
                      </w:p>
                    </w:txbxContent>
                  </v:textbox>
                </v:shape>
              </w:pict>
            </w:r>
            <w:r>
              <w:pict>
                <v:shape id="_x0000_s92" style="position:absolute;margin-left:-367.05pt;margin-top:0.690002pt;mso-position-vertical-relative:top-margin-area;mso-position-horizontal-relative:right-margin-area;width:334.2pt;height:195.6pt;z-index:253444096;" filled="false" stroked="false" type="#_x0000_t202">
                  <v:fill on="false"/>
                  <v:stroke on="false"/>
                  <v:path/>
                  <v:imagedata o:title=""/>
                  <o:lock v:ext="edit" aspectratio="false"/>
                  <v:textbox inset="0mm,0mm,0mm,0mm">
                    <w:txbxContent>
                      <w:p>
                        <w:pPr>
                          <w:spacing w:line="20" w:lineRule="exact"/>
                          <w:rPr/>
                        </w:pPr>
                        <w:r/>
                      </w:p>
                      <w:tbl>
                        <w:tblPr>
                          <w:tblStyle w:val="TableNormal"/>
                          <w:tblW w:w="6638" w:type="dxa"/>
                          <w:tblInd w:w="2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90"/>
                          <w:gridCol w:w="5448"/>
                        </w:tblGrid>
                        <w:tr>
                          <w:trPr>
                            <w:trHeight w:val="3871" w:hRule="atLeast"/>
                          </w:trPr>
                          <w:tc>
                            <w:tcPr>
                              <w:tcW w:w="1190" w:type="dxa"/>
                              <w:vAlign w:val="top"/>
                              <w:tcBorders>
                                <w:bottom w:val="nil"/>
                                <w:top w:val="nil"/>
                              </w:tcBorders>
                            </w:tcPr>
                            <w:p>
                              <w:pPr>
                                <w:rPr>
                                  <w:rFonts w:ascii="Arial"/>
                                  <w:sz w:val="21"/>
                                </w:rPr>
                              </w:pPr>
                              <w:r/>
                            </w:p>
                          </w:tc>
                          <w:tc>
                            <w:tcPr>
                              <w:tcW w:w="5448" w:type="dxa"/>
                              <w:vAlign w:val="top"/>
                              <w:tcBorders>
                                <w:bottom w:val="nil"/>
                                <w:top w:val="nil"/>
                              </w:tcBorders>
                            </w:tcPr>
                            <w:p>
                              <w:pPr>
                                <w:rPr>
                                  <w:rFonts w:ascii="Arial"/>
                                  <w:sz w:val="21"/>
                                </w:rPr>
                              </w:pPr>
                              <w:r/>
                            </w:p>
                          </w:tc>
                        </w:tr>
                      </w:tbl>
                      <w:p>
                        <w:pPr>
                          <w:rPr>
                            <w:rFonts w:ascii="Arial"/>
                            <w:sz w:val="21"/>
                          </w:rPr>
                        </w:pPr>
                        <w:r/>
                      </w:p>
                    </w:txbxContent>
                  </v:textbox>
                </v:shape>
              </w:pict>
            </w:r>
            <w:r/>
          </w:p>
          <w:p>
            <w:pPr>
              <w:spacing w:before="18"/>
              <w:rPr/>
            </w:pPr>
            <w:r/>
          </w:p>
          <w:p>
            <w:pPr>
              <w:spacing w:before="17"/>
              <w:rPr/>
            </w:pPr>
            <w:r/>
          </w:p>
          <w:p>
            <w:pPr>
              <w:spacing w:before="17"/>
              <w:rPr/>
            </w:pPr>
            <w:r/>
          </w:p>
          <w:p>
            <w:pPr>
              <w:spacing w:before="17"/>
              <w:rPr/>
            </w:pPr>
            <w:r/>
          </w:p>
          <w:tbl>
            <w:tblPr>
              <w:tblStyle w:val="TableNormal"/>
              <w:tblW w:w="7851" w:type="dxa"/>
              <w:tblInd w:w="103"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699"/>
              <w:gridCol w:w="1124"/>
              <w:gridCol w:w="5451"/>
              <w:gridCol w:w="577"/>
            </w:tblGrid>
            <w:tr>
              <w:trPr>
                <w:trHeight w:val="960" w:hRule="atLeast"/>
              </w:trPr>
              <w:tc>
                <w:tcPr>
                  <w:tcW w:w="699" w:type="dxa"/>
                  <w:vAlign w:val="top"/>
                  <w:tcBorders>
                    <w:bottom w:val="single" w:color="000000" w:sz="2" w:space="0"/>
                    <w:top w:val="single" w:color="000000" w:sz="2" w:space="0"/>
                  </w:tcBorders>
                </w:tcPr>
                <w:p>
                  <w:pPr>
                    <w:spacing w:line="376" w:lineRule="auto"/>
                    <w:rPr>
                      <w:rFonts w:ascii="Arial"/>
                      <w:sz w:val="21"/>
                    </w:rPr>
                  </w:pPr>
                  <w:r/>
                </w:p>
                <w:p>
                  <w:pPr>
                    <w:ind w:left="271"/>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24" w:type="dxa"/>
                  <w:vAlign w:val="top"/>
                  <w:tcBorders>
                    <w:bottom w:val="single" w:color="000000" w:sz="2" w:space="0"/>
                    <w:top w:val="single" w:color="000000" w:sz="2" w:space="0"/>
                  </w:tcBorders>
                </w:tcPr>
                <w:p>
                  <w:pPr>
                    <w:spacing w:line="333" w:lineRule="auto"/>
                    <w:rPr>
                      <w:rFonts w:ascii="Arial"/>
                      <w:sz w:val="21"/>
                    </w:rPr>
                  </w:pPr>
                  <w:r/>
                </w:p>
                <w:p>
                  <w:pPr>
                    <w:pStyle w:val="TableText"/>
                    <w:ind w:left="334"/>
                    <w:spacing w:before="65" w:line="228" w:lineRule="auto"/>
                    <w:rPr>
                      <w:sz w:val="20"/>
                      <w:szCs w:val="20"/>
                    </w:rPr>
                  </w:pPr>
                  <w:r>
                    <w:rPr>
                      <w:sz w:val="20"/>
                      <w:szCs w:val="20"/>
                      <w:spacing w:val="5"/>
                    </w:rPr>
                    <w:t>废水</w:t>
                  </w:r>
                </w:p>
              </w:tc>
              <w:tc>
                <w:tcPr>
                  <w:tcW w:w="5451" w:type="dxa"/>
                  <w:vAlign w:val="top"/>
                  <w:tcBorders>
                    <w:bottom w:val="single" w:color="000000" w:sz="2" w:space="0"/>
                    <w:top w:val="single" w:color="000000" w:sz="2" w:space="0"/>
                  </w:tcBorders>
                </w:tcPr>
                <w:p>
                  <w:pPr>
                    <w:pStyle w:val="TableText"/>
                    <w:ind w:left="638"/>
                    <w:spacing w:before="80" w:line="228" w:lineRule="auto"/>
                    <w:rPr>
                      <w:sz w:val="20"/>
                      <w:szCs w:val="20"/>
                    </w:rPr>
                  </w:pPr>
                  <w:r>
                    <w:rPr>
                      <w:sz w:val="20"/>
                      <w:szCs w:val="20"/>
                      <w:spacing w:val="8"/>
                    </w:rPr>
                    <w:t>生产废水：经沉淀池沉淀处理后，循环使用；</w:t>
                  </w:r>
                </w:p>
                <w:p>
                  <w:pPr>
                    <w:pStyle w:val="TableText"/>
                    <w:ind w:left="1691" w:right="99" w:hanging="1579"/>
                    <w:spacing w:before="71" w:line="254" w:lineRule="auto"/>
                    <w:rPr>
                      <w:sz w:val="20"/>
                      <w:szCs w:val="20"/>
                    </w:rPr>
                  </w:pPr>
                  <w:r>
                    <w:rPr>
                      <w:sz w:val="20"/>
                      <w:szCs w:val="20"/>
                      <w:spacing w:val="9"/>
                    </w:rPr>
                    <w:t>生活污水：建设地埋式一体化污水处理设施，生活污水经</w:t>
                  </w:r>
                  <w:r>
                    <w:rPr>
                      <w:sz w:val="20"/>
                      <w:szCs w:val="20"/>
                      <w:spacing w:val="12"/>
                    </w:rPr>
                    <w:t xml:space="preserve"> </w:t>
                  </w:r>
                  <w:r>
                    <w:rPr>
                      <w:sz w:val="20"/>
                      <w:szCs w:val="20"/>
                      <w:spacing w:val="7"/>
                    </w:rPr>
                    <w:t>处理后用于厂区绿化。</w:t>
                  </w:r>
                </w:p>
              </w:tc>
              <w:tc>
                <w:tcPr>
                  <w:tcW w:w="577" w:type="dxa"/>
                  <w:vAlign w:val="top"/>
                  <w:tcBorders>
                    <w:bottom w:val="single" w:color="000000" w:sz="2" w:space="0"/>
                    <w:top w:val="single" w:color="000000" w:sz="2" w:space="0"/>
                  </w:tcBorders>
                </w:tcPr>
                <w:p>
                  <w:pPr>
                    <w:spacing w:line="333" w:lineRule="auto"/>
                    <w:rPr>
                      <w:rFonts w:ascii="Arial"/>
                      <w:sz w:val="21"/>
                    </w:rPr>
                  </w:pPr>
                  <w:r/>
                </w:p>
                <w:p>
                  <w:pPr>
                    <w:pStyle w:val="TableText"/>
                    <w:ind w:left="109"/>
                    <w:spacing w:before="65" w:line="229" w:lineRule="auto"/>
                    <w:rPr>
                      <w:sz w:val="20"/>
                      <w:szCs w:val="20"/>
                    </w:rPr>
                  </w:pPr>
                  <w:r>
                    <w:rPr>
                      <w:sz w:val="20"/>
                      <w:szCs w:val="20"/>
                      <w:spacing w:val="-7"/>
                    </w:rPr>
                    <w:t>已建</w:t>
                  </w:r>
                </w:p>
              </w:tc>
            </w:tr>
            <w:tr>
              <w:trPr>
                <w:trHeight w:val="322" w:hRule="atLeast"/>
              </w:trPr>
              <w:tc>
                <w:tcPr>
                  <w:tcW w:w="699" w:type="dxa"/>
                  <w:vAlign w:val="top"/>
                  <w:vMerge w:val="restart"/>
                  <w:tcBorders>
                    <w:bottom w:val="nil"/>
                    <w:top w:val="single" w:color="000000" w:sz="2" w:space="0"/>
                  </w:tcBorders>
                </w:tcPr>
                <w:p>
                  <w:pPr>
                    <w:spacing w:line="275" w:lineRule="auto"/>
                    <w:rPr>
                      <w:rFonts w:ascii="Arial"/>
                      <w:sz w:val="21"/>
                    </w:rPr>
                  </w:pPr>
                  <w:r/>
                </w:p>
                <w:p>
                  <w:pPr>
                    <w:spacing w:line="275" w:lineRule="auto"/>
                    <w:rPr>
                      <w:rFonts w:ascii="Arial"/>
                      <w:sz w:val="21"/>
                    </w:rPr>
                  </w:pPr>
                  <w:r/>
                </w:p>
                <w:p>
                  <w:pPr>
                    <w:ind w:left="275"/>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24" w:type="dxa"/>
                  <w:vAlign w:val="top"/>
                  <w:vMerge w:val="restart"/>
                  <w:tcBorders>
                    <w:bottom w:val="nil"/>
                    <w:top w:val="single" w:color="000000" w:sz="2" w:space="0"/>
                  </w:tcBorders>
                </w:tcPr>
                <w:p>
                  <w:pPr>
                    <w:spacing w:line="253" w:lineRule="auto"/>
                    <w:rPr>
                      <w:rFonts w:ascii="Arial"/>
                      <w:sz w:val="21"/>
                    </w:rPr>
                  </w:pPr>
                  <w:r/>
                </w:p>
                <w:p>
                  <w:pPr>
                    <w:spacing w:line="254" w:lineRule="auto"/>
                    <w:rPr>
                      <w:rFonts w:ascii="Arial"/>
                      <w:sz w:val="21"/>
                    </w:rPr>
                  </w:pPr>
                  <w:r/>
                </w:p>
                <w:p>
                  <w:pPr>
                    <w:pStyle w:val="TableText"/>
                    <w:ind w:left="352"/>
                    <w:spacing w:before="65" w:line="228" w:lineRule="auto"/>
                    <w:rPr>
                      <w:sz w:val="20"/>
                      <w:szCs w:val="20"/>
                    </w:rPr>
                  </w:pPr>
                  <w:r>
                    <w:rPr>
                      <w:sz w:val="20"/>
                      <w:szCs w:val="20"/>
                      <w:spacing w:val="-5"/>
                    </w:rPr>
                    <w:t>固废</w:t>
                  </w:r>
                </w:p>
              </w:tc>
              <w:tc>
                <w:tcPr>
                  <w:tcW w:w="5451" w:type="dxa"/>
                  <w:vAlign w:val="top"/>
                  <w:tcBorders>
                    <w:bottom w:val="single" w:color="000000" w:sz="2" w:space="0"/>
                    <w:top w:val="single" w:color="000000" w:sz="2" w:space="0"/>
                  </w:tcBorders>
                </w:tcPr>
                <w:p>
                  <w:pPr>
                    <w:pStyle w:val="TableText"/>
                    <w:ind w:left="532"/>
                    <w:spacing w:before="85" w:line="209" w:lineRule="auto"/>
                    <w:rPr>
                      <w:sz w:val="20"/>
                      <w:szCs w:val="20"/>
                    </w:rPr>
                  </w:pPr>
                  <w:r>
                    <w:rPr>
                      <w:sz w:val="20"/>
                      <w:szCs w:val="20"/>
                      <w:spacing w:val="9"/>
                    </w:rPr>
                    <w:t>生活垃圾收集设施，集中收集外运填埋场填埋。</w:t>
                  </w:r>
                </w:p>
              </w:tc>
              <w:tc>
                <w:tcPr>
                  <w:tcW w:w="577" w:type="dxa"/>
                  <w:vAlign w:val="top"/>
                  <w:tcBorders>
                    <w:bottom w:val="single" w:color="000000" w:sz="2" w:space="0"/>
                    <w:top w:val="single" w:color="000000" w:sz="2" w:space="0"/>
                  </w:tcBorders>
                </w:tcPr>
                <w:p>
                  <w:pPr>
                    <w:pStyle w:val="TableText"/>
                    <w:ind w:left="109"/>
                    <w:spacing w:before="85" w:line="209" w:lineRule="auto"/>
                    <w:rPr>
                      <w:sz w:val="20"/>
                      <w:szCs w:val="20"/>
                    </w:rPr>
                  </w:pPr>
                  <w:r>
                    <w:rPr>
                      <w:sz w:val="20"/>
                      <w:szCs w:val="20"/>
                      <w:spacing w:val="-7"/>
                    </w:rPr>
                    <w:t>已建</w:t>
                  </w:r>
                </w:p>
              </w:tc>
            </w:tr>
            <w:tr>
              <w:trPr>
                <w:trHeight w:val="322" w:hRule="atLeast"/>
              </w:trPr>
              <w:tc>
                <w:tcPr>
                  <w:tcW w:w="699" w:type="dxa"/>
                  <w:vAlign w:val="top"/>
                  <w:vMerge w:val="continue"/>
                  <w:tcBorders>
                    <w:bottom w:val="nil"/>
                    <w:top w:val="nil"/>
                  </w:tcBorders>
                </w:tcPr>
                <w:p>
                  <w:pPr>
                    <w:rPr>
                      <w:rFonts w:ascii="Arial"/>
                      <w:sz w:val="21"/>
                    </w:rPr>
                  </w:pPr>
                  <w:r/>
                </w:p>
              </w:tc>
              <w:tc>
                <w:tcPr>
                  <w:tcW w:w="1124" w:type="dxa"/>
                  <w:vAlign w:val="top"/>
                  <w:vMerge w:val="continue"/>
                  <w:tcBorders>
                    <w:bottom w:val="nil"/>
                    <w:top w:val="nil"/>
                  </w:tcBorders>
                </w:tcPr>
                <w:p>
                  <w:pPr>
                    <w:rPr>
                      <w:rFonts w:ascii="Arial"/>
                      <w:sz w:val="21"/>
                    </w:rPr>
                  </w:pPr>
                  <w:r/>
                </w:p>
              </w:tc>
              <w:tc>
                <w:tcPr>
                  <w:tcW w:w="5451" w:type="dxa"/>
                  <w:vAlign w:val="top"/>
                  <w:tcBorders>
                    <w:bottom w:val="single" w:color="000000" w:sz="2" w:space="0"/>
                    <w:top w:val="single" w:color="000000" w:sz="2" w:space="0"/>
                  </w:tcBorders>
                </w:tcPr>
                <w:p>
                  <w:pPr>
                    <w:pStyle w:val="TableText"/>
                    <w:ind w:left="215"/>
                    <w:spacing w:before="89" w:line="205" w:lineRule="auto"/>
                    <w:rPr>
                      <w:sz w:val="20"/>
                      <w:szCs w:val="20"/>
                    </w:rPr>
                  </w:pPr>
                  <w:r>
                    <w:rPr>
                      <w:sz w:val="20"/>
                      <w:szCs w:val="20"/>
                      <w:spacing w:val="9"/>
                    </w:rPr>
                    <w:t>边角料和不合格产品集中收集，返回造粒工序再生产。</w:t>
                  </w:r>
                </w:p>
              </w:tc>
              <w:tc>
                <w:tcPr>
                  <w:tcW w:w="577" w:type="dxa"/>
                  <w:vAlign w:val="top"/>
                  <w:tcBorders>
                    <w:bottom w:val="single" w:color="000000" w:sz="2" w:space="0"/>
                    <w:top w:val="single" w:color="000000" w:sz="2" w:space="0"/>
                  </w:tcBorders>
                </w:tcPr>
                <w:p>
                  <w:pPr>
                    <w:pStyle w:val="TableText"/>
                    <w:ind w:left="109"/>
                    <w:spacing w:before="89" w:line="205" w:lineRule="auto"/>
                    <w:rPr>
                      <w:sz w:val="20"/>
                      <w:szCs w:val="20"/>
                    </w:rPr>
                  </w:pPr>
                  <w:r>
                    <w:rPr>
                      <w:sz w:val="20"/>
                      <w:szCs w:val="20"/>
                      <w:spacing w:val="-7"/>
                    </w:rPr>
                    <w:t>已建</w:t>
                  </w:r>
                </w:p>
              </w:tc>
            </w:tr>
            <w:tr>
              <w:trPr>
                <w:trHeight w:val="639" w:hRule="atLeast"/>
              </w:trPr>
              <w:tc>
                <w:tcPr>
                  <w:tcW w:w="699" w:type="dxa"/>
                  <w:vAlign w:val="top"/>
                  <w:vMerge w:val="continue"/>
                  <w:tcBorders>
                    <w:bottom w:val="single" w:color="000000" w:sz="2" w:space="0"/>
                    <w:top w:val="nil"/>
                  </w:tcBorders>
                </w:tcPr>
                <w:p>
                  <w:pPr>
                    <w:rPr>
                      <w:rFonts w:ascii="Arial"/>
                      <w:sz w:val="21"/>
                    </w:rPr>
                  </w:pPr>
                  <w:r/>
                </w:p>
              </w:tc>
              <w:tc>
                <w:tcPr>
                  <w:tcW w:w="1124" w:type="dxa"/>
                  <w:vAlign w:val="top"/>
                  <w:vMerge w:val="continue"/>
                  <w:tcBorders>
                    <w:bottom w:val="single" w:color="000000" w:sz="2" w:space="0"/>
                    <w:top w:val="nil"/>
                  </w:tcBorders>
                </w:tcPr>
                <w:p>
                  <w:pPr>
                    <w:rPr>
                      <w:rFonts w:ascii="Arial"/>
                      <w:sz w:val="21"/>
                    </w:rPr>
                  </w:pPr>
                  <w:r/>
                </w:p>
              </w:tc>
              <w:tc>
                <w:tcPr>
                  <w:tcW w:w="5451" w:type="dxa"/>
                  <w:vAlign w:val="top"/>
                  <w:tcBorders>
                    <w:bottom w:val="single" w:color="000000" w:sz="2" w:space="0"/>
                    <w:top w:val="single" w:color="000000" w:sz="2" w:space="0"/>
                  </w:tcBorders>
                </w:tcPr>
                <w:p>
                  <w:pPr>
                    <w:pStyle w:val="TableText"/>
                    <w:ind w:left="2000" w:right="99" w:hanging="1889"/>
                    <w:spacing w:before="91" w:line="248" w:lineRule="auto"/>
                    <w:rPr>
                      <w:sz w:val="20"/>
                      <w:szCs w:val="20"/>
                    </w:rPr>
                  </w:pPr>
                  <w:r>
                    <w:rPr>
                      <w:sz w:val="20"/>
                      <w:szCs w:val="20"/>
                      <w:spacing w:val="7"/>
                    </w:rPr>
                    <w:t>新建一个危废暂存库，建筑面积约</w:t>
                  </w:r>
                  <w:r>
                    <w:rPr>
                      <w:rFonts w:ascii="Times New Roman" w:hAnsi="Times New Roman" w:eastAsia="Times New Roman" w:cs="Times New Roman"/>
                      <w:sz w:val="20"/>
                      <w:szCs w:val="20"/>
                      <w:spacing w:val="7"/>
                    </w:rPr>
                    <w:t>15</w:t>
                  </w:r>
                  <w:r>
                    <w:rPr>
                      <w:sz w:val="20"/>
                      <w:szCs w:val="20"/>
                      <w:spacing w:val="7"/>
                    </w:rPr>
                    <w:t>㎡</w:t>
                  </w:r>
                  <w:r>
                    <w:rPr>
                      <w:sz w:val="20"/>
                      <w:szCs w:val="20"/>
                      <w:spacing w:val="-44"/>
                    </w:rPr>
                    <w:t xml:space="preserve"> </w:t>
                  </w:r>
                  <w:r>
                    <w:rPr>
                      <w:sz w:val="20"/>
                      <w:szCs w:val="20"/>
                      <w:spacing w:val="7"/>
                    </w:rPr>
                    <w:t>，按规范建设，并</w:t>
                  </w:r>
                  <w:r>
                    <w:rPr>
                      <w:sz w:val="20"/>
                      <w:szCs w:val="20"/>
                    </w:rPr>
                    <w:t xml:space="preserve"> </w:t>
                  </w:r>
                  <w:r>
                    <w:rPr>
                      <w:sz w:val="20"/>
                      <w:szCs w:val="20"/>
                      <w:spacing w:val="7"/>
                    </w:rPr>
                    <w:t>采取重点防渗。</w:t>
                  </w:r>
                </w:p>
              </w:tc>
              <w:tc>
                <w:tcPr>
                  <w:tcW w:w="577" w:type="dxa"/>
                  <w:vAlign w:val="top"/>
                  <w:tcBorders>
                    <w:bottom w:val="single" w:color="000000" w:sz="2" w:space="0"/>
                    <w:top w:val="single" w:color="000000" w:sz="2" w:space="0"/>
                  </w:tcBorders>
                </w:tcPr>
                <w:p>
                  <w:pPr>
                    <w:pStyle w:val="TableText"/>
                    <w:ind w:left="109"/>
                    <w:spacing w:before="252" w:line="229" w:lineRule="auto"/>
                    <w:rPr>
                      <w:sz w:val="20"/>
                      <w:szCs w:val="20"/>
                    </w:rPr>
                  </w:pPr>
                  <w:r>
                    <w:rPr>
                      <w:sz w:val="20"/>
                      <w:szCs w:val="20"/>
                      <w:spacing w:val="-7"/>
                    </w:rPr>
                    <w:t>已建</w:t>
                  </w:r>
                </w:p>
              </w:tc>
            </w:tr>
            <w:tr>
              <w:trPr>
                <w:trHeight w:val="345" w:hRule="atLeast"/>
              </w:trPr>
              <w:tc>
                <w:tcPr>
                  <w:tcW w:w="699" w:type="dxa"/>
                  <w:vAlign w:val="top"/>
                  <w:tcBorders>
                    <w:top w:val="single" w:color="000000" w:sz="2" w:space="0"/>
                    <w:bottom w:val="single" w:color="000000" w:sz="10" w:space="0"/>
                  </w:tcBorders>
                </w:tcPr>
                <w:p>
                  <w:pPr>
                    <w:ind w:left="270"/>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124" w:type="dxa"/>
                  <w:vAlign w:val="top"/>
                  <w:tcBorders>
                    <w:top w:val="single" w:color="000000" w:sz="2" w:space="0"/>
                    <w:bottom w:val="single" w:color="000000" w:sz="10" w:space="0"/>
                  </w:tcBorders>
                </w:tcPr>
                <w:p>
                  <w:pPr>
                    <w:pStyle w:val="TableText"/>
                    <w:ind w:left="344"/>
                    <w:spacing w:before="97" w:line="219" w:lineRule="auto"/>
                    <w:rPr>
                      <w:sz w:val="20"/>
                      <w:szCs w:val="20"/>
                    </w:rPr>
                  </w:pPr>
                  <w:r>
                    <w:rPr>
                      <w:sz w:val="20"/>
                      <w:szCs w:val="20"/>
                      <w:spacing w:val="-1"/>
                    </w:rPr>
                    <w:t>噪声</w:t>
                  </w:r>
                </w:p>
              </w:tc>
              <w:tc>
                <w:tcPr>
                  <w:tcW w:w="5451" w:type="dxa"/>
                  <w:vAlign w:val="top"/>
                  <w:tcBorders>
                    <w:top w:val="single" w:color="000000" w:sz="2" w:space="0"/>
                    <w:bottom w:val="single" w:color="000000" w:sz="10" w:space="0"/>
                  </w:tcBorders>
                </w:tcPr>
                <w:p>
                  <w:pPr>
                    <w:pStyle w:val="TableText"/>
                    <w:ind w:left="324"/>
                    <w:spacing w:before="97" w:line="219" w:lineRule="auto"/>
                    <w:rPr>
                      <w:sz w:val="20"/>
                      <w:szCs w:val="20"/>
                    </w:rPr>
                  </w:pPr>
                  <w:r>
                    <w:rPr>
                      <w:sz w:val="20"/>
                      <w:szCs w:val="20"/>
                      <w:spacing w:val="9"/>
                    </w:rPr>
                    <w:t>厂房隔声、基础减振、合理布局、加强维修保养</w:t>
                  </w:r>
                  <w:r>
                    <w:rPr>
                      <w:sz w:val="20"/>
                      <w:szCs w:val="20"/>
                      <w:spacing w:val="8"/>
                    </w:rPr>
                    <w:t>等。</w:t>
                  </w:r>
                </w:p>
              </w:tc>
              <w:tc>
                <w:tcPr>
                  <w:tcW w:w="577" w:type="dxa"/>
                  <w:vAlign w:val="top"/>
                  <w:tcBorders>
                    <w:top w:val="single" w:color="000000" w:sz="2" w:space="0"/>
                    <w:bottom w:val="single" w:color="000000" w:sz="10" w:space="0"/>
                  </w:tcBorders>
                </w:tcPr>
                <w:p>
                  <w:pPr>
                    <w:pStyle w:val="TableText"/>
                    <w:ind w:left="109"/>
                    <w:spacing w:before="97" w:line="219" w:lineRule="auto"/>
                    <w:rPr>
                      <w:sz w:val="20"/>
                      <w:szCs w:val="20"/>
                    </w:rPr>
                  </w:pPr>
                  <w:r>
                    <w:rPr>
                      <w:sz w:val="20"/>
                      <w:szCs w:val="20"/>
                      <w:spacing w:val="-7"/>
                    </w:rPr>
                    <w:t>已建</w:t>
                  </w:r>
                </w:p>
              </w:tc>
            </w:tr>
          </w:tbl>
          <w:p>
            <w:pPr>
              <w:pStyle w:val="TableText"/>
              <w:ind w:left="590"/>
              <w:spacing w:before="195" w:line="220" w:lineRule="auto"/>
              <w:outlineLvl w:val="2"/>
              <w:rPr/>
            </w:pPr>
            <w:r>
              <w:rPr>
                <w:rFonts w:ascii="Times New Roman" w:hAnsi="Times New Roman" w:eastAsia="Times New Roman" w:cs="Times New Roman"/>
                <w:b/>
                <w:bCs/>
              </w:rPr>
              <w:t>2.11.3  </w:t>
            </w:r>
            <w:r>
              <w:rPr>
                <w14:textOutline w14:w="4358" w14:cap="sq" w14:cmpd="sng">
                  <w14:solidFill>
                    <w14:srgbClr w14:val="000000"/>
                  </w14:solidFill>
                  <w14:prstDash w14:val="solid"/>
                  <w14:bevel/>
                </w14:textOutline>
              </w:rPr>
              <w:t>现有工程污染物排放情况</w:t>
            </w:r>
          </w:p>
          <w:p>
            <w:pPr>
              <w:pStyle w:val="TableText"/>
              <w:ind w:left="595"/>
              <w:spacing w:before="215" w:line="499" w:lineRule="exact"/>
              <w:rPr/>
            </w:pPr>
            <w:r>
              <w:rPr>
                <w:spacing w:val="5"/>
                <w:position w:val="19"/>
              </w:rPr>
              <w:t>本次环评结合现有项目竣工环境保护验收的监测结果和企业调查结果</w:t>
            </w:r>
          </w:p>
          <w:p>
            <w:pPr>
              <w:pStyle w:val="TableText"/>
              <w:ind w:left="114"/>
              <w:spacing w:line="219" w:lineRule="auto"/>
              <w:rPr/>
            </w:pPr>
            <w:r>
              <w:rPr>
                <w:spacing w:val="-1"/>
              </w:rPr>
              <w:t>汇总，对现有工程污染物排放情况见表</w:t>
            </w:r>
            <w:r>
              <w:rPr>
                <w:rFonts w:ascii="Times New Roman" w:hAnsi="Times New Roman" w:eastAsia="Times New Roman" w:cs="Times New Roman"/>
                <w:spacing w:val="-1"/>
              </w:rPr>
              <w:t>2.11-2</w:t>
            </w:r>
            <w:r>
              <w:rPr>
                <w:spacing w:val="-1"/>
              </w:rPr>
              <w:t>。</w:t>
            </w:r>
          </w:p>
          <w:p>
            <w:pPr>
              <w:pStyle w:val="TableText"/>
              <w:ind w:left="1605"/>
              <w:spacing w:before="135" w:line="219" w:lineRule="auto"/>
              <w:rPr>
                <w:rFonts w:ascii="Times New Roman" w:hAnsi="Times New Roman" w:eastAsia="Times New Roman" w:cs="Times New Roman"/>
              </w:rPr>
            </w:pPr>
            <w:r>
              <w:rPr>
                <w14:textOutline w14:w="4358" w14:cap="sq" w14:cmpd="sng">
                  <w14:solidFill>
                    <w14:srgbClr w14:val="000000"/>
                  </w14:solidFill>
                  <w14:prstDash w14:val="solid"/>
                  <w14:bevel/>
                </w14:textOutline>
              </w:rPr>
              <w:t>表</w:t>
            </w:r>
            <w:r>
              <w:rPr>
                <w:rFonts w:ascii="Times New Roman" w:hAnsi="Times New Roman" w:eastAsia="Times New Roman" w:cs="Times New Roman"/>
                <w:b/>
                <w:bCs/>
              </w:rPr>
              <w:t>2.11-2  </w:t>
            </w:r>
            <w:r>
              <w:rPr>
                <w14:textOutline w14:w="4358" w14:cap="sq" w14:cmpd="sng">
                  <w14:solidFill>
                    <w14:srgbClr w14:val="000000"/>
                  </w14:solidFill>
                  <w14:prstDash w14:val="solid"/>
                  <w14:bevel/>
                </w14:textOutline>
              </w:rPr>
              <w:t>现有工程污染物排放情况</w:t>
            </w:r>
            <w:r>
              <w:rPr/>
              <w:t xml:space="preserve">  </w:t>
            </w:r>
            <w:r>
              <w:rPr>
                <w14:textOutline w14:w="4358" w14:cap="sq" w14:cmpd="sng">
                  <w14:solidFill>
                    <w14:srgbClr w14:val="000000"/>
                  </w14:solidFill>
                  <w14:prstDash w14:val="solid"/>
                  <w14:bevel/>
                </w14:textOutline>
              </w:rPr>
              <w:t>单位：</w:t>
            </w:r>
            <w:r>
              <w:rPr>
                <w:rFonts w:ascii="Times New Roman" w:hAnsi="Times New Roman" w:eastAsia="Times New Roman" w:cs="Times New Roman"/>
                <w:b/>
                <w:bCs/>
              </w:rPr>
              <w:t>t/a</w:t>
            </w:r>
          </w:p>
          <w:tbl>
            <w:tblPr>
              <w:tblStyle w:val="TableNormal"/>
              <w:tblW w:w="7847" w:type="dxa"/>
              <w:tblInd w:w="10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87"/>
              <w:gridCol w:w="2930"/>
              <w:gridCol w:w="3330"/>
            </w:tblGrid>
            <w:tr>
              <w:trPr>
                <w:trHeight w:val="326" w:hRule="atLeast"/>
              </w:trPr>
              <w:tc>
                <w:tcPr>
                  <w:tcW w:w="4517" w:type="dxa"/>
                  <w:vAlign w:val="top"/>
                  <w:gridSpan w:val="2"/>
                  <w:tcBorders>
                    <w:left w:val="nil"/>
                    <w:top w:val="single" w:color="000000" w:sz="10" w:space="0"/>
                  </w:tcBorders>
                </w:tcPr>
                <w:p>
                  <w:pPr>
                    <w:pStyle w:val="TableText"/>
                    <w:ind w:left="997"/>
                    <w:spacing w:before="80" w:line="217" w:lineRule="auto"/>
                    <w:rPr>
                      <w:sz w:val="20"/>
                      <w:szCs w:val="20"/>
                    </w:rPr>
                  </w:pPr>
                  <w:r>
                    <w:rPr>
                      <w:sz w:val="20"/>
                      <w:szCs w:val="20"/>
                      <w:spacing w:val="7"/>
                    </w:rPr>
                    <w:t>“三废</w:t>
                  </w:r>
                  <w:r>
                    <w:rPr>
                      <w:sz w:val="20"/>
                      <w:szCs w:val="20"/>
                      <w:spacing w:val="-66"/>
                    </w:rPr>
                    <w:t xml:space="preserve"> </w:t>
                  </w:r>
                  <w:r>
                    <w:rPr>
                      <w:sz w:val="20"/>
                      <w:szCs w:val="20"/>
                      <w:spacing w:val="7"/>
                    </w:rPr>
                    <w:t>”污染物类别与名称</w:t>
                  </w:r>
                </w:p>
              </w:tc>
              <w:tc>
                <w:tcPr>
                  <w:tcW w:w="3330" w:type="dxa"/>
                  <w:vAlign w:val="top"/>
                  <w:tcBorders>
                    <w:right w:val="nil"/>
                    <w:top w:val="single" w:color="000000" w:sz="10" w:space="0"/>
                  </w:tcBorders>
                </w:tcPr>
                <w:p>
                  <w:pPr>
                    <w:pStyle w:val="TableText"/>
                    <w:ind w:left="939"/>
                    <w:spacing w:before="80" w:line="217" w:lineRule="auto"/>
                    <w:rPr>
                      <w:sz w:val="20"/>
                      <w:szCs w:val="20"/>
                    </w:rPr>
                  </w:pPr>
                  <w:r>
                    <w:rPr>
                      <w:sz w:val="20"/>
                      <w:szCs w:val="20"/>
                      <w:spacing w:val="8"/>
                    </w:rPr>
                    <w:t>现有工程排放量</w:t>
                  </w:r>
                </w:p>
              </w:tc>
            </w:tr>
            <w:tr>
              <w:trPr>
                <w:trHeight w:val="321" w:hRule="atLeast"/>
              </w:trPr>
              <w:tc>
                <w:tcPr>
                  <w:tcW w:w="1587" w:type="dxa"/>
                  <w:vAlign w:val="top"/>
                  <w:tcBorders>
                    <w:left w:val="nil"/>
                  </w:tcBorders>
                </w:tcPr>
                <w:p>
                  <w:pPr>
                    <w:pStyle w:val="TableText"/>
                    <w:ind w:left="589"/>
                    <w:spacing w:before="81" w:line="212" w:lineRule="auto"/>
                    <w:rPr>
                      <w:sz w:val="20"/>
                      <w:szCs w:val="20"/>
                    </w:rPr>
                  </w:pPr>
                  <w:r>
                    <w:rPr>
                      <w:sz w:val="20"/>
                      <w:szCs w:val="20"/>
                      <w:spacing w:val="5"/>
                    </w:rPr>
                    <w:t>废气</w:t>
                  </w:r>
                </w:p>
              </w:tc>
              <w:tc>
                <w:tcPr>
                  <w:tcW w:w="2930" w:type="dxa"/>
                  <w:vAlign w:val="top"/>
                </w:tcPr>
                <w:p>
                  <w:pPr>
                    <w:pStyle w:val="TableText"/>
                    <w:ind w:left="947"/>
                    <w:spacing w:before="81" w:line="212" w:lineRule="auto"/>
                    <w:rPr>
                      <w:sz w:val="20"/>
                      <w:szCs w:val="20"/>
                    </w:rPr>
                  </w:pPr>
                  <w:r>
                    <w:rPr>
                      <w:sz w:val="20"/>
                      <w:szCs w:val="20"/>
                      <w:spacing w:val="7"/>
                    </w:rPr>
                    <w:t>非甲烷总烃</w:t>
                  </w:r>
                </w:p>
              </w:tc>
              <w:tc>
                <w:tcPr>
                  <w:tcW w:w="3330" w:type="dxa"/>
                  <w:vAlign w:val="top"/>
                  <w:tcBorders>
                    <w:right w:val="nil"/>
                  </w:tcBorders>
                </w:tcPr>
                <w:p>
                  <w:pPr>
                    <w:ind w:left="1381"/>
                    <w:spacing w:before="11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0.0603</w:t>
                  </w:r>
                </w:p>
              </w:tc>
            </w:tr>
            <w:tr>
              <w:trPr>
                <w:trHeight w:val="322" w:hRule="atLeast"/>
              </w:trPr>
              <w:tc>
                <w:tcPr>
                  <w:tcW w:w="1587" w:type="dxa"/>
                  <w:vAlign w:val="top"/>
                  <w:tcBorders>
                    <w:left w:val="nil"/>
                  </w:tcBorders>
                </w:tcPr>
                <w:p>
                  <w:pPr>
                    <w:pStyle w:val="TableText"/>
                    <w:ind w:left="589"/>
                    <w:spacing w:before="84" w:line="210" w:lineRule="auto"/>
                    <w:rPr>
                      <w:sz w:val="20"/>
                      <w:szCs w:val="20"/>
                    </w:rPr>
                  </w:pPr>
                  <w:r>
                    <w:rPr>
                      <w:sz w:val="20"/>
                      <w:szCs w:val="20"/>
                      <w:spacing w:val="5"/>
                    </w:rPr>
                    <w:t>废水</w:t>
                  </w:r>
                </w:p>
              </w:tc>
              <w:tc>
                <w:tcPr>
                  <w:tcW w:w="2930" w:type="dxa"/>
                  <w:vAlign w:val="top"/>
                </w:tcPr>
                <w:p>
                  <w:pPr>
                    <w:pStyle w:val="TableText"/>
                    <w:ind w:left="1154"/>
                    <w:spacing w:before="84" w:line="210" w:lineRule="auto"/>
                    <w:rPr>
                      <w:sz w:val="20"/>
                      <w:szCs w:val="20"/>
                    </w:rPr>
                  </w:pPr>
                  <w:r>
                    <w:rPr>
                      <w:sz w:val="20"/>
                      <w:szCs w:val="20"/>
                      <w:spacing w:val="7"/>
                    </w:rPr>
                    <w:t>废水量</w:t>
                  </w:r>
                </w:p>
              </w:tc>
              <w:tc>
                <w:tcPr>
                  <w:tcW w:w="3330" w:type="dxa"/>
                  <w:vAlign w:val="top"/>
                  <w:tcBorders>
                    <w:right w:val="nil"/>
                  </w:tcBorders>
                </w:tcPr>
                <w:p>
                  <w:pPr>
                    <w:ind w:left="1486"/>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0.06</w:t>
                  </w:r>
                </w:p>
              </w:tc>
            </w:tr>
            <w:tr>
              <w:trPr>
                <w:trHeight w:val="322" w:hRule="atLeast"/>
              </w:trPr>
              <w:tc>
                <w:tcPr>
                  <w:tcW w:w="1587" w:type="dxa"/>
                  <w:vAlign w:val="top"/>
                  <w:vMerge w:val="restart"/>
                  <w:tcBorders>
                    <w:left w:val="nil"/>
                    <w:bottom w:val="nil"/>
                  </w:tcBorders>
                </w:tcPr>
                <w:p>
                  <w:pPr>
                    <w:spacing w:line="271" w:lineRule="auto"/>
                    <w:rPr>
                      <w:rFonts w:ascii="Arial"/>
                      <w:sz w:val="21"/>
                    </w:rPr>
                  </w:pPr>
                  <w:r/>
                </w:p>
                <w:p>
                  <w:pPr>
                    <w:spacing w:line="272" w:lineRule="auto"/>
                    <w:rPr>
                      <w:rFonts w:ascii="Arial"/>
                      <w:sz w:val="21"/>
                    </w:rPr>
                  </w:pPr>
                  <w:r/>
                </w:p>
                <w:p>
                  <w:pPr>
                    <w:pStyle w:val="TableText"/>
                    <w:ind w:left="399"/>
                    <w:spacing w:before="65" w:line="228" w:lineRule="auto"/>
                    <w:rPr>
                      <w:sz w:val="20"/>
                      <w:szCs w:val="20"/>
                    </w:rPr>
                  </w:pPr>
                  <w:r>
                    <w:rPr>
                      <w:sz w:val="20"/>
                      <w:szCs w:val="20"/>
                      <w:spacing w:val="2"/>
                    </w:rPr>
                    <w:t>固体废物</w:t>
                  </w:r>
                </w:p>
              </w:tc>
              <w:tc>
                <w:tcPr>
                  <w:tcW w:w="2930" w:type="dxa"/>
                  <w:vAlign w:val="top"/>
                </w:tcPr>
                <w:p>
                  <w:pPr>
                    <w:pStyle w:val="TableText"/>
                    <w:ind w:left="1154"/>
                    <w:spacing w:before="88" w:line="206" w:lineRule="auto"/>
                    <w:rPr>
                      <w:sz w:val="20"/>
                      <w:szCs w:val="20"/>
                    </w:rPr>
                  </w:pPr>
                  <w:r>
                    <w:rPr>
                      <w:sz w:val="20"/>
                      <w:szCs w:val="20"/>
                      <w:spacing w:val="7"/>
                    </w:rPr>
                    <w:t>边角料</w:t>
                  </w:r>
                </w:p>
              </w:tc>
              <w:tc>
                <w:tcPr>
                  <w:tcW w:w="3330" w:type="dxa"/>
                  <w:vAlign w:val="top"/>
                  <w:tcBorders>
                    <w:right w:val="nil"/>
                  </w:tcBorders>
                </w:tcPr>
                <w:p>
                  <w:pPr>
                    <w:ind w:left="1619"/>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trPr>
                <w:trHeight w:val="341" w:hRule="atLeast"/>
              </w:trPr>
              <w:tc>
                <w:tcPr>
                  <w:tcW w:w="1587" w:type="dxa"/>
                  <w:vAlign w:val="top"/>
                  <w:vMerge w:val="continue"/>
                  <w:tcBorders>
                    <w:left w:val="nil"/>
                    <w:bottom w:val="nil"/>
                    <w:top w:val="nil"/>
                  </w:tcBorders>
                </w:tcPr>
                <w:p>
                  <w:pPr>
                    <w:rPr>
                      <w:rFonts w:ascii="Arial"/>
                      <w:sz w:val="21"/>
                    </w:rPr>
                  </w:pPr>
                  <w:r/>
                </w:p>
              </w:tc>
              <w:tc>
                <w:tcPr>
                  <w:tcW w:w="2930" w:type="dxa"/>
                  <w:vAlign w:val="top"/>
                </w:tcPr>
                <w:p>
                  <w:pPr>
                    <w:pStyle w:val="TableText"/>
                    <w:ind w:left="1051"/>
                    <w:spacing w:before="100" w:line="213" w:lineRule="auto"/>
                    <w:rPr>
                      <w:sz w:val="20"/>
                      <w:szCs w:val="20"/>
                    </w:rPr>
                  </w:pPr>
                  <w:r>
                    <w:rPr>
                      <w:sz w:val="20"/>
                      <w:szCs w:val="20"/>
                      <w:spacing w:val="6"/>
                    </w:rPr>
                    <w:t>生活垃圾</w:t>
                  </w:r>
                </w:p>
              </w:tc>
              <w:tc>
                <w:tcPr>
                  <w:tcW w:w="3330" w:type="dxa"/>
                  <w:vAlign w:val="top"/>
                  <w:tcBorders>
                    <w:right w:val="nil"/>
                  </w:tcBorders>
                </w:tcPr>
                <w:p>
                  <w:pPr>
                    <w:ind w:left="1539"/>
                    <w:spacing w:before="13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r>
            <w:tr>
              <w:trPr>
                <w:trHeight w:val="341" w:hRule="atLeast"/>
              </w:trPr>
              <w:tc>
                <w:tcPr>
                  <w:tcW w:w="1587" w:type="dxa"/>
                  <w:vAlign w:val="top"/>
                  <w:vMerge w:val="continue"/>
                  <w:tcBorders>
                    <w:left w:val="nil"/>
                    <w:bottom w:val="nil"/>
                    <w:top w:val="nil"/>
                  </w:tcBorders>
                </w:tcPr>
                <w:p>
                  <w:pPr>
                    <w:rPr>
                      <w:rFonts w:ascii="Arial"/>
                      <w:sz w:val="21"/>
                    </w:rPr>
                  </w:pPr>
                  <w:r/>
                </w:p>
              </w:tc>
              <w:tc>
                <w:tcPr>
                  <w:tcW w:w="2930" w:type="dxa"/>
                  <w:vAlign w:val="top"/>
                </w:tcPr>
                <w:p>
                  <w:pPr>
                    <w:pStyle w:val="TableText"/>
                    <w:ind w:left="1154"/>
                    <w:spacing w:before="104" w:line="209" w:lineRule="auto"/>
                    <w:rPr>
                      <w:sz w:val="20"/>
                      <w:szCs w:val="20"/>
                    </w:rPr>
                  </w:pPr>
                  <w:r>
                    <w:rPr>
                      <w:sz w:val="20"/>
                      <w:szCs w:val="20"/>
                      <w:spacing w:val="7"/>
                    </w:rPr>
                    <w:t>废机油</w:t>
                  </w:r>
                </w:p>
              </w:tc>
              <w:tc>
                <w:tcPr>
                  <w:tcW w:w="3330" w:type="dxa"/>
                  <w:vAlign w:val="top"/>
                  <w:tcBorders>
                    <w:right w:val="nil"/>
                  </w:tcBorders>
                </w:tcPr>
                <w:p>
                  <w:pPr>
                    <w:ind w:left="1539"/>
                    <w:spacing w:before="14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r>
            <w:tr>
              <w:trPr>
                <w:trHeight w:val="365" w:hRule="atLeast"/>
              </w:trPr>
              <w:tc>
                <w:tcPr>
                  <w:tcW w:w="1587" w:type="dxa"/>
                  <w:vAlign w:val="top"/>
                  <w:vMerge w:val="continue"/>
                  <w:tcBorders>
                    <w:left w:val="nil"/>
                    <w:bottom w:val="single" w:color="000000" w:sz="10" w:space="0"/>
                    <w:top w:val="nil"/>
                  </w:tcBorders>
                </w:tcPr>
                <w:p>
                  <w:pPr>
                    <w:rPr>
                      <w:rFonts w:ascii="Arial"/>
                      <w:sz w:val="21"/>
                    </w:rPr>
                  </w:pPr>
                  <w:r/>
                </w:p>
              </w:tc>
              <w:tc>
                <w:tcPr>
                  <w:tcW w:w="2930" w:type="dxa"/>
                  <w:vAlign w:val="top"/>
                  <w:tcBorders>
                    <w:bottom w:val="single" w:color="000000" w:sz="10" w:space="0"/>
                  </w:tcBorders>
                </w:tcPr>
                <w:p>
                  <w:pPr>
                    <w:pStyle w:val="TableText"/>
                    <w:ind w:left="794"/>
                    <w:spacing w:before="108" w:line="227" w:lineRule="auto"/>
                    <w:rPr>
                      <w:sz w:val="20"/>
                      <w:szCs w:val="20"/>
                    </w:rPr>
                  </w:pPr>
                  <w:r>
                    <w:rPr>
                      <w:sz w:val="20"/>
                      <w:szCs w:val="20"/>
                      <w:spacing w:val="10"/>
                    </w:rPr>
                    <w:t>废</w:t>
                  </w:r>
                  <w:r>
                    <w:rPr>
                      <w:rFonts w:ascii="Times New Roman" w:hAnsi="Times New Roman" w:eastAsia="Times New Roman" w:cs="Times New Roman"/>
                      <w:sz w:val="20"/>
                      <w:szCs w:val="20"/>
                    </w:rPr>
                    <w:t>UV</w:t>
                  </w:r>
                  <w:r>
                    <w:rPr>
                      <w:sz w:val="20"/>
                      <w:szCs w:val="20"/>
                      <w:spacing w:val="10"/>
                    </w:rPr>
                    <w:t>光氧灯管</w:t>
                  </w:r>
                </w:p>
              </w:tc>
              <w:tc>
                <w:tcPr>
                  <w:tcW w:w="3330" w:type="dxa"/>
                  <w:vAlign w:val="top"/>
                  <w:tcBorders>
                    <w:right w:val="nil"/>
                    <w:bottom w:val="single" w:color="000000" w:sz="10" w:space="0"/>
                  </w:tcBorders>
                </w:tcPr>
                <w:p>
                  <w:pPr>
                    <w:ind w:left="1539"/>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1</w:t>
                  </w:r>
                </w:p>
              </w:tc>
            </w:tr>
          </w:tbl>
          <w:p>
            <w:pPr>
              <w:pStyle w:val="TableText"/>
              <w:ind w:left="114" w:right="106" w:firstLine="481"/>
              <w:spacing w:before="194" w:line="385" w:lineRule="auto"/>
              <w:jc w:val="both"/>
              <w:rPr/>
            </w:pPr>
            <w:r>
              <w:rPr>
                <w:spacing w:val="-3"/>
              </w:rPr>
              <w:t>现有工程实际建设生产规模已达到批复的环评文件生产规模，实际建设</w:t>
            </w:r>
            <w:r>
              <w:rPr>
                <w:spacing w:val="11"/>
              </w:rPr>
              <w:t xml:space="preserve"> </w:t>
            </w:r>
            <w:r>
              <w:rPr>
                <w:spacing w:val="-2"/>
              </w:rPr>
              <w:t>环保设施与批复环评文件相符，现有工程建</w:t>
            </w:r>
            <w:r>
              <w:rPr>
                <w:spacing w:val="-3"/>
              </w:rPr>
              <w:t>成后已开展竣工环境保护验收工</w:t>
            </w:r>
            <w:r>
              <w:rPr/>
              <w:t xml:space="preserve"> </w:t>
            </w:r>
            <w:r>
              <w:rPr>
                <w:spacing w:val="-2"/>
              </w:rPr>
              <w:t>作，并委托有关部门进行污染物监测工作，</w:t>
            </w:r>
            <w:r>
              <w:rPr>
                <w:spacing w:val="-3"/>
              </w:rPr>
              <w:t>现有工程实际污染物排放情况均</w:t>
            </w:r>
          </w:p>
          <w:p>
            <w:pPr>
              <w:pStyle w:val="TableText"/>
              <w:ind w:left="117"/>
              <w:spacing w:line="220" w:lineRule="auto"/>
              <w:rPr/>
            </w:pPr>
            <w:r>
              <w:rPr>
                <w:spacing w:val="-4"/>
              </w:rPr>
              <w:t>为达标。</w:t>
            </w:r>
          </w:p>
          <w:p>
            <w:pPr>
              <w:pStyle w:val="TableText"/>
              <w:ind w:left="590"/>
              <w:spacing w:before="215" w:line="220" w:lineRule="auto"/>
              <w:outlineLvl w:val="2"/>
              <w:rPr/>
            </w:pPr>
            <w:r>
              <w:rPr>
                <w:rFonts w:ascii="Times New Roman" w:hAnsi="Times New Roman" w:eastAsia="Times New Roman" w:cs="Times New Roman"/>
                <w:b/>
                <w:bCs/>
              </w:rPr>
              <w:t>2.11.4  </w:t>
            </w:r>
            <w:r>
              <w:rPr>
                <w14:textOutline w14:w="4358" w14:cap="sq" w14:cmpd="sng">
                  <w14:solidFill>
                    <w14:srgbClr w14:val="000000"/>
                  </w14:solidFill>
                  <w14:prstDash w14:val="solid"/>
                  <w14:bevel/>
                </w14:textOutline>
              </w:rPr>
              <w:t>现有工程废气污染治理设施情况及合规性分析</w:t>
            </w:r>
          </w:p>
          <w:p>
            <w:pPr>
              <w:pStyle w:val="TableText"/>
              <w:ind w:left="116" w:right="106" w:firstLine="481"/>
              <w:spacing w:before="216" w:line="384" w:lineRule="auto"/>
              <w:jc w:val="both"/>
              <w:rPr/>
            </w:pPr>
            <w:r>
              <w:rPr/>
              <w:t>企业现有废气治理设施采取“两级</w:t>
            </w:r>
            <w:r>
              <w:rPr>
                <w:rFonts w:ascii="Times New Roman" w:hAnsi="Times New Roman" w:eastAsia="Times New Roman" w:cs="Times New Roman"/>
              </w:rPr>
              <w:t>UV</w:t>
            </w:r>
            <w:r>
              <w:rPr/>
              <w:t>光氧净化装置</w:t>
            </w:r>
            <w:r>
              <w:rPr>
                <w:spacing w:val="-71"/>
              </w:rPr>
              <w:t xml:space="preserve"> </w:t>
            </w:r>
            <w:r>
              <w:rPr/>
              <w:t>”处理，根据《排 </w:t>
            </w:r>
            <w:r>
              <w:rPr>
                <w:spacing w:val="-2"/>
              </w:rPr>
              <w:t>污许可证申请与核发技术规范 橡胶和塑料制品工业》（</w:t>
            </w:r>
            <w:r>
              <w:rPr>
                <w:rFonts w:ascii="Times New Roman" w:hAnsi="Times New Roman" w:eastAsia="Times New Roman" w:cs="Times New Roman"/>
                <w:spacing w:val="-2"/>
              </w:rPr>
              <w:t>HJ1122-2020</w:t>
            </w:r>
            <w:r>
              <w:rPr>
                <w:spacing w:val="-2"/>
              </w:rPr>
              <w:t>）可行</w:t>
            </w:r>
            <w:r>
              <w:rPr>
                <w:spacing w:val="9"/>
              </w:rPr>
              <w:t xml:space="preserve"> </w:t>
            </w:r>
            <w:r>
              <w:rPr>
                <w:spacing w:val="2"/>
              </w:rPr>
              <w:t>性技术方案判断，</w:t>
            </w:r>
            <w:r>
              <w:rPr>
                <w:rFonts w:ascii="Times New Roman" w:hAnsi="Times New Roman" w:eastAsia="Times New Roman" w:cs="Times New Roman"/>
              </w:rPr>
              <w:t>UV</w:t>
            </w:r>
            <w:r>
              <w:rPr>
                <w:spacing w:val="2"/>
              </w:rPr>
              <w:t>光氧属于可行性技术方案。</w:t>
            </w:r>
            <w:r>
              <w:rPr>
                <w:spacing w:val="1"/>
              </w:rPr>
              <w:t>根据企业现有项目竣工验</w:t>
            </w:r>
            <w:r>
              <w:rPr/>
              <w:t xml:space="preserve"> </w:t>
            </w:r>
            <w:r>
              <w:rPr>
                <w:spacing w:val="-3"/>
              </w:rPr>
              <w:t>收检测数据显示，经现有废气治理措施净化处理后的废气可满足《合成树脂</w:t>
            </w:r>
          </w:p>
          <w:p>
            <w:pPr>
              <w:pStyle w:val="TableText"/>
              <w:ind w:left="117"/>
              <w:spacing w:line="219" w:lineRule="auto"/>
              <w:rPr/>
            </w:pPr>
            <w:r>
              <w:rPr/>
              <w:t>工业污染物排放标准》（</w:t>
            </w:r>
            <w:r>
              <w:rPr>
                <w:rFonts w:ascii="Times New Roman" w:hAnsi="Times New Roman" w:eastAsia="Times New Roman" w:cs="Times New Roman"/>
              </w:rPr>
              <w:t>GB31572-2015</w:t>
            </w:r>
            <w:r>
              <w:rPr/>
              <w:t>）中</w:t>
            </w:r>
            <w:r>
              <w:rPr>
                <w:spacing w:val="-1"/>
              </w:rPr>
              <w:t>表</w:t>
            </w:r>
            <w:r>
              <w:rPr>
                <w:rFonts w:ascii="Times New Roman" w:hAnsi="Times New Roman" w:eastAsia="Times New Roman" w:cs="Times New Roman"/>
                <w:spacing w:val="-1"/>
              </w:rPr>
              <w:t>5</w:t>
            </w:r>
            <w:r>
              <w:rPr>
                <w:spacing w:val="-1"/>
              </w:rPr>
              <w:t>大气污染物特别排放限值。</w:t>
            </w:r>
          </w:p>
          <w:p>
            <w:pPr>
              <w:pStyle w:val="TableText"/>
              <w:ind w:left="594"/>
              <w:spacing w:before="216" w:line="219" w:lineRule="auto"/>
              <w:rPr/>
            </w:pPr>
            <w:r>
              <w:rPr>
                <w:spacing w:val="-3"/>
              </w:rPr>
              <w:t>根据《关于加快解决当前挥发性有机物治理突出问题的通知》，不建议</w:t>
            </w:r>
          </w:p>
        </w:tc>
      </w:tr>
    </w:tbl>
    <w:p>
      <w:pPr>
        <w:pStyle w:val="BodyText"/>
        <w:rPr/>
      </w:pPr>
      <w:r/>
    </w:p>
    <w:p>
      <w:pPr>
        <w:sectPr>
          <w:footerReference w:type="default" r:id="rId171"/>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59"/>
        <w:gridCol w:w="8067"/>
      </w:tblGrid>
      <w:tr>
        <w:trPr>
          <w:trHeight w:val="13587" w:hRule="atLeast"/>
        </w:trPr>
        <w:tc>
          <w:tcPr>
            <w:tcW w:w="459" w:type="dxa"/>
            <w:vAlign w:val="top"/>
          </w:tcPr>
          <w:p>
            <w:pPr>
              <w:rPr>
                <w:rFonts w:ascii="Arial"/>
                <w:sz w:val="21"/>
              </w:rPr>
            </w:pPr>
            <w:r/>
          </w:p>
        </w:tc>
        <w:tc>
          <w:tcPr>
            <w:tcW w:w="8067" w:type="dxa"/>
            <w:vAlign w:val="top"/>
          </w:tcPr>
          <w:p>
            <w:pPr>
              <w:pStyle w:val="TableText"/>
              <w:ind w:left="117" w:right="95" w:hanging="2"/>
              <w:spacing w:before="200" w:line="384" w:lineRule="auto"/>
              <w:jc w:val="both"/>
              <w:rPr/>
            </w:pPr>
            <w:r>
              <w:rPr>
                <w:spacing w:val="1"/>
              </w:rPr>
              <w:t>使用</w:t>
            </w:r>
            <w:r>
              <w:rPr>
                <w:rFonts w:ascii="Times New Roman" w:hAnsi="Times New Roman" w:eastAsia="Times New Roman" w:cs="Times New Roman"/>
              </w:rPr>
              <w:t>UV</w:t>
            </w:r>
            <w:r>
              <w:rPr>
                <w:spacing w:val="1"/>
              </w:rPr>
              <w:t>光氧净化装置处理除恶臭气体以外废气。因此，现有废气处理装置</w:t>
            </w:r>
            <w:r>
              <w:rPr>
                <w:spacing w:val="18"/>
              </w:rPr>
              <w:t xml:space="preserve"> </w:t>
            </w:r>
            <w:r>
              <w:rPr>
                <w:spacing w:val="-2"/>
              </w:rPr>
              <w:t>不满足《关于加快解决当前挥发性有机物治理突出问题的通</w:t>
            </w:r>
            <w:r>
              <w:rPr>
                <w:spacing w:val="-3"/>
              </w:rPr>
              <w:t>知》相关要求，</w:t>
            </w:r>
          </w:p>
          <w:p>
            <w:pPr>
              <w:pStyle w:val="TableText"/>
              <w:ind w:left="117"/>
              <w:spacing w:line="219" w:lineRule="auto"/>
              <w:rPr/>
            </w:pPr>
            <w:r>
              <w:rPr>
                <w:spacing w:val="-2"/>
              </w:rPr>
              <w:t>建议进行整改。</w:t>
            </w:r>
          </w:p>
          <w:p>
            <w:pPr>
              <w:pStyle w:val="TableText"/>
              <w:ind w:left="590"/>
              <w:spacing w:before="215" w:line="219" w:lineRule="auto"/>
              <w:outlineLvl w:val="2"/>
              <w:rPr/>
            </w:pPr>
            <w:r>
              <w:rPr>
                <w:rFonts w:ascii="Times New Roman" w:hAnsi="Times New Roman" w:eastAsia="Times New Roman" w:cs="Times New Roman"/>
                <w:b/>
                <w:bCs/>
                <w:spacing w:val="-3"/>
              </w:rPr>
              <w:t>2.11.5</w:t>
            </w:r>
            <w:r>
              <w:rPr>
                <w14:textOutline w14:w="4358" w14:cap="sq" w14:cmpd="sng">
                  <w14:solidFill>
                    <w14:srgbClr w14:val="000000"/>
                  </w14:solidFill>
                  <w14:prstDash w14:val="solid"/>
                  <w14:bevel/>
                </w14:textOutline>
                <w:spacing w:val="-3"/>
              </w:rPr>
              <w:t>“三本账</w:t>
            </w:r>
            <w:r>
              <w:rPr>
                <w:spacing w:val="-77"/>
              </w:rPr>
              <w:t xml:space="preserve"> </w:t>
            </w:r>
            <w:r>
              <w:rPr>
                <w14:textOutline w14:w="4358" w14:cap="sq" w14:cmpd="sng">
                  <w14:solidFill>
                    <w14:srgbClr w14:val="000000"/>
                  </w14:solidFill>
                  <w14:prstDash w14:val="solid"/>
                  <w14:bevel/>
                </w14:textOutline>
                <w:spacing w:val="-3"/>
              </w:rPr>
              <w:t>”排放情况</w:t>
            </w:r>
          </w:p>
          <w:p>
            <w:pPr>
              <w:pStyle w:val="TableText"/>
              <w:ind w:left="703"/>
              <w:spacing w:before="135" w:line="219" w:lineRule="auto"/>
              <w:rPr/>
            </w:pPr>
            <w:r>
              <w:rPr>
                <w14:textOutline w14:w="4358" w14:cap="sq" w14:cmpd="sng">
                  <w14:solidFill>
                    <w14:srgbClr w14:val="000000"/>
                  </w14:solidFill>
                  <w14:prstDash w14:val="solid"/>
                  <w14:bevel/>
                </w14:textOutline>
                <w:spacing w:val="-1"/>
              </w:rPr>
              <w:t>表</w:t>
            </w:r>
            <w:r>
              <w:rPr>
                <w:rFonts w:ascii="Times New Roman" w:hAnsi="Times New Roman" w:eastAsia="Times New Roman" w:cs="Times New Roman"/>
                <w:b/>
                <w:bCs/>
                <w:spacing w:val="-1"/>
              </w:rPr>
              <w:t>2.11-3  </w:t>
            </w:r>
            <w:r>
              <w:rPr>
                <w14:textOutline w14:w="4358" w14:cap="sq" w14:cmpd="sng">
                  <w14:solidFill>
                    <w14:srgbClr w14:val="000000"/>
                  </w14:solidFill>
                  <w14:prstDash w14:val="solid"/>
                  <w14:bevel/>
                </w14:textOutline>
                <w:spacing w:val="-1"/>
              </w:rPr>
              <w:t>本项目扩建后全厂“三本账</w:t>
            </w:r>
            <w:r>
              <w:rPr>
                <w:spacing w:val="-77"/>
              </w:rPr>
              <w:t xml:space="preserve"> </w:t>
            </w:r>
            <w:r>
              <w:rPr>
                <w14:textOutline w14:w="4358" w14:cap="sq" w14:cmpd="sng">
                  <w14:solidFill>
                    <w14:srgbClr w14:val="000000"/>
                  </w14:solidFill>
                  <w14:prstDash w14:val="solid"/>
                  <w14:bevel/>
                </w14:textOutline>
                <w:spacing w:val="-1"/>
              </w:rPr>
              <w:t>”排放情况</w:t>
            </w:r>
            <w:r>
              <w:rPr>
                <w:spacing w:val="-1"/>
              </w:rPr>
              <w:t xml:space="preserve"> </w:t>
            </w:r>
            <w:r>
              <w:rPr>
                <w14:textOutline w14:w="4358" w14:cap="sq" w14:cmpd="sng">
                  <w14:solidFill>
                    <w14:srgbClr w14:val="000000"/>
                  </w14:solidFill>
                  <w14:prstDash w14:val="solid"/>
                  <w14:bevel/>
                </w14:textOutline>
                <w:spacing w:val="-1"/>
              </w:rPr>
              <w:t>（单位：</w:t>
            </w:r>
            <w:r>
              <w:rPr>
                <w:rFonts w:ascii="Times New Roman" w:hAnsi="Times New Roman" w:eastAsia="Times New Roman" w:cs="Times New Roman"/>
                <w:b/>
                <w:bCs/>
                <w:spacing w:val="-1"/>
              </w:rPr>
              <w:t>t/a</w:t>
            </w:r>
            <w:r>
              <w:rPr>
                <w14:textOutline w14:w="4358" w14:cap="sq" w14:cmpd="sng">
                  <w14:solidFill>
                    <w14:srgbClr w14:val="000000"/>
                  </w14:solidFill>
                  <w14:prstDash w14:val="solid"/>
                  <w14:bevel/>
                </w14:textOutline>
                <w:spacing w:val="-1"/>
              </w:rPr>
              <w:t>）</w:t>
            </w:r>
          </w:p>
          <w:tbl>
            <w:tblPr>
              <w:tblStyle w:val="TableNormal"/>
              <w:tblW w:w="7847" w:type="dxa"/>
              <w:tblInd w:w="10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62"/>
              <w:gridCol w:w="1671"/>
              <w:gridCol w:w="1154"/>
              <w:gridCol w:w="1168"/>
              <w:gridCol w:w="1409"/>
              <w:gridCol w:w="1783"/>
            </w:tblGrid>
            <w:tr>
              <w:trPr>
                <w:trHeight w:val="645" w:hRule="atLeast"/>
              </w:trPr>
              <w:tc>
                <w:tcPr>
                  <w:tcW w:w="2333" w:type="dxa"/>
                  <w:vAlign w:val="top"/>
                  <w:gridSpan w:val="2"/>
                  <w:tcBorders>
                    <w:left w:val="nil"/>
                    <w:top w:val="single" w:color="000000" w:sz="10" w:space="0"/>
                  </w:tcBorders>
                </w:tcPr>
                <w:p>
                  <w:pPr>
                    <w:pStyle w:val="TableText"/>
                    <w:ind w:left="966" w:right="116" w:hanging="852"/>
                    <w:spacing w:before="82" w:line="255" w:lineRule="auto"/>
                    <w:rPr>
                      <w:sz w:val="20"/>
                      <w:szCs w:val="20"/>
                    </w:rPr>
                  </w:pPr>
                  <w:r>
                    <w:rPr>
                      <w:sz w:val="20"/>
                      <w:szCs w:val="20"/>
                      <w:spacing w:val="6"/>
                    </w:rPr>
                    <w:t>“三废</w:t>
                  </w:r>
                  <w:r>
                    <w:rPr>
                      <w:sz w:val="20"/>
                      <w:szCs w:val="20"/>
                      <w:spacing w:val="-62"/>
                    </w:rPr>
                    <w:t xml:space="preserve"> </w:t>
                  </w:r>
                  <w:r>
                    <w:rPr>
                      <w:sz w:val="20"/>
                      <w:szCs w:val="20"/>
                      <w:spacing w:val="6"/>
                    </w:rPr>
                    <w:t>”污染物类别与</w:t>
                  </w:r>
                  <w:r>
                    <w:rPr>
                      <w:sz w:val="20"/>
                      <w:szCs w:val="20"/>
                    </w:rPr>
                    <w:t xml:space="preserve"> </w:t>
                  </w:r>
                  <w:r>
                    <w:rPr>
                      <w:sz w:val="20"/>
                      <w:szCs w:val="20"/>
                      <w:spacing w:val="3"/>
                    </w:rPr>
                    <w:t>名称</w:t>
                  </w:r>
                </w:p>
              </w:tc>
              <w:tc>
                <w:tcPr>
                  <w:tcW w:w="1154" w:type="dxa"/>
                  <w:vAlign w:val="top"/>
                  <w:tcBorders>
                    <w:top w:val="single" w:color="000000" w:sz="10" w:space="0"/>
                  </w:tcBorders>
                </w:tcPr>
                <w:p>
                  <w:pPr>
                    <w:pStyle w:val="TableText"/>
                    <w:ind w:left="267" w:right="156" w:hanging="103"/>
                    <w:spacing w:before="82" w:line="255" w:lineRule="auto"/>
                    <w:rPr>
                      <w:sz w:val="20"/>
                      <w:szCs w:val="20"/>
                    </w:rPr>
                  </w:pPr>
                  <w:r>
                    <w:rPr>
                      <w:sz w:val="20"/>
                      <w:szCs w:val="20"/>
                      <w:spacing w:val="6"/>
                    </w:rPr>
                    <w:t>现有工程</w:t>
                  </w:r>
                  <w:r>
                    <w:rPr>
                      <w:sz w:val="20"/>
                      <w:szCs w:val="20"/>
                      <w:spacing w:val="2"/>
                    </w:rPr>
                    <w:t xml:space="preserve"> </w:t>
                  </w:r>
                  <w:r>
                    <w:rPr>
                      <w:sz w:val="20"/>
                      <w:szCs w:val="20"/>
                      <w:spacing w:val="6"/>
                    </w:rPr>
                    <w:t>排放量</w:t>
                  </w:r>
                </w:p>
              </w:tc>
              <w:tc>
                <w:tcPr>
                  <w:tcW w:w="1168" w:type="dxa"/>
                  <w:vAlign w:val="top"/>
                  <w:tcBorders>
                    <w:top w:val="single" w:color="000000" w:sz="10" w:space="0"/>
                  </w:tcBorders>
                </w:tcPr>
                <w:p>
                  <w:pPr>
                    <w:pStyle w:val="TableText"/>
                    <w:ind w:left="377" w:right="163" w:hanging="207"/>
                    <w:spacing w:before="82" w:line="255" w:lineRule="auto"/>
                    <w:rPr>
                      <w:sz w:val="20"/>
                      <w:szCs w:val="20"/>
                    </w:rPr>
                  </w:pPr>
                  <w:r>
                    <w:rPr>
                      <w:sz w:val="20"/>
                      <w:szCs w:val="20"/>
                      <w:spacing w:val="7"/>
                    </w:rPr>
                    <w:t>本项目排</w:t>
                  </w:r>
                  <w:r>
                    <w:rPr>
                      <w:sz w:val="20"/>
                      <w:szCs w:val="20"/>
                    </w:rPr>
                    <w:t xml:space="preserve"> </w:t>
                  </w:r>
                  <w:r>
                    <w:rPr>
                      <w:sz w:val="20"/>
                      <w:szCs w:val="20"/>
                      <w:spacing w:val="4"/>
                    </w:rPr>
                    <w:t>放量</w:t>
                  </w:r>
                </w:p>
              </w:tc>
              <w:tc>
                <w:tcPr>
                  <w:tcW w:w="1409" w:type="dxa"/>
                  <w:vAlign w:val="top"/>
                  <w:tcBorders>
                    <w:top w:val="single" w:color="000000" w:sz="10" w:space="0"/>
                  </w:tcBorders>
                </w:tcPr>
                <w:p>
                  <w:pPr>
                    <w:pStyle w:val="TableText"/>
                    <w:ind w:left="386" w:hanging="281"/>
                    <w:spacing w:before="82" w:line="255" w:lineRule="auto"/>
                    <w:rPr>
                      <w:sz w:val="20"/>
                      <w:szCs w:val="20"/>
                    </w:rPr>
                  </w:pPr>
                  <w:r>
                    <w:rPr>
                      <w:sz w:val="20"/>
                      <w:szCs w:val="20"/>
                      <w:spacing w:val="6"/>
                    </w:rPr>
                    <w:t>“</w:t>
                  </w:r>
                  <w:r>
                    <w:rPr>
                      <w:sz w:val="20"/>
                      <w:szCs w:val="20"/>
                      <w:spacing w:val="-68"/>
                    </w:rPr>
                    <w:t xml:space="preserve"> </w:t>
                  </w:r>
                  <w:r>
                    <w:rPr>
                      <w:sz w:val="20"/>
                      <w:szCs w:val="20"/>
                      <w:spacing w:val="6"/>
                    </w:rPr>
                    <w:t>以新带老</w:t>
                  </w:r>
                  <w:r>
                    <w:rPr>
                      <w:sz w:val="20"/>
                      <w:szCs w:val="20"/>
                      <w:spacing w:val="-71"/>
                    </w:rPr>
                    <w:t xml:space="preserve"> </w:t>
                  </w:r>
                  <w:r>
                    <w:rPr>
                      <w:sz w:val="20"/>
                      <w:szCs w:val="20"/>
                      <w:spacing w:val="6"/>
                    </w:rPr>
                    <w:t>”</w:t>
                  </w:r>
                  <w:r>
                    <w:rPr>
                      <w:sz w:val="20"/>
                      <w:szCs w:val="20"/>
                    </w:rPr>
                    <w:t xml:space="preserve"> </w:t>
                  </w:r>
                  <w:r>
                    <w:rPr>
                      <w:sz w:val="20"/>
                      <w:szCs w:val="20"/>
                      <w:spacing w:val="-4"/>
                    </w:rPr>
                    <w:t>消减量</w:t>
                  </w:r>
                </w:p>
              </w:tc>
              <w:tc>
                <w:tcPr>
                  <w:tcW w:w="1783" w:type="dxa"/>
                  <w:vAlign w:val="top"/>
                  <w:tcBorders>
                    <w:right w:val="nil"/>
                    <w:top w:val="single" w:color="000000" w:sz="10" w:space="0"/>
                  </w:tcBorders>
                </w:tcPr>
                <w:p>
                  <w:pPr>
                    <w:pStyle w:val="TableText"/>
                    <w:ind w:left="480" w:right="156" w:hanging="316"/>
                    <w:spacing w:before="82" w:line="255" w:lineRule="auto"/>
                    <w:rPr>
                      <w:sz w:val="20"/>
                      <w:szCs w:val="20"/>
                    </w:rPr>
                  </w:pPr>
                  <w:r>
                    <w:rPr>
                      <w:sz w:val="20"/>
                      <w:szCs w:val="20"/>
                      <w:spacing w:val="8"/>
                    </w:rPr>
                    <w:t>本项目建成后全</w:t>
                  </w:r>
                  <w:r>
                    <w:rPr>
                      <w:sz w:val="20"/>
                      <w:szCs w:val="20"/>
                      <w:spacing w:val="2"/>
                    </w:rPr>
                    <w:t xml:space="preserve"> </w:t>
                  </w:r>
                  <w:r>
                    <w:rPr>
                      <w:sz w:val="20"/>
                      <w:szCs w:val="20"/>
                      <w:spacing w:val="6"/>
                    </w:rPr>
                    <w:t>厂排放量</w:t>
                  </w:r>
                </w:p>
              </w:tc>
            </w:tr>
            <w:tr>
              <w:trPr>
                <w:trHeight w:val="322" w:hRule="atLeast"/>
              </w:trPr>
              <w:tc>
                <w:tcPr>
                  <w:tcW w:w="662" w:type="dxa"/>
                  <w:vAlign w:val="top"/>
                  <w:tcBorders>
                    <w:left w:val="nil"/>
                  </w:tcBorders>
                </w:tcPr>
                <w:p>
                  <w:pPr>
                    <w:pStyle w:val="TableText"/>
                    <w:ind w:left="128"/>
                    <w:spacing w:before="82" w:line="212" w:lineRule="auto"/>
                    <w:rPr>
                      <w:sz w:val="20"/>
                      <w:szCs w:val="20"/>
                    </w:rPr>
                  </w:pPr>
                  <w:r>
                    <w:rPr>
                      <w:sz w:val="20"/>
                      <w:szCs w:val="20"/>
                      <w:spacing w:val="5"/>
                    </w:rPr>
                    <w:t>废气</w:t>
                  </w:r>
                </w:p>
              </w:tc>
              <w:tc>
                <w:tcPr>
                  <w:tcW w:w="1671" w:type="dxa"/>
                  <w:vAlign w:val="top"/>
                </w:tcPr>
                <w:p>
                  <w:pPr>
                    <w:pStyle w:val="TableText"/>
                    <w:ind w:left="319"/>
                    <w:spacing w:before="82" w:line="212" w:lineRule="auto"/>
                    <w:rPr>
                      <w:sz w:val="20"/>
                      <w:szCs w:val="20"/>
                    </w:rPr>
                  </w:pPr>
                  <w:r>
                    <w:rPr>
                      <w:sz w:val="20"/>
                      <w:szCs w:val="20"/>
                      <w:spacing w:val="7"/>
                    </w:rPr>
                    <w:t>非甲烷总烃</w:t>
                  </w:r>
                </w:p>
              </w:tc>
              <w:tc>
                <w:tcPr>
                  <w:tcW w:w="1154" w:type="dxa"/>
                  <w:vAlign w:val="top"/>
                </w:tcPr>
                <w:p>
                  <w:pPr>
                    <w:ind w:left="293"/>
                    <w:spacing w:before="11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0.0603</w:t>
                  </w:r>
                </w:p>
              </w:tc>
              <w:tc>
                <w:tcPr>
                  <w:tcW w:w="1168" w:type="dxa"/>
                  <w:vAlign w:val="top"/>
                </w:tcPr>
                <w:p>
                  <w:pPr>
                    <w:ind w:left="404"/>
                    <w:spacing w:before="11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0.15</w:t>
                  </w:r>
                </w:p>
              </w:tc>
              <w:tc>
                <w:tcPr>
                  <w:tcW w:w="1409" w:type="dxa"/>
                  <w:vAlign w:val="top"/>
                </w:tcPr>
                <w:p>
                  <w:pPr>
                    <w:ind w:left="657"/>
                    <w:spacing w:before="11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783" w:type="dxa"/>
                  <w:vAlign w:val="top"/>
                  <w:tcBorders>
                    <w:right w:val="nil"/>
                  </w:tcBorders>
                </w:tcPr>
                <w:p>
                  <w:pPr>
                    <w:ind w:left="606"/>
                    <w:spacing w:before="11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0.6803</w:t>
                  </w:r>
                </w:p>
              </w:tc>
            </w:tr>
            <w:tr>
              <w:trPr>
                <w:trHeight w:val="322" w:hRule="atLeast"/>
              </w:trPr>
              <w:tc>
                <w:tcPr>
                  <w:tcW w:w="662" w:type="dxa"/>
                  <w:vAlign w:val="top"/>
                  <w:tcBorders>
                    <w:left w:val="nil"/>
                  </w:tcBorders>
                </w:tcPr>
                <w:p>
                  <w:pPr>
                    <w:pStyle w:val="TableText"/>
                    <w:ind w:left="128"/>
                    <w:spacing w:before="83" w:line="211" w:lineRule="auto"/>
                    <w:rPr>
                      <w:sz w:val="20"/>
                      <w:szCs w:val="20"/>
                    </w:rPr>
                  </w:pPr>
                  <w:r>
                    <w:rPr>
                      <w:sz w:val="20"/>
                      <w:szCs w:val="20"/>
                      <w:spacing w:val="5"/>
                    </w:rPr>
                    <w:t>废水</w:t>
                  </w:r>
                </w:p>
              </w:tc>
              <w:tc>
                <w:tcPr>
                  <w:tcW w:w="1671" w:type="dxa"/>
                  <w:vAlign w:val="top"/>
                </w:tcPr>
                <w:p>
                  <w:pPr>
                    <w:pStyle w:val="TableText"/>
                    <w:ind w:left="524"/>
                    <w:spacing w:before="83" w:line="211" w:lineRule="auto"/>
                    <w:rPr>
                      <w:sz w:val="20"/>
                      <w:szCs w:val="20"/>
                    </w:rPr>
                  </w:pPr>
                  <w:r>
                    <w:rPr>
                      <w:sz w:val="20"/>
                      <w:szCs w:val="20"/>
                      <w:spacing w:val="7"/>
                    </w:rPr>
                    <w:t>废水量</w:t>
                  </w:r>
                </w:p>
              </w:tc>
              <w:tc>
                <w:tcPr>
                  <w:tcW w:w="1154" w:type="dxa"/>
                  <w:vAlign w:val="top"/>
                </w:tcPr>
                <w:p>
                  <w:pPr>
                    <w:ind w:left="397"/>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0.06</w:t>
                  </w:r>
                </w:p>
              </w:tc>
              <w:tc>
                <w:tcPr>
                  <w:tcW w:w="1168" w:type="dxa"/>
                  <w:vAlign w:val="top"/>
                </w:tcPr>
                <w:p>
                  <w:pPr>
                    <w:ind w:left="536"/>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409" w:type="dxa"/>
                  <w:vAlign w:val="top"/>
                </w:tcPr>
                <w:p>
                  <w:pPr>
                    <w:ind w:left="657"/>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783" w:type="dxa"/>
                  <w:vAlign w:val="top"/>
                  <w:tcBorders>
                    <w:right w:val="nil"/>
                  </w:tcBorders>
                </w:tcPr>
                <w:p>
                  <w:pPr>
                    <w:ind w:left="712"/>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0.06</w:t>
                  </w:r>
                </w:p>
              </w:tc>
            </w:tr>
            <w:tr>
              <w:trPr>
                <w:trHeight w:val="323" w:hRule="atLeast"/>
              </w:trPr>
              <w:tc>
                <w:tcPr>
                  <w:tcW w:w="662" w:type="dxa"/>
                  <w:vAlign w:val="top"/>
                  <w:vMerge w:val="restart"/>
                  <w:tcBorders>
                    <w:left w:val="nil"/>
                    <w:bottom w:val="nil"/>
                  </w:tcBorders>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pStyle w:val="TableText"/>
                    <w:ind w:left="128" w:right="120" w:firstLine="18"/>
                    <w:spacing w:before="65" w:line="261" w:lineRule="auto"/>
                    <w:rPr>
                      <w:sz w:val="20"/>
                      <w:szCs w:val="20"/>
                    </w:rPr>
                  </w:pPr>
                  <w:r>
                    <w:rPr>
                      <w:sz w:val="20"/>
                      <w:szCs w:val="20"/>
                      <w:spacing w:val="-5"/>
                    </w:rPr>
                    <w:t>固体</w:t>
                  </w:r>
                  <w:r>
                    <w:rPr>
                      <w:sz w:val="20"/>
                      <w:szCs w:val="20"/>
                    </w:rPr>
                    <w:t xml:space="preserve"> </w:t>
                  </w:r>
                  <w:r>
                    <w:rPr>
                      <w:sz w:val="20"/>
                      <w:szCs w:val="20"/>
                      <w:spacing w:val="5"/>
                    </w:rPr>
                    <w:t>废物</w:t>
                  </w:r>
                </w:p>
              </w:tc>
              <w:tc>
                <w:tcPr>
                  <w:tcW w:w="1671" w:type="dxa"/>
                  <w:vAlign w:val="top"/>
                </w:tcPr>
                <w:p>
                  <w:pPr>
                    <w:pStyle w:val="TableText"/>
                    <w:ind w:left="524"/>
                    <w:spacing w:before="87" w:line="208" w:lineRule="auto"/>
                    <w:rPr>
                      <w:sz w:val="20"/>
                      <w:szCs w:val="20"/>
                    </w:rPr>
                  </w:pPr>
                  <w:r>
                    <w:rPr>
                      <w:sz w:val="20"/>
                      <w:szCs w:val="20"/>
                      <w:spacing w:val="7"/>
                    </w:rPr>
                    <w:t>边角料</w:t>
                  </w:r>
                </w:p>
              </w:tc>
              <w:tc>
                <w:tcPr>
                  <w:tcW w:w="1154" w:type="dxa"/>
                  <w:vAlign w:val="top"/>
                </w:tcPr>
                <w:p>
                  <w:pPr>
                    <w:ind w:left="530"/>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68" w:type="dxa"/>
                  <w:vAlign w:val="top"/>
                </w:tcPr>
                <w:p>
                  <w:pPr>
                    <w:ind w:left="500"/>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1409" w:type="dxa"/>
                  <w:vAlign w:val="top"/>
                </w:tcPr>
                <w:p>
                  <w:pPr>
                    <w:ind w:left="657"/>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783" w:type="dxa"/>
                  <w:vAlign w:val="top"/>
                  <w:tcBorders>
                    <w:right w:val="nil"/>
                  </w:tcBorders>
                </w:tcPr>
                <w:p>
                  <w:pPr>
                    <w:ind w:left="808"/>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13</w:t>
                  </w:r>
                </w:p>
              </w:tc>
            </w:tr>
            <w:tr>
              <w:trPr>
                <w:trHeight w:val="323" w:hRule="atLeast"/>
              </w:trPr>
              <w:tc>
                <w:tcPr>
                  <w:tcW w:w="662" w:type="dxa"/>
                  <w:vAlign w:val="top"/>
                  <w:vMerge w:val="continue"/>
                  <w:tcBorders>
                    <w:left w:val="nil"/>
                    <w:bottom w:val="nil"/>
                    <w:top w:val="nil"/>
                  </w:tcBorders>
                </w:tcPr>
                <w:p>
                  <w:pPr>
                    <w:rPr>
                      <w:rFonts w:ascii="Arial"/>
                      <w:sz w:val="21"/>
                    </w:rPr>
                  </w:pPr>
                  <w:r/>
                </w:p>
              </w:tc>
              <w:tc>
                <w:tcPr>
                  <w:tcW w:w="1671" w:type="dxa"/>
                  <w:vAlign w:val="top"/>
                </w:tcPr>
                <w:p>
                  <w:pPr>
                    <w:pStyle w:val="TableText"/>
                    <w:ind w:left="315"/>
                    <w:spacing w:before="88" w:line="207" w:lineRule="auto"/>
                    <w:rPr>
                      <w:sz w:val="20"/>
                      <w:szCs w:val="20"/>
                    </w:rPr>
                  </w:pPr>
                  <w:r>
                    <w:rPr>
                      <w:sz w:val="20"/>
                      <w:szCs w:val="20"/>
                      <w:spacing w:val="8"/>
                    </w:rPr>
                    <w:t>废弃包装袋</w:t>
                  </w:r>
                </w:p>
              </w:tc>
              <w:tc>
                <w:tcPr>
                  <w:tcW w:w="1154" w:type="dxa"/>
                  <w:vAlign w:val="top"/>
                </w:tcPr>
                <w:p>
                  <w:pPr>
                    <w:ind w:left="546"/>
                    <w:spacing w:before="213" w:line="96"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c>
                <w:tcPr>
                  <w:tcW w:w="1168" w:type="dxa"/>
                  <w:vAlign w:val="top"/>
                </w:tcPr>
                <w:p>
                  <w:pPr>
                    <w:ind w:left="421"/>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1.54</w:t>
                  </w:r>
                </w:p>
              </w:tc>
              <w:tc>
                <w:tcPr>
                  <w:tcW w:w="1409" w:type="dxa"/>
                  <w:vAlign w:val="top"/>
                </w:tcPr>
                <w:p>
                  <w:pPr>
                    <w:ind w:left="657"/>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783" w:type="dxa"/>
                  <w:vAlign w:val="top"/>
                  <w:tcBorders>
                    <w:right w:val="nil"/>
                  </w:tcBorders>
                </w:tcPr>
                <w:p>
                  <w:pPr>
                    <w:ind w:left="729"/>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1.54</w:t>
                  </w:r>
                </w:p>
              </w:tc>
            </w:tr>
            <w:tr>
              <w:trPr>
                <w:trHeight w:val="323" w:hRule="atLeast"/>
              </w:trPr>
              <w:tc>
                <w:tcPr>
                  <w:tcW w:w="662" w:type="dxa"/>
                  <w:vAlign w:val="top"/>
                  <w:vMerge w:val="continue"/>
                  <w:tcBorders>
                    <w:left w:val="nil"/>
                    <w:bottom w:val="nil"/>
                    <w:top w:val="nil"/>
                  </w:tcBorders>
                </w:tcPr>
                <w:p>
                  <w:pPr>
                    <w:rPr>
                      <w:rFonts w:ascii="Arial"/>
                      <w:sz w:val="21"/>
                    </w:rPr>
                  </w:pPr>
                  <w:r/>
                </w:p>
              </w:tc>
              <w:tc>
                <w:tcPr>
                  <w:tcW w:w="1671" w:type="dxa"/>
                  <w:vAlign w:val="top"/>
                </w:tcPr>
                <w:p>
                  <w:pPr>
                    <w:pStyle w:val="TableText"/>
                    <w:ind w:left="421"/>
                    <w:spacing w:before="92" w:line="204" w:lineRule="auto"/>
                    <w:rPr>
                      <w:sz w:val="20"/>
                      <w:szCs w:val="20"/>
                    </w:rPr>
                  </w:pPr>
                  <w:r>
                    <w:rPr>
                      <w:sz w:val="20"/>
                      <w:szCs w:val="20"/>
                      <w:spacing w:val="6"/>
                    </w:rPr>
                    <w:t>生活垃圾</w:t>
                  </w:r>
                </w:p>
              </w:tc>
              <w:tc>
                <w:tcPr>
                  <w:tcW w:w="1154" w:type="dxa"/>
                  <w:vAlign w:val="top"/>
                </w:tcPr>
                <w:p>
                  <w:pPr>
                    <w:ind w:left="450"/>
                    <w:spacing w:before="13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1168" w:type="dxa"/>
                  <w:vAlign w:val="top"/>
                </w:tcPr>
                <w:p>
                  <w:pPr>
                    <w:ind w:left="536"/>
                    <w:spacing w:before="12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409" w:type="dxa"/>
                  <w:vAlign w:val="top"/>
                </w:tcPr>
                <w:p>
                  <w:pPr>
                    <w:ind w:left="657"/>
                    <w:spacing w:before="12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783" w:type="dxa"/>
                  <w:vAlign w:val="top"/>
                  <w:tcBorders>
                    <w:right w:val="nil"/>
                  </w:tcBorders>
                </w:tcPr>
                <w:p>
                  <w:pPr>
                    <w:ind w:left="765"/>
                    <w:spacing w:before="13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r>
            <w:tr>
              <w:trPr>
                <w:trHeight w:val="323" w:hRule="atLeast"/>
              </w:trPr>
              <w:tc>
                <w:tcPr>
                  <w:tcW w:w="662" w:type="dxa"/>
                  <w:vAlign w:val="top"/>
                  <w:vMerge w:val="continue"/>
                  <w:tcBorders>
                    <w:left w:val="nil"/>
                    <w:bottom w:val="nil"/>
                    <w:top w:val="nil"/>
                  </w:tcBorders>
                </w:tcPr>
                <w:p>
                  <w:pPr>
                    <w:rPr>
                      <w:rFonts w:ascii="Arial"/>
                      <w:sz w:val="21"/>
                    </w:rPr>
                  </w:pPr>
                  <w:r/>
                </w:p>
              </w:tc>
              <w:tc>
                <w:tcPr>
                  <w:tcW w:w="1671" w:type="dxa"/>
                  <w:vAlign w:val="top"/>
                </w:tcPr>
                <w:p>
                  <w:pPr>
                    <w:pStyle w:val="TableText"/>
                    <w:ind w:left="164"/>
                    <w:spacing w:before="93" w:line="203" w:lineRule="auto"/>
                    <w:rPr>
                      <w:sz w:val="20"/>
                      <w:szCs w:val="20"/>
                    </w:rPr>
                  </w:pPr>
                  <w:r>
                    <w:rPr>
                      <w:sz w:val="20"/>
                      <w:szCs w:val="20"/>
                      <w:spacing w:val="10"/>
                    </w:rPr>
                    <w:t>废</w:t>
                  </w:r>
                  <w:r>
                    <w:rPr>
                      <w:rFonts w:ascii="Times New Roman" w:hAnsi="Times New Roman" w:eastAsia="Times New Roman" w:cs="Times New Roman"/>
                      <w:sz w:val="20"/>
                      <w:szCs w:val="20"/>
                    </w:rPr>
                    <w:t>UV</w:t>
                  </w:r>
                  <w:r>
                    <w:rPr>
                      <w:sz w:val="20"/>
                      <w:szCs w:val="20"/>
                      <w:spacing w:val="10"/>
                    </w:rPr>
                    <w:t>光氧灯管</w:t>
                  </w:r>
                </w:p>
              </w:tc>
              <w:tc>
                <w:tcPr>
                  <w:tcW w:w="1154" w:type="dxa"/>
                  <w:vAlign w:val="top"/>
                </w:tcPr>
                <w:p>
                  <w:pPr>
                    <w:ind w:left="449"/>
                    <w:spacing w:before="12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c>
                <w:tcPr>
                  <w:tcW w:w="1168" w:type="dxa"/>
                  <w:vAlign w:val="top"/>
                </w:tcPr>
                <w:p>
                  <w:pPr>
                    <w:ind w:left="536"/>
                    <w:spacing w:before="12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409" w:type="dxa"/>
                  <w:vAlign w:val="top"/>
                </w:tcPr>
                <w:p>
                  <w:pPr>
                    <w:ind w:left="657"/>
                    <w:spacing w:before="12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783" w:type="dxa"/>
                  <w:vAlign w:val="top"/>
                  <w:tcBorders>
                    <w:right w:val="nil"/>
                  </w:tcBorders>
                </w:tcPr>
                <w:p>
                  <w:pPr>
                    <w:ind w:left="765"/>
                    <w:spacing w:before="12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r>
            <w:tr>
              <w:trPr>
                <w:trHeight w:val="323" w:hRule="atLeast"/>
              </w:trPr>
              <w:tc>
                <w:tcPr>
                  <w:tcW w:w="662" w:type="dxa"/>
                  <w:vAlign w:val="top"/>
                  <w:vMerge w:val="continue"/>
                  <w:tcBorders>
                    <w:left w:val="nil"/>
                    <w:bottom w:val="nil"/>
                    <w:top w:val="nil"/>
                  </w:tcBorders>
                </w:tcPr>
                <w:p>
                  <w:pPr>
                    <w:rPr>
                      <w:rFonts w:ascii="Arial"/>
                      <w:sz w:val="21"/>
                    </w:rPr>
                  </w:pPr>
                  <w:r/>
                </w:p>
              </w:tc>
              <w:tc>
                <w:tcPr>
                  <w:tcW w:w="1671" w:type="dxa"/>
                  <w:vAlign w:val="top"/>
                </w:tcPr>
                <w:p>
                  <w:pPr>
                    <w:pStyle w:val="TableText"/>
                    <w:ind w:left="418"/>
                    <w:spacing w:before="96" w:line="200" w:lineRule="auto"/>
                    <w:rPr>
                      <w:sz w:val="20"/>
                      <w:szCs w:val="20"/>
                    </w:rPr>
                  </w:pPr>
                  <w:r>
                    <w:rPr>
                      <w:sz w:val="20"/>
                      <w:szCs w:val="20"/>
                      <w:spacing w:val="7"/>
                    </w:rPr>
                    <w:t>废催化剂</w:t>
                  </w:r>
                </w:p>
              </w:tc>
              <w:tc>
                <w:tcPr>
                  <w:tcW w:w="1154" w:type="dxa"/>
                  <w:vAlign w:val="top"/>
                </w:tcPr>
                <w:p>
                  <w:pPr>
                    <w:ind w:left="546"/>
                    <w:spacing w:before="220" w:line="92"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c>
                <w:tcPr>
                  <w:tcW w:w="1168" w:type="dxa"/>
                  <w:vAlign w:val="top"/>
                </w:tcPr>
                <w:p>
                  <w:pPr>
                    <w:ind w:left="457"/>
                    <w:spacing w:before="131"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c>
                <w:tcPr>
                  <w:tcW w:w="1409" w:type="dxa"/>
                  <w:vAlign w:val="top"/>
                </w:tcPr>
                <w:p>
                  <w:pPr>
                    <w:ind w:left="657"/>
                    <w:spacing w:before="131"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783" w:type="dxa"/>
                  <w:vAlign w:val="top"/>
                  <w:tcBorders>
                    <w:right w:val="nil"/>
                  </w:tcBorders>
                </w:tcPr>
                <w:p>
                  <w:pPr>
                    <w:ind w:left="765"/>
                    <w:spacing w:before="131"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r>
            <w:tr>
              <w:trPr>
                <w:trHeight w:val="323" w:hRule="atLeast"/>
              </w:trPr>
              <w:tc>
                <w:tcPr>
                  <w:tcW w:w="662" w:type="dxa"/>
                  <w:vAlign w:val="top"/>
                  <w:vMerge w:val="continue"/>
                  <w:tcBorders>
                    <w:left w:val="nil"/>
                    <w:bottom w:val="nil"/>
                    <w:top w:val="nil"/>
                  </w:tcBorders>
                </w:tcPr>
                <w:p>
                  <w:pPr>
                    <w:rPr>
                      <w:rFonts w:ascii="Arial"/>
                      <w:sz w:val="21"/>
                    </w:rPr>
                  </w:pPr>
                  <w:r/>
                </w:p>
              </w:tc>
              <w:tc>
                <w:tcPr>
                  <w:tcW w:w="1671" w:type="dxa"/>
                  <w:vAlign w:val="top"/>
                </w:tcPr>
                <w:p>
                  <w:pPr>
                    <w:pStyle w:val="TableText"/>
                    <w:ind w:left="418"/>
                    <w:spacing w:before="96" w:line="200" w:lineRule="auto"/>
                    <w:rPr>
                      <w:sz w:val="20"/>
                      <w:szCs w:val="20"/>
                    </w:rPr>
                  </w:pPr>
                  <w:r>
                    <w:rPr>
                      <w:sz w:val="20"/>
                      <w:szCs w:val="20"/>
                      <w:spacing w:val="7"/>
                    </w:rPr>
                    <w:t>废活性炭</w:t>
                  </w:r>
                </w:p>
              </w:tc>
              <w:tc>
                <w:tcPr>
                  <w:tcW w:w="1154" w:type="dxa"/>
                  <w:vAlign w:val="top"/>
                </w:tcPr>
                <w:p>
                  <w:pPr>
                    <w:ind w:left="546"/>
                    <w:spacing w:before="221" w:line="9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c>
                <w:tcPr>
                  <w:tcW w:w="1168" w:type="dxa"/>
                  <w:vAlign w:val="top"/>
                </w:tcPr>
                <w:p>
                  <w:pPr>
                    <w:ind w:left="404"/>
                    <w:spacing w:before="132"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0.51</w:t>
                  </w:r>
                </w:p>
              </w:tc>
              <w:tc>
                <w:tcPr>
                  <w:tcW w:w="1409" w:type="dxa"/>
                  <w:vAlign w:val="top"/>
                </w:tcPr>
                <w:p>
                  <w:pPr>
                    <w:ind w:left="657"/>
                    <w:spacing w:before="132"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783" w:type="dxa"/>
                  <w:vAlign w:val="top"/>
                  <w:tcBorders>
                    <w:right w:val="nil"/>
                  </w:tcBorders>
                </w:tcPr>
                <w:p>
                  <w:pPr>
                    <w:ind w:left="712"/>
                    <w:spacing w:before="132"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0.51</w:t>
                  </w:r>
                </w:p>
              </w:tc>
            </w:tr>
            <w:tr>
              <w:trPr>
                <w:trHeight w:val="346" w:hRule="atLeast"/>
              </w:trPr>
              <w:tc>
                <w:tcPr>
                  <w:tcW w:w="662" w:type="dxa"/>
                  <w:vAlign w:val="top"/>
                  <w:vMerge w:val="continue"/>
                  <w:tcBorders>
                    <w:left w:val="nil"/>
                    <w:bottom w:val="single" w:color="000000" w:sz="10" w:space="0"/>
                    <w:top w:val="nil"/>
                  </w:tcBorders>
                </w:tcPr>
                <w:p>
                  <w:pPr>
                    <w:rPr>
                      <w:rFonts w:ascii="Arial"/>
                      <w:sz w:val="21"/>
                    </w:rPr>
                  </w:pPr>
                  <w:r/>
                </w:p>
              </w:tc>
              <w:tc>
                <w:tcPr>
                  <w:tcW w:w="1671" w:type="dxa"/>
                  <w:vAlign w:val="top"/>
                  <w:tcBorders>
                    <w:bottom w:val="single" w:color="000000" w:sz="10" w:space="0"/>
                  </w:tcBorders>
                </w:tcPr>
                <w:p>
                  <w:pPr>
                    <w:pStyle w:val="TableText"/>
                    <w:ind w:left="524"/>
                    <w:spacing w:before="99" w:line="218" w:lineRule="auto"/>
                    <w:rPr>
                      <w:sz w:val="20"/>
                      <w:szCs w:val="20"/>
                    </w:rPr>
                  </w:pPr>
                  <w:r>
                    <w:rPr>
                      <w:sz w:val="20"/>
                      <w:szCs w:val="20"/>
                      <w:spacing w:val="7"/>
                    </w:rPr>
                    <w:t>废机油</w:t>
                  </w:r>
                </w:p>
              </w:tc>
              <w:tc>
                <w:tcPr>
                  <w:tcW w:w="1154" w:type="dxa"/>
                  <w:vAlign w:val="top"/>
                  <w:tcBorders>
                    <w:bottom w:val="single" w:color="000000" w:sz="10" w:space="0"/>
                  </w:tcBorders>
                </w:tcPr>
                <w:p>
                  <w:pPr>
                    <w:ind w:left="449"/>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c>
                <w:tcPr>
                  <w:tcW w:w="1168" w:type="dxa"/>
                  <w:vAlign w:val="top"/>
                  <w:tcBorders>
                    <w:bottom w:val="single" w:color="000000" w:sz="10" w:space="0"/>
                  </w:tcBorders>
                </w:tcPr>
                <w:p>
                  <w:pPr>
                    <w:ind w:left="457"/>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c>
                <w:tcPr>
                  <w:tcW w:w="1409" w:type="dxa"/>
                  <w:vAlign w:val="top"/>
                  <w:tcBorders>
                    <w:bottom w:val="single" w:color="000000" w:sz="10" w:space="0"/>
                  </w:tcBorders>
                </w:tcPr>
                <w:p>
                  <w:pPr>
                    <w:ind w:left="657"/>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783" w:type="dxa"/>
                  <w:vAlign w:val="top"/>
                  <w:tcBorders>
                    <w:right w:val="nil"/>
                    <w:bottom w:val="single" w:color="000000" w:sz="10" w:space="0"/>
                  </w:tcBorders>
                </w:tcPr>
                <w:p>
                  <w:pPr>
                    <w:ind w:left="861"/>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bl>
          <w:p>
            <w:pPr>
              <w:pStyle w:val="TableText"/>
              <w:ind w:left="590"/>
              <w:spacing w:before="196" w:line="219" w:lineRule="auto"/>
              <w:outlineLvl w:val="2"/>
              <w:rPr/>
            </w:pPr>
            <w:r>
              <w:rPr>
                <w:rFonts w:ascii="Times New Roman" w:hAnsi="Times New Roman" w:eastAsia="Times New Roman" w:cs="Times New Roman"/>
                <w:b/>
                <w:bCs/>
              </w:rPr>
              <w:t>2.11.6  </w:t>
            </w:r>
            <w:r>
              <w:rPr>
                <w14:textOutline w14:w="4358" w14:cap="sq" w14:cmpd="sng">
                  <w14:solidFill>
                    <w14:srgbClr w14:val="000000"/>
                  </w14:solidFill>
                  <w14:prstDash w14:val="solid"/>
                  <w14:bevel/>
                </w14:textOutline>
              </w:rPr>
              <w:t>现有工程存在的问题及整改措施</w:t>
            </w:r>
          </w:p>
          <w:p>
            <w:pPr>
              <w:pStyle w:val="TableText"/>
              <w:ind w:left="605"/>
              <w:spacing w:before="215" w:line="219" w:lineRule="auto"/>
              <w:rPr/>
            </w:pPr>
            <w:r>
              <w:rPr>
                <w:spacing w:val="-2"/>
              </w:rPr>
              <w:t>（</w:t>
            </w:r>
            <w:r>
              <w:rPr>
                <w:rFonts w:ascii="Times New Roman" w:hAnsi="Times New Roman" w:eastAsia="Times New Roman" w:cs="Times New Roman"/>
                <w:spacing w:val="-2"/>
              </w:rPr>
              <w:t>1</w:t>
            </w:r>
            <w:r>
              <w:rPr>
                <w:spacing w:val="-2"/>
              </w:rPr>
              <w:t>）现有项目废气处理装置效率低</w:t>
            </w:r>
          </w:p>
          <w:p>
            <w:pPr>
              <w:pStyle w:val="TableText"/>
              <w:ind w:left="115" w:right="106" w:firstLine="482"/>
              <w:spacing w:before="213" w:line="385" w:lineRule="auto"/>
              <w:jc w:val="both"/>
              <w:rPr/>
            </w:pPr>
            <w:r>
              <w:rPr>
                <w:spacing w:val="2"/>
              </w:rPr>
              <w:t>企业现有项目废气采取两级</w:t>
            </w:r>
            <w:r>
              <w:rPr>
                <w:rFonts w:ascii="Times New Roman" w:hAnsi="Times New Roman" w:eastAsia="Times New Roman" w:cs="Times New Roman"/>
              </w:rPr>
              <w:t>UV</w:t>
            </w:r>
            <w:r>
              <w:rPr>
                <w:spacing w:val="2"/>
              </w:rPr>
              <w:t>光氧净化装置。根</w:t>
            </w:r>
            <w:r>
              <w:rPr>
                <w:spacing w:val="1"/>
              </w:rPr>
              <w:t>据《关于加快解决当</w:t>
            </w:r>
            <w:r>
              <w:rPr/>
              <w:t xml:space="preserve"> </w:t>
            </w:r>
            <w:r>
              <w:rPr>
                <w:spacing w:val="-3"/>
              </w:rPr>
              <w:t>前挥发性有机物治理突出问题的通知》，“新建治理设施或对现有治理设施</w:t>
            </w:r>
            <w:r>
              <w:rPr>
                <w:spacing w:val="18"/>
              </w:rPr>
              <w:t xml:space="preserve"> </w:t>
            </w:r>
            <w:r>
              <w:rPr>
                <w:spacing w:val="1"/>
              </w:rPr>
              <w:t>实施改造，应依据排放废气特征、</w:t>
            </w:r>
            <w:r>
              <w:rPr>
                <w:rFonts w:ascii="Times New Roman" w:hAnsi="Times New Roman" w:eastAsia="Times New Roman" w:cs="Times New Roman"/>
              </w:rPr>
              <w:t>VOCs</w:t>
            </w:r>
            <w:r>
              <w:rPr>
                <w:spacing w:val="1"/>
              </w:rPr>
              <w:t>组分及浓度、生产工况等，合理选</w:t>
            </w:r>
            <w:r>
              <w:rPr>
                <w:spacing w:val="8"/>
              </w:rPr>
              <w:t xml:space="preserve"> </w:t>
            </w:r>
            <w:r>
              <w:rPr>
                <w:spacing w:val="-3"/>
              </w:rPr>
              <w:t>择治理技术；对治理难度大、单一治理工艺难以稳定达标的，宜采用多种技</w:t>
            </w:r>
            <w:r>
              <w:rPr>
                <w:spacing w:val="18"/>
              </w:rPr>
              <w:t xml:space="preserve"> </w:t>
            </w:r>
            <w:r>
              <w:rPr>
                <w:spacing w:val="-3"/>
              </w:rPr>
              <w:t>术的组合工艺；除恶臭异味治理外，一般不使用低温等离子、光催化、光氧</w:t>
            </w:r>
            <w:r>
              <w:rPr>
                <w:spacing w:val="18"/>
              </w:rPr>
              <w:t xml:space="preserve"> </w:t>
            </w:r>
            <w:r>
              <w:rPr>
                <w:spacing w:val="-3"/>
              </w:rPr>
              <w:t>化等技术</w:t>
            </w:r>
            <w:r>
              <w:rPr>
                <w:spacing w:val="-88"/>
              </w:rPr>
              <w:t xml:space="preserve"> </w:t>
            </w:r>
            <w:r>
              <w:rPr>
                <w:spacing w:val="-3"/>
              </w:rPr>
              <w:t>”。企业现有废气治理装置不符合</w:t>
            </w:r>
            <w:r>
              <w:rPr>
                <w:spacing w:val="-4"/>
              </w:rPr>
              <w:t>《关于加快解决当前挥发性有机</w:t>
            </w:r>
          </w:p>
          <w:p>
            <w:pPr>
              <w:pStyle w:val="TableText"/>
              <w:ind w:left="114"/>
              <w:spacing w:before="1" w:line="219" w:lineRule="auto"/>
              <w:rPr/>
            </w:pPr>
            <w:r>
              <w:rPr>
                <w:spacing w:val="-1"/>
              </w:rPr>
              <w:t>物治理突出问题的通知》文件相关要求。</w:t>
            </w:r>
          </w:p>
          <w:p>
            <w:pPr>
              <w:pStyle w:val="TableText"/>
              <w:ind w:left="113" w:right="106" w:firstLine="481"/>
              <w:spacing w:before="216" w:line="384" w:lineRule="auto"/>
              <w:jc w:val="both"/>
              <w:rPr/>
            </w:pPr>
            <w:r>
              <w:rPr>
                <w:spacing w:val="-3"/>
              </w:rPr>
              <w:t>整改措施：本项目建设完成后，建议企业将现有项目生产过程中产生的</w:t>
            </w:r>
            <w:r>
              <w:rPr>
                <w:spacing w:val="12"/>
              </w:rPr>
              <w:t xml:space="preserve"> </w:t>
            </w:r>
            <w:r>
              <w:rPr>
                <w:spacing w:val="1"/>
              </w:rPr>
              <w:t>废气集中收集，通入本项目废气治理装置处理。本项目采用</w:t>
            </w:r>
            <w:r>
              <w:rPr/>
              <w:t>“活性炭吸附</w:t>
            </w:r>
            <w:r>
              <w:rPr>
                <w:rFonts w:ascii="Times New Roman" w:hAnsi="Times New Roman" w:eastAsia="Times New Roman" w:cs="Times New Roman"/>
              </w:rPr>
              <w:t>+ </w:t>
            </w:r>
            <w:r>
              <w:rPr>
                <w:spacing w:val="-3"/>
              </w:rPr>
              <w:t>催化燃烧装置</w:t>
            </w:r>
            <w:r>
              <w:rPr>
                <w:spacing w:val="-89"/>
              </w:rPr>
              <w:t xml:space="preserve"> </w:t>
            </w:r>
            <w:r>
              <w:rPr>
                <w:spacing w:val="-3"/>
              </w:rPr>
              <w:t>”处理，采取的废气治理措施符合</w:t>
            </w:r>
            <w:r>
              <w:rPr>
                <w:spacing w:val="-4"/>
              </w:rPr>
              <w:t>《关于加快解决当前挥发性</w:t>
            </w:r>
            <w:r>
              <w:rPr/>
              <w:t xml:space="preserve"> </w:t>
            </w:r>
            <w:r>
              <w:rPr>
                <w:spacing w:val="-2"/>
              </w:rPr>
              <w:t>有机物治理突出问题的通知》要求，属于《</w:t>
            </w:r>
            <w:r>
              <w:rPr>
                <w:spacing w:val="-3"/>
              </w:rPr>
              <w:t>排污许可证申请与核发技术规范</w:t>
            </w:r>
          </w:p>
          <w:p>
            <w:pPr>
              <w:pStyle w:val="TableText"/>
              <w:ind w:left="113"/>
              <w:spacing w:before="1" w:line="219" w:lineRule="auto"/>
              <w:rPr/>
            </w:pPr>
            <w:r>
              <w:rPr>
                <w:spacing w:val="-1"/>
              </w:rPr>
              <w:t>橡胶和塑料制品工业》（</w:t>
            </w:r>
            <w:r>
              <w:rPr>
                <w:rFonts w:ascii="Times New Roman" w:hAnsi="Times New Roman" w:eastAsia="Times New Roman" w:cs="Times New Roman"/>
                <w:spacing w:val="-1"/>
              </w:rPr>
              <w:t>HJ1122-2020</w:t>
            </w:r>
            <w:r>
              <w:rPr>
                <w:spacing w:val="-1"/>
              </w:rPr>
              <w:t>）可行性技术。</w:t>
            </w:r>
          </w:p>
          <w:p>
            <w:pPr>
              <w:pStyle w:val="TableText"/>
              <w:ind w:left="605"/>
              <w:spacing w:before="217" w:line="219" w:lineRule="auto"/>
              <w:rPr/>
            </w:pPr>
            <w:r>
              <w:rPr>
                <w:spacing w:val="-2"/>
              </w:rPr>
              <w:t>（</w:t>
            </w:r>
            <w:r>
              <w:rPr>
                <w:rFonts w:ascii="Times New Roman" w:hAnsi="Times New Roman" w:eastAsia="Times New Roman" w:cs="Times New Roman"/>
                <w:spacing w:val="-2"/>
              </w:rPr>
              <w:t>2</w:t>
            </w:r>
            <w:r>
              <w:rPr>
                <w:spacing w:val="-2"/>
              </w:rPr>
              <w:t>）危险废物标识牌错误</w:t>
            </w:r>
          </w:p>
        </w:tc>
      </w:tr>
    </w:tbl>
    <w:p>
      <w:pPr>
        <w:pStyle w:val="BodyText"/>
        <w:rPr/>
      </w:pPr>
      <w:r/>
    </w:p>
    <w:p>
      <w:pPr>
        <w:sectPr>
          <w:footerReference w:type="default" r:id="rId172"/>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59"/>
        <w:gridCol w:w="8067"/>
      </w:tblGrid>
      <w:tr>
        <w:trPr>
          <w:trHeight w:val="13617" w:hRule="atLeast"/>
        </w:trPr>
        <w:tc>
          <w:tcPr>
            <w:tcW w:w="459" w:type="dxa"/>
            <w:vAlign w:val="top"/>
          </w:tcPr>
          <w:p>
            <w:pPr>
              <w:rPr>
                <w:rFonts w:ascii="Arial"/>
                <w:sz w:val="21"/>
              </w:rPr>
            </w:pPr>
            <w:r/>
          </w:p>
        </w:tc>
        <w:tc>
          <w:tcPr>
            <w:tcW w:w="8067" w:type="dxa"/>
            <w:vAlign w:val="top"/>
          </w:tcPr>
          <w:p>
            <w:pPr>
              <w:pStyle w:val="TableText"/>
              <w:ind w:left="598"/>
              <w:spacing w:before="200" w:line="499" w:lineRule="exact"/>
              <w:rPr/>
            </w:pPr>
            <w:r>
              <w:rPr>
                <w:spacing w:val="30"/>
                <w:position w:val="19"/>
              </w:rPr>
              <w:t>企业危险废物标识未按照《</w:t>
            </w:r>
            <w:r>
              <w:rPr>
                <w:spacing w:val="-50"/>
                <w:position w:val="19"/>
              </w:rPr>
              <w:t xml:space="preserve"> </w:t>
            </w:r>
            <w:r>
              <w:rPr>
                <w:spacing w:val="30"/>
                <w:position w:val="19"/>
              </w:rPr>
              <w:t>危险废物识别标志设施技</w:t>
            </w:r>
            <w:r>
              <w:rPr>
                <w:spacing w:val="29"/>
                <w:position w:val="19"/>
              </w:rPr>
              <w:t>术规范》</w:t>
            </w:r>
          </w:p>
          <w:p>
            <w:pPr>
              <w:pStyle w:val="TableText"/>
              <w:ind w:left="125"/>
              <w:spacing w:line="219" w:lineRule="auto"/>
              <w:rPr/>
            </w:pPr>
            <w:r>
              <w:rPr>
                <w:spacing w:val="-1"/>
              </w:rPr>
              <w:t>（</w:t>
            </w:r>
            <w:r>
              <w:rPr>
                <w:rFonts w:ascii="Times New Roman" w:hAnsi="Times New Roman" w:eastAsia="Times New Roman" w:cs="Times New Roman"/>
                <w:spacing w:val="-1"/>
              </w:rPr>
              <w:t>HJ1276-2022</w:t>
            </w:r>
            <w:r>
              <w:rPr>
                <w:spacing w:val="-1"/>
              </w:rPr>
              <w:t>）要求进行整改，危险废物标识不满足规范要求。</w:t>
            </w:r>
          </w:p>
          <w:p>
            <w:pPr>
              <w:pStyle w:val="TableText"/>
              <w:ind w:left="595"/>
              <w:spacing w:before="214" w:line="501" w:lineRule="exact"/>
              <w:rPr/>
            </w:pPr>
            <w:r>
              <w:rPr>
                <w:spacing w:val="-3"/>
                <w:position w:val="19"/>
              </w:rPr>
              <w:t>整改措施：项目建设过程中，企业对危险废物收集设施设计并张贴危险</w:t>
            </w:r>
          </w:p>
          <w:p>
            <w:pPr>
              <w:pStyle w:val="TableText"/>
              <w:ind w:left="113"/>
              <w:spacing w:line="220" w:lineRule="auto"/>
              <w:rPr/>
            </w:pPr>
            <w:r>
              <w:rPr>
                <w:spacing w:val="-2"/>
              </w:rPr>
              <w:t>废物标签。</w:t>
            </w:r>
          </w:p>
          <w:p>
            <w:pPr>
              <w:pStyle w:val="TableText"/>
              <w:ind w:left="590"/>
              <w:spacing w:before="213" w:line="219" w:lineRule="auto"/>
              <w:outlineLvl w:val="2"/>
              <w:rPr/>
            </w:pPr>
            <w:r>
              <w:rPr>
                <w:rFonts w:ascii="Times New Roman" w:hAnsi="Times New Roman" w:eastAsia="Times New Roman" w:cs="Times New Roman"/>
                <w:b/>
                <w:bCs/>
              </w:rPr>
              <w:t>2.11.7  </w:t>
            </w:r>
            <w:r>
              <w:rPr>
                <w14:textOutline w14:w="4358" w14:cap="sq" w14:cmpd="sng">
                  <w14:solidFill>
                    <w14:srgbClr w14:val="000000"/>
                  </w14:solidFill>
                  <w14:prstDash w14:val="solid"/>
                  <w14:bevel/>
                </w14:textOutline>
              </w:rPr>
              <w:t>厂址现状情况说明</w:t>
            </w:r>
          </w:p>
          <w:p>
            <w:pPr>
              <w:pStyle w:val="TableText"/>
              <w:ind w:left="597"/>
              <w:spacing w:before="214" w:line="501" w:lineRule="exact"/>
              <w:rPr>
                <w:rFonts w:ascii="Times New Roman" w:hAnsi="Times New Roman" w:eastAsia="Times New Roman" w:cs="Times New Roman"/>
              </w:rPr>
            </w:pPr>
            <w:r>
              <w:rPr>
                <w:spacing w:val="1"/>
                <w:position w:val="20"/>
              </w:rPr>
              <w:t>厂址现状为企业已建原料库房，已完成生产线建设。本项目于</w:t>
            </w:r>
            <w:r>
              <w:rPr>
                <w:rFonts w:ascii="Times New Roman" w:hAnsi="Times New Roman" w:eastAsia="Times New Roman" w:cs="Times New Roman"/>
                <w:spacing w:val="1"/>
                <w:position w:val="20"/>
              </w:rPr>
              <w:t>2016</w:t>
            </w:r>
            <w:r>
              <w:rPr>
                <w:spacing w:val="1"/>
                <w:position w:val="20"/>
              </w:rPr>
              <w:t>年</w:t>
            </w:r>
            <w:r>
              <w:rPr>
                <w:rFonts w:ascii="Times New Roman" w:hAnsi="Times New Roman" w:eastAsia="Times New Roman" w:cs="Times New Roman"/>
                <w:spacing w:val="1"/>
                <w:position w:val="20"/>
              </w:rPr>
              <w:t>8</w:t>
            </w:r>
          </w:p>
          <w:p>
            <w:pPr>
              <w:pStyle w:val="TableText"/>
              <w:ind w:left="119"/>
              <w:spacing w:before="1" w:line="218" w:lineRule="auto"/>
              <w:rPr/>
            </w:pPr>
            <w:r>
              <w:rPr>
                <w:spacing w:val="-1"/>
              </w:rPr>
              <w:t>月建设完成，不存在与本项目有关的原有污染物。</w:t>
            </w:r>
          </w:p>
          <w:p>
            <w:pPr>
              <w:pStyle w:val="TableText"/>
              <w:ind w:left="590"/>
              <w:spacing w:before="215" w:line="219" w:lineRule="auto"/>
              <w:outlineLvl w:val="2"/>
              <w:rPr/>
            </w:pPr>
            <w:r>
              <w:rPr>
                <w:rFonts w:ascii="Times New Roman" w:hAnsi="Times New Roman" w:eastAsia="Times New Roman" w:cs="Times New Roman"/>
                <w:b/>
                <w:bCs/>
              </w:rPr>
              <w:t>2.11.8  </w:t>
            </w:r>
            <w:r>
              <w:rPr>
                <w14:textOutline w14:w="4358" w14:cap="sq" w14:cmpd="sng">
                  <w14:solidFill>
                    <w14:srgbClr w14:val="000000"/>
                  </w14:solidFill>
                  <w14:prstDash w14:val="solid"/>
                  <w14:bevel/>
                </w14:textOutline>
              </w:rPr>
              <w:t>现有工程依托可行性分析</w:t>
            </w:r>
          </w:p>
          <w:p>
            <w:pPr>
              <w:pStyle w:val="TableText"/>
              <w:ind w:left="605"/>
              <w:spacing w:before="214" w:line="219" w:lineRule="auto"/>
              <w:rPr/>
            </w:pPr>
            <w:r>
              <w:rPr>
                <w:spacing w:val="-2"/>
              </w:rPr>
              <w:t>（</w:t>
            </w:r>
            <w:r>
              <w:rPr>
                <w:rFonts w:ascii="Times New Roman" w:hAnsi="Times New Roman" w:eastAsia="Times New Roman" w:cs="Times New Roman"/>
                <w:spacing w:val="-2"/>
              </w:rPr>
              <w:t>1</w:t>
            </w:r>
            <w:r>
              <w:rPr>
                <w:spacing w:val="-2"/>
              </w:rPr>
              <w:t>）危险废物暂存间依托可行性分析</w:t>
            </w:r>
          </w:p>
          <w:p>
            <w:pPr>
              <w:pStyle w:val="TableText"/>
              <w:ind w:left="116" w:right="106" w:firstLine="479"/>
              <w:spacing w:before="266" w:line="430" w:lineRule="auto"/>
              <w:rPr/>
            </w:pPr>
            <w:r>
              <w:rPr>
                <w:spacing w:val="-3"/>
              </w:rPr>
              <w:t>本项目空压机更换的废机油、废气处理过程产生的废催化剂、废活性炭</w:t>
            </w:r>
            <w:r>
              <w:rPr>
                <w:spacing w:val="12"/>
              </w:rPr>
              <w:t xml:space="preserve"> </w:t>
            </w:r>
            <w:r>
              <w:rPr>
                <w:spacing w:val="-2"/>
              </w:rPr>
              <w:t>属于危险废物，危险废物依托企业已建一座</w:t>
            </w:r>
            <w:r>
              <w:rPr>
                <w:rFonts w:ascii="Times New Roman" w:hAnsi="Times New Roman" w:eastAsia="Times New Roman" w:cs="Times New Roman"/>
                <w:spacing w:val="-2"/>
              </w:rPr>
              <w:t>1</w:t>
            </w:r>
            <w:r>
              <w:rPr>
                <w:rFonts w:ascii="Times New Roman" w:hAnsi="Times New Roman" w:eastAsia="Times New Roman" w:cs="Times New Roman"/>
                <w:spacing w:val="-3"/>
              </w:rPr>
              <w:t>5</w:t>
            </w:r>
            <w:r>
              <w:rPr>
                <w:spacing w:val="-3"/>
              </w:rPr>
              <w:t>㎡危废暂存间暂存。企业现有</w:t>
            </w:r>
          </w:p>
          <w:p>
            <w:pPr>
              <w:pStyle w:val="TableText"/>
              <w:ind w:left="117"/>
              <w:spacing w:line="219" w:lineRule="auto"/>
              <w:rPr/>
            </w:pPr>
            <w:r>
              <w:rPr>
                <w:spacing w:val="-2"/>
              </w:rPr>
              <w:t>危险废物产生量为</w:t>
            </w:r>
            <w:r>
              <w:rPr>
                <w:rFonts w:ascii="Times New Roman" w:hAnsi="Times New Roman" w:eastAsia="Times New Roman" w:cs="Times New Roman"/>
                <w:spacing w:val="-2"/>
              </w:rPr>
              <w:t>0.6t/a</w:t>
            </w:r>
            <w:r>
              <w:rPr>
                <w:rFonts w:ascii="Times New Roman" w:hAnsi="Times New Roman" w:eastAsia="Times New Roman" w:cs="Times New Roman"/>
                <w:spacing w:val="-34"/>
              </w:rPr>
              <w:t xml:space="preserve"> </w:t>
            </w:r>
            <w:r>
              <w:rPr>
                <w:spacing w:val="-2"/>
              </w:rPr>
              <w:t>，实际最大</w:t>
            </w:r>
            <w:r>
              <w:rPr>
                <w:spacing w:val="-3"/>
              </w:rPr>
              <w:t>占地面积为</w:t>
            </w:r>
            <w:r>
              <w:rPr>
                <w:rFonts w:ascii="Times New Roman" w:hAnsi="Times New Roman" w:eastAsia="Times New Roman" w:cs="Times New Roman"/>
                <w:spacing w:val="-3"/>
              </w:rPr>
              <w:t>5</w:t>
            </w:r>
            <w:r>
              <w:rPr>
                <w:spacing w:val="-3"/>
              </w:rPr>
              <w:t>㎡。</w:t>
            </w:r>
          </w:p>
          <w:p>
            <w:pPr>
              <w:pStyle w:val="TableText"/>
              <w:ind w:left="113" w:right="106" w:firstLine="481"/>
              <w:spacing w:before="276" w:line="431" w:lineRule="auto"/>
              <w:rPr/>
            </w:pPr>
            <w:r>
              <w:rPr>
                <w:spacing w:val="1"/>
              </w:rPr>
              <w:t>本项目危险废物废催化剂、废活性炭</w:t>
            </w:r>
            <w:r>
              <w:rPr>
                <w:rFonts w:ascii="Times New Roman" w:hAnsi="Times New Roman" w:eastAsia="Times New Roman" w:cs="Times New Roman"/>
                <w:spacing w:val="1"/>
              </w:rPr>
              <w:t>2</w:t>
            </w:r>
            <w:r>
              <w:rPr>
                <w:spacing w:val="1"/>
              </w:rPr>
              <w:t>年更换一次，废催化剂产生量为</w:t>
            </w:r>
            <w:r>
              <w:rPr>
                <w:spacing w:val="5"/>
              </w:rPr>
              <w:t xml:space="preserve"> </w:t>
            </w:r>
            <w:r>
              <w:rPr>
                <w:rFonts w:ascii="Times New Roman" w:hAnsi="Times New Roman" w:eastAsia="Times New Roman" w:cs="Times New Roman"/>
                <w:spacing w:val="-3"/>
              </w:rPr>
              <w:t>0.5t/a</w:t>
            </w:r>
            <w:r>
              <w:rPr>
                <w:spacing w:val="-3"/>
              </w:rPr>
              <w:t>、废活性炭产生量为</w:t>
            </w:r>
            <w:r>
              <w:rPr>
                <w:rFonts w:ascii="Times New Roman" w:hAnsi="Times New Roman" w:eastAsia="Times New Roman" w:cs="Times New Roman"/>
                <w:spacing w:val="-3"/>
              </w:rPr>
              <w:t>0.5t/a</w:t>
            </w:r>
            <w:r>
              <w:rPr>
                <w:rFonts w:ascii="Times New Roman" w:hAnsi="Times New Roman" w:eastAsia="Times New Roman" w:cs="Times New Roman"/>
                <w:spacing w:val="-17"/>
              </w:rPr>
              <w:t xml:space="preserve"> </w:t>
            </w:r>
            <w:r>
              <w:rPr>
                <w:spacing w:val="-3"/>
              </w:rPr>
              <w:t>，需要占地存储占地面积</w:t>
            </w:r>
            <w:r>
              <w:rPr>
                <w:rFonts w:ascii="Times New Roman" w:hAnsi="Times New Roman" w:eastAsia="Times New Roman" w:cs="Times New Roman"/>
                <w:spacing w:val="-3"/>
              </w:rPr>
              <w:t>3</w:t>
            </w:r>
            <w:r>
              <w:rPr>
                <w:spacing w:val="-3"/>
              </w:rPr>
              <w:t>㎡；废机油年产生</w:t>
            </w:r>
            <w:r>
              <w:rPr/>
              <w:t xml:space="preserve"> </w:t>
            </w:r>
            <w:r>
              <w:rPr>
                <w:rFonts w:ascii="Times New Roman" w:hAnsi="Times New Roman" w:eastAsia="Times New Roman" w:cs="Times New Roman"/>
                <w:spacing w:val="-4"/>
              </w:rPr>
              <w:t>0.5t/a</w:t>
            </w:r>
            <w:r>
              <w:rPr>
                <w:rFonts w:ascii="Times New Roman" w:hAnsi="Times New Roman" w:eastAsia="Times New Roman" w:cs="Times New Roman"/>
                <w:spacing w:val="-27"/>
              </w:rPr>
              <w:t xml:space="preserve"> </w:t>
            </w:r>
            <w:r>
              <w:rPr>
                <w:spacing w:val="-4"/>
              </w:rPr>
              <w:t>，需要存储占地面积</w:t>
            </w:r>
            <w:r>
              <w:rPr>
                <w:rFonts w:ascii="Times New Roman" w:hAnsi="Times New Roman" w:eastAsia="Times New Roman" w:cs="Times New Roman"/>
                <w:spacing w:val="-4"/>
              </w:rPr>
              <w:t>5</w:t>
            </w:r>
            <w:r>
              <w:rPr>
                <w:spacing w:val="-4"/>
              </w:rPr>
              <w:t>㎡</w:t>
            </w:r>
            <w:r>
              <w:rPr>
                <w:spacing w:val="-67"/>
              </w:rPr>
              <w:t xml:space="preserve"> </w:t>
            </w:r>
            <w:r>
              <w:rPr>
                <w:spacing w:val="-4"/>
              </w:rPr>
              <w:t>。企业现有剩余</w:t>
            </w:r>
            <w:r>
              <w:rPr>
                <w:rFonts w:ascii="Times New Roman" w:hAnsi="Times New Roman" w:eastAsia="Times New Roman" w:cs="Times New Roman"/>
                <w:spacing w:val="-4"/>
              </w:rPr>
              <w:t>10</w:t>
            </w:r>
            <w:r>
              <w:rPr>
                <w:spacing w:val="-4"/>
              </w:rPr>
              <w:t>㎡暂存空间供本项目使用，</w:t>
            </w:r>
          </w:p>
          <w:p>
            <w:pPr>
              <w:pStyle w:val="TableText"/>
              <w:ind w:left="114"/>
              <w:spacing w:before="1" w:line="218" w:lineRule="auto"/>
              <w:rPr/>
            </w:pPr>
            <w:r>
              <w:rPr>
                <w:spacing w:val="-1"/>
              </w:rPr>
              <w:t>剩余暂存面积可满足本项目危险废物暂存。</w:t>
            </w:r>
          </w:p>
          <w:p>
            <w:pPr>
              <w:pStyle w:val="TableText"/>
              <w:ind w:left="114" w:right="106" w:firstLine="483"/>
              <w:spacing w:before="275" w:line="431" w:lineRule="auto"/>
              <w:rPr/>
            </w:pPr>
            <w:r>
              <w:rPr>
                <w:spacing w:val="2"/>
              </w:rPr>
              <w:t>企业现有危废暂存间存储废</w:t>
            </w:r>
            <w:r>
              <w:rPr>
                <w:rFonts w:ascii="Times New Roman" w:hAnsi="Times New Roman" w:eastAsia="Times New Roman" w:cs="Times New Roman"/>
              </w:rPr>
              <w:t>UV</w:t>
            </w:r>
            <w:r>
              <w:rPr>
                <w:spacing w:val="2"/>
              </w:rPr>
              <w:t>光氧灯管、废机油</w:t>
            </w:r>
            <w:r>
              <w:rPr>
                <w:spacing w:val="1"/>
              </w:rPr>
              <w:t>，与本项目危险废物</w:t>
            </w:r>
            <w:r>
              <w:rPr/>
              <w:t xml:space="preserve"> </w:t>
            </w:r>
            <w:r>
              <w:rPr>
                <w:spacing w:val="-2"/>
              </w:rPr>
              <w:t>种类相容。危险废物暂存间内已按照重点防</w:t>
            </w:r>
            <w:r>
              <w:rPr>
                <w:spacing w:val="-3"/>
              </w:rPr>
              <w:t>渗要求进行建设，已通过环境保</w:t>
            </w:r>
          </w:p>
          <w:p>
            <w:pPr>
              <w:pStyle w:val="TableText"/>
              <w:ind w:left="115"/>
              <w:spacing w:before="1" w:line="218" w:lineRule="auto"/>
              <w:rPr/>
            </w:pPr>
            <w:r>
              <w:rPr/>
              <w:t>护竣工验收工作，本项目无需整改。因此，企业</w:t>
            </w:r>
            <w:r>
              <w:rPr>
                <w:spacing w:val="-1"/>
              </w:rPr>
              <w:t>现有危废暂存间依托可行。</w:t>
            </w:r>
          </w:p>
          <w:p>
            <w:pPr>
              <w:pStyle w:val="TableText"/>
              <w:ind w:left="605"/>
              <w:spacing w:before="226" w:line="219" w:lineRule="auto"/>
              <w:rPr/>
            </w:pPr>
            <w:r>
              <w:rPr>
                <w:spacing w:val="-2"/>
              </w:rPr>
              <w:t>（</w:t>
            </w:r>
            <w:r>
              <w:rPr>
                <w:rFonts w:ascii="Times New Roman" w:hAnsi="Times New Roman" w:eastAsia="Times New Roman" w:cs="Times New Roman"/>
                <w:spacing w:val="-2"/>
              </w:rPr>
              <w:t>2</w:t>
            </w:r>
            <w:r>
              <w:rPr>
                <w:spacing w:val="-2"/>
              </w:rPr>
              <w:t>）生活污水依托可行性</w:t>
            </w:r>
          </w:p>
          <w:p>
            <w:pPr>
              <w:pStyle w:val="TableText"/>
              <w:ind w:left="598"/>
              <w:spacing w:before="215" w:line="502" w:lineRule="exact"/>
              <w:rPr/>
            </w:pPr>
            <w:r>
              <w:rPr>
                <w:spacing w:val="-3"/>
                <w:position w:val="20"/>
              </w:rPr>
              <w:t>企业厂区建设有一座</w:t>
            </w:r>
            <w:r>
              <w:rPr>
                <w:rFonts w:ascii="Times New Roman" w:hAnsi="Times New Roman" w:eastAsia="Times New Roman" w:cs="Times New Roman"/>
                <w:spacing w:val="-3"/>
                <w:position w:val="20"/>
              </w:rPr>
              <w:t>10m</w:t>
            </w:r>
            <w:r>
              <w:rPr>
                <w:spacing w:val="-3"/>
                <w:position w:val="20"/>
              </w:rPr>
              <w:t>³</w:t>
            </w:r>
            <w:r>
              <w:rPr>
                <w:rFonts w:ascii="Times New Roman" w:hAnsi="Times New Roman" w:eastAsia="Times New Roman" w:cs="Times New Roman"/>
                <w:spacing w:val="-3"/>
                <w:position w:val="20"/>
              </w:rPr>
              <w:t>/d</w:t>
            </w:r>
            <w:r>
              <w:rPr>
                <w:spacing w:val="-3"/>
                <w:position w:val="20"/>
              </w:rPr>
              <w:t>地埋式一体化污水处理装置，用于处理现有</w:t>
            </w:r>
          </w:p>
          <w:p>
            <w:pPr>
              <w:pStyle w:val="TableText"/>
              <w:ind w:left="117"/>
              <w:spacing w:line="219" w:lineRule="auto"/>
              <w:rPr/>
            </w:pPr>
            <w:r>
              <w:rPr>
                <w:spacing w:val="-1"/>
              </w:rPr>
              <w:t>厂区员工生活污水，地埋式一体化污水处理装置处理工艺如下：</w:t>
            </w:r>
          </w:p>
        </w:tc>
      </w:tr>
    </w:tbl>
    <w:p>
      <w:pPr>
        <w:pStyle w:val="BodyText"/>
        <w:rPr/>
      </w:pPr>
      <w:r/>
    </w:p>
    <w:p>
      <w:pPr>
        <w:sectPr>
          <w:footerReference w:type="default" r:id="rId173"/>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59"/>
        <w:gridCol w:w="8067"/>
      </w:tblGrid>
      <w:tr>
        <w:trPr>
          <w:trHeight w:val="494" w:hRule="atLeast"/>
        </w:trPr>
        <w:tc>
          <w:tcPr>
            <w:tcW w:w="459" w:type="dxa"/>
            <w:vAlign w:val="top"/>
            <w:vMerge w:val="restart"/>
            <w:tcBorders>
              <w:bottom w:val="nil"/>
            </w:tcBorders>
          </w:tcPr>
          <w:p>
            <w:pPr>
              <w:rPr>
                <w:rFonts w:ascii="Arial"/>
                <w:sz w:val="21"/>
              </w:rPr>
            </w:pPr>
            <w:r/>
          </w:p>
        </w:tc>
        <w:tc>
          <w:tcPr>
            <w:tcW w:w="8067" w:type="dxa"/>
            <w:vAlign w:val="top"/>
            <w:tcBorders>
              <w:bottom w:val="nil"/>
            </w:tcBorders>
          </w:tcPr>
          <w:p>
            <w:pPr>
              <w:pStyle w:val="TableText"/>
              <w:ind w:left="597"/>
              <w:spacing w:before="200" w:line="218" w:lineRule="auto"/>
              <w:rPr/>
            </w:pPr>
            <w:r>
              <w:rPr>
                <w:spacing w:val="-2"/>
              </w:rPr>
              <w:t>工艺流程图如下：</w:t>
            </w:r>
          </w:p>
        </w:tc>
      </w:tr>
      <w:tr>
        <w:trPr>
          <w:trHeight w:val="2850" w:hRule="atLeast"/>
        </w:trPr>
        <w:tc>
          <w:tcPr>
            <w:tcW w:w="459" w:type="dxa"/>
            <w:vAlign w:val="top"/>
            <w:vMerge w:val="continue"/>
            <w:tcBorders>
              <w:top w:val="nil"/>
              <w:bottom w:val="nil"/>
            </w:tcBorders>
          </w:tcPr>
          <w:p>
            <w:pPr>
              <w:rPr>
                <w:rFonts w:ascii="Arial"/>
                <w:sz w:val="21"/>
              </w:rPr>
            </w:pPr>
            <w:r/>
          </w:p>
        </w:tc>
        <w:tc>
          <w:tcPr>
            <w:tcW w:w="8067" w:type="dxa"/>
            <w:vAlign w:val="top"/>
            <w:tcBorders>
              <w:bottom w:val="nil"/>
              <w:top w:val="nil"/>
            </w:tcBorders>
          </w:tcPr>
          <w:p>
            <w:pPr>
              <w:pStyle w:val="TableText"/>
              <w:ind w:left="3216"/>
              <w:spacing w:before="179" w:line="219" w:lineRule="auto"/>
              <w:rPr>
                <w:sz w:val="22"/>
                <w:szCs w:val="22"/>
              </w:rPr>
            </w:pPr>
            <w:r>
              <w:pict>
                <v:rect id="_x0000_s94" style="position:absolute;margin-left:158.188pt;margin-top:13.3019pt;mso-position-vertical-relative:text;mso-position-horizontal-relative:text;width:8pt;height:0.85pt;z-index:253541376;" fillcolor="#000000" filled="true" stroked="false"/>
              </w:pict>
            </w:r>
            <w:r>
              <w:drawing>
                <wp:anchor distT="0" distB="0" distL="0" distR="0" simplePos="0" relativeHeight="253539328" behindDoc="0" locked="0" layoutInCell="1" allowOverlap="1">
                  <wp:simplePos x="0" y="0"/>
                  <wp:positionH relativeFrom="column">
                    <wp:posOffset>2377935</wp:posOffset>
                  </wp:positionH>
                  <wp:positionV relativeFrom="paragraph">
                    <wp:posOffset>179094</wp:posOffset>
                  </wp:positionV>
                  <wp:extent cx="203212" cy="261301"/>
                  <wp:effectExtent l="0" t="0" r="0" b="0"/>
                  <wp:wrapNone/>
                  <wp:docPr id="150" name="IM 150"/>
                  <wp:cNvGraphicFramePr/>
                  <a:graphic>
                    <a:graphicData uri="http://schemas.openxmlformats.org/drawingml/2006/picture">
                      <pic:pic>
                        <pic:nvPicPr>
                          <pic:cNvPr id="150" name="IM 150"/>
                          <pic:cNvPicPr/>
                        </pic:nvPicPr>
                        <pic:blipFill>
                          <a:blip r:embed="rId175"/>
                          <a:stretch>
                            <a:fillRect/>
                          </a:stretch>
                        </pic:blipFill>
                        <pic:spPr>
                          <a:xfrm rot="0">
                            <a:off x="0" y="0"/>
                            <a:ext cx="203212" cy="261301"/>
                          </a:xfrm>
                          <a:prstGeom prst="rect">
                            <a:avLst/>
                          </a:prstGeom>
                        </pic:spPr>
                      </pic:pic>
                    </a:graphicData>
                  </a:graphic>
                </wp:anchor>
              </w:drawing>
            </w:r>
            <w:r>
              <w:pict>
                <v:rect id="_x0000_s96" style="position:absolute;margin-left:-332.86pt;margin-top:61.45pt;mso-position-vertical-relative:top-margin-area;mso-position-horizontal-relative:right-margin-area;width:0.1pt;height:0.6pt;z-index:253526016;" fillcolor="#000000" filled="true" stroked="false"/>
              </w:pict>
            </w:r>
            <w:r>
              <w:pict>
                <v:rect id="_x0000_s98" style="position:absolute;margin-left:-154.46pt;margin-top:21.8pt;mso-position-vertical-relative:top-margin-area;mso-position-horizontal-relative:right-margin-area;width:0.05pt;height:0.6pt;z-index:253529088;" fillcolor="#000000" filled="true" stroked="false"/>
              </w:pict>
            </w:r>
            <w:r>
              <w:pict>
                <v:rect id="_x0000_s100" style="position:absolute;margin-left:-44.01pt;margin-top:63.5pt;mso-position-vertical-relative:top-margin-area;mso-position-horizontal-relative:right-margin-area;width:0.05pt;height:0.6pt;z-index:253528064;" fillcolor="#000000" filled="true" stroked="false"/>
              </w:pict>
            </w:r>
            <w:r>
              <w:pict>
                <v:rect id="_x0000_s102" style="position:absolute;margin-left:-75.01pt;margin-top:27.35pt;mso-position-vertical-relative:top-margin-area;mso-position-horizontal-relative:right-margin-area;width:0.05pt;height:0.65pt;z-index:253527040;" fillcolor="#000000" filled="true" stroked="false"/>
              </w:pict>
            </w:r>
            <w:r>
              <w:pict>
                <v:shape id="_x0000_s104" style="position:absolute;margin-left:-321.387pt;margin-top:44.3234pt;mso-position-vertical-relative:top-margin-area;mso-position-horizontal-relative:right-margin-area;width:14.1pt;height:39.7pt;z-index:253518848;" filled="false" stroked="false" type="#_x0000_t202">
                  <v:fill on="false"/>
                  <v:stroke on="false"/>
                  <v:path/>
                  <v:imagedata o:title=""/>
                  <o:lock v:ext="edit" aspectratio="false"/>
                  <v:textbox inset="0mm,0mm,0mm,0mm" style="layout-flow:vertical-ideographic;">
                    <w:txbxContent>
                      <w:p>
                        <w:pPr>
                          <w:pStyle w:val="TableText"/>
                          <w:ind w:left="20"/>
                          <w:spacing w:before="20" w:line="216" w:lineRule="auto"/>
                          <w:rPr>
                            <w:sz w:val="20"/>
                            <w:szCs w:val="20"/>
                          </w:rPr>
                        </w:pPr>
                        <w:r>
                          <w:rPr>
                            <w:sz w:val="20"/>
                            <w:szCs w:val="20"/>
                            <w:spacing w:val="8"/>
                          </w:rPr>
                          <w:t>调</w:t>
                        </w:r>
                        <w:r>
                          <w:rPr>
                            <w:sz w:val="20"/>
                            <w:szCs w:val="20"/>
                            <w:spacing w:val="-37"/>
                          </w:rPr>
                          <w:t xml:space="preserve"> </w:t>
                        </w:r>
                        <w:r>
                          <w:rPr>
                            <w:sz w:val="20"/>
                            <w:szCs w:val="20"/>
                            <w:spacing w:val="8"/>
                          </w:rPr>
                          <w:t>节</w:t>
                        </w:r>
                        <w:r>
                          <w:rPr>
                            <w:sz w:val="20"/>
                            <w:szCs w:val="20"/>
                            <w:spacing w:val="-35"/>
                          </w:rPr>
                          <w:t xml:space="preserve"> </w:t>
                        </w:r>
                        <w:r>
                          <w:rPr>
                            <w:sz w:val="20"/>
                            <w:szCs w:val="20"/>
                            <w:spacing w:val="8"/>
                          </w:rPr>
                          <w:t>池</w:t>
                        </w:r>
                      </w:p>
                    </w:txbxContent>
                  </v:textbox>
                </v:shape>
              </w:pict>
            </w:r>
            <w:r>
              <w:drawing>
                <wp:anchor distT="0" distB="0" distL="0" distR="0" simplePos="0" relativeHeight="253524992" behindDoc="0" locked="0" layoutInCell="1" allowOverlap="1">
                  <wp:simplePos x="0" y="0"/>
                  <wp:positionH relativeFrom="rightMargin">
                    <wp:posOffset>-2202307</wp:posOffset>
                  </wp:positionH>
                  <wp:positionV relativeFrom="topMargin">
                    <wp:posOffset>305434</wp:posOffset>
                  </wp:positionV>
                  <wp:extent cx="23494" cy="7619"/>
                  <wp:effectExtent l="0" t="0" r="0" b="0"/>
                  <wp:wrapNone/>
                  <wp:docPr id="152" name="IM 152"/>
                  <wp:cNvGraphicFramePr/>
                  <a:graphic>
                    <a:graphicData uri="http://schemas.openxmlformats.org/drawingml/2006/picture">
                      <pic:pic>
                        <pic:nvPicPr>
                          <pic:cNvPr id="152" name="IM 152"/>
                          <pic:cNvPicPr/>
                        </pic:nvPicPr>
                        <pic:blipFill>
                          <a:blip r:embed="rId176"/>
                          <a:stretch>
                            <a:fillRect/>
                          </a:stretch>
                        </pic:blipFill>
                        <pic:spPr>
                          <a:xfrm rot="0">
                            <a:off x="0" y="0"/>
                            <a:ext cx="23494" cy="7619"/>
                          </a:xfrm>
                          <a:prstGeom prst="rect">
                            <a:avLst/>
                          </a:prstGeom>
                        </pic:spPr>
                      </pic:pic>
                    </a:graphicData>
                  </a:graphic>
                </wp:anchor>
              </w:drawing>
            </w:r>
            <w:r>
              <w:pict>
                <v:shape id="_x0000_s106" style="position:absolute;margin-left:-66.7304pt;margin-top:36.3671pt;mso-position-vertical-relative:top-margin-area;mso-position-horizontal-relative:right-margin-area;width:14.9pt;height:61.05pt;z-index:253538304;" filled="false" stroked="false" type="#_x0000_t202">
                  <v:fill on="false"/>
                  <v:stroke on="false"/>
                  <v:path/>
                  <v:imagedata o:title=""/>
                  <o:lock v:ext="edit" aspectratio="false"/>
                  <v:textbox inset="0mm,0mm,0mm,0mm" style="layout-flow:vertical-ideographic;">
                    <w:txbxContent>
                      <w:p>
                        <w:pPr>
                          <w:pStyle w:val="TableText"/>
                          <w:ind w:left="20"/>
                          <w:spacing w:before="20" w:line="210" w:lineRule="auto"/>
                          <w:rPr>
                            <w:sz w:val="22"/>
                            <w:szCs w:val="22"/>
                          </w:rPr>
                        </w:pPr>
                        <w:r>
                          <w:rPr>
                            <w:sz w:val="22"/>
                            <w:szCs w:val="22"/>
                          </w:rPr>
                          <w:t>达</w:t>
                        </w:r>
                        <w:r>
                          <w:rPr>
                            <w:sz w:val="22"/>
                            <w:szCs w:val="22"/>
                            <w:spacing w:val="-10"/>
                          </w:rPr>
                          <w:t xml:space="preserve"> </w:t>
                        </w:r>
                        <w:r>
                          <w:rPr>
                            <w:sz w:val="22"/>
                            <w:szCs w:val="22"/>
                          </w:rPr>
                          <w:t>标</w:t>
                        </w:r>
                        <w:r>
                          <w:rPr>
                            <w:sz w:val="22"/>
                            <w:szCs w:val="22"/>
                            <w:spacing w:val="-9"/>
                          </w:rPr>
                          <w:t xml:space="preserve"> </w:t>
                        </w:r>
                        <w:r>
                          <w:rPr>
                            <w:sz w:val="22"/>
                            <w:szCs w:val="22"/>
                          </w:rPr>
                          <w:t>排</w:t>
                        </w:r>
                        <w:r>
                          <w:rPr>
                            <w:sz w:val="22"/>
                            <w:szCs w:val="22"/>
                            <w:spacing w:val="-12"/>
                          </w:rPr>
                          <w:t xml:space="preserve"> </w:t>
                        </w:r>
                        <w:r>
                          <w:rPr>
                            <w:sz w:val="22"/>
                            <w:szCs w:val="22"/>
                          </w:rPr>
                          <w:t>放</w:t>
                        </w:r>
                      </w:p>
                    </w:txbxContent>
                  </v:textbox>
                </v:shape>
              </w:pict>
            </w:r>
            <w:r>
              <w:drawing>
                <wp:anchor distT="0" distB="0" distL="0" distR="0" simplePos="0" relativeHeight="253535232" behindDoc="0" locked="0" layoutInCell="1" allowOverlap="1">
                  <wp:simplePos x="0" y="0"/>
                  <wp:positionH relativeFrom="rightMargin">
                    <wp:posOffset>-3010027</wp:posOffset>
                  </wp:positionH>
                  <wp:positionV relativeFrom="topMargin">
                    <wp:posOffset>772159</wp:posOffset>
                  </wp:positionV>
                  <wp:extent cx="303529" cy="76200"/>
                  <wp:effectExtent l="0" t="0" r="0" b="0"/>
                  <wp:wrapNone/>
                  <wp:docPr id="154" name="IM 154"/>
                  <wp:cNvGraphicFramePr/>
                  <a:graphic>
                    <a:graphicData uri="http://schemas.openxmlformats.org/drawingml/2006/picture">
                      <pic:pic>
                        <pic:nvPicPr>
                          <pic:cNvPr id="154" name="IM 154"/>
                          <pic:cNvPicPr/>
                        </pic:nvPicPr>
                        <pic:blipFill>
                          <a:blip r:embed="rId177"/>
                          <a:stretch>
                            <a:fillRect/>
                          </a:stretch>
                        </pic:blipFill>
                        <pic:spPr>
                          <a:xfrm rot="0">
                            <a:off x="0" y="0"/>
                            <a:ext cx="303529" cy="76200"/>
                          </a:xfrm>
                          <a:prstGeom prst="rect">
                            <a:avLst/>
                          </a:prstGeom>
                        </pic:spPr>
                      </pic:pic>
                    </a:graphicData>
                  </a:graphic>
                </wp:anchor>
              </w:drawing>
            </w:r>
            <w:r>
              <w:pict>
                <v:shape id="_x0000_s108" style="position:absolute;margin-left:-252.306pt;margin-top:59.6824pt;mso-position-vertical-relative:top-margin-area;mso-position-horizontal-relative:right-margin-area;width:14.1pt;height:44.5pt;z-index:253534208;" filled="false" stroked="false" type="#_x0000_t202">
                  <v:fill on="false"/>
                  <v:stroke on="false"/>
                  <v:path/>
                  <v:imagedata o:title=""/>
                  <o:lock v:ext="edit" aspectratio="false"/>
                  <v:textbox inset="0mm,0mm,0mm,0mm" style="layout-flow:vertical-ideographic;">
                    <w:txbxContent>
                      <w:p>
                        <w:pPr>
                          <w:pStyle w:val="TableText"/>
                          <w:ind w:left="20"/>
                          <w:spacing w:before="19" w:line="217" w:lineRule="auto"/>
                          <w:rPr>
                            <w:sz w:val="20"/>
                            <w:szCs w:val="20"/>
                          </w:rPr>
                        </w:pPr>
                        <w:r>
                          <w:rPr>
                            <w:sz w:val="20"/>
                            <w:szCs w:val="20"/>
                            <w:spacing w:val="9"/>
                          </w:rPr>
                          <w:t>生</w:t>
                        </w:r>
                        <w:r>
                          <w:rPr>
                            <w:sz w:val="20"/>
                            <w:szCs w:val="20"/>
                            <w:spacing w:val="12"/>
                          </w:rPr>
                          <w:t xml:space="preserve"> </w:t>
                        </w:r>
                        <w:r>
                          <w:rPr>
                            <w:sz w:val="20"/>
                            <w:szCs w:val="20"/>
                            <w:spacing w:val="9"/>
                          </w:rPr>
                          <w:t>化 池</w:t>
                        </w:r>
                      </w:p>
                    </w:txbxContent>
                  </v:textbox>
                </v:shape>
              </w:pict>
            </w:r>
            <w:r>
              <w:drawing>
                <wp:anchor distT="0" distB="0" distL="0" distR="0" simplePos="0" relativeHeight="253540352" behindDoc="0" locked="0" layoutInCell="1" allowOverlap="1">
                  <wp:simplePos x="0" y="0"/>
                  <wp:positionH relativeFrom="rightMargin">
                    <wp:posOffset>-3155594</wp:posOffset>
                  </wp:positionH>
                  <wp:positionV relativeFrom="topMargin">
                    <wp:posOffset>163817</wp:posOffset>
                  </wp:positionV>
                  <wp:extent cx="76200" cy="312432"/>
                  <wp:effectExtent l="0" t="0" r="0" b="0"/>
                  <wp:wrapNone/>
                  <wp:docPr id="156" name="IM 156"/>
                  <wp:cNvGraphicFramePr/>
                  <a:graphic>
                    <a:graphicData uri="http://schemas.openxmlformats.org/drawingml/2006/picture">
                      <pic:pic>
                        <pic:nvPicPr>
                          <pic:cNvPr id="156" name="IM 156"/>
                          <pic:cNvPicPr/>
                        </pic:nvPicPr>
                        <pic:blipFill>
                          <a:blip r:embed="rId178"/>
                          <a:stretch>
                            <a:fillRect/>
                          </a:stretch>
                        </pic:blipFill>
                        <pic:spPr>
                          <a:xfrm rot="0">
                            <a:off x="0" y="0"/>
                            <a:ext cx="76200" cy="312432"/>
                          </a:xfrm>
                          <a:prstGeom prst="rect">
                            <a:avLst/>
                          </a:prstGeom>
                        </pic:spPr>
                      </pic:pic>
                    </a:graphicData>
                  </a:graphic>
                </wp:anchor>
              </w:drawing>
            </w:r>
            <w:r>
              <w:pict>
                <v:shape id="_x0000_s110" style="position:absolute;margin-left:-258.16pt;margin-top:36pt;mso-position-vertical-relative:top-margin-area;mso-position-horizontal-relative:right-margin-area;width:22.45pt;height:71.5pt;z-index:253536256;" filled="false" stroked="false" type="#_x0000_t202">
                  <v:fill on="false"/>
                  <v:stroke on="false"/>
                  <v:path/>
                  <v:imagedata o:title=""/>
                  <o:lock v:ext="edit" aspectratio="false"/>
                  <v:textbox inset="0mm,0mm,0mm,0mm">
                    <w:txbxContent>
                      <w:p>
                        <w:pPr>
                          <w:spacing w:line="20" w:lineRule="exact"/>
                          <w:rPr/>
                        </w:pPr>
                        <w:r/>
                      </w:p>
                      <w:tbl>
                        <w:tblPr>
                          <w:tblStyle w:val="TableNormal"/>
                          <w:tblW w:w="388" w:type="dxa"/>
                          <w:tblInd w:w="30" w:type="dxa"/>
                          <w:tblLayout w:type="fixed"/>
                          <w:tblBorders>
                            <w:left w:val="single" w:color="000000" w:sz="8" w:space="0"/>
                            <w:bottom w:val="single" w:color="000000" w:sz="8" w:space="0"/>
                            <w:right w:val="single" w:color="000000" w:sz="8" w:space="0"/>
                            <w:top w:val="single" w:color="000000" w:sz="8" w:space="0"/>
                          </w:tblBorders>
                        </w:tblPr>
                        <w:tblGrid>
                          <w:gridCol w:w="388"/>
                        </w:tblGrid>
                        <w:tr>
                          <w:trPr>
                            <w:trHeight w:val="1349" w:hRule="atLeast"/>
                          </w:trPr>
                          <w:tc>
                            <w:tcPr>
                              <w:tcW w:w="388" w:type="dxa"/>
                              <w:vAlign w:val="top"/>
                            </w:tcPr>
                            <w:p>
                              <w:pPr>
                                <w:ind w:left="131"/>
                                <w:spacing w:before="17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A</w:t>
                              </w:r>
                            </w:p>
                          </w:tc>
                        </w:tr>
                      </w:tbl>
                      <w:p>
                        <w:pPr>
                          <w:rPr>
                            <w:rFonts w:ascii="Arial"/>
                            <w:sz w:val="21"/>
                          </w:rPr>
                        </w:pPr>
                        <w:r/>
                      </w:p>
                    </w:txbxContent>
                  </v:textbox>
                </v:shape>
              </w:pict>
            </w:r>
            <w:r>
              <w:pict>
                <v:shape id="_x0000_s112" style="position:absolute;margin-left:-167.46pt;margin-top:36.15pt;mso-position-vertical-relative:top-margin-area;mso-position-horizontal-relative:right-margin-area;width:22.45pt;height:50.65pt;z-index:253530112;" filled="false" stroked="false" type="#_x0000_t202">
                  <v:fill on="false"/>
                  <v:stroke on="false"/>
                  <v:path/>
                  <v:imagedata o:title=""/>
                  <o:lock v:ext="edit" aspectratio="false"/>
                  <v:textbox inset="0mm,0mm,0mm,0mm">
                    <w:txbxContent>
                      <w:p>
                        <w:pPr>
                          <w:spacing w:line="20" w:lineRule="exact"/>
                          <w:rPr/>
                        </w:pPr>
                        <w:r/>
                      </w:p>
                      <w:tbl>
                        <w:tblPr>
                          <w:tblStyle w:val="TableNormal"/>
                          <w:tblW w:w="388" w:type="dxa"/>
                          <w:tblInd w:w="30" w:type="dxa"/>
                          <w:tblLayout w:type="fixed"/>
                          <w:tblBorders>
                            <w:left w:val="single" w:color="000000" w:sz="8" w:space="0"/>
                            <w:bottom w:val="single" w:color="000000" w:sz="8" w:space="0"/>
                            <w:right w:val="single" w:color="000000" w:sz="8" w:space="0"/>
                            <w:top w:val="single" w:color="000000" w:sz="8" w:space="0"/>
                          </w:tblBorders>
                        </w:tblPr>
                        <w:tblGrid>
                          <w:gridCol w:w="388"/>
                        </w:tblGrid>
                        <w:tr>
                          <w:trPr>
                            <w:trHeight w:val="932" w:hRule="atLeast"/>
                          </w:trPr>
                          <w:tc>
                            <w:tcPr>
                              <w:tcW w:w="388" w:type="dxa"/>
                              <w:vAlign w:val="top"/>
                              <w:textDirection w:val="tbRlV"/>
                            </w:tcPr>
                            <w:p>
                              <w:pPr>
                                <w:pStyle w:val="TableText"/>
                                <w:ind w:left="88"/>
                                <w:spacing w:before="28" w:line="216" w:lineRule="auto"/>
                                <w:rPr>
                                  <w:sz w:val="20"/>
                                  <w:szCs w:val="20"/>
                                </w:rPr>
                              </w:pPr>
                              <w:r>
                                <w:rPr>
                                  <w:sz w:val="20"/>
                                  <w:szCs w:val="20"/>
                                  <w:spacing w:val="8"/>
                                </w:rPr>
                                <w:t>沉</w:t>
                              </w:r>
                              <w:r>
                                <w:rPr>
                                  <w:sz w:val="20"/>
                                  <w:szCs w:val="20"/>
                                  <w:spacing w:val="-34"/>
                                </w:rPr>
                                <w:t xml:space="preserve"> </w:t>
                              </w:r>
                              <w:r>
                                <w:rPr>
                                  <w:sz w:val="20"/>
                                  <w:szCs w:val="20"/>
                                  <w:spacing w:val="8"/>
                                </w:rPr>
                                <w:t>淀</w:t>
                              </w:r>
                              <w:r>
                                <w:rPr>
                                  <w:sz w:val="20"/>
                                  <w:szCs w:val="20"/>
                                  <w:spacing w:val="-38"/>
                                </w:rPr>
                                <w:t xml:space="preserve"> </w:t>
                              </w:r>
                              <w:r>
                                <w:rPr>
                                  <w:sz w:val="20"/>
                                  <w:szCs w:val="20"/>
                                  <w:spacing w:val="8"/>
                                </w:rPr>
                                <w:t>池</w:t>
                              </w:r>
                            </w:p>
                          </w:tc>
                        </w:tr>
                      </w:tbl>
                      <w:p>
                        <w:pPr>
                          <w:rPr>
                            <w:rFonts w:ascii="Arial"/>
                            <w:sz w:val="21"/>
                          </w:rPr>
                        </w:pPr>
                        <w:r/>
                      </w:p>
                    </w:txbxContent>
                  </v:textbox>
                </v:shape>
              </w:pict>
            </w:r>
            <w:r>
              <w:pict>
                <v:shape id="_x0000_s114" style="position:absolute;margin-left:-121.06pt;margin-top:36.65pt;mso-position-vertical-relative:top-margin-area;mso-position-horizontal-relative:right-margin-area;width:22.45pt;height:49.75pt;z-index:253531136;" filled="false" stroked="false" type="#_x0000_t202">
                  <v:fill on="false"/>
                  <v:stroke on="false"/>
                  <v:path/>
                  <v:imagedata o:title=""/>
                  <o:lock v:ext="edit" aspectratio="false"/>
                  <v:textbox inset="0mm,0mm,0mm,0mm">
                    <w:txbxContent>
                      <w:p>
                        <w:pPr>
                          <w:spacing w:line="20" w:lineRule="exact"/>
                          <w:rPr/>
                        </w:pPr>
                        <w:r/>
                      </w:p>
                      <w:tbl>
                        <w:tblPr>
                          <w:tblStyle w:val="TableNormal"/>
                          <w:tblW w:w="388" w:type="dxa"/>
                          <w:tblInd w:w="30" w:type="dxa"/>
                          <w:tblLayout w:type="fixed"/>
                          <w:tblBorders>
                            <w:left w:val="single" w:color="000000" w:sz="8" w:space="0"/>
                            <w:bottom w:val="single" w:color="000000" w:sz="8" w:space="0"/>
                            <w:right w:val="single" w:color="000000" w:sz="8" w:space="0"/>
                            <w:top w:val="single" w:color="000000" w:sz="8" w:space="0"/>
                          </w:tblBorders>
                        </w:tblPr>
                        <w:tblGrid>
                          <w:gridCol w:w="388"/>
                        </w:tblGrid>
                        <w:tr>
                          <w:trPr>
                            <w:trHeight w:val="914" w:hRule="atLeast"/>
                          </w:trPr>
                          <w:tc>
                            <w:tcPr>
                              <w:tcW w:w="388" w:type="dxa"/>
                              <w:vAlign w:val="top"/>
                              <w:textDirection w:val="tbRlV"/>
                            </w:tcPr>
                            <w:p>
                              <w:pPr>
                                <w:pStyle w:val="TableText"/>
                                <w:ind w:left="90"/>
                                <w:spacing w:before="29" w:line="216" w:lineRule="auto"/>
                                <w:rPr>
                                  <w:sz w:val="20"/>
                                  <w:szCs w:val="20"/>
                                </w:rPr>
                              </w:pPr>
                              <w:r>
                                <w:rPr>
                                  <w:sz w:val="20"/>
                                  <w:szCs w:val="20"/>
                                  <w:spacing w:val="8"/>
                                </w:rPr>
                                <w:t>清</w:t>
                              </w:r>
                              <w:r>
                                <w:rPr>
                                  <w:sz w:val="20"/>
                                  <w:szCs w:val="20"/>
                                  <w:spacing w:val="-37"/>
                                </w:rPr>
                                <w:t xml:space="preserve"> </w:t>
                              </w:r>
                              <w:r>
                                <w:rPr>
                                  <w:sz w:val="20"/>
                                  <w:szCs w:val="20"/>
                                  <w:spacing w:val="8"/>
                                </w:rPr>
                                <w:t>水</w:t>
                              </w:r>
                              <w:r>
                                <w:rPr>
                                  <w:sz w:val="20"/>
                                  <w:szCs w:val="20"/>
                                  <w:spacing w:val="-37"/>
                                </w:rPr>
                                <w:t xml:space="preserve"> </w:t>
                              </w:r>
                              <w:r>
                                <w:rPr>
                                  <w:sz w:val="20"/>
                                  <w:szCs w:val="20"/>
                                  <w:spacing w:val="8"/>
                                </w:rPr>
                                <w:t>池</w:t>
                              </w:r>
                            </w:p>
                          </w:tc>
                        </w:tr>
                      </w:tbl>
                      <w:p>
                        <w:pPr>
                          <w:rPr>
                            <w:rFonts w:ascii="Arial"/>
                            <w:sz w:val="21"/>
                          </w:rPr>
                        </w:pPr>
                        <w:r/>
                      </w:p>
                    </w:txbxContent>
                  </v:textbox>
                </v:shape>
              </w:pict>
            </w:r>
            <w:r>
              <w:pict>
                <v:shape id="_x0000_s116" style="position:absolute;margin-left:-353.06pt;margin-top:38.65pt;mso-position-vertical-relative:top-margin-area;mso-position-horizontal-relative:right-margin-area;width:20pt;height:49.15pt;z-index:253537280;" filled="false" stroked="false" type="#_x0000_t202">
                  <v:fill on="false"/>
                  <v:stroke on="false"/>
                  <v:path/>
                  <v:imagedata o:title=""/>
                  <o:lock v:ext="edit" aspectratio="false"/>
                  <v:textbox inset="0mm,0mm,0mm,0mm">
                    <w:txbxContent>
                      <w:p>
                        <w:pPr>
                          <w:spacing w:line="20" w:lineRule="exact"/>
                          <w:rPr/>
                        </w:pPr>
                        <w:r/>
                      </w:p>
                      <w:tbl>
                        <w:tblPr>
                          <w:tblStyle w:val="TableNormal"/>
                          <w:tblW w:w="340" w:type="dxa"/>
                          <w:tblInd w:w="30" w:type="dxa"/>
                          <w:tblLayout w:type="fixed"/>
                          <w:tblBorders>
                            <w:left w:val="single" w:color="000000" w:sz="8" w:space="0"/>
                            <w:bottom w:val="single" w:color="000000" w:sz="8" w:space="0"/>
                            <w:right w:val="single" w:color="000000" w:sz="8" w:space="0"/>
                            <w:top w:val="single" w:color="000000" w:sz="8" w:space="0"/>
                          </w:tblBorders>
                        </w:tblPr>
                        <w:tblGrid>
                          <w:gridCol w:w="340"/>
                        </w:tblGrid>
                        <w:tr>
                          <w:trPr>
                            <w:trHeight w:val="902" w:hRule="atLeast"/>
                          </w:trPr>
                          <w:tc>
                            <w:tcPr>
                              <w:tcW w:w="340" w:type="dxa"/>
                              <w:vAlign w:val="top"/>
                              <w:textDirection w:val="tbRlV"/>
                            </w:tcPr>
                            <w:p>
                              <w:pPr>
                                <w:pStyle w:val="TableText"/>
                                <w:spacing w:before="52" w:line="209" w:lineRule="auto"/>
                                <w:jc w:val="right"/>
                                <w:rPr>
                                  <w:sz w:val="22"/>
                                  <w:szCs w:val="22"/>
                                </w:rPr>
                              </w:pPr>
                              <w:r>
                                <w:rPr>
                                  <w:sz w:val="22"/>
                                  <w:szCs w:val="22"/>
                                  <w:spacing w:val="-3"/>
                                </w:rPr>
                                <w:t>格</w:t>
                              </w:r>
                              <w:r>
                                <w:rPr>
                                  <w:sz w:val="22"/>
                                  <w:szCs w:val="22"/>
                                  <w:spacing w:val="-12"/>
                                </w:rPr>
                                <w:t xml:space="preserve"> </w:t>
                              </w:r>
                              <w:r>
                                <w:rPr>
                                  <w:sz w:val="22"/>
                                  <w:szCs w:val="22"/>
                                  <w:spacing w:val="-3"/>
                                </w:rPr>
                                <w:t>栅</w:t>
                              </w:r>
                              <w:r>
                                <w:rPr>
                                  <w:sz w:val="22"/>
                                  <w:szCs w:val="22"/>
                                  <w:spacing w:val="-10"/>
                                </w:rPr>
                                <w:t xml:space="preserve"> </w:t>
                              </w:r>
                              <w:r>
                                <w:rPr>
                                  <w:sz w:val="22"/>
                                  <w:szCs w:val="22"/>
                                  <w:spacing w:val="-3"/>
                                </w:rPr>
                                <w:t>池</w:t>
                              </w:r>
                            </w:p>
                          </w:tc>
                        </w:tr>
                      </w:tbl>
                      <w:p>
                        <w:pPr>
                          <w:rPr>
                            <w:rFonts w:ascii="Arial"/>
                            <w:sz w:val="21"/>
                          </w:rPr>
                        </w:pPr>
                        <w:r/>
                      </w:p>
                    </w:txbxContent>
                  </v:textbox>
                </v:shape>
              </w:pict>
            </w:r>
            <w:r>
              <w:pict>
                <v:shape id="_x0000_s118" style="position:absolute;margin-left:-290.26pt;margin-top:39.3pt;mso-position-vertical-relative:top-margin-area;mso-position-horizontal-relative:right-margin-area;width:20pt;height:47pt;z-index:253533184;" filled="false" stroked="false" type="#_x0000_t202">
                  <v:fill on="false"/>
                  <v:stroke on="false"/>
                  <v:path/>
                  <v:imagedata o:title=""/>
                  <o:lock v:ext="edit" aspectratio="false"/>
                  <v:textbox inset="0mm,0mm,0mm,0mm">
                    <w:txbxContent>
                      <w:p>
                        <w:pPr>
                          <w:spacing w:line="20" w:lineRule="exact"/>
                          <w:rPr/>
                        </w:pPr>
                        <w:r/>
                      </w:p>
                      <w:tbl>
                        <w:tblPr>
                          <w:tblStyle w:val="TableNormal"/>
                          <w:tblW w:w="340" w:type="dxa"/>
                          <w:tblInd w:w="30" w:type="dxa"/>
                          <w:tblLayout w:type="fixed"/>
                          <w:tblBorders>
                            <w:left w:val="single" w:color="000000" w:sz="8" w:space="0"/>
                            <w:bottom w:val="single" w:color="000000" w:sz="8" w:space="0"/>
                            <w:right w:val="single" w:color="000000" w:sz="8" w:space="0"/>
                            <w:top w:val="single" w:color="000000" w:sz="8" w:space="0"/>
                          </w:tblBorders>
                        </w:tblPr>
                        <w:tblGrid>
                          <w:gridCol w:w="340"/>
                        </w:tblGrid>
                        <w:tr>
                          <w:trPr>
                            <w:trHeight w:val="859" w:hRule="atLeast"/>
                          </w:trPr>
                          <w:tc>
                            <w:tcPr>
                              <w:tcW w:w="340" w:type="dxa"/>
                              <w:vAlign w:val="top"/>
                              <w:textDirection w:val="tbRlV"/>
                            </w:tcPr>
                            <w:p>
                              <w:pPr>
                                <w:pStyle w:val="TableText"/>
                                <w:ind w:left="56"/>
                                <w:spacing w:before="63" w:line="215" w:lineRule="auto"/>
                                <w:rPr>
                                  <w:sz w:val="20"/>
                                  <w:szCs w:val="20"/>
                                </w:rPr>
                              </w:pPr>
                              <w:r>
                                <w:rPr>
                                  <w:sz w:val="20"/>
                                  <w:szCs w:val="20"/>
                                  <w:spacing w:val="8"/>
                                </w:rPr>
                                <w:t>提</w:t>
                              </w:r>
                              <w:r>
                                <w:rPr>
                                  <w:sz w:val="20"/>
                                  <w:szCs w:val="20"/>
                                  <w:spacing w:val="-37"/>
                                </w:rPr>
                                <w:t xml:space="preserve"> </w:t>
                              </w:r>
                              <w:r>
                                <w:rPr>
                                  <w:sz w:val="20"/>
                                  <w:szCs w:val="20"/>
                                  <w:spacing w:val="8"/>
                                </w:rPr>
                                <w:t>升</w:t>
                              </w:r>
                              <w:r>
                                <w:rPr>
                                  <w:sz w:val="20"/>
                                  <w:szCs w:val="20"/>
                                  <w:spacing w:val="-37"/>
                                </w:rPr>
                                <w:t xml:space="preserve"> </w:t>
                              </w:r>
                              <w:r>
                                <w:rPr>
                                  <w:sz w:val="20"/>
                                  <w:szCs w:val="20"/>
                                  <w:spacing w:val="8"/>
                                </w:rPr>
                                <w:t>泵</w:t>
                              </w:r>
                            </w:p>
                          </w:tc>
                        </w:tr>
                      </w:tbl>
                      <w:p>
                        <w:pPr>
                          <w:rPr>
                            <w:rFonts w:ascii="Arial"/>
                            <w:sz w:val="21"/>
                          </w:rPr>
                        </w:pPr>
                        <w:r/>
                      </w:p>
                    </w:txbxContent>
                  </v:textbox>
                </v:shape>
              </w:pict>
            </w:r>
            <w:r>
              <w:pict>
                <v:shape id="_x0000_s120" style="position:absolute;margin-left:-393.421pt;margin-top:53.8881pt;mso-position-vertical-relative:top-margin-area;mso-position-horizontal-relative:right-margin-area;width:23.6pt;height:15.15pt;z-index:253532160;" filled="false" stroked="false" type="#_x0000_t202">
                  <v:fill on="false"/>
                  <v:stroke on="false"/>
                  <v:path/>
                  <v:imagedata o:title=""/>
                  <o:lock v:ext="edit" aspectratio="false"/>
                  <v:textbox inset="0mm,0mm,0mm,0mm">
                    <w:txbxContent>
                      <w:p>
                        <w:pPr>
                          <w:pStyle w:val="TableText"/>
                          <w:ind w:left="20"/>
                          <w:spacing w:before="20" w:line="220" w:lineRule="auto"/>
                          <w:rPr>
                            <w:sz w:val="22"/>
                            <w:szCs w:val="22"/>
                          </w:rPr>
                        </w:pPr>
                        <w:r>
                          <w:rPr>
                            <w:sz w:val="22"/>
                            <w:szCs w:val="22"/>
                            <w:spacing w:val="-5"/>
                          </w:rPr>
                          <w:t>污水</w:t>
                        </w:r>
                      </w:p>
                    </w:txbxContent>
                  </v:textbox>
                </v:shape>
              </w:pict>
            </w:r>
            <w:r>
              <w:drawing>
                <wp:anchor distT="0" distB="0" distL="0" distR="0" simplePos="0" relativeHeight="253542400" behindDoc="0" locked="0" layoutInCell="1" allowOverlap="1">
                  <wp:simplePos x="0" y="0"/>
                  <wp:positionH relativeFrom="rightMargin">
                    <wp:posOffset>-4242358</wp:posOffset>
                  </wp:positionH>
                  <wp:positionV relativeFrom="topMargin">
                    <wp:posOffset>508634</wp:posOffset>
                  </wp:positionV>
                  <wp:extent cx="572566" cy="586740"/>
                  <wp:effectExtent l="0" t="0" r="0" b="0"/>
                  <wp:wrapNone/>
                  <wp:docPr id="158" name="IM 158"/>
                  <wp:cNvGraphicFramePr/>
                  <a:graphic>
                    <a:graphicData uri="http://schemas.openxmlformats.org/drawingml/2006/picture">
                      <pic:pic>
                        <pic:nvPicPr>
                          <pic:cNvPr id="158" name="IM 158"/>
                          <pic:cNvPicPr/>
                        </pic:nvPicPr>
                        <pic:blipFill>
                          <a:blip r:embed="rId179"/>
                          <a:stretch>
                            <a:fillRect/>
                          </a:stretch>
                        </pic:blipFill>
                        <pic:spPr>
                          <a:xfrm rot="0">
                            <a:off x="0" y="0"/>
                            <a:ext cx="572566" cy="586740"/>
                          </a:xfrm>
                          <a:prstGeom prst="rect">
                            <a:avLst/>
                          </a:prstGeom>
                        </pic:spPr>
                      </pic:pic>
                    </a:graphicData>
                  </a:graphic>
                </wp:anchor>
              </w:drawing>
            </w:r>
            <w:r>
              <w:drawing>
                <wp:anchor distT="0" distB="0" distL="0" distR="0" simplePos="0" relativeHeight="253523968" behindDoc="0" locked="0" layoutInCell="1" allowOverlap="1">
                  <wp:simplePos x="0" y="0"/>
                  <wp:positionH relativeFrom="rightMargin">
                    <wp:posOffset>-3435565</wp:posOffset>
                  </wp:positionH>
                  <wp:positionV relativeFrom="topMargin">
                    <wp:posOffset>773315</wp:posOffset>
                  </wp:positionV>
                  <wp:extent cx="194398" cy="76200"/>
                  <wp:effectExtent l="0" t="0" r="0" b="0"/>
                  <wp:wrapNone/>
                  <wp:docPr id="160" name="IM 160"/>
                  <wp:cNvGraphicFramePr/>
                  <a:graphic>
                    <a:graphicData uri="http://schemas.openxmlformats.org/drawingml/2006/picture">
                      <pic:pic>
                        <pic:nvPicPr>
                          <pic:cNvPr id="160" name="IM 160"/>
                          <pic:cNvPicPr/>
                        </pic:nvPicPr>
                        <pic:blipFill>
                          <a:blip r:embed="rId180"/>
                          <a:stretch>
                            <a:fillRect/>
                          </a:stretch>
                        </pic:blipFill>
                        <pic:spPr>
                          <a:xfrm rot="0">
                            <a:off x="0" y="0"/>
                            <a:ext cx="194398" cy="76200"/>
                          </a:xfrm>
                          <a:prstGeom prst="rect">
                            <a:avLst/>
                          </a:prstGeom>
                        </pic:spPr>
                      </pic:pic>
                    </a:graphicData>
                  </a:graphic>
                </wp:anchor>
              </w:drawing>
            </w:r>
            <w:r>
              <w:drawing>
                <wp:anchor distT="0" distB="0" distL="0" distR="0" simplePos="0" relativeHeight="253520896" behindDoc="0" locked="0" layoutInCell="1" allowOverlap="1">
                  <wp:simplePos x="0" y="0"/>
                  <wp:positionH relativeFrom="rightMargin">
                    <wp:posOffset>-2449322</wp:posOffset>
                  </wp:positionH>
                  <wp:positionV relativeFrom="topMargin">
                    <wp:posOffset>777875</wp:posOffset>
                  </wp:positionV>
                  <wp:extent cx="337820" cy="76200"/>
                  <wp:effectExtent l="0" t="0" r="0" b="0"/>
                  <wp:wrapNone/>
                  <wp:docPr id="162" name="IM 162"/>
                  <wp:cNvGraphicFramePr/>
                  <a:graphic>
                    <a:graphicData uri="http://schemas.openxmlformats.org/drawingml/2006/picture">
                      <pic:pic>
                        <pic:nvPicPr>
                          <pic:cNvPr id="162" name="IM 162"/>
                          <pic:cNvPicPr/>
                        </pic:nvPicPr>
                        <pic:blipFill>
                          <a:blip r:embed="rId181"/>
                          <a:stretch>
                            <a:fillRect/>
                          </a:stretch>
                        </pic:blipFill>
                        <pic:spPr>
                          <a:xfrm rot="0">
                            <a:off x="0" y="0"/>
                            <a:ext cx="337820" cy="76200"/>
                          </a:xfrm>
                          <a:prstGeom prst="rect">
                            <a:avLst/>
                          </a:prstGeom>
                        </pic:spPr>
                      </pic:pic>
                    </a:graphicData>
                  </a:graphic>
                </wp:anchor>
              </w:drawing>
            </w:r>
            <w:r>
              <w:drawing>
                <wp:anchor distT="0" distB="0" distL="0" distR="0" simplePos="0" relativeHeight="253521920" behindDoc="0" locked="0" layoutInCell="1" allowOverlap="1">
                  <wp:simplePos x="0" y="0"/>
                  <wp:positionH relativeFrom="rightMargin">
                    <wp:posOffset>-1859407</wp:posOffset>
                  </wp:positionH>
                  <wp:positionV relativeFrom="topMargin">
                    <wp:posOffset>776604</wp:posOffset>
                  </wp:positionV>
                  <wp:extent cx="337819" cy="76200"/>
                  <wp:effectExtent l="0" t="0" r="0" b="0"/>
                  <wp:wrapNone/>
                  <wp:docPr id="164" name="IM 164"/>
                  <wp:cNvGraphicFramePr/>
                  <a:graphic>
                    <a:graphicData uri="http://schemas.openxmlformats.org/drawingml/2006/picture">
                      <pic:pic>
                        <pic:nvPicPr>
                          <pic:cNvPr id="164" name="IM 164"/>
                          <pic:cNvPicPr/>
                        </pic:nvPicPr>
                        <pic:blipFill>
                          <a:blip r:embed="rId182"/>
                          <a:stretch>
                            <a:fillRect/>
                          </a:stretch>
                        </pic:blipFill>
                        <pic:spPr>
                          <a:xfrm rot="0">
                            <a:off x="0" y="0"/>
                            <a:ext cx="337819" cy="76200"/>
                          </a:xfrm>
                          <a:prstGeom prst="rect">
                            <a:avLst/>
                          </a:prstGeom>
                        </pic:spPr>
                      </pic:pic>
                    </a:graphicData>
                  </a:graphic>
                </wp:anchor>
              </w:drawing>
            </w:r>
            <w:r>
              <w:drawing>
                <wp:anchor distT="0" distB="0" distL="0" distR="0" simplePos="0" relativeHeight="253522944" behindDoc="0" locked="0" layoutInCell="1" allowOverlap="1">
                  <wp:simplePos x="0" y="0"/>
                  <wp:positionH relativeFrom="rightMargin">
                    <wp:posOffset>-2021967</wp:posOffset>
                  </wp:positionH>
                  <wp:positionV relativeFrom="topMargin">
                    <wp:posOffset>1085215</wp:posOffset>
                  </wp:positionV>
                  <wp:extent cx="76200" cy="327025"/>
                  <wp:effectExtent l="0" t="0" r="0" b="0"/>
                  <wp:wrapNone/>
                  <wp:docPr id="166" name="IM 166"/>
                  <wp:cNvGraphicFramePr/>
                  <a:graphic>
                    <a:graphicData uri="http://schemas.openxmlformats.org/drawingml/2006/picture">
                      <pic:pic>
                        <pic:nvPicPr>
                          <pic:cNvPr id="166" name="IM 166"/>
                          <pic:cNvPicPr/>
                        </pic:nvPicPr>
                        <pic:blipFill>
                          <a:blip r:embed="rId183"/>
                          <a:stretch>
                            <a:fillRect/>
                          </a:stretch>
                        </pic:blipFill>
                        <pic:spPr>
                          <a:xfrm rot="0">
                            <a:off x="0" y="0"/>
                            <a:ext cx="76200" cy="327025"/>
                          </a:xfrm>
                          <a:prstGeom prst="rect">
                            <a:avLst/>
                          </a:prstGeom>
                        </pic:spPr>
                      </pic:pic>
                    </a:graphicData>
                  </a:graphic>
                </wp:anchor>
              </w:drawing>
            </w:r>
            <w:r>
              <w:drawing>
                <wp:anchor distT="0" distB="0" distL="0" distR="0" simplePos="0" relativeHeight="253519872" behindDoc="0" locked="0" layoutInCell="1" allowOverlap="1">
                  <wp:simplePos x="0" y="0"/>
                  <wp:positionH relativeFrom="rightMargin">
                    <wp:posOffset>-1262672</wp:posOffset>
                  </wp:positionH>
                  <wp:positionV relativeFrom="topMargin">
                    <wp:posOffset>768439</wp:posOffset>
                  </wp:positionV>
                  <wp:extent cx="466890" cy="76186"/>
                  <wp:effectExtent l="0" t="0" r="0" b="0"/>
                  <wp:wrapNone/>
                  <wp:docPr id="168" name="IM 168"/>
                  <wp:cNvGraphicFramePr/>
                  <a:graphic>
                    <a:graphicData uri="http://schemas.openxmlformats.org/drawingml/2006/picture">
                      <pic:pic>
                        <pic:nvPicPr>
                          <pic:cNvPr id="168" name="IM 168"/>
                          <pic:cNvPicPr/>
                        </pic:nvPicPr>
                        <pic:blipFill>
                          <a:blip r:embed="rId184"/>
                          <a:stretch>
                            <a:fillRect/>
                          </a:stretch>
                        </pic:blipFill>
                        <pic:spPr>
                          <a:xfrm rot="0">
                            <a:off x="0" y="0"/>
                            <a:ext cx="466890" cy="76186"/>
                          </a:xfrm>
                          <a:prstGeom prst="rect">
                            <a:avLst/>
                          </a:prstGeom>
                        </pic:spPr>
                      </pic:pic>
                    </a:graphicData>
                  </a:graphic>
                </wp:anchor>
              </w:drawing>
            </w:r>
            <w:r>
              <w:drawing>
                <wp:anchor distT="0" distB="0" distL="0" distR="0" simplePos="0" relativeHeight="253543424" behindDoc="0" locked="0" layoutInCell="1" allowOverlap="1">
                  <wp:simplePos x="0" y="0"/>
                  <wp:positionH relativeFrom="rightMargin">
                    <wp:posOffset>-4706315</wp:posOffset>
                  </wp:positionH>
                  <wp:positionV relativeFrom="topMargin">
                    <wp:posOffset>743927</wp:posOffset>
                  </wp:positionV>
                  <wp:extent cx="245948" cy="76175"/>
                  <wp:effectExtent l="0" t="0" r="0" b="0"/>
                  <wp:wrapNone/>
                  <wp:docPr id="170" name="IM 170"/>
                  <wp:cNvGraphicFramePr/>
                  <a:graphic>
                    <a:graphicData uri="http://schemas.openxmlformats.org/drawingml/2006/picture">
                      <pic:pic>
                        <pic:nvPicPr>
                          <pic:cNvPr id="170" name="IM 170"/>
                          <pic:cNvPicPr/>
                        </pic:nvPicPr>
                        <pic:blipFill>
                          <a:blip r:embed="rId185"/>
                          <a:stretch>
                            <a:fillRect/>
                          </a:stretch>
                        </pic:blipFill>
                        <pic:spPr>
                          <a:xfrm rot="0">
                            <a:off x="0" y="0"/>
                            <a:ext cx="245948" cy="76175"/>
                          </a:xfrm>
                          <a:prstGeom prst="rect">
                            <a:avLst/>
                          </a:prstGeom>
                        </pic:spPr>
                      </pic:pic>
                    </a:graphicData>
                  </a:graphic>
                </wp:anchor>
              </w:drawing>
            </w:r>
            <w:r>
              <w:drawing>
                <wp:anchor distT="0" distB="0" distL="0" distR="0" simplePos="0" relativeHeight="253517824" behindDoc="1" locked="0" layoutInCell="1" allowOverlap="1">
                  <wp:simplePos x="0" y="0"/>
                  <wp:positionH relativeFrom="rightMargin">
                    <wp:posOffset>-1646847</wp:posOffset>
                  </wp:positionH>
                  <wp:positionV relativeFrom="topMargin">
                    <wp:posOffset>1502498</wp:posOffset>
                  </wp:positionV>
                  <wp:extent cx="466890" cy="76186"/>
                  <wp:effectExtent l="0" t="0" r="0" b="0"/>
                  <wp:wrapNone/>
                  <wp:docPr id="172" name="IM 172"/>
                  <wp:cNvGraphicFramePr/>
                  <a:graphic>
                    <a:graphicData uri="http://schemas.openxmlformats.org/drawingml/2006/picture">
                      <pic:pic>
                        <pic:nvPicPr>
                          <pic:cNvPr id="172" name="IM 172"/>
                          <pic:cNvPicPr/>
                        </pic:nvPicPr>
                        <pic:blipFill>
                          <a:blip r:embed="rId186"/>
                          <a:stretch>
                            <a:fillRect/>
                          </a:stretch>
                        </pic:blipFill>
                        <pic:spPr>
                          <a:xfrm rot="0">
                            <a:off x="0" y="0"/>
                            <a:ext cx="466890" cy="76186"/>
                          </a:xfrm>
                          <a:prstGeom prst="rect">
                            <a:avLst/>
                          </a:prstGeom>
                        </pic:spPr>
                      </pic:pic>
                    </a:graphicData>
                  </a:graphic>
                </wp:anchor>
              </w:drawing>
            </w:r>
            <w:r>
              <w:rPr>
                <w:sz w:val="22"/>
                <w:szCs w:val="22"/>
                <w:spacing w:val="-5"/>
              </w:rPr>
              <w:t>曝气风机</w:t>
            </w:r>
          </w:p>
          <w:p>
            <w:pPr>
              <w:ind w:left="4192"/>
              <w:spacing w:before="40" w:line="12" w:lineRule="exact"/>
              <w:rPr/>
            </w:pPr>
            <w:r>
              <w:rPr/>
              <w:drawing>
                <wp:inline distT="0" distB="0" distL="0" distR="0">
                  <wp:extent cx="23494" cy="7619"/>
                  <wp:effectExtent l="0" t="0" r="0" b="0"/>
                  <wp:docPr id="174" name="IM 174"/>
                  <wp:cNvGraphicFramePr/>
                  <a:graphic>
                    <a:graphicData uri="http://schemas.openxmlformats.org/drawingml/2006/picture">
                      <pic:pic>
                        <pic:nvPicPr>
                          <pic:cNvPr id="174" name="IM 174"/>
                          <pic:cNvPicPr/>
                        </pic:nvPicPr>
                        <pic:blipFill>
                          <a:blip r:embed="rId187"/>
                          <a:stretch>
                            <a:fillRect/>
                          </a:stretch>
                        </pic:blipFill>
                        <pic:spPr>
                          <a:xfrm rot="0">
                            <a:off x="0" y="0"/>
                            <a:ext cx="23494" cy="7619"/>
                          </a:xfrm>
                          <a:prstGeom prst="rect">
                            <a:avLst/>
                          </a:prstGeom>
                        </pic:spPr>
                      </pic:pic>
                    </a:graphicData>
                  </a:graphic>
                </wp:inline>
              </w:drawing>
            </w:r>
          </w:p>
          <w:p>
            <w:pPr>
              <w:spacing w:line="205" w:lineRule="exact"/>
              <w:rPr/>
            </w:pPr>
            <w:r/>
          </w:p>
          <w:tbl>
            <w:tblPr>
              <w:tblStyle w:val="TableNormal"/>
              <w:tblW w:w="389" w:type="dxa"/>
              <w:tblInd w:w="3789" w:type="dxa"/>
              <w:tblLayout w:type="fixed"/>
              <w:tblBorders>
                <w:left w:val="single" w:color="000000" w:sz="8" w:space="0"/>
                <w:bottom w:val="single" w:color="000000" w:sz="8" w:space="0"/>
                <w:right w:val="single" w:color="000000" w:sz="8" w:space="0"/>
                <w:top w:val="single" w:color="000000" w:sz="8" w:space="0"/>
              </w:tblBorders>
            </w:tblPr>
            <w:tblGrid>
              <w:gridCol w:w="389"/>
            </w:tblGrid>
            <w:tr>
              <w:trPr>
                <w:trHeight w:val="1362" w:hRule="atLeast"/>
              </w:trPr>
              <w:tc>
                <w:tcPr>
                  <w:tcW w:w="389" w:type="dxa"/>
                  <w:vAlign w:val="top"/>
                </w:tcPr>
                <w:p>
                  <w:pPr>
                    <w:pStyle w:val="TableText"/>
                    <w:ind w:left="137" w:right="29"/>
                    <w:spacing w:before="167" w:line="281" w:lineRule="auto"/>
                    <w:jc w:val="both"/>
                    <w:rPr>
                      <w:sz w:val="20"/>
                      <w:szCs w:val="20"/>
                    </w:rPr>
                  </w:pPr>
                  <w:r>
                    <w:drawing>
                      <wp:anchor distT="0" distB="0" distL="0" distR="0" simplePos="0" relativeHeight="253516800" behindDoc="1" locked="0" layoutInCell="1" allowOverlap="1">
                        <wp:simplePos x="0" y="0"/>
                        <wp:positionH relativeFrom="column">
                          <wp:posOffset>-1296669</wp:posOffset>
                        </wp:positionH>
                        <wp:positionV relativeFrom="paragraph">
                          <wp:posOffset>634551</wp:posOffset>
                        </wp:positionV>
                        <wp:extent cx="1710689" cy="460057"/>
                        <wp:effectExtent l="0" t="0" r="0" b="0"/>
                        <wp:wrapNone/>
                        <wp:docPr id="176" name="IM 176"/>
                        <wp:cNvGraphicFramePr/>
                        <a:graphic>
                          <a:graphicData uri="http://schemas.openxmlformats.org/drawingml/2006/picture">
                            <pic:pic>
                              <pic:nvPicPr>
                                <pic:cNvPr id="176" name="IM 176"/>
                                <pic:cNvPicPr/>
                              </pic:nvPicPr>
                              <pic:blipFill>
                                <a:blip r:embed="rId188"/>
                                <a:stretch>
                                  <a:fillRect/>
                                </a:stretch>
                              </pic:blipFill>
                              <pic:spPr>
                                <a:xfrm rot="0">
                                  <a:off x="0" y="0"/>
                                  <a:ext cx="1710689" cy="460057"/>
                                </a:xfrm>
                                <a:prstGeom prst="rect">
                                  <a:avLst/>
                                </a:prstGeom>
                              </pic:spPr>
                            </pic:pic>
                          </a:graphicData>
                        </a:graphic>
                      </wp:anchor>
                    </w:drawing>
                  </w:r>
                  <w:r>
                    <w:rPr>
                      <w:rFonts w:ascii="Times New Roman" w:hAnsi="Times New Roman" w:eastAsia="Times New Roman" w:cs="Times New Roman"/>
                      <w:sz w:val="20"/>
                      <w:szCs w:val="20"/>
                      <w:spacing w:val="-1"/>
                    </w:rPr>
                    <w:t>O</w:t>
                  </w:r>
                  <w:r>
                    <w:rPr>
                      <w:rFonts w:ascii="Times New Roman" w:hAnsi="Times New Roman" w:eastAsia="Times New Roman" w:cs="Times New Roman"/>
                      <w:sz w:val="20"/>
                      <w:szCs w:val="20"/>
                    </w:rPr>
                    <w:t xml:space="preserve">  </w:t>
                  </w:r>
                  <w:r>
                    <w:rPr>
                      <w:sz w:val="20"/>
                      <w:szCs w:val="20"/>
                    </w:rPr>
                    <w:t>生 </w:t>
                  </w:r>
                  <w:r>
                    <w:rPr>
                      <w:sz w:val="20"/>
                      <w:szCs w:val="20"/>
                    </w:rPr>
                    <w:t>化 </w:t>
                  </w:r>
                  <w:r>
                    <w:rPr>
                      <w:sz w:val="20"/>
                      <w:szCs w:val="20"/>
                    </w:rPr>
                    <w:t>池</w:t>
                  </w:r>
                </w:p>
              </w:tc>
            </w:tr>
          </w:tbl>
          <w:p>
            <w:pPr>
              <w:pStyle w:val="TableText"/>
              <w:ind w:left="6189"/>
              <w:spacing w:before="255" w:line="209" w:lineRule="auto"/>
              <w:rPr>
                <w:sz w:val="22"/>
                <w:szCs w:val="22"/>
              </w:rPr>
            </w:pPr>
            <w:r>
              <w:pict>
                <v:shape id="_x0000_s122" style="position:absolute;margin-left:143.718pt;margin-top:2.07614pt;mso-position-vertical-relative:text;mso-position-horizontal-relative:text;width:56.6pt;height:15.2pt;z-index:253545472;" filled="false" stroked="false" type="#_x0000_t202">
                  <v:fill on="false"/>
                  <v:stroke on="false"/>
                  <v:path/>
                  <v:imagedata o:title=""/>
                  <o:lock v:ext="edit" aspectratio="false"/>
                  <v:textbox inset="0mm,0mm,0mm,0mm">
                    <w:txbxContent>
                      <w:p>
                        <w:pPr>
                          <w:pStyle w:val="TableText"/>
                          <w:ind w:left="20"/>
                          <w:spacing w:before="19" w:line="221" w:lineRule="auto"/>
                          <w:rPr>
                            <w:sz w:val="22"/>
                            <w:szCs w:val="22"/>
                          </w:rPr>
                        </w:pPr>
                        <w:r>
                          <w:rPr>
                            <w:sz w:val="22"/>
                            <w:szCs w:val="22"/>
                            <w:spacing w:val="-2"/>
                          </w:rPr>
                          <w:t>上清液回流</w:t>
                        </w:r>
                      </w:p>
                    </w:txbxContent>
                  </v:textbox>
                </v:shape>
              </w:pict>
            </w:r>
            <w:r>
              <w:pict>
                <v:shape id="_x0000_s124" style="position:absolute;margin-left:221.29pt;margin-top:9.12808pt;mso-position-vertical-relative:text;mso-position-horizontal-relative:text;width:53.3pt;height:15.45pt;z-index:253544448;" filled="false" stroked="false" type="#_x0000_t202">
                  <v:fill on="false"/>
                  <v:stroke on="false"/>
                  <v:path/>
                  <v:imagedata o:title=""/>
                  <o:lock v:ext="edit" aspectratio="false"/>
                  <v:textbox inset="0mm,0mm,0mm,0mm">
                    <w:txbxContent>
                      <w:p>
                        <w:pPr>
                          <w:spacing w:line="20" w:lineRule="exact"/>
                          <w:rPr/>
                        </w:pPr>
                        <w:r/>
                      </w:p>
                      <w:tbl>
                        <w:tblPr>
                          <w:tblStyle w:val="TableNormal"/>
                          <w:tblW w:w="1005" w:type="dxa"/>
                          <w:tblInd w:w="30" w:type="dxa"/>
                          <w:tblLayout w:type="fixed"/>
                          <w:tblBorders>
                            <w:left w:val="single" w:color="000000" w:sz="8" w:space="0"/>
                            <w:bottom w:val="single" w:color="000000" w:sz="8" w:space="0"/>
                            <w:right w:val="single" w:color="000000" w:sz="8" w:space="0"/>
                            <w:top w:val="single" w:color="000000" w:sz="8" w:space="0"/>
                          </w:tblBorders>
                        </w:tblPr>
                        <w:tblGrid>
                          <w:gridCol w:w="1005"/>
                        </w:tblGrid>
                        <w:tr>
                          <w:trPr>
                            <w:trHeight w:val="228" w:hRule="atLeast"/>
                          </w:trPr>
                          <w:tc>
                            <w:tcPr>
                              <w:tcW w:w="1005" w:type="dxa"/>
                              <w:vAlign w:val="top"/>
                            </w:tcPr>
                            <w:p>
                              <w:pPr>
                                <w:pStyle w:val="TableText"/>
                                <w:ind w:left="127"/>
                                <w:spacing w:before="9" w:line="175" w:lineRule="auto"/>
                                <w:rPr>
                                  <w:sz w:val="22"/>
                                  <w:szCs w:val="22"/>
                                </w:rPr>
                              </w:pPr>
                              <w:r>
                                <w:rPr>
                                  <w:sz w:val="22"/>
                                  <w:szCs w:val="22"/>
                                  <w:spacing w:val="-3"/>
                                </w:rPr>
                                <w:t>污泥池</w:t>
                              </w:r>
                            </w:p>
                          </w:tc>
                        </w:tr>
                      </w:tbl>
                      <w:p>
                        <w:pPr>
                          <w:rPr>
                            <w:rFonts w:ascii="Arial"/>
                            <w:sz w:val="21"/>
                          </w:rPr>
                        </w:pPr>
                        <w:r/>
                      </w:p>
                    </w:txbxContent>
                  </v:textbox>
                </v:shape>
              </w:pict>
            </w:r>
            <w:r>
              <w:rPr>
                <w:sz w:val="22"/>
                <w:szCs w:val="22"/>
                <w:spacing w:val="-2"/>
              </w:rPr>
              <w:t>污泥定期外运</w:t>
            </w:r>
          </w:p>
          <w:p>
            <w:pPr>
              <w:pStyle w:val="TableText"/>
              <w:ind w:left="843"/>
              <w:spacing w:line="197" w:lineRule="auto"/>
              <w:tabs>
                <w:tab w:val="left" w:pos="1723"/>
              </w:tabs>
              <w:rPr>
                <w:sz w:val="22"/>
                <w:szCs w:val="22"/>
              </w:rPr>
            </w:pPr>
            <w:r>
              <w:rPr>
                <w:sz w:val="22"/>
                <w:szCs w:val="22"/>
                <w:strike/>
              </w:rPr>
              <w:tab/>
            </w:r>
            <w:r>
              <w:rPr>
                <w:sz w:val="22"/>
                <w:szCs w:val="22"/>
                <w:spacing w:val="33"/>
              </w:rPr>
              <w:t xml:space="preserve"> </w:t>
            </w:r>
            <w:r>
              <w:rPr>
                <w:sz w:val="22"/>
                <w:szCs w:val="22"/>
                <w:spacing w:val="-3"/>
              </w:rPr>
              <w:t>污水路线</w:t>
            </w:r>
          </w:p>
        </w:tc>
      </w:tr>
      <w:tr>
        <w:trPr>
          <w:trHeight w:val="10133" w:hRule="atLeast"/>
        </w:trPr>
        <w:tc>
          <w:tcPr>
            <w:tcW w:w="459" w:type="dxa"/>
            <w:vAlign w:val="top"/>
            <w:vMerge w:val="continue"/>
            <w:tcBorders>
              <w:top w:val="nil"/>
            </w:tcBorders>
          </w:tcPr>
          <w:p>
            <w:pPr>
              <w:rPr>
                <w:rFonts w:ascii="Arial"/>
                <w:sz w:val="21"/>
              </w:rPr>
            </w:pPr>
            <w:r/>
          </w:p>
        </w:tc>
        <w:tc>
          <w:tcPr>
            <w:tcW w:w="8067" w:type="dxa"/>
            <w:vAlign w:val="top"/>
            <w:tcBorders>
              <w:top w:val="nil"/>
            </w:tcBorders>
          </w:tcPr>
          <w:p>
            <w:pPr>
              <w:pStyle w:val="TableText"/>
              <w:ind w:left="843"/>
              <w:spacing w:before="28" w:line="226" w:lineRule="auto"/>
              <w:tabs>
                <w:tab w:val="left" w:pos="1028"/>
              </w:tabs>
              <w:rPr>
                <w:sz w:val="22"/>
                <w:szCs w:val="22"/>
              </w:rPr>
            </w:pPr>
            <w:r>
              <w:rPr>
                <w:sz w:val="22"/>
                <w:szCs w:val="22"/>
                <w:strike/>
              </w:rPr>
              <w:tab/>
            </w:r>
            <w:r>
              <w:rPr>
                <w:sz w:val="22"/>
                <w:szCs w:val="22"/>
                <w:spacing w:val="-72"/>
              </w:rPr>
              <w:t xml:space="preserve"> </w:t>
            </w:r>
            <w:r>
              <w:rPr>
                <w:sz w:val="22"/>
                <w:szCs w:val="22"/>
                <w:position w:val="11"/>
              </w:rPr>
              <w:drawing>
                <wp:inline distT="0" distB="0" distL="0" distR="0">
                  <wp:extent cx="635" cy="7620"/>
                  <wp:effectExtent l="0" t="0" r="0" b="0"/>
                  <wp:docPr id="178" name="IM 178"/>
                  <wp:cNvGraphicFramePr/>
                  <a:graphic>
                    <a:graphicData uri="http://schemas.openxmlformats.org/drawingml/2006/picture">
                      <pic:pic>
                        <pic:nvPicPr>
                          <pic:cNvPr id="178" name="IM 178"/>
                          <pic:cNvPicPr/>
                        </pic:nvPicPr>
                        <pic:blipFill>
                          <a:blip r:embed="rId189"/>
                          <a:stretch>
                            <a:fillRect/>
                          </a:stretch>
                        </pic:blipFill>
                        <pic:spPr>
                          <a:xfrm rot="0">
                            <a:off x="0" y="0"/>
                            <a:ext cx="635" cy="7620"/>
                          </a:xfrm>
                          <a:prstGeom prst="rect">
                            <a:avLst/>
                          </a:prstGeom>
                        </pic:spPr>
                      </pic:pic>
                    </a:graphicData>
                  </a:graphic>
                </wp:inline>
              </w:drawing>
            </w:r>
            <w:r>
              <w:rPr>
                <w:sz w:val="22"/>
                <w:szCs w:val="22"/>
                <w:spacing w:val="-75"/>
              </w:rPr>
              <w:t xml:space="preserve"> </w:t>
            </w:r>
            <w:r>
              <w:rPr>
                <w:sz w:val="22"/>
                <w:szCs w:val="22"/>
                <w:position w:val="11"/>
              </w:rPr>
              <w:drawing>
                <wp:inline distT="0" distB="0" distL="0" distR="0">
                  <wp:extent cx="635" cy="7620"/>
                  <wp:effectExtent l="0" t="0" r="0" b="0"/>
                  <wp:docPr id="180" name="IM 180"/>
                  <wp:cNvGraphicFramePr/>
                  <a:graphic>
                    <a:graphicData uri="http://schemas.openxmlformats.org/drawingml/2006/picture">
                      <pic:pic>
                        <pic:nvPicPr>
                          <pic:cNvPr id="180" name="IM 180"/>
                          <pic:cNvPicPr/>
                        </pic:nvPicPr>
                        <pic:blipFill>
                          <a:blip r:embed="rId190"/>
                          <a:stretch>
                            <a:fillRect/>
                          </a:stretch>
                        </pic:blipFill>
                        <pic:spPr>
                          <a:xfrm rot="0">
                            <a:off x="0" y="0"/>
                            <a:ext cx="635" cy="7620"/>
                          </a:xfrm>
                          <a:prstGeom prst="rect">
                            <a:avLst/>
                          </a:prstGeom>
                        </pic:spPr>
                      </pic:pic>
                    </a:graphicData>
                  </a:graphic>
                </wp:inline>
              </w:drawing>
            </w:r>
            <w:r>
              <w:rPr>
                <w:sz w:val="22"/>
                <w:szCs w:val="22"/>
                <w:spacing w:val="-74"/>
              </w:rPr>
              <w:t xml:space="preserve"> </w:t>
            </w:r>
            <w:r>
              <w:rPr>
                <w:sz w:val="22"/>
                <w:szCs w:val="22"/>
                <w:strike/>
                <w:spacing w:val="36"/>
              </w:rPr>
              <w:t xml:space="preserve">  </w:t>
            </w:r>
            <w:r>
              <w:rPr>
                <w:sz w:val="22"/>
                <w:szCs w:val="22"/>
                <w:spacing w:val="-74"/>
              </w:rPr>
              <w:t xml:space="preserve"> </w:t>
            </w:r>
            <w:r>
              <w:rPr>
                <w:sz w:val="22"/>
                <w:szCs w:val="22"/>
                <w:position w:val="11"/>
              </w:rPr>
              <w:drawing>
                <wp:inline distT="0" distB="0" distL="0" distR="0">
                  <wp:extent cx="635" cy="7620"/>
                  <wp:effectExtent l="0" t="0" r="0" b="0"/>
                  <wp:docPr id="182" name="IM 182"/>
                  <wp:cNvGraphicFramePr/>
                  <a:graphic>
                    <a:graphicData uri="http://schemas.openxmlformats.org/drawingml/2006/picture">
                      <pic:pic>
                        <pic:nvPicPr>
                          <pic:cNvPr id="182" name="IM 182"/>
                          <pic:cNvPicPr/>
                        </pic:nvPicPr>
                        <pic:blipFill>
                          <a:blip r:embed="rId191"/>
                          <a:stretch>
                            <a:fillRect/>
                          </a:stretch>
                        </pic:blipFill>
                        <pic:spPr>
                          <a:xfrm rot="0">
                            <a:off x="0" y="0"/>
                            <a:ext cx="635" cy="7620"/>
                          </a:xfrm>
                          <a:prstGeom prst="rect">
                            <a:avLst/>
                          </a:prstGeom>
                        </pic:spPr>
                      </pic:pic>
                    </a:graphicData>
                  </a:graphic>
                </wp:inline>
              </w:drawing>
            </w:r>
            <w:r>
              <w:rPr>
                <w:sz w:val="22"/>
                <w:szCs w:val="22"/>
                <w:spacing w:val="-74"/>
              </w:rPr>
              <w:t xml:space="preserve"> </w:t>
            </w:r>
            <w:r>
              <w:rPr>
                <w:sz w:val="22"/>
                <w:szCs w:val="22"/>
                <w:position w:val="11"/>
              </w:rPr>
              <w:drawing>
                <wp:inline distT="0" distB="0" distL="0" distR="0">
                  <wp:extent cx="635" cy="7620"/>
                  <wp:effectExtent l="0" t="0" r="0" b="0"/>
                  <wp:docPr id="184" name="IM 184"/>
                  <wp:cNvGraphicFramePr/>
                  <a:graphic>
                    <a:graphicData uri="http://schemas.openxmlformats.org/drawingml/2006/picture">
                      <pic:pic>
                        <pic:nvPicPr>
                          <pic:cNvPr id="184" name="IM 184"/>
                          <pic:cNvPicPr/>
                        </pic:nvPicPr>
                        <pic:blipFill>
                          <a:blip r:embed="rId192"/>
                          <a:stretch>
                            <a:fillRect/>
                          </a:stretch>
                        </pic:blipFill>
                        <pic:spPr>
                          <a:xfrm rot="0">
                            <a:off x="0" y="0"/>
                            <a:ext cx="635" cy="7620"/>
                          </a:xfrm>
                          <a:prstGeom prst="rect">
                            <a:avLst/>
                          </a:prstGeom>
                        </pic:spPr>
                      </pic:pic>
                    </a:graphicData>
                  </a:graphic>
                </wp:inline>
              </w:drawing>
            </w:r>
            <w:r>
              <w:rPr>
                <w:sz w:val="22"/>
                <w:szCs w:val="22"/>
                <w:spacing w:val="-75"/>
              </w:rPr>
              <w:t xml:space="preserve"> </w:t>
            </w:r>
            <w:r>
              <w:rPr>
                <w:sz w:val="22"/>
                <w:szCs w:val="22"/>
                <w:strike/>
                <w:spacing w:val="75"/>
              </w:rPr>
              <w:t xml:space="preserve"> </w:t>
            </w:r>
            <w:r>
              <w:rPr>
                <w:sz w:val="22"/>
                <w:szCs w:val="22"/>
                <w:spacing w:val="51"/>
              </w:rPr>
              <w:t xml:space="preserve"> </w:t>
            </w:r>
            <w:r>
              <w:rPr>
                <w:sz w:val="22"/>
                <w:szCs w:val="22"/>
                <w:spacing w:val="-8"/>
              </w:rPr>
              <w:t>回流路线</w:t>
            </w:r>
          </w:p>
          <w:p>
            <w:pPr>
              <w:pStyle w:val="TableText"/>
              <w:ind w:left="843"/>
              <w:spacing w:before="1" w:line="211" w:lineRule="auto"/>
              <w:tabs>
                <w:tab w:val="left" w:pos="990"/>
              </w:tabs>
              <w:rPr>
                <w:sz w:val="22"/>
                <w:szCs w:val="22"/>
              </w:rPr>
            </w:pPr>
            <w:r>
              <w:rPr>
                <w:sz w:val="22"/>
                <w:szCs w:val="22"/>
                <w:strike/>
              </w:rPr>
              <w:tab/>
            </w:r>
            <w:r>
              <w:rPr>
                <w:sz w:val="22"/>
                <w:szCs w:val="22"/>
                <w:spacing w:val="-71"/>
              </w:rPr>
              <w:t xml:space="preserve"> </w:t>
            </w:r>
            <w:r>
              <w:rPr>
                <w:sz w:val="22"/>
                <w:szCs w:val="22"/>
                <w:strike/>
                <w:spacing w:val="35"/>
              </w:rPr>
              <w:t xml:space="preserve"> </w:t>
            </w:r>
            <w:r>
              <w:rPr>
                <w:sz w:val="22"/>
                <w:szCs w:val="22"/>
                <w:spacing w:val="-73"/>
              </w:rPr>
              <w:t xml:space="preserve"> </w:t>
            </w:r>
            <w:r>
              <w:rPr>
                <w:sz w:val="22"/>
                <w:szCs w:val="22"/>
                <w:strike/>
                <w:spacing w:val="36"/>
              </w:rPr>
              <w:t xml:space="preserve"> </w:t>
            </w:r>
            <w:r>
              <w:rPr>
                <w:sz w:val="22"/>
                <w:szCs w:val="22"/>
                <w:spacing w:val="-73"/>
              </w:rPr>
              <w:t xml:space="preserve"> </w:t>
            </w:r>
            <w:r>
              <w:rPr>
                <w:sz w:val="22"/>
                <w:szCs w:val="22"/>
                <w:strike/>
                <w:spacing w:val="35"/>
              </w:rPr>
              <w:t xml:space="preserve"> </w:t>
            </w:r>
            <w:r>
              <w:rPr>
                <w:sz w:val="22"/>
                <w:szCs w:val="22"/>
                <w:spacing w:val="-73"/>
              </w:rPr>
              <w:t xml:space="preserve"> </w:t>
            </w:r>
            <w:r>
              <w:rPr>
                <w:sz w:val="22"/>
                <w:szCs w:val="22"/>
                <w:strike/>
                <w:spacing w:val="38"/>
              </w:rPr>
              <w:t xml:space="preserve"> </w:t>
            </w:r>
            <w:r>
              <w:rPr>
                <w:sz w:val="22"/>
                <w:szCs w:val="22"/>
                <w:spacing w:val="16"/>
              </w:rPr>
              <w:t xml:space="preserve"> </w:t>
            </w:r>
            <w:r>
              <w:rPr>
                <w:sz w:val="22"/>
                <w:szCs w:val="22"/>
                <w:spacing w:val="-3"/>
              </w:rPr>
              <w:t>污泥路线</w:t>
            </w:r>
          </w:p>
          <w:p>
            <w:pPr>
              <w:pStyle w:val="TableText"/>
              <w:ind w:left="843"/>
              <w:spacing w:before="20" w:line="212" w:lineRule="auto"/>
              <w:tabs>
                <w:tab w:val="left" w:pos="1723"/>
              </w:tabs>
              <w:rPr>
                <w:sz w:val="22"/>
                <w:szCs w:val="22"/>
              </w:rPr>
            </w:pPr>
            <w:r>
              <w:rPr>
                <w:sz w:val="22"/>
                <w:szCs w:val="22"/>
                <w:strike/>
              </w:rPr>
              <w:tab/>
            </w:r>
            <w:r>
              <w:rPr>
                <w:sz w:val="22"/>
                <w:szCs w:val="22"/>
                <w:spacing w:val="41"/>
              </w:rPr>
              <w:t xml:space="preserve"> </w:t>
            </w:r>
            <w:r>
              <w:rPr>
                <w:sz w:val="22"/>
                <w:szCs w:val="22"/>
                <w:spacing w:val="-5"/>
              </w:rPr>
              <w:t>曝气路线</w:t>
            </w:r>
          </w:p>
          <w:p>
            <w:pPr>
              <w:pStyle w:val="TableText"/>
              <w:ind w:left="1882"/>
              <w:spacing w:line="219" w:lineRule="auto"/>
              <w:rPr/>
            </w:pPr>
            <w:r>
              <w:rPr>
                <w14:textOutline w14:w="4358" w14:cap="sq" w14:cmpd="sng">
                  <w14:solidFill>
                    <w14:srgbClr w14:val="000000"/>
                  </w14:solidFill>
                  <w14:prstDash w14:val="solid"/>
                  <w14:bevel/>
                </w14:textOutline>
                <w:spacing w:val="-1"/>
              </w:rPr>
              <w:t>图</w:t>
            </w:r>
            <w:r>
              <w:rPr>
                <w:rFonts w:ascii="Times New Roman" w:hAnsi="Times New Roman" w:eastAsia="Times New Roman" w:cs="Times New Roman"/>
                <w:b/>
                <w:bCs/>
                <w:spacing w:val="-1"/>
              </w:rPr>
              <w:t>2.11-1  </w:t>
            </w:r>
            <w:r>
              <w:rPr>
                <w14:textOutline w14:w="4358" w14:cap="sq" w14:cmpd="sng">
                  <w14:solidFill>
                    <w14:srgbClr w14:val="000000"/>
                  </w14:solidFill>
                  <w14:prstDash w14:val="solid"/>
                  <w14:bevel/>
                </w14:textOutline>
                <w:spacing w:val="-1"/>
              </w:rPr>
              <w:t>地埋式一体化污水处理设施工艺流程</w:t>
            </w:r>
          </w:p>
          <w:p>
            <w:pPr>
              <w:pStyle w:val="TableText"/>
              <w:ind w:left="114" w:right="106" w:firstLine="479"/>
              <w:spacing w:before="205" w:line="385" w:lineRule="auto"/>
              <w:jc w:val="both"/>
              <w:rPr/>
            </w:pPr>
            <w:r>
              <w:rPr>
                <w:spacing w:val="-3"/>
              </w:rPr>
              <w:t>①格栅：是拦截大颗粒的悬浮物质和切碎凝聚的软体物质（纸屑或事物</w:t>
            </w:r>
            <w:r>
              <w:rPr>
                <w:spacing w:val="13"/>
              </w:rPr>
              <w:t xml:space="preserve"> </w:t>
            </w:r>
            <w:r>
              <w:rPr>
                <w:spacing w:val="-2"/>
              </w:rPr>
              <w:t>残渣等</w:t>
            </w:r>
            <w:r>
              <w:rPr>
                <w:spacing w:val="-9"/>
              </w:rPr>
              <w:t>），</w:t>
            </w:r>
            <w:r>
              <w:rPr>
                <w:spacing w:val="-2"/>
              </w:rPr>
              <w:t>防止水泵或管道阻塞的重要设备，它是用平行排列的树根铁条制</w:t>
            </w:r>
            <w:r>
              <w:rPr/>
              <w:t xml:space="preserve"> </w:t>
            </w:r>
            <w:r>
              <w:rPr>
                <w:spacing w:val="-4"/>
              </w:rPr>
              <w:t>成，间隙为</w:t>
            </w:r>
            <w:r>
              <w:rPr>
                <w:rFonts w:ascii="Times New Roman" w:hAnsi="Times New Roman" w:eastAsia="Times New Roman" w:cs="Times New Roman"/>
                <w:spacing w:val="-4"/>
              </w:rPr>
              <w:t>2mm</w:t>
            </w:r>
            <w:r>
              <w:rPr>
                <w:rFonts w:ascii="Times New Roman" w:hAnsi="Times New Roman" w:eastAsia="Times New Roman" w:cs="Times New Roman"/>
                <w:spacing w:val="-33"/>
              </w:rPr>
              <w:t xml:space="preserve"> </w:t>
            </w:r>
            <w:r>
              <w:rPr>
                <w:spacing w:val="-4"/>
              </w:rPr>
              <w:t>，防止时与水流方向水平线呈</w:t>
            </w:r>
            <w:r>
              <w:rPr>
                <w:rFonts w:ascii="Times New Roman" w:hAnsi="Times New Roman" w:eastAsia="Times New Roman" w:cs="Times New Roman"/>
                <w:spacing w:val="-4"/>
              </w:rPr>
              <w:t>60</w:t>
            </w:r>
            <w:r>
              <w:rPr>
                <w:rFonts w:ascii="Times New Roman" w:hAnsi="Times New Roman" w:eastAsia="Times New Roman" w:cs="Times New Roman"/>
                <w:spacing w:val="-29"/>
              </w:rPr>
              <w:t xml:space="preserve"> </w:t>
            </w:r>
            <w:r>
              <w:rPr>
                <w:spacing w:val="-5"/>
              </w:rPr>
              <w:t>°角倾斜，以利于清除被阻</w:t>
            </w:r>
            <w:r>
              <w:rPr/>
              <w:t xml:space="preserve"> </w:t>
            </w:r>
            <w:r>
              <w:rPr>
                <w:spacing w:val="-2"/>
              </w:rPr>
              <w:t>留的残渣，在格栅的上边设置一个能集中消</w:t>
            </w:r>
            <w:r>
              <w:rPr>
                <w:spacing w:val="-3"/>
              </w:rPr>
              <w:t>毒污物的构筑物，为防止管道沉</w:t>
            </w:r>
            <w:r>
              <w:rPr/>
              <w:t xml:space="preserve"> </w:t>
            </w:r>
            <w:r>
              <w:rPr>
                <w:spacing w:val="-2"/>
              </w:rPr>
              <w:t>淤和阻留物被冲散，在设计和建筑时应注意</w:t>
            </w:r>
            <w:r>
              <w:rPr>
                <w:spacing w:val="-3"/>
              </w:rPr>
              <w:t>格栅前后的废水流速，格栅阻留</w:t>
            </w:r>
          </w:p>
          <w:p>
            <w:pPr>
              <w:pStyle w:val="TableText"/>
              <w:ind w:left="121"/>
              <w:spacing w:line="219" w:lineRule="auto"/>
              <w:rPr/>
            </w:pPr>
            <w:r>
              <w:rPr>
                <w:spacing w:val="-1"/>
              </w:rPr>
              <w:t>下的物质因含有大量的病原体，清除时应进行消毒处理。</w:t>
            </w:r>
          </w:p>
          <w:p>
            <w:pPr>
              <w:pStyle w:val="TableText"/>
              <w:ind w:left="113" w:right="106" w:firstLine="479"/>
              <w:spacing w:before="212" w:line="385" w:lineRule="auto"/>
              <w:jc w:val="both"/>
              <w:rPr/>
            </w:pPr>
            <w:r>
              <w:rPr>
                <w:spacing w:val="-3"/>
              </w:rPr>
              <w:t>②调节沉淀池：调节水量，水质同时兼有初沉池的作用。医院废水的水</w:t>
            </w:r>
            <w:r>
              <w:rPr>
                <w:spacing w:val="14"/>
              </w:rPr>
              <w:t xml:space="preserve"> </w:t>
            </w:r>
            <w:r>
              <w:rPr>
                <w:spacing w:val="-2"/>
              </w:rPr>
              <w:t>量、水质都是随时间的推移不断变化，有高</w:t>
            </w:r>
            <w:r>
              <w:rPr>
                <w:spacing w:val="-3"/>
              </w:rPr>
              <w:t>峰流量和低峰流量，也有高峰浓</w:t>
            </w:r>
            <w:r>
              <w:rPr/>
              <w:t xml:space="preserve"> </w:t>
            </w:r>
            <w:r>
              <w:rPr>
                <w:spacing w:val="-2"/>
              </w:rPr>
              <w:t>度和低峰浓度。流量和浓度的不均匀往往给</w:t>
            </w:r>
            <w:r>
              <w:rPr>
                <w:spacing w:val="-3"/>
              </w:rPr>
              <w:t>处理设备带来不少困难，或者使</w:t>
            </w:r>
            <w:r>
              <w:rPr/>
              <w:t xml:space="preserve"> </w:t>
            </w:r>
            <w:r>
              <w:rPr>
                <w:spacing w:val="-2"/>
              </w:rPr>
              <w:t>其无法保持在最优的工艺条件下运行；或者</w:t>
            </w:r>
            <w:r>
              <w:rPr>
                <w:spacing w:val="-3"/>
              </w:rPr>
              <w:t>使其短时无法工作，甚至遭受破</w:t>
            </w:r>
            <w:r>
              <w:rPr/>
              <w:t xml:space="preserve"> </w:t>
            </w:r>
            <w:r>
              <w:rPr>
                <w:spacing w:val="-2"/>
              </w:rPr>
              <w:t>坏（如在过大的冲击负荷条件下）。为了改</w:t>
            </w:r>
            <w:r>
              <w:rPr>
                <w:spacing w:val="-3"/>
              </w:rPr>
              <w:t>善废水处理设备的工作条件，一</w:t>
            </w:r>
          </w:p>
          <w:p>
            <w:pPr>
              <w:pStyle w:val="TableText"/>
              <w:ind w:left="113"/>
              <w:spacing w:line="219" w:lineRule="auto"/>
              <w:rPr/>
            </w:pPr>
            <w:r>
              <w:rPr>
                <w:spacing w:val="-1"/>
              </w:rPr>
              <w:t>般需要对水量进行调节，对水质进行均和。</w:t>
            </w:r>
          </w:p>
          <w:p>
            <w:pPr>
              <w:pStyle w:val="TableText"/>
              <w:ind w:left="133" w:right="106" w:firstLine="458"/>
              <w:spacing w:before="214" w:line="385" w:lineRule="auto"/>
              <w:jc w:val="both"/>
              <w:rPr/>
            </w:pPr>
            <w:r>
              <w:rPr>
                <w:spacing w:val="-3"/>
              </w:rPr>
              <w:t>③厌氧好氧池：处理时间短，因此在处理水量相同的条件下，所需装置</w:t>
            </w:r>
            <w:r>
              <w:rPr>
                <w:spacing w:val="14"/>
              </w:rPr>
              <w:t xml:space="preserve"> </w:t>
            </w:r>
            <w:r>
              <w:rPr>
                <w:spacing w:val="-3"/>
              </w:rPr>
              <w:t>的设备较小，占地面积小。厌氧好氧池采用前段厌氧后段好氧工艺，好氧段</w:t>
            </w:r>
          </w:p>
          <w:p>
            <w:pPr>
              <w:pStyle w:val="TableText"/>
              <w:ind w:left="113"/>
              <w:spacing w:before="1" w:line="218" w:lineRule="auto"/>
              <w:rPr/>
            </w:pPr>
            <w:r>
              <w:rPr>
                <w:spacing w:val="-1"/>
              </w:rPr>
              <w:t>采用生物接触氧化法，池内挂填料，不容易发生污泥膨胀。</w:t>
            </w:r>
          </w:p>
          <w:p>
            <w:pPr>
              <w:pStyle w:val="TableText"/>
              <w:ind w:left="120" w:right="45" w:firstLine="471"/>
              <w:spacing w:before="215" w:line="385" w:lineRule="auto"/>
              <w:jc w:val="both"/>
              <w:rPr/>
            </w:pPr>
            <w:r>
              <w:rPr>
                <w:spacing w:val="-8"/>
              </w:rPr>
              <w:t>④沉淀池：由于生物接触氧化法产生污泥量少，采用竖流式，水流向上，</w:t>
            </w:r>
            <w:r>
              <w:rPr/>
              <w:t xml:space="preserve"> </w:t>
            </w:r>
            <w:r>
              <w:rPr>
                <w:spacing w:val="-3"/>
              </w:rPr>
              <w:t>带着微颗粒在上升的过程中，相互碰撞，促进絮凝，颗粒变大，沉速随之增</w:t>
            </w:r>
          </w:p>
          <w:p>
            <w:pPr>
              <w:pStyle w:val="TableText"/>
              <w:ind w:left="117"/>
              <w:spacing w:line="216" w:lineRule="auto"/>
              <w:rPr/>
            </w:pPr>
            <w:r>
              <w:rPr>
                <w:spacing w:val="-6"/>
              </w:rPr>
              <w:t>大，促使颗粒沉降，池底设污泥斗，污泥斗的倾角为</w:t>
            </w:r>
            <w:r>
              <w:rPr>
                <w:rFonts w:ascii="Times New Roman" w:hAnsi="Times New Roman" w:eastAsia="Times New Roman" w:cs="Times New Roman"/>
                <w:spacing w:val="-6"/>
              </w:rPr>
              <w:t>60</w:t>
            </w:r>
            <w:r>
              <w:rPr>
                <w:rFonts w:ascii="Times New Roman" w:hAnsi="Times New Roman" w:eastAsia="Times New Roman" w:cs="Times New Roman"/>
                <w:spacing w:val="-16"/>
              </w:rPr>
              <w:t xml:space="preserve"> </w:t>
            </w:r>
            <w:r>
              <w:rPr>
                <w:spacing w:val="-6"/>
              </w:rPr>
              <w:t>°</w:t>
            </w:r>
            <w:r>
              <w:rPr>
                <w:spacing w:val="-91"/>
              </w:rPr>
              <w:t xml:space="preserve"> </w:t>
            </w:r>
            <w:r>
              <w:rPr>
                <w:spacing w:val="-6"/>
              </w:rPr>
              <w:t>,</w:t>
            </w:r>
            <w:r>
              <w:rPr>
                <w:spacing w:val="48"/>
              </w:rPr>
              <w:t xml:space="preserve"> </w:t>
            </w:r>
            <w:r>
              <w:rPr>
                <w:spacing w:val="-6"/>
              </w:rPr>
              <w:t>污泥可依靠静水</w:t>
            </w:r>
          </w:p>
        </w:tc>
      </w:tr>
    </w:tbl>
    <w:p>
      <w:pPr>
        <w:pStyle w:val="BodyText"/>
        <w:rPr/>
      </w:pPr>
      <w:r/>
    </w:p>
    <w:p>
      <w:pPr>
        <w:sectPr>
          <w:footerReference w:type="default" r:id="rId174"/>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59"/>
        <w:gridCol w:w="8067"/>
      </w:tblGrid>
      <w:tr>
        <w:trPr>
          <w:trHeight w:val="13749" w:hRule="atLeast"/>
        </w:trPr>
        <w:tc>
          <w:tcPr>
            <w:tcW w:w="459" w:type="dxa"/>
            <w:vAlign w:val="top"/>
          </w:tcPr>
          <w:p>
            <w:pPr>
              <w:rPr>
                <w:rFonts w:ascii="Arial"/>
                <w:sz w:val="21"/>
              </w:rPr>
            </w:pPr>
            <w:r/>
          </w:p>
        </w:tc>
        <w:tc>
          <w:tcPr>
            <w:tcW w:w="8067" w:type="dxa"/>
            <w:vAlign w:val="top"/>
          </w:tcPr>
          <w:p>
            <w:pPr>
              <w:pStyle w:val="TableText"/>
              <w:ind w:left="115"/>
              <w:spacing w:before="200" w:line="219" w:lineRule="auto"/>
              <w:rPr/>
            </w:pPr>
            <w:r>
              <w:rPr>
                <w:spacing w:val="-1"/>
              </w:rPr>
              <w:t>压力将污泥从排泥管排出。</w:t>
            </w:r>
          </w:p>
          <w:p>
            <w:pPr>
              <w:pStyle w:val="TableText"/>
              <w:ind w:left="113" w:right="45" w:firstLine="482"/>
              <w:spacing w:before="212" w:line="385" w:lineRule="auto"/>
              <w:rPr/>
            </w:pPr>
            <w:r>
              <w:rPr>
                <w:spacing w:val="-3"/>
              </w:rPr>
              <w:t>生活污水经地埋式一体化污水处理装置处理，满足《农村生活污水处理</w:t>
            </w:r>
            <w:r>
              <w:rPr>
                <w:spacing w:val="11"/>
              </w:rPr>
              <w:t xml:space="preserve"> </w:t>
            </w:r>
            <w:r>
              <w:rPr/>
              <w:t>排放标准》（</w:t>
            </w:r>
            <w:r>
              <w:rPr>
                <w:rFonts w:ascii="Times New Roman" w:hAnsi="Times New Roman" w:eastAsia="Times New Roman" w:cs="Times New Roman"/>
              </w:rPr>
              <w:t>DB65 4275-2019</w:t>
            </w:r>
            <w:r>
              <w:rPr/>
              <w:t>）</w:t>
            </w:r>
            <w:r>
              <w:rPr>
                <w:rFonts w:ascii="Times New Roman" w:hAnsi="Times New Roman" w:eastAsia="Times New Roman" w:cs="Times New Roman"/>
              </w:rPr>
              <w:t>C</w:t>
            </w:r>
            <w:r>
              <w:rPr/>
              <w:t>级标准限值后用于厂区绿化。根据《排污</w:t>
            </w:r>
            <w:r>
              <w:rPr>
                <w:spacing w:val="7"/>
              </w:rPr>
              <w:t xml:space="preserve"> </w:t>
            </w:r>
            <w:r>
              <w:rPr>
                <w:spacing w:val="-3"/>
              </w:rPr>
              <w:t>许可证申请与核发技术规范 橡胶和塑料制品工业》（</w:t>
            </w:r>
            <w:r>
              <w:rPr>
                <w:rFonts w:ascii="Times New Roman" w:hAnsi="Times New Roman" w:eastAsia="Times New Roman" w:cs="Times New Roman"/>
                <w:spacing w:val="-3"/>
              </w:rPr>
              <w:t>HJ1122-2020</w:t>
            </w:r>
            <w:r>
              <w:rPr>
                <w:spacing w:val="-3"/>
              </w:rPr>
              <w:t>）表</w:t>
            </w:r>
            <w:r>
              <w:rPr>
                <w:rFonts w:ascii="Times New Roman" w:hAnsi="Times New Roman" w:eastAsia="Times New Roman" w:cs="Times New Roman"/>
                <w:spacing w:val="-3"/>
              </w:rPr>
              <w:t>A.4</w:t>
            </w:r>
            <w:r>
              <w:rPr>
                <w:spacing w:val="-3"/>
              </w:rPr>
              <w:t>，</w:t>
            </w:r>
            <w:r>
              <w:rPr>
                <w:spacing w:val="5"/>
              </w:rPr>
              <w:t xml:space="preserve"> </w:t>
            </w:r>
            <w:r>
              <w:rPr>
                <w:spacing w:val="-2"/>
              </w:rPr>
              <w:t>本项目生活污水采取的废水处理工艺属于可</w:t>
            </w:r>
            <w:r>
              <w:rPr>
                <w:spacing w:val="-3"/>
              </w:rPr>
              <w:t>行性技术。经企业竣工环境保护</w:t>
            </w:r>
            <w:r>
              <w:rPr/>
              <w:t xml:space="preserve"> </w:t>
            </w:r>
            <w:r>
              <w:rPr>
                <w:spacing w:val="-2"/>
              </w:rPr>
              <w:t>验收结果显示，生活污水可实现达标排放。</w:t>
            </w:r>
            <w:r>
              <w:rPr>
                <w:spacing w:val="-3"/>
              </w:rPr>
              <w:t>因此，本企业现有生活污水处理</w:t>
            </w:r>
          </w:p>
          <w:p>
            <w:pPr>
              <w:pStyle w:val="TableText"/>
              <w:ind w:left="115"/>
              <w:spacing w:line="218" w:lineRule="auto"/>
              <w:rPr/>
            </w:pPr>
            <w:r>
              <w:rPr>
                <w:spacing w:val="-1"/>
              </w:rPr>
              <w:t>方案属于可行性方案，排放去向明确，依托可行。</w:t>
            </w:r>
          </w:p>
          <w:p>
            <w:pPr>
              <w:pStyle w:val="TableText"/>
              <w:ind w:left="605"/>
              <w:spacing w:before="214" w:line="219" w:lineRule="auto"/>
              <w:rPr/>
            </w:pPr>
            <w:r>
              <w:rPr>
                <w:spacing w:val="-3"/>
              </w:rPr>
              <w:t>（</w:t>
            </w:r>
            <w:r>
              <w:rPr>
                <w:rFonts w:ascii="Times New Roman" w:hAnsi="Times New Roman" w:eastAsia="Times New Roman" w:cs="Times New Roman"/>
                <w:spacing w:val="-3"/>
              </w:rPr>
              <w:t>3</w:t>
            </w:r>
            <w:r>
              <w:rPr>
                <w:spacing w:val="-3"/>
              </w:rPr>
              <w:t>）堆场依托可行性</w:t>
            </w:r>
          </w:p>
          <w:p>
            <w:pPr>
              <w:pStyle w:val="TableText"/>
              <w:ind w:left="114" w:right="95" w:firstLine="483"/>
              <w:spacing w:before="213" w:line="385" w:lineRule="auto"/>
              <w:rPr/>
            </w:pPr>
            <w:r>
              <w:rPr>
                <w:spacing w:val="-1"/>
              </w:rPr>
              <w:t>企业现已建成一座半封闭式产品和原料堆场，堆场占地面积</w:t>
            </w:r>
            <w:r>
              <w:rPr>
                <w:rFonts w:ascii="Times New Roman" w:hAnsi="Times New Roman" w:eastAsia="Times New Roman" w:cs="Times New Roman"/>
                <w:spacing w:val="-1"/>
              </w:rPr>
              <w:t>500</w:t>
            </w:r>
            <w:r>
              <w:rPr>
                <w:spacing w:val="-1"/>
              </w:rPr>
              <w:t>㎡</w:t>
            </w:r>
            <w:r>
              <w:rPr>
                <w:spacing w:val="-55"/>
              </w:rPr>
              <w:t xml:space="preserve"> </w:t>
            </w:r>
            <w:r>
              <w:rPr>
                <w:spacing w:val="-1"/>
              </w:rPr>
              <w:t>，位</w:t>
            </w:r>
            <w:r>
              <w:rPr/>
              <w:t xml:space="preserve"> </w:t>
            </w:r>
            <w:r>
              <w:rPr>
                <w:spacing w:val="-2"/>
              </w:rPr>
              <w:t>于厂区北侧，位于办公生活区西侧、废旧滴灌带堆场东侧。采取三面</w:t>
            </w:r>
            <w:r>
              <w:rPr>
                <w:spacing w:val="-3"/>
              </w:rPr>
              <w:t>围挡，</w:t>
            </w:r>
            <w:r>
              <w:rPr/>
              <w:t xml:space="preserve"> </w:t>
            </w:r>
            <w:r>
              <w:rPr>
                <w:spacing w:val="-2"/>
              </w:rPr>
              <w:t>顶部加盖措施，减少包装原料长期暴晒。中</w:t>
            </w:r>
            <w:r>
              <w:rPr>
                <w:spacing w:val="-3"/>
              </w:rPr>
              <w:t>间由围挡进行分割，地面采取水</w:t>
            </w:r>
          </w:p>
          <w:p>
            <w:pPr>
              <w:pStyle w:val="TableText"/>
              <w:ind w:left="116"/>
              <w:spacing w:line="220" w:lineRule="auto"/>
              <w:rPr/>
            </w:pPr>
            <w:r>
              <w:rPr>
                <w:spacing w:val="-2"/>
              </w:rPr>
              <w:t>泥防渗措施。</w:t>
            </w:r>
          </w:p>
          <w:p>
            <w:pPr>
              <w:pStyle w:val="TableText"/>
              <w:ind w:left="119" w:right="106" w:firstLine="476"/>
              <w:spacing w:before="216" w:line="384" w:lineRule="auto"/>
              <w:rPr/>
            </w:pPr>
            <w:r>
              <w:rPr>
                <w:spacing w:val="-2"/>
              </w:rPr>
              <w:t>现有项目需要堆放外购原料</w:t>
            </w:r>
            <w:r>
              <w:rPr>
                <w:rFonts w:ascii="Times New Roman" w:hAnsi="Times New Roman" w:eastAsia="Times New Roman" w:cs="Times New Roman"/>
                <w:spacing w:val="-2"/>
              </w:rPr>
              <w:t>123t/a</w:t>
            </w:r>
            <w:r>
              <w:rPr>
                <w:spacing w:val="-2"/>
              </w:rPr>
              <w:t>，产品堆放量为</w:t>
            </w:r>
            <w:r>
              <w:rPr>
                <w:rFonts w:ascii="Times New Roman" w:hAnsi="Times New Roman" w:eastAsia="Times New Roman" w:cs="Times New Roman"/>
                <w:spacing w:val="-2"/>
              </w:rPr>
              <w:t>700t/a</w:t>
            </w:r>
            <w:r>
              <w:rPr>
                <w:spacing w:val="-2"/>
              </w:rPr>
              <w:t>。</w:t>
            </w:r>
            <w:r>
              <w:rPr>
                <w:spacing w:val="-3"/>
              </w:rPr>
              <w:t>现有项目需要</w:t>
            </w:r>
            <w:r>
              <w:rPr/>
              <w:t xml:space="preserve"> </w:t>
            </w:r>
            <w:r>
              <w:rPr>
                <w:spacing w:val="-1"/>
              </w:rPr>
              <w:t>原料及产品堆放面积</w:t>
            </w:r>
            <w:r>
              <w:rPr>
                <w:rFonts w:ascii="Times New Roman" w:hAnsi="Times New Roman" w:eastAsia="Times New Roman" w:cs="Times New Roman"/>
                <w:spacing w:val="-1"/>
              </w:rPr>
              <w:t>200</w:t>
            </w:r>
            <w:r>
              <w:rPr>
                <w:spacing w:val="-1"/>
              </w:rPr>
              <w:t>㎡</w:t>
            </w:r>
            <w:r>
              <w:rPr>
                <w:spacing w:val="-55"/>
              </w:rPr>
              <w:t xml:space="preserve"> </w:t>
            </w:r>
            <w:r>
              <w:rPr>
                <w:spacing w:val="-1"/>
              </w:rPr>
              <w:t>，且根据订单即产即销，在厂区存储时间较短。</w:t>
            </w:r>
          </w:p>
          <w:p>
            <w:pPr>
              <w:pStyle w:val="TableText"/>
              <w:ind w:left="114"/>
              <w:spacing w:line="219" w:lineRule="auto"/>
              <w:rPr/>
            </w:pPr>
            <w:r>
              <w:rPr>
                <w:spacing w:val="-1"/>
              </w:rPr>
              <w:t>剩余</w:t>
            </w:r>
            <w:r>
              <w:rPr>
                <w:rFonts w:ascii="Times New Roman" w:hAnsi="Times New Roman" w:eastAsia="Times New Roman" w:cs="Times New Roman"/>
                <w:spacing w:val="-1"/>
              </w:rPr>
              <w:t>300</w:t>
            </w:r>
            <w:r>
              <w:rPr>
                <w:spacing w:val="-1"/>
              </w:rPr>
              <w:t>㎡占地面积堆场属于闲置。</w:t>
            </w:r>
          </w:p>
          <w:p>
            <w:pPr>
              <w:pStyle w:val="TableText"/>
              <w:ind w:left="114" w:right="106" w:firstLine="480"/>
              <w:spacing w:before="215" w:line="385" w:lineRule="auto"/>
              <w:rPr/>
            </w:pPr>
            <w:r>
              <w:rPr/>
              <w:t>本项目需要外购原料</w:t>
            </w:r>
            <w:r>
              <w:rPr>
                <w:rFonts w:ascii="Times New Roman" w:hAnsi="Times New Roman" w:eastAsia="Times New Roman" w:cs="Times New Roman"/>
              </w:rPr>
              <w:t>533t/a</w:t>
            </w:r>
            <w:r>
              <w:rPr/>
              <w:t>原料，产品产量为</w:t>
            </w:r>
            <w:r>
              <w:rPr>
                <w:rFonts w:ascii="Times New Roman" w:hAnsi="Times New Roman" w:eastAsia="Times New Roman" w:cs="Times New Roman"/>
              </w:rPr>
              <w:t>500t/a</w:t>
            </w:r>
            <w:r>
              <w:rPr>
                <w:rFonts w:ascii="Times New Roman" w:hAnsi="Times New Roman" w:eastAsia="Times New Roman" w:cs="Times New Roman"/>
                <w:spacing w:val="-24"/>
              </w:rPr>
              <w:t xml:space="preserve"> </w:t>
            </w:r>
            <w:r>
              <w:rPr/>
              <w:t>，需要占地面积</w:t>
            </w:r>
            <w:r>
              <w:rPr>
                <w:rFonts w:ascii="Times New Roman" w:hAnsi="Times New Roman" w:eastAsia="Times New Roman" w:cs="Times New Roman"/>
              </w:rPr>
              <w:t>240 </w:t>
            </w:r>
            <w:r>
              <w:rPr>
                <w:spacing w:val="-2"/>
              </w:rPr>
              <w:t>㎡进行原料及产品堆放。现有厂区堆场可堆</w:t>
            </w:r>
            <w:r>
              <w:rPr>
                <w:spacing w:val="-3"/>
              </w:rPr>
              <w:t>放量可满足本项目原料、产品堆</w:t>
            </w:r>
            <w:r>
              <w:rPr/>
              <w:t xml:space="preserve"> </w:t>
            </w:r>
            <w:r>
              <w:rPr>
                <w:spacing w:val="-2"/>
              </w:rPr>
              <w:t>放，本项目依托现有堆场堆放合理可行。场</w:t>
            </w:r>
            <w:r>
              <w:rPr>
                <w:spacing w:val="-3"/>
              </w:rPr>
              <w:t>地已采取一般防渗措施，本项目</w:t>
            </w:r>
          </w:p>
          <w:p>
            <w:pPr>
              <w:pStyle w:val="TableText"/>
              <w:ind w:left="113"/>
              <w:spacing w:before="1" w:line="218" w:lineRule="auto"/>
              <w:rPr/>
            </w:pPr>
            <w:r>
              <w:rPr>
                <w:spacing w:val="-1"/>
              </w:rPr>
              <w:t>在依托过程中无需进行整改。</w:t>
            </w:r>
          </w:p>
        </w:tc>
      </w:tr>
    </w:tbl>
    <w:p>
      <w:pPr>
        <w:pStyle w:val="BodyText"/>
        <w:rPr/>
      </w:pPr>
      <w:r/>
    </w:p>
    <w:p>
      <w:pPr>
        <w:sectPr>
          <w:footerReference w:type="default" r:id="rId193"/>
          <w:pgSz w:w="11906" w:h="16839"/>
          <w:pgMar w:top="400" w:right="1687" w:bottom="1211" w:left="1687" w:header="0" w:footer="1049" w:gutter="0"/>
        </w:sectPr>
        <w:rPr/>
      </w:pPr>
    </w:p>
    <w:p>
      <w:pPr>
        <w:pStyle w:val="BodyText"/>
        <w:spacing w:line="287" w:lineRule="auto"/>
        <w:rPr/>
      </w:pPr>
      <w:r/>
    </w:p>
    <w:p>
      <w:pPr>
        <w:pStyle w:val="BodyText"/>
        <w:spacing w:line="287" w:lineRule="auto"/>
        <w:rPr/>
      </w:pPr>
      <w:r/>
    </w:p>
    <w:p>
      <w:pPr>
        <w:pStyle w:val="BodyText"/>
        <w:spacing w:line="287" w:lineRule="auto"/>
        <w:rPr/>
      </w:pPr>
      <w:r/>
    </w:p>
    <w:p>
      <w:pPr>
        <w:pStyle w:val="BodyText"/>
        <w:spacing w:line="288" w:lineRule="auto"/>
        <w:rPr/>
      </w:pPr>
      <w:r/>
    </w:p>
    <w:p>
      <w:pPr>
        <w:ind w:left="1184"/>
        <w:spacing w:before="91" w:line="219" w:lineRule="auto"/>
        <w:outlineLvl w:val="0"/>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三、区域环境质量现状、环境保护目标及评价标准</w:t>
      </w:r>
    </w:p>
    <w:p>
      <w:pPr>
        <w:spacing w:line="20" w:lineRule="exact"/>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84"/>
        <w:gridCol w:w="790"/>
        <w:gridCol w:w="752"/>
        <w:gridCol w:w="2126"/>
        <w:gridCol w:w="899"/>
        <w:gridCol w:w="899"/>
        <w:gridCol w:w="1335"/>
        <w:gridCol w:w="841"/>
      </w:tblGrid>
      <w:tr>
        <w:trPr>
          <w:trHeight w:val="10335" w:hRule="atLeast"/>
        </w:trPr>
        <w:tc>
          <w:tcPr>
            <w:tcW w:w="884" w:type="dxa"/>
            <w:vAlign w:val="top"/>
            <w:vMerge w:val="restart"/>
            <w:tcBorders>
              <w:bottom w:val="nil"/>
            </w:tcBorders>
          </w:tcPr>
          <w:p>
            <w:pPr>
              <w:pStyle w:val="TableText"/>
              <w:ind w:left="117" w:right="106" w:firstLine="17"/>
              <w:spacing w:before="197" w:line="385" w:lineRule="auto"/>
              <w:jc w:val="both"/>
              <w:rPr/>
            </w:pPr>
            <w:r>
              <w:rPr>
                <w:spacing w:val="-19"/>
              </w:rPr>
              <w:t>区</w:t>
            </w:r>
            <w:r>
              <w:rPr>
                <w:spacing w:val="75"/>
              </w:rPr>
              <w:t xml:space="preserve"> </w:t>
            </w:r>
            <w:r>
              <w:rPr>
                <w:spacing w:val="-19"/>
              </w:rPr>
              <w:t>域</w:t>
            </w:r>
            <w:r>
              <w:rPr/>
              <w:t xml:space="preserve"> </w:t>
            </w:r>
            <w:r>
              <w:rPr>
                <w:spacing w:val="-10"/>
              </w:rPr>
              <w:t>环</w:t>
            </w:r>
            <w:r>
              <w:rPr>
                <w:spacing w:val="75"/>
              </w:rPr>
              <w:t xml:space="preserve"> </w:t>
            </w:r>
            <w:r>
              <w:rPr>
                <w:spacing w:val="-10"/>
              </w:rPr>
              <w:t>境</w:t>
            </w:r>
            <w:r>
              <w:rPr/>
              <w:t xml:space="preserve"> </w:t>
            </w:r>
            <w:r>
              <w:rPr>
                <w:spacing w:val="-10"/>
              </w:rPr>
              <w:t>质</w:t>
            </w:r>
            <w:r>
              <w:rPr>
                <w:spacing w:val="74"/>
              </w:rPr>
              <w:t xml:space="preserve"> </w:t>
            </w:r>
            <w:r>
              <w:rPr>
                <w:spacing w:val="-10"/>
              </w:rPr>
              <w:t>量</w:t>
            </w:r>
          </w:p>
          <w:p>
            <w:pPr>
              <w:pStyle w:val="TableText"/>
              <w:ind w:left="119"/>
              <w:spacing w:line="219" w:lineRule="auto"/>
              <w:rPr/>
            </w:pPr>
            <w:r>
              <w:rPr>
                <w:spacing w:val="-6"/>
              </w:rPr>
              <w:t>现状</w:t>
            </w:r>
          </w:p>
        </w:tc>
        <w:tc>
          <w:tcPr>
            <w:tcW w:w="7642" w:type="dxa"/>
            <w:vAlign w:val="top"/>
            <w:gridSpan w:val="7"/>
            <w:tcBorders>
              <w:bottom w:val="single" w:color="000000" w:sz="10" w:space="0"/>
            </w:tcBorders>
          </w:tcPr>
          <w:p>
            <w:pPr>
              <w:pStyle w:val="TableText"/>
              <w:ind w:left="670"/>
              <w:spacing w:before="164" w:line="220" w:lineRule="auto"/>
              <w:outlineLvl w:val="1"/>
              <w:rPr>
                <w:sz w:val="28"/>
                <w:szCs w:val="28"/>
              </w:rPr>
            </w:pPr>
            <w:r>
              <w:rPr>
                <w:rFonts w:ascii="Times New Roman" w:hAnsi="Times New Roman" w:eastAsia="Times New Roman" w:cs="Times New Roman"/>
                <w:sz w:val="28"/>
                <w:szCs w:val="28"/>
                <w:b/>
                <w:bCs/>
              </w:rPr>
              <w:t>3.1  </w:t>
            </w:r>
            <w:r>
              <w:rPr>
                <w:sz w:val="28"/>
                <w:szCs w:val="28"/>
                <w14:textOutline w14:w="5103" w14:cap="sq" w14:cmpd="sng">
                  <w14:solidFill>
                    <w14:srgbClr w14:val="000000"/>
                  </w14:solidFill>
                  <w14:prstDash w14:val="solid"/>
                  <w14:bevel/>
                </w14:textOutline>
              </w:rPr>
              <w:t>大气环境质量现状</w:t>
            </w:r>
          </w:p>
          <w:p>
            <w:pPr>
              <w:pStyle w:val="TableText"/>
              <w:ind w:left="112" w:right="106" w:firstLine="487"/>
              <w:spacing w:before="198" w:line="385" w:lineRule="auto"/>
              <w:rPr>
                <w:rFonts w:ascii="Times New Roman" w:hAnsi="Times New Roman" w:eastAsia="Times New Roman" w:cs="Times New Roman"/>
              </w:rPr>
            </w:pPr>
            <w:r>
              <w:rPr>
                <w:spacing w:val="-2"/>
              </w:rPr>
              <w:t>《环境影响评价技术导则 大气环境》（</w:t>
            </w:r>
            <w:r>
              <w:rPr>
                <w:rFonts w:ascii="Times New Roman" w:hAnsi="Times New Roman" w:eastAsia="Times New Roman" w:cs="Times New Roman"/>
                <w:spacing w:val="-2"/>
              </w:rPr>
              <w:t>HJ2.2-201</w:t>
            </w:r>
            <w:r>
              <w:rPr>
                <w:rFonts w:ascii="Times New Roman" w:hAnsi="Times New Roman" w:eastAsia="Times New Roman" w:cs="Times New Roman"/>
                <w:spacing w:val="-3"/>
              </w:rPr>
              <w:t>8</w:t>
            </w:r>
            <w:r>
              <w:rPr>
                <w:spacing w:val="-3"/>
              </w:rPr>
              <w:t>）要求，评价范</w:t>
            </w:r>
            <w:r>
              <w:rPr/>
              <w:t xml:space="preserve"> </w:t>
            </w:r>
            <w:r>
              <w:rPr>
                <w:spacing w:val="7"/>
              </w:rPr>
              <w:t>围内没有环境空气质量监测网数据或公开发布的环境空气质量现状数</w:t>
            </w:r>
            <w:r>
              <w:rPr>
                <w:spacing w:val="6"/>
              </w:rPr>
              <w:t xml:space="preserve"> </w:t>
            </w:r>
            <w:r>
              <w:rPr>
                <w:spacing w:val="-7"/>
              </w:rPr>
              <w:t>据的选取满足《环境空气质量监测点位布设技术规范（试行）》（</w:t>
            </w:r>
            <w:r>
              <w:rPr>
                <w:rFonts w:ascii="Times New Roman" w:hAnsi="Times New Roman" w:eastAsia="Times New Roman" w:cs="Times New Roman"/>
                <w:spacing w:val="-7"/>
              </w:rPr>
              <w:t>HJ 664</w:t>
            </w:r>
            <w:r>
              <w:rPr>
                <w:rFonts w:ascii="Times New Roman" w:hAnsi="Times New Roman" w:eastAsia="Times New Roman" w:cs="Times New Roman"/>
                <w:spacing w:val="15"/>
              </w:rPr>
              <w:t xml:space="preserve"> </w:t>
            </w:r>
            <w:r>
              <w:rPr>
                <w:spacing w:val="-1"/>
              </w:rPr>
              <w:t>—</w:t>
            </w:r>
            <w:r>
              <w:rPr>
                <w:rFonts w:ascii="Times New Roman" w:hAnsi="Times New Roman" w:eastAsia="Times New Roman" w:cs="Times New Roman"/>
                <w:spacing w:val="-1"/>
              </w:rPr>
              <w:t>2013</w:t>
            </w:r>
            <w:r>
              <w:rPr>
                <w:spacing w:val="-1"/>
              </w:rPr>
              <w:t>）规定，并且与评价范围地理位置邻近，地形、气候条件相近的</w:t>
            </w:r>
            <w:r>
              <w:rPr>
                <w:spacing w:val="10"/>
              </w:rPr>
              <w:t xml:space="preserve"> </w:t>
            </w:r>
            <w:r>
              <w:rPr>
                <w:spacing w:val="-1"/>
              </w:rPr>
              <w:t>环境空气质量城市点或区域点监测数据。本项目位于呼图壁县，选取距</w:t>
            </w:r>
            <w:r>
              <w:rPr>
                <w:spacing w:val="8"/>
              </w:rPr>
              <w:t xml:space="preserve"> </w:t>
            </w:r>
            <w:r>
              <w:rPr>
                <w:spacing w:val="3"/>
              </w:rPr>
              <w:t>离本项目最近的呼图壁县监测站点</w:t>
            </w:r>
            <w:r>
              <w:rPr>
                <w:rFonts w:ascii="Times New Roman" w:hAnsi="Times New Roman" w:eastAsia="Times New Roman" w:cs="Times New Roman"/>
                <w:spacing w:val="3"/>
              </w:rPr>
              <w:t>2021</w:t>
            </w:r>
            <w:r>
              <w:rPr>
                <w:spacing w:val="3"/>
              </w:rPr>
              <w:t>年基准年连续</w:t>
            </w:r>
            <w:r>
              <w:rPr>
                <w:rFonts w:ascii="Times New Roman" w:hAnsi="Times New Roman" w:eastAsia="Times New Roman" w:cs="Times New Roman"/>
                <w:spacing w:val="3"/>
              </w:rPr>
              <w:t>1</w:t>
            </w:r>
            <w:r>
              <w:rPr>
                <w:spacing w:val="3"/>
              </w:rPr>
              <w:t>年的监测数</w:t>
            </w:r>
            <w:r>
              <w:rPr>
                <w:spacing w:val="2"/>
              </w:rPr>
              <w:t>据，</w:t>
            </w:r>
            <w:r>
              <w:rPr/>
              <w:t xml:space="preserve"> </w:t>
            </w:r>
            <w:r>
              <w:rPr>
                <w:spacing w:val="-3"/>
              </w:rPr>
              <w:t>作为本项目环境空气现状评价基本污染物</w:t>
            </w:r>
            <w:r>
              <w:rPr>
                <w:rFonts w:ascii="Times New Roman" w:hAnsi="Times New Roman" w:eastAsia="Times New Roman" w:cs="Times New Roman"/>
                <w:spacing w:val="-3"/>
              </w:rPr>
              <w:t>SO</w:t>
            </w:r>
            <w:r>
              <w:rPr>
                <w:rFonts w:ascii="Times New Roman" w:hAnsi="Times New Roman" w:eastAsia="Times New Roman" w:cs="Times New Roman"/>
                <w:sz w:val="15"/>
                <w:szCs w:val="15"/>
                <w:spacing w:val="-3"/>
                <w:position w:val="-1"/>
              </w:rPr>
              <w:t>2</w:t>
            </w:r>
            <w:r>
              <w:rPr>
                <w:spacing w:val="-3"/>
              </w:rPr>
              <w:t>、</w:t>
            </w:r>
            <w:r>
              <w:rPr>
                <w:rFonts w:ascii="Times New Roman" w:hAnsi="Times New Roman" w:eastAsia="Times New Roman" w:cs="Times New Roman"/>
                <w:spacing w:val="-3"/>
              </w:rPr>
              <w:t>NO</w:t>
            </w:r>
            <w:r>
              <w:rPr>
                <w:rFonts w:ascii="Times New Roman" w:hAnsi="Times New Roman" w:eastAsia="Times New Roman" w:cs="Times New Roman"/>
                <w:sz w:val="15"/>
                <w:szCs w:val="15"/>
                <w:spacing w:val="-3"/>
                <w:position w:val="-1"/>
              </w:rPr>
              <w:t>2</w:t>
            </w:r>
            <w:r>
              <w:rPr>
                <w:rFonts w:ascii="Times New Roman" w:hAnsi="Times New Roman" w:eastAsia="Times New Roman" w:cs="Times New Roman"/>
                <w:sz w:val="15"/>
                <w:szCs w:val="15"/>
                <w:spacing w:val="-1"/>
                <w:position w:val="-1"/>
              </w:rPr>
              <w:t xml:space="preserve"> </w:t>
            </w:r>
            <w:r>
              <w:rPr>
                <w:spacing w:val="-3"/>
              </w:rPr>
              <w:t>、</w:t>
            </w:r>
            <w:r>
              <w:rPr>
                <w:rFonts w:ascii="Times New Roman" w:hAnsi="Times New Roman" w:eastAsia="Times New Roman" w:cs="Times New Roman"/>
                <w:spacing w:val="-3"/>
              </w:rPr>
              <w:t>PM</w:t>
            </w:r>
            <w:r>
              <w:rPr>
                <w:rFonts w:ascii="Times New Roman" w:hAnsi="Times New Roman" w:eastAsia="Times New Roman" w:cs="Times New Roman"/>
                <w:sz w:val="15"/>
                <w:szCs w:val="15"/>
                <w:spacing w:val="-3"/>
                <w:position w:val="-1"/>
              </w:rPr>
              <w:t>10</w:t>
            </w:r>
            <w:r>
              <w:rPr>
                <w:rFonts w:ascii="Times New Roman" w:hAnsi="Times New Roman" w:eastAsia="Times New Roman" w:cs="Times New Roman"/>
                <w:sz w:val="15"/>
                <w:szCs w:val="15"/>
                <w:spacing w:val="-13"/>
                <w:position w:val="-1"/>
              </w:rPr>
              <w:t xml:space="preserve"> </w:t>
            </w:r>
            <w:r>
              <w:rPr>
                <w:spacing w:val="-3"/>
              </w:rPr>
              <w:t>、</w:t>
            </w:r>
            <w:r>
              <w:rPr>
                <w:rFonts w:ascii="Times New Roman" w:hAnsi="Times New Roman" w:eastAsia="Times New Roman" w:cs="Times New Roman"/>
                <w:spacing w:val="-3"/>
              </w:rPr>
              <w:t>PM</w:t>
            </w:r>
            <w:r>
              <w:rPr>
                <w:rFonts w:ascii="Times New Roman" w:hAnsi="Times New Roman" w:eastAsia="Times New Roman" w:cs="Times New Roman"/>
                <w:sz w:val="15"/>
                <w:szCs w:val="15"/>
                <w:spacing w:val="-3"/>
                <w:position w:val="-1"/>
              </w:rPr>
              <w:t>2.5</w:t>
            </w:r>
            <w:r>
              <w:rPr>
                <w:rFonts w:ascii="Times New Roman" w:hAnsi="Times New Roman" w:eastAsia="Times New Roman" w:cs="Times New Roman"/>
                <w:sz w:val="15"/>
                <w:szCs w:val="15"/>
                <w:spacing w:val="-12"/>
                <w:position w:val="-1"/>
              </w:rPr>
              <w:t xml:space="preserve"> </w:t>
            </w:r>
            <w:r>
              <w:rPr>
                <w:spacing w:val="-3"/>
              </w:rPr>
              <w:t>、</w:t>
            </w:r>
            <w:r>
              <w:rPr>
                <w:rFonts w:ascii="Times New Roman" w:hAnsi="Times New Roman" w:eastAsia="Times New Roman" w:cs="Times New Roman"/>
                <w:spacing w:val="-3"/>
              </w:rPr>
              <w:t>CO</w:t>
            </w:r>
          </w:p>
          <w:p>
            <w:pPr>
              <w:pStyle w:val="TableText"/>
              <w:ind w:left="114"/>
              <w:spacing w:line="219" w:lineRule="auto"/>
              <w:rPr/>
            </w:pPr>
            <w:r>
              <w:rPr>
                <w:spacing w:val="-5"/>
              </w:rPr>
              <w:t>和</w:t>
            </w:r>
            <w:r>
              <w:rPr>
                <w:rFonts w:ascii="Times New Roman" w:hAnsi="Times New Roman" w:eastAsia="Times New Roman" w:cs="Times New Roman"/>
                <w:spacing w:val="-5"/>
              </w:rPr>
              <w:t>O</w:t>
            </w:r>
            <w:r>
              <w:rPr>
                <w:rFonts w:ascii="Times New Roman" w:hAnsi="Times New Roman" w:eastAsia="Times New Roman" w:cs="Times New Roman"/>
                <w:sz w:val="15"/>
                <w:szCs w:val="15"/>
                <w:spacing w:val="-5"/>
                <w:position w:val="-1"/>
              </w:rPr>
              <w:t>3</w:t>
            </w:r>
            <w:r>
              <w:rPr>
                <w:rFonts w:ascii="Times New Roman" w:hAnsi="Times New Roman" w:eastAsia="Times New Roman" w:cs="Times New Roman"/>
                <w:sz w:val="15"/>
                <w:szCs w:val="15"/>
                <w:spacing w:val="-3"/>
                <w:position w:val="-1"/>
              </w:rPr>
              <w:t xml:space="preserve"> </w:t>
            </w:r>
            <w:r>
              <w:rPr>
                <w:spacing w:val="-5"/>
              </w:rPr>
              <w:t>的数据来源。</w:t>
            </w:r>
          </w:p>
          <w:p>
            <w:pPr>
              <w:pStyle w:val="TableText"/>
              <w:ind w:left="588"/>
              <w:spacing w:before="214" w:line="220" w:lineRule="auto"/>
              <w:outlineLvl w:val="2"/>
              <w:rPr/>
            </w:pPr>
            <w:r>
              <w:rPr>
                <w:rFonts w:ascii="Times New Roman" w:hAnsi="Times New Roman" w:eastAsia="Times New Roman" w:cs="Times New Roman"/>
                <w:b/>
                <w:bCs/>
              </w:rPr>
              <w:t>3.1.1</w:t>
            </w:r>
            <w:r>
              <w:rPr>
                <w14:textOutline w14:w="4358" w14:cap="sq" w14:cmpd="sng">
                  <w14:solidFill>
                    <w14:srgbClr w14:val="000000"/>
                  </w14:solidFill>
                  <w14:prstDash w14:val="solid"/>
                  <w14:bevel/>
                </w14:textOutline>
              </w:rPr>
              <w:t>项目所在预期环境质量达标情况</w:t>
            </w:r>
          </w:p>
          <w:p>
            <w:pPr>
              <w:pStyle w:val="TableText"/>
              <w:ind w:left="605"/>
              <w:spacing w:before="212" w:line="218" w:lineRule="auto"/>
              <w:rPr/>
            </w:pPr>
            <w:r>
              <w:rPr>
                <w:spacing w:val="-3"/>
              </w:rPr>
              <w:t>（</w:t>
            </w:r>
            <w:r>
              <w:rPr>
                <w:rFonts w:ascii="Times New Roman" w:hAnsi="Times New Roman" w:eastAsia="Times New Roman" w:cs="Times New Roman"/>
                <w:spacing w:val="-3"/>
              </w:rPr>
              <w:t>1</w:t>
            </w:r>
            <w:r>
              <w:rPr>
                <w:spacing w:val="-3"/>
              </w:rPr>
              <w:t>）评价标准</w:t>
            </w:r>
          </w:p>
          <w:p>
            <w:pPr>
              <w:pStyle w:val="TableText"/>
              <w:ind w:left="108" w:right="26" w:firstLine="485"/>
              <w:spacing w:before="218" w:line="384" w:lineRule="auto"/>
              <w:rPr/>
            </w:pPr>
            <w:r>
              <w:rPr>
                <w:spacing w:val="-3"/>
              </w:rPr>
              <w:t>根据本项目所在区域的环境功能区划，基本因子</w:t>
            </w:r>
            <w:r>
              <w:rPr>
                <w:rFonts w:ascii="Times New Roman" w:hAnsi="Times New Roman" w:eastAsia="Times New Roman" w:cs="Times New Roman"/>
                <w:spacing w:val="-3"/>
              </w:rPr>
              <w:t>SO</w:t>
            </w:r>
            <w:r>
              <w:rPr>
                <w:rFonts w:ascii="Times New Roman" w:hAnsi="Times New Roman" w:eastAsia="Times New Roman" w:cs="Times New Roman"/>
                <w:sz w:val="15"/>
                <w:szCs w:val="15"/>
                <w:spacing w:val="-3"/>
                <w:position w:val="-1"/>
              </w:rPr>
              <w:t>2</w:t>
            </w:r>
            <w:r>
              <w:rPr>
                <w:rFonts w:ascii="Times New Roman" w:hAnsi="Times New Roman" w:eastAsia="Times New Roman" w:cs="Times New Roman"/>
                <w:sz w:val="15"/>
                <w:szCs w:val="15"/>
                <w:spacing w:val="-6"/>
                <w:position w:val="-1"/>
              </w:rPr>
              <w:t xml:space="preserve"> </w:t>
            </w:r>
            <w:r>
              <w:rPr>
                <w:spacing w:val="-3"/>
              </w:rPr>
              <w:t>、</w:t>
            </w:r>
            <w:r>
              <w:rPr>
                <w:rFonts w:ascii="Times New Roman" w:hAnsi="Times New Roman" w:eastAsia="Times New Roman" w:cs="Times New Roman"/>
                <w:spacing w:val="-3"/>
              </w:rPr>
              <w:t>NO</w:t>
            </w:r>
            <w:r>
              <w:rPr>
                <w:rFonts w:ascii="Times New Roman" w:hAnsi="Times New Roman" w:eastAsia="Times New Roman" w:cs="Times New Roman"/>
                <w:sz w:val="15"/>
                <w:szCs w:val="15"/>
                <w:spacing w:val="-3"/>
                <w:position w:val="-1"/>
              </w:rPr>
              <w:t>2</w:t>
            </w:r>
            <w:r>
              <w:rPr>
                <w:rFonts w:ascii="Times New Roman" w:hAnsi="Times New Roman" w:eastAsia="Times New Roman" w:cs="Times New Roman"/>
                <w:sz w:val="15"/>
                <w:szCs w:val="15"/>
                <w:spacing w:val="-12"/>
                <w:position w:val="-1"/>
              </w:rPr>
              <w:t xml:space="preserve"> </w:t>
            </w:r>
            <w:r>
              <w:rPr>
                <w:spacing w:val="-3"/>
              </w:rPr>
              <w:t>、</w:t>
            </w:r>
            <w:r>
              <w:rPr>
                <w:rFonts w:ascii="Times New Roman" w:hAnsi="Times New Roman" w:eastAsia="Times New Roman" w:cs="Times New Roman"/>
                <w:spacing w:val="-3"/>
              </w:rPr>
              <w:t>PM</w:t>
            </w:r>
            <w:r>
              <w:rPr>
                <w:rFonts w:ascii="Times New Roman" w:hAnsi="Times New Roman" w:eastAsia="Times New Roman" w:cs="Times New Roman"/>
                <w:sz w:val="15"/>
                <w:szCs w:val="15"/>
                <w:spacing w:val="-3"/>
                <w:position w:val="-1"/>
              </w:rPr>
              <w:t>10</w:t>
            </w:r>
            <w:r>
              <w:rPr>
                <w:spacing w:val="-3"/>
              </w:rPr>
              <w:t>、</w:t>
            </w:r>
            <w:r>
              <w:rPr/>
              <w:t xml:space="preserve"> </w:t>
            </w:r>
            <w:r>
              <w:rPr>
                <w:rFonts w:ascii="Times New Roman" w:hAnsi="Times New Roman" w:eastAsia="Times New Roman" w:cs="Times New Roman"/>
                <w:spacing w:val="-2"/>
              </w:rPr>
              <w:t>PM</w:t>
            </w:r>
            <w:r>
              <w:rPr>
                <w:rFonts w:ascii="Times New Roman" w:hAnsi="Times New Roman" w:eastAsia="Times New Roman" w:cs="Times New Roman"/>
                <w:sz w:val="15"/>
                <w:szCs w:val="15"/>
                <w:spacing w:val="-2"/>
                <w:position w:val="-1"/>
              </w:rPr>
              <w:t>2.5</w:t>
            </w:r>
            <w:r>
              <w:rPr>
                <w:rFonts w:ascii="Times New Roman" w:hAnsi="Times New Roman" w:eastAsia="Times New Roman" w:cs="Times New Roman"/>
                <w:sz w:val="15"/>
                <w:szCs w:val="15"/>
                <w:spacing w:val="-12"/>
                <w:position w:val="-1"/>
              </w:rPr>
              <w:t xml:space="preserve"> </w:t>
            </w:r>
            <w:r>
              <w:rPr>
                <w:spacing w:val="-2"/>
              </w:rPr>
              <w:t>、</w:t>
            </w:r>
            <w:r>
              <w:rPr>
                <w:rFonts w:ascii="Times New Roman" w:hAnsi="Times New Roman" w:eastAsia="Times New Roman" w:cs="Times New Roman"/>
                <w:spacing w:val="-2"/>
              </w:rPr>
              <w:t>TSP</w:t>
            </w:r>
            <w:r>
              <w:rPr>
                <w:rFonts w:ascii="Times New Roman" w:hAnsi="Times New Roman" w:eastAsia="Times New Roman" w:cs="Times New Roman"/>
                <w:spacing w:val="-35"/>
              </w:rPr>
              <w:t xml:space="preserve"> </w:t>
            </w:r>
            <w:r>
              <w:rPr>
                <w:spacing w:val="-2"/>
              </w:rPr>
              <w:t>、</w:t>
            </w:r>
            <w:r>
              <w:rPr>
                <w:rFonts w:ascii="Times New Roman" w:hAnsi="Times New Roman" w:eastAsia="Times New Roman" w:cs="Times New Roman"/>
                <w:spacing w:val="-2"/>
              </w:rPr>
              <w:t>CO</w:t>
            </w:r>
            <w:r>
              <w:rPr>
                <w:spacing w:val="-2"/>
              </w:rPr>
              <w:t>、</w:t>
            </w:r>
            <w:r>
              <w:rPr>
                <w:rFonts w:ascii="Times New Roman" w:hAnsi="Times New Roman" w:eastAsia="Times New Roman" w:cs="Times New Roman"/>
                <w:spacing w:val="-2"/>
              </w:rPr>
              <w:t>O</w:t>
            </w:r>
            <w:r>
              <w:rPr>
                <w:rFonts w:ascii="Times New Roman" w:hAnsi="Times New Roman" w:eastAsia="Times New Roman" w:cs="Times New Roman"/>
                <w:sz w:val="15"/>
                <w:szCs w:val="15"/>
                <w:spacing w:val="-2"/>
                <w:position w:val="-1"/>
              </w:rPr>
              <w:t>3</w:t>
            </w:r>
            <w:r>
              <w:rPr>
                <w:spacing w:val="-2"/>
              </w:rPr>
              <w:t>执行《环境空气质量标准》（</w:t>
            </w:r>
            <w:r>
              <w:rPr>
                <w:rFonts w:ascii="Times New Roman" w:hAnsi="Times New Roman" w:eastAsia="Times New Roman" w:cs="Times New Roman"/>
                <w:spacing w:val="-2"/>
              </w:rPr>
              <w:t>GB309</w:t>
            </w:r>
            <w:r>
              <w:rPr>
                <w:rFonts w:ascii="Times New Roman" w:hAnsi="Times New Roman" w:eastAsia="Times New Roman" w:cs="Times New Roman"/>
                <w:spacing w:val="-3"/>
              </w:rPr>
              <w:t>5-2012</w:t>
            </w:r>
            <w:r>
              <w:rPr>
                <w:spacing w:val="-3"/>
              </w:rPr>
              <w:t>）中二</w:t>
            </w:r>
          </w:p>
          <w:p>
            <w:pPr>
              <w:pStyle w:val="TableText"/>
              <w:ind w:left="117"/>
              <w:spacing w:before="1" w:line="220" w:lineRule="auto"/>
              <w:rPr/>
            </w:pPr>
            <w:r>
              <w:rPr>
                <w:spacing w:val="-4"/>
              </w:rPr>
              <w:t>级标准。</w:t>
            </w:r>
          </w:p>
          <w:p>
            <w:pPr>
              <w:pStyle w:val="TableText"/>
              <w:ind w:left="605"/>
              <w:spacing w:before="215" w:line="218" w:lineRule="auto"/>
              <w:rPr/>
            </w:pPr>
            <w:r>
              <w:rPr>
                <w:spacing w:val="-3"/>
              </w:rPr>
              <w:t>（</w:t>
            </w:r>
            <w:r>
              <w:rPr>
                <w:rFonts w:ascii="Times New Roman" w:hAnsi="Times New Roman" w:eastAsia="Times New Roman" w:cs="Times New Roman"/>
                <w:spacing w:val="-3"/>
              </w:rPr>
              <w:t>2</w:t>
            </w:r>
            <w:r>
              <w:rPr>
                <w:spacing w:val="-3"/>
              </w:rPr>
              <w:t>）评价方法</w:t>
            </w:r>
          </w:p>
          <w:p>
            <w:pPr>
              <w:pStyle w:val="TableText"/>
              <w:ind w:left="122" w:right="106" w:firstLine="471"/>
              <w:spacing w:before="200" w:line="369" w:lineRule="auto"/>
              <w:rPr/>
            </w:pPr>
            <w:r>
              <w:rPr>
                <w:spacing w:val="-7"/>
              </w:rPr>
              <w:t>基本污染物按照《环境空气质量评价技术规范（试行）》</w:t>
            </w:r>
            <w:r>
              <w:rPr>
                <w:rFonts w:ascii="Times New Roman" w:hAnsi="Times New Roman" w:eastAsia="Times New Roman" w:cs="Times New Roman"/>
                <w:spacing w:val="-7"/>
              </w:rPr>
              <w:t>HJ6</w:t>
            </w:r>
            <w:r>
              <w:rPr>
                <w:rFonts w:ascii="Times New Roman" w:hAnsi="Times New Roman" w:eastAsia="Times New Roman" w:cs="Times New Roman"/>
                <w:spacing w:val="-8"/>
              </w:rPr>
              <w:t>63-2013</w:t>
            </w:r>
            <w:r>
              <w:rPr>
                <w:rFonts w:ascii="Times New Roman" w:hAnsi="Times New Roman" w:eastAsia="Times New Roman" w:cs="Times New Roman"/>
              </w:rPr>
              <w:t xml:space="preserve"> </w:t>
            </w:r>
            <w:r>
              <w:rPr>
                <w:spacing w:val="-1"/>
              </w:rPr>
              <w:t>中各评价项目的年评价指标进行判定。年评价指标中的年均浓度</w:t>
            </w:r>
            <w:r>
              <w:rPr>
                <w:spacing w:val="-2"/>
              </w:rPr>
              <w:t>和相应</w:t>
            </w:r>
            <w:r>
              <w:rPr/>
              <w:t xml:space="preserve"> </w:t>
            </w:r>
            <w:r>
              <w:rPr/>
              <w:t>百分位数</w:t>
            </w:r>
            <w:r>
              <w:rPr>
                <w:rFonts w:ascii="Times New Roman" w:hAnsi="Times New Roman" w:eastAsia="Times New Roman" w:cs="Times New Roman"/>
              </w:rPr>
              <w:t>24h</w:t>
            </w:r>
            <w:r>
              <w:rPr/>
              <w:t>平均或</w:t>
            </w:r>
            <w:r>
              <w:rPr>
                <w:rFonts w:ascii="Times New Roman" w:hAnsi="Times New Roman" w:eastAsia="Times New Roman" w:cs="Times New Roman"/>
              </w:rPr>
              <w:t>8h</w:t>
            </w:r>
            <w:r>
              <w:rPr/>
              <w:t>平均质量浓度满足</w:t>
            </w:r>
            <w:r>
              <w:rPr>
                <w:rFonts w:ascii="Times New Roman" w:hAnsi="Times New Roman" w:eastAsia="Times New Roman" w:cs="Times New Roman"/>
              </w:rPr>
              <w:t>GB3095</w:t>
            </w:r>
            <w:r>
              <w:rPr/>
              <w:t>中浓度</w:t>
            </w:r>
            <w:r>
              <w:rPr>
                <w:spacing w:val="-1"/>
              </w:rPr>
              <w:t>限值要求的即为</w:t>
            </w:r>
          </w:p>
          <w:p>
            <w:pPr>
              <w:pStyle w:val="TableText"/>
              <w:ind w:left="112"/>
              <w:spacing w:line="219" w:lineRule="auto"/>
              <w:rPr/>
            </w:pPr>
            <w:r>
              <w:rPr>
                <w:spacing w:val="-1"/>
              </w:rPr>
              <w:t>达标。对于超标的污染物，计算其超标倍数和超标率。</w:t>
            </w:r>
          </w:p>
          <w:p>
            <w:pPr>
              <w:pStyle w:val="TableText"/>
              <w:ind w:left="601"/>
              <w:spacing w:before="213" w:line="219" w:lineRule="auto"/>
              <w:rPr/>
            </w:pPr>
            <w:r>
              <w:rPr>
                <w:spacing w:val="-3"/>
              </w:rPr>
              <w:t>空气质量达标区判定结果见表</w:t>
            </w:r>
            <w:r>
              <w:rPr>
                <w:rFonts w:ascii="Times New Roman" w:hAnsi="Times New Roman" w:eastAsia="Times New Roman" w:cs="Times New Roman"/>
                <w:spacing w:val="-3"/>
              </w:rPr>
              <w:t>3.1-</w:t>
            </w:r>
            <w:r>
              <w:rPr>
                <w:rFonts w:ascii="Times New Roman" w:hAnsi="Times New Roman" w:eastAsia="Times New Roman" w:cs="Times New Roman"/>
                <w:spacing w:val="-22"/>
              </w:rPr>
              <w:t xml:space="preserve"> </w:t>
            </w:r>
            <w:r>
              <w:rPr>
                <w:rFonts w:ascii="Times New Roman" w:hAnsi="Times New Roman" w:eastAsia="Times New Roman" w:cs="Times New Roman"/>
                <w:spacing w:val="-3"/>
              </w:rPr>
              <w:t>1</w:t>
            </w:r>
            <w:r>
              <w:rPr>
                <w:spacing w:val="-3"/>
              </w:rPr>
              <w:t>。</w:t>
            </w:r>
          </w:p>
          <w:p>
            <w:pPr>
              <w:pStyle w:val="TableText"/>
              <w:ind w:left="1888"/>
              <w:spacing w:before="134" w:line="218" w:lineRule="auto"/>
              <w:rPr/>
            </w:pPr>
            <w:r>
              <w:rPr>
                <w14:textOutline w14:w="4358" w14:cap="sq" w14:cmpd="sng">
                  <w14:solidFill>
                    <w14:srgbClr w14:val="000000"/>
                  </w14:solidFill>
                  <w14:prstDash w14:val="solid"/>
                  <w14:bevel/>
                </w14:textOutline>
              </w:rPr>
              <w:t>表</w:t>
            </w:r>
            <w:r>
              <w:rPr>
                <w:rFonts w:ascii="Times New Roman" w:hAnsi="Times New Roman" w:eastAsia="Times New Roman" w:cs="Times New Roman"/>
                <w:b/>
                <w:bCs/>
              </w:rPr>
              <w:t>3.1-1        </w:t>
            </w:r>
            <w:r>
              <w:rPr>
                <w14:textOutline w14:w="4358" w14:cap="sq" w14:cmpd="sng">
                  <w14:solidFill>
                    <w14:srgbClr w14:val="000000"/>
                  </w14:solidFill>
                  <w14:prstDash w14:val="solid"/>
                  <w14:bevel/>
                </w14:textOutline>
              </w:rPr>
              <w:t>区域空气质量现状评价表</w:t>
            </w:r>
          </w:p>
        </w:tc>
      </w:tr>
      <w:tr>
        <w:trPr>
          <w:trHeight w:val="715" w:hRule="atLeast"/>
        </w:trPr>
        <w:tc>
          <w:tcPr>
            <w:tcW w:w="884" w:type="dxa"/>
            <w:vAlign w:val="top"/>
            <w:vMerge w:val="continue"/>
            <w:tcBorders>
              <w:top w:val="nil"/>
              <w:bottom w:val="nil"/>
            </w:tcBorders>
          </w:tcPr>
          <w:p>
            <w:pPr>
              <w:rPr>
                <w:rFonts w:ascii="Arial"/>
                <w:sz w:val="21"/>
              </w:rPr>
            </w:pPr>
            <w:r/>
          </w:p>
        </w:tc>
        <w:tc>
          <w:tcPr>
            <w:tcW w:w="790" w:type="dxa"/>
            <w:vAlign w:val="top"/>
            <w:tcBorders>
              <w:top w:val="single" w:color="000000" w:sz="10" w:space="0"/>
            </w:tcBorders>
          </w:tcPr>
          <w:p>
            <w:pPr>
              <w:pStyle w:val="TableText"/>
              <w:ind w:left="243"/>
              <w:spacing w:before="284" w:line="229" w:lineRule="auto"/>
              <w:rPr>
                <w:sz w:val="20"/>
                <w:szCs w:val="20"/>
              </w:rPr>
            </w:pPr>
            <w:r>
              <w:rPr>
                <w:sz w:val="20"/>
                <w:szCs w:val="20"/>
                <w:spacing w:val="5"/>
              </w:rPr>
              <w:t>序号</w:t>
            </w:r>
          </w:p>
        </w:tc>
        <w:tc>
          <w:tcPr>
            <w:tcW w:w="752" w:type="dxa"/>
            <w:vAlign w:val="top"/>
            <w:tcBorders>
              <w:top w:val="single" w:color="000000" w:sz="10" w:space="0"/>
            </w:tcBorders>
          </w:tcPr>
          <w:p>
            <w:pPr>
              <w:pStyle w:val="TableText"/>
              <w:ind w:left="173"/>
              <w:spacing w:before="284" w:line="228" w:lineRule="auto"/>
              <w:rPr>
                <w:sz w:val="20"/>
                <w:szCs w:val="20"/>
              </w:rPr>
            </w:pPr>
            <w:r>
              <w:rPr>
                <w:sz w:val="20"/>
                <w:szCs w:val="20"/>
                <w:spacing w:val="3"/>
              </w:rPr>
              <w:t>项目</w:t>
            </w:r>
          </w:p>
        </w:tc>
        <w:tc>
          <w:tcPr>
            <w:tcW w:w="2126" w:type="dxa"/>
            <w:vAlign w:val="top"/>
            <w:tcBorders>
              <w:top w:val="single" w:color="000000" w:sz="10" w:space="0"/>
            </w:tcBorders>
          </w:tcPr>
          <w:p>
            <w:pPr>
              <w:pStyle w:val="TableText"/>
              <w:ind w:left="645"/>
              <w:spacing w:before="284" w:line="228" w:lineRule="auto"/>
              <w:rPr>
                <w:sz w:val="20"/>
                <w:szCs w:val="20"/>
              </w:rPr>
            </w:pPr>
            <w:r>
              <w:rPr>
                <w:sz w:val="20"/>
                <w:szCs w:val="20"/>
                <w:spacing w:val="7"/>
              </w:rPr>
              <w:t>平均时间</w:t>
            </w:r>
          </w:p>
        </w:tc>
        <w:tc>
          <w:tcPr>
            <w:tcW w:w="899" w:type="dxa"/>
            <w:vAlign w:val="top"/>
            <w:tcBorders>
              <w:top w:val="single" w:color="000000" w:sz="10" w:space="0"/>
            </w:tcBorders>
          </w:tcPr>
          <w:p>
            <w:pPr>
              <w:pStyle w:val="TableText"/>
              <w:ind w:left="141"/>
              <w:spacing w:before="284" w:line="228" w:lineRule="auto"/>
              <w:rPr>
                <w:sz w:val="20"/>
                <w:szCs w:val="20"/>
              </w:rPr>
            </w:pPr>
            <w:r>
              <w:rPr>
                <w:sz w:val="20"/>
                <w:szCs w:val="20"/>
                <w:spacing w:val="6"/>
              </w:rPr>
              <w:t>标准值</w:t>
            </w:r>
          </w:p>
        </w:tc>
        <w:tc>
          <w:tcPr>
            <w:tcW w:w="899" w:type="dxa"/>
            <w:vAlign w:val="top"/>
            <w:tcBorders>
              <w:top w:val="single" w:color="000000" w:sz="10" w:space="0"/>
            </w:tcBorders>
          </w:tcPr>
          <w:p>
            <w:pPr>
              <w:pStyle w:val="TableText"/>
              <w:ind w:left="143"/>
              <w:spacing w:before="284" w:line="228" w:lineRule="auto"/>
              <w:rPr>
                <w:sz w:val="20"/>
                <w:szCs w:val="20"/>
              </w:rPr>
            </w:pPr>
            <w:r>
              <w:rPr>
                <w:sz w:val="20"/>
                <w:szCs w:val="20"/>
                <w:spacing w:val="6"/>
              </w:rPr>
              <w:t>现状值</w:t>
            </w:r>
          </w:p>
        </w:tc>
        <w:tc>
          <w:tcPr>
            <w:tcW w:w="1335" w:type="dxa"/>
            <w:vAlign w:val="top"/>
            <w:tcBorders>
              <w:top w:val="single" w:color="000000" w:sz="10" w:space="0"/>
            </w:tcBorders>
          </w:tcPr>
          <w:p>
            <w:pPr>
              <w:pStyle w:val="TableText"/>
              <w:ind w:left="306"/>
              <w:spacing w:before="284" w:line="228" w:lineRule="auto"/>
              <w:rPr>
                <w:rFonts w:ascii="Times New Roman" w:hAnsi="Times New Roman" w:eastAsia="Times New Roman" w:cs="Times New Roman"/>
                <w:sz w:val="20"/>
                <w:szCs w:val="20"/>
              </w:rPr>
            </w:pPr>
            <w:r>
              <w:rPr>
                <w:sz w:val="20"/>
                <w:szCs w:val="20"/>
                <w:spacing w:val="-2"/>
              </w:rPr>
              <w:t>占标率</w:t>
            </w:r>
            <w:r>
              <w:rPr>
                <w:rFonts w:ascii="Times New Roman" w:hAnsi="Times New Roman" w:eastAsia="Times New Roman" w:cs="Times New Roman"/>
                <w:sz w:val="20"/>
                <w:szCs w:val="20"/>
                <w:spacing w:val="-2"/>
              </w:rPr>
              <w:t>%</w:t>
            </w:r>
          </w:p>
        </w:tc>
        <w:tc>
          <w:tcPr>
            <w:tcW w:w="841" w:type="dxa"/>
            <w:vAlign w:val="top"/>
            <w:tcBorders>
              <w:top w:val="single" w:color="000000" w:sz="10" w:space="0"/>
            </w:tcBorders>
          </w:tcPr>
          <w:p>
            <w:pPr>
              <w:pStyle w:val="TableText"/>
              <w:ind w:left="160"/>
              <w:spacing w:before="104" w:line="360" w:lineRule="exact"/>
              <w:rPr>
                <w:sz w:val="20"/>
                <w:szCs w:val="20"/>
              </w:rPr>
            </w:pPr>
            <w:r>
              <w:rPr>
                <w:sz w:val="20"/>
                <w:szCs w:val="20"/>
                <w:spacing w:val="5"/>
                <w:position w:val="11"/>
              </w:rPr>
              <w:t>达标</w:t>
            </w:r>
          </w:p>
          <w:p>
            <w:pPr>
              <w:pStyle w:val="TableText"/>
              <w:ind w:left="162"/>
              <w:spacing w:line="222" w:lineRule="auto"/>
              <w:rPr>
                <w:sz w:val="20"/>
                <w:szCs w:val="20"/>
              </w:rPr>
            </w:pPr>
            <w:r>
              <w:rPr>
                <w:sz w:val="20"/>
                <w:szCs w:val="20"/>
                <w:spacing w:val="4"/>
              </w:rPr>
              <w:t>情况</w:t>
            </w:r>
          </w:p>
        </w:tc>
      </w:tr>
      <w:tr>
        <w:trPr>
          <w:trHeight w:val="365" w:hRule="atLeast"/>
        </w:trPr>
        <w:tc>
          <w:tcPr>
            <w:tcW w:w="884" w:type="dxa"/>
            <w:vAlign w:val="top"/>
            <w:vMerge w:val="continue"/>
            <w:tcBorders>
              <w:top w:val="nil"/>
              <w:bottom w:val="nil"/>
            </w:tcBorders>
          </w:tcPr>
          <w:p>
            <w:pPr>
              <w:rPr>
                <w:rFonts w:ascii="Arial"/>
                <w:sz w:val="21"/>
              </w:rPr>
            </w:pPr>
            <w:r/>
          </w:p>
        </w:tc>
        <w:tc>
          <w:tcPr>
            <w:tcW w:w="790" w:type="dxa"/>
            <w:vAlign w:val="top"/>
          </w:tcPr>
          <w:p>
            <w:pPr>
              <w:ind w:left="417"/>
              <w:spacing w:before="15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52" w:type="dxa"/>
            <w:vAlign w:val="top"/>
          </w:tcPr>
          <w:p>
            <w:pPr>
              <w:ind w:left="215"/>
              <w:spacing w:before="150"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z w:val="13"/>
                <w:szCs w:val="13"/>
                <w:spacing w:val="3"/>
                <w:position w:val="-1"/>
              </w:rPr>
              <w:t>2</w:t>
            </w:r>
          </w:p>
        </w:tc>
        <w:tc>
          <w:tcPr>
            <w:tcW w:w="2126" w:type="dxa"/>
            <w:vAlign w:val="top"/>
          </w:tcPr>
          <w:p>
            <w:pPr>
              <w:pStyle w:val="TableText"/>
              <w:ind w:left="753"/>
              <w:spacing w:before="114" w:line="222" w:lineRule="auto"/>
              <w:rPr>
                <w:sz w:val="20"/>
                <w:szCs w:val="20"/>
              </w:rPr>
            </w:pPr>
            <w:r>
              <w:rPr>
                <w:sz w:val="20"/>
                <w:szCs w:val="20"/>
                <w:spacing w:val="6"/>
              </w:rPr>
              <w:t>年平均</w:t>
            </w:r>
          </w:p>
        </w:tc>
        <w:tc>
          <w:tcPr>
            <w:tcW w:w="899" w:type="dxa"/>
            <w:vAlign w:val="top"/>
          </w:tcPr>
          <w:p>
            <w:pPr>
              <w:ind w:left="350"/>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899" w:type="dxa"/>
            <w:vAlign w:val="top"/>
          </w:tcPr>
          <w:p>
            <w:pPr>
              <w:ind w:left="366"/>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1335" w:type="dxa"/>
            <w:vAlign w:val="top"/>
          </w:tcPr>
          <w:p>
            <w:pPr>
              <w:ind w:left="454"/>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16.67</w:t>
            </w:r>
          </w:p>
        </w:tc>
        <w:tc>
          <w:tcPr>
            <w:tcW w:w="841" w:type="dxa"/>
            <w:vAlign w:val="top"/>
          </w:tcPr>
          <w:p>
            <w:pPr>
              <w:pStyle w:val="TableText"/>
              <w:ind w:left="160"/>
              <w:spacing w:before="114" w:line="222" w:lineRule="auto"/>
              <w:rPr>
                <w:sz w:val="20"/>
                <w:szCs w:val="20"/>
              </w:rPr>
            </w:pPr>
            <w:r>
              <w:rPr>
                <w:sz w:val="20"/>
                <w:szCs w:val="20"/>
                <w:spacing w:val="5"/>
              </w:rPr>
              <w:t>达标</w:t>
            </w:r>
          </w:p>
        </w:tc>
      </w:tr>
      <w:tr>
        <w:trPr>
          <w:trHeight w:val="459" w:hRule="atLeast"/>
        </w:trPr>
        <w:tc>
          <w:tcPr>
            <w:tcW w:w="884" w:type="dxa"/>
            <w:vAlign w:val="top"/>
            <w:vMerge w:val="continue"/>
            <w:tcBorders>
              <w:top w:val="nil"/>
              <w:bottom w:val="nil"/>
            </w:tcBorders>
          </w:tcPr>
          <w:p>
            <w:pPr>
              <w:rPr>
                <w:rFonts w:ascii="Arial"/>
                <w:sz w:val="21"/>
              </w:rPr>
            </w:pPr>
            <w:r/>
          </w:p>
        </w:tc>
        <w:tc>
          <w:tcPr>
            <w:tcW w:w="790" w:type="dxa"/>
            <w:vAlign w:val="top"/>
          </w:tcPr>
          <w:p>
            <w:pPr>
              <w:ind w:left="396"/>
              <w:spacing w:before="1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52" w:type="dxa"/>
            <w:vAlign w:val="top"/>
          </w:tcPr>
          <w:p>
            <w:pPr>
              <w:ind w:left="183"/>
              <w:spacing w:before="194" w:line="205"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6"/>
              </w:rPr>
              <w:t>NO</w:t>
            </w:r>
            <w:r>
              <w:rPr>
                <w:rFonts w:ascii="Times New Roman" w:hAnsi="Times New Roman" w:eastAsia="Times New Roman" w:cs="Times New Roman"/>
                <w:sz w:val="13"/>
                <w:szCs w:val="13"/>
                <w:spacing w:val="6"/>
                <w:position w:val="-1"/>
              </w:rPr>
              <w:t>2</w:t>
            </w:r>
          </w:p>
        </w:tc>
        <w:tc>
          <w:tcPr>
            <w:tcW w:w="2126" w:type="dxa"/>
            <w:vAlign w:val="top"/>
          </w:tcPr>
          <w:p>
            <w:pPr>
              <w:pStyle w:val="TableText"/>
              <w:ind w:left="753"/>
              <w:spacing w:before="158" w:line="228" w:lineRule="auto"/>
              <w:rPr>
                <w:sz w:val="20"/>
                <w:szCs w:val="20"/>
              </w:rPr>
            </w:pPr>
            <w:r>
              <w:rPr>
                <w:sz w:val="20"/>
                <w:szCs w:val="20"/>
                <w:spacing w:val="6"/>
              </w:rPr>
              <w:t>年平均</w:t>
            </w:r>
          </w:p>
        </w:tc>
        <w:tc>
          <w:tcPr>
            <w:tcW w:w="899" w:type="dxa"/>
            <w:vAlign w:val="top"/>
          </w:tcPr>
          <w:p>
            <w:pPr>
              <w:ind w:left="344"/>
              <w:spacing w:before="1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w:t>
            </w:r>
          </w:p>
        </w:tc>
        <w:tc>
          <w:tcPr>
            <w:tcW w:w="899" w:type="dxa"/>
            <w:vAlign w:val="top"/>
          </w:tcPr>
          <w:p>
            <w:pPr>
              <w:ind w:left="346"/>
              <w:spacing w:before="1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25</w:t>
            </w:r>
          </w:p>
        </w:tc>
        <w:tc>
          <w:tcPr>
            <w:tcW w:w="1335" w:type="dxa"/>
            <w:vAlign w:val="top"/>
          </w:tcPr>
          <w:p>
            <w:pPr>
              <w:ind w:left="438"/>
              <w:spacing w:before="1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62.50</w:t>
            </w:r>
          </w:p>
        </w:tc>
        <w:tc>
          <w:tcPr>
            <w:tcW w:w="841" w:type="dxa"/>
            <w:vAlign w:val="top"/>
          </w:tcPr>
          <w:p>
            <w:pPr>
              <w:pStyle w:val="TableText"/>
              <w:ind w:left="160"/>
              <w:spacing w:before="159" w:line="228" w:lineRule="auto"/>
              <w:rPr>
                <w:sz w:val="20"/>
                <w:szCs w:val="20"/>
              </w:rPr>
            </w:pPr>
            <w:r>
              <w:rPr>
                <w:sz w:val="20"/>
                <w:szCs w:val="20"/>
                <w:spacing w:val="5"/>
              </w:rPr>
              <w:t>达标</w:t>
            </w:r>
          </w:p>
        </w:tc>
      </w:tr>
      <w:tr>
        <w:trPr>
          <w:trHeight w:val="365" w:hRule="atLeast"/>
        </w:trPr>
        <w:tc>
          <w:tcPr>
            <w:tcW w:w="884" w:type="dxa"/>
            <w:vAlign w:val="top"/>
            <w:vMerge w:val="continue"/>
            <w:tcBorders>
              <w:top w:val="nil"/>
              <w:bottom w:val="nil"/>
            </w:tcBorders>
          </w:tcPr>
          <w:p>
            <w:pPr>
              <w:rPr>
                <w:rFonts w:ascii="Arial"/>
                <w:sz w:val="21"/>
              </w:rPr>
            </w:pPr>
            <w:r/>
          </w:p>
        </w:tc>
        <w:tc>
          <w:tcPr>
            <w:tcW w:w="790" w:type="dxa"/>
            <w:vAlign w:val="top"/>
          </w:tcPr>
          <w:p>
            <w:pPr>
              <w:ind w:left="401"/>
              <w:spacing w:before="1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752" w:type="dxa"/>
            <w:vAlign w:val="top"/>
          </w:tcPr>
          <w:p>
            <w:pPr>
              <w:ind w:left="155"/>
              <w:spacing w:before="151" w:line="199"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z w:val="13"/>
                <w:szCs w:val="13"/>
                <w:spacing w:val="8"/>
                <w:position w:val="-1"/>
              </w:rPr>
              <w:t>10</w:t>
            </w:r>
          </w:p>
        </w:tc>
        <w:tc>
          <w:tcPr>
            <w:tcW w:w="2126" w:type="dxa"/>
            <w:vAlign w:val="top"/>
          </w:tcPr>
          <w:p>
            <w:pPr>
              <w:pStyle w:val="TableText"/>
              <w:ind w:left="753"/>
              <w:spacing w:before="112" w:line="224" w:lineRule="auto"/>
              <w:rPr>
                <w:sz w:val="20"/>
                <w:szCs w:val="20"/>
              </w:rPr>
            </w:pPr>
            <w:r>
              <w:rPr>
                <w:sz w:val="20"/>
                <w:szCs w:val="20"/>
                <w:spacing w:val="6"/>
              </w:rPr>
              <w:t>年平均</w:t>
            </w:r>
          </w:p>
        </w:tc>
        <w:tc>
          <w:tcPr>
            <w:tcW w:w="899" w:type="dxa"/>
            <w:vAlign w:val="top"/>
          </w:tcPr>
          <w:p>
            <w:pPr>
              <w:ind w:left="349"/>
              <w:spacing w:before="1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70</w:t>
            </w:r>
          </w:p>
        </w:tc>
        <w:tc>
          <w:tcPr>
            <w:tcW w:w="899" w:type="dxa"/>
            <w:vAlign w:val="top"/>
          </w:tcPr>
          <w:p>
            <w:pPr>
              <w:ind w:left="351"/>
              <w:spacing w:before="1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c>
          <w:tcPr>
            <w:tcW w:w="1335" w:type="dxa"/>
            <w:vAlign w:val="top"/>
          </w:tcPr>
          <w:p>
            <w:pPr>
              <w:ind w:left="438"/>
              <w:spacing w:before="1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98.57</w:t>
            </w:r>
          </w:p>
        </w:tc>
        <w:tc>
          <w:tcPr>
            <w:tcW w:w="841" w:type="dxa"/>
            <w:vAlign w:val="top"/>
          </w:tcPr>
          <w:p>
            <w:pPr>
              <w:pStyle w:val="TableText"/>
              <w:ind w:left="160"/>
              <w:spacing w:before="112" w:line="224" w:lineRule="auto"/>
              <w:rPr>
                <w:sz w:val="20"/>
                <w:szCs w:val="20"/>
              </w:rPr>
            </w:pPr>
            <w:r>
              <w:rPr>
                <w:sz w:val="20"/>
                <w:szCs w:val="20"/>
                <w:spacing w:val="5"/>
              </w:rPr>
              <w:t>达标</w:t>
            </w:r>
          </w:p>
        </w:tc>
      </w:tr>
      <w:tr>
        <w:trPr>
          <w:trHeight w:val="405" w:hRule="atLeast"/>
        </w:trPr>
        <w:tc>
          <w:tcPr>
            <w:tcW w:w="884" w:type="dxa"/>
            <w:vAlign w:val="top"/>
            <w:vMerge w:val="continue"/>
            <w:tcBorders>
              <w:top w:val="nil"/>
              <w:bottom w:val="nil"/>
            </w:tcBorders>
          </w:tcPr>
          <w:p>
            <w:pPr>
              <w:rPr>
                <w:rFonts w:ascii="Arial"/>
                <w:sz w:val="21"/>
              </w:rPr>
            </w:pPr>
            <w:r/>
          </w:p>
        </w:tc>
        <w:tc>
          <w:tcPr>
            <w:tcW w:w="790" w:type="dxa"/>
            <w:vAlign w:val="top"/>
          </w:tcPr>
          <w:p>
            <w:pPr>
              <w:ind w:left="395"/>
              <w:spacing w:before="17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752" w:type="dxa"/>
            <w:vAlign w:val="top"/>
          </w:tcPr>
          <w:p>
            <w:pPr>
              <w:ind w:left="138"/>
              <w:spacing w:before="172" w:line="199"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z w:val="13"/>
                <w:szCs w:val="13"/>
                <w:spacing w:val="6"/>
                <w:position w:val="-1"/>
              </w:rPr>
              <w:t>2.5</w:t>
            </w:r>
          </w:p>
        </w:tc>
        <w:tc>
          <w:tcPr>
            <w:tcW w:w="2126" w:type="dxa"/>
            <w:vAlign w:val="top"/>
          </w:tcPr>
          <w:p>
            <w:pPr>
              <w:pStyle w:val="TableText"/>
              <w:ind w:left="753"/>
              <w:spacing w:before="133" w:line="228" w:lineRule="auto"/>
              <w:rPr>
                <w:sz w:val="20"/>
                <w:szCs w:val="20"/>
              </w:rPr>
            </w:pPr>
            <w:r>
              <w:rPr>
                <w:sz w:val="20"/>
                <w:szCs w:val="20"/>
                <w:spacing w:val="6"/>
              </w:rPr>
              <w:t>年平均</w:t>
            </w:r>
          </w:p>
        </w:tc>
        <w:tc>
          <w:tcPr>
            <w:tcW w:w="899" w:type="dxa"/>
            <w:vAlign w:val="top"/>
          </w:tcPr>
          <w:p>
            <w:pPr>
              <w:ind w:left="349"/>
              <w:spacing w:before="1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899" w:type="dxa"/>
            <w:vAlign w:val="top"/>
          </w:tcPr>
          <w:p>
            <w:pPr>
              <w:ind w:left="350"/>
              <w:spacing w:before="1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1335" w:type="dxa"/>
            <w:vAlign w:val="top"/>
          </w:tcPr>
          <w:p>
            <w:pPr>
              <w:ind w:left="401"/>
              <w:spacing w:before="1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105.71</w:t>
            </w:r>
          </w:p>
        </w:tc>
        <w:tc>
          <w:tcPr>
            <w:tcW w:w="841" w:type="dxa"/>
            <w:vAlign w:val="top"/>
          </w:tcPr>
          <w:p>
            <w:pPr>
              <w:pStyle w:val="TableText"/>
              <w:ind w:left="160"/>
              <w:spacing w:before="134" w:line="228" w:lineRule="auto"/>
              <w:rPr>
                <w:sz w:val="20"/>
                <w:szCs w:val="20"/>
              </w:rPr>
            </w:pPr>
            <w:r>
              <w:rPr>
                <w:sz w:val="20"/>
                <w:szCs w:val="20"/>
                <w:spacing w:val="5"/>
              </w:rPr>
              <w:t>超标</w:t>
            </w:r>
          </w:p>
        </w:tc>
      </w:tr>
      <w:tr>
        <w:trPr>
          <w:trHeight w:val="367" w:hRule="atLeast"/>
        </w:trPr>
        <w:tc>
          <w:tcPr>
            <w:tcW w:w="884" w:type="dxa"/>
            <w:vAlign w:val="top"/>
            <w:vMerge w:val="continue"/>
            <w:tcBorders>
              <w:top w:val="nil"/>
            </w:tcBorders>
          </w:tcPr>
          <w:p>
            <w:pPr>
              <w:rPr>
                <w:rFonts w:ascii="Arial"/>
                <w:sz w:val="21"/>
              </w:rPr>
            </w:pPr>
            <w:r/>
          </w:p>
        </w:tc>
        <w:tc>
          <w:tcPr>
            <w:tcW w:w="790" w:type="dxa"/>
            <w:vAlign w:val="top"/>
          </w:tcPr>
          <w:p>
            <w:pPr>
              <w:ind w:left="402"/>
              <w:spacing w:before="151"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52" w:type="dxa"/>
            <w:vAlign w:val="top"/>
          </w:tcPr>
          <w:p>
            <w:pPr>
              <w:ind w:left="234"/>
              <w:spacing w:before="1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CO</w:t>
            </w:r>
          </w:p>
        </w:tc>
        <w:tc>
          <w:tcPr>
            <w:tcW w:w="2126" w:type="dxa"/>
            <w:vAlign w:val="top"/>
          </w:tcPr>
          <w:p>
            <w:pPr>
              <w:pStyle w:val="TableText"/>
              <w:ind w:left="121"/>
              <w:spacing w:before="113" w:line="225" w:lineRule="auto"/>
              <w:rPr>
                <w:sz w:val="20"/>
                <w:szCs w:val="20"/>
              </w:rPr>
            </w:pPr>
            <w:r>
              <w:rPr>
                <w:rFonts w:ascii="Times New Roman" w:hAnsi="Times New Roman" w:eastAsia="Times New Roman" w:cs="Times New Roman"/>
                <w:sz w:val="20"/>
                <w:szCs w:val="20"/>
                <w:spacing w:val="7"/>
              </w:rPr>
              <w:t>95</w:t>
            </w:r>
            <w:r>
              <w:rPr>
                <w:sz w:val="20"/>
                <w:szCs w:val="20"/>
                <w:spacing w:val="7"/>
              </w:rPr>
              <w:t>百分位</w:t>
            </w:r>
            <w:r>
              <w:rPr>
                <w:rFonts w:ascii="Times New Roman" w:hAnsi="Times New Roman" w:eastAsia="Times New Roman" w:cs="Times New Roman"/>
                <w:sz w:val="20"/>
                <w:szCs w:val="20"/>
                <w:spacing w:val="7"/>
              </w:rPr>
              <w:t>24</w:t>
            </w:r>
            <w:r>
              <w:rPr>
                <w:sz w:val="20"/>
                <w:szCs w:val="20"/>
                <w:spacing w:val="7"/>
              </w:rPr>
              <w:t>小时平均</w:t>
            </w:r>
          </w:p>
        </w:tc>
        <w:tc>
          <w:tcPr>
            <w:tcW w:w="899" w:type="dxa"/>
            <w:vAlign w:val="top"/>
          </w:tcPr>
          <w:p>
            <w:pPr>
              <w:ind w:left="239"/>
              <w:spacing w:before="1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4000</w:t>
            </w:r>
          </w:p>
        </w:tc>
        <w:tc>
          <w:tcPr>
            <w:tcW w:w="899" w:type="dxa"/>
            <w:vAlign w:val="top"/>
          </w:tcPr>
          <w:p>
            <w:pPr>
              <w:ind w:left="297"/>
              <w:spacing w:before="1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900</w:t>
            </w:r>
          </w:p>
        </w:tc>
        <w:tc>
          <w:tcPr>
            <w:tcW w:w="1335" w:type="dxa"/>
            <w:vAlign w:val="top"/>
          </w:tcPr>
          <w:p>
            <w:pPr>
              <w:ind w:left="434"/>
              <w:spacing w:before="1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22.50</w:t>
            </w:r>
          </w:p>
        </w:tc>
        <w:tc>
          <w:tcPr>
            <w:tcW w:w="841" w:type="dxa"/>
            <w:vAlign w:val="top"/>
          </w:tcPr>
          <w:p>
            <w:pPr>
              <w:pStyle w:val="TableText"/>
              <w:ind w:left="160"/>
              <w:spacing w:before="113" w:line="225" w:lineRule="auto"/>
              <w:rPr>
                <w:sz w:val="20"/>
                <w:szCs w:val="20"/>
              </w:rPr>
            </w:pPr>
            <w:r>
              <w:rPr>
                <w:sz w:val="20"/>
                <w:szCs w:val="20"/>
                <w:spacing w:val="5"/>
              </w:rPr>
              <w:t>达标</w:t>
            </w:r>
          </w:p>
        </w:tc>
      </w:tr>
    </w:tbl>
    <w:p>
      <w:pPr>
        <w:pStyle w:val="BodyText"/>
        <w:rPr/>
      </w:pPr>
      <w:r/>
    </w:p>
    <w:p>
      <w:pPr>
        <w:sectPr>
          <w:footerReference w:type="default" r:id="rId194"/>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84"/>
        <w:gridCol w:w="7642"/>
      </w:tblGrid>
      <w:tr>
        <w:trPr>
          <w:trHeight w:val="13887" w:hRule="atLeast"/>
        </w:trPr>
        <w:tc>
          <w:tcPr>
            <w:tcW w:w="884" w:type="dxa"/>
            <w:vAlign w:val="top"/>
          </w:tcPr>
          <w:p>
            <w:pPr>
              <w:rPr>
                <w:rFonts w:ascii="Arial"/>
                <w:sz w:val="21"/>
              </w:rPr>
            </w:pPr>
            <w:r/>
          </w:p>
        </w:tc>
        <w:tc>
          <w:tcPr>
            <w:tcW w:w="7642" w:type="dxa"/>
            <w:vAlign w:val="top"/>
          </w:tcPr>
          <w:p>
            <w:pPr>
              <w:pStyle w:val="TableText"/>
              <w:ind w:firstLine="105"/>
              <w:spacing w:before="33" w:line="390" w:lineRule="exact"/>
              <w:rPr/>
            </w:pPr>
            <w:r>
              <w:rPr>
                <w:position w:val="-7"/>
              </w:rPr>
              <w:pict>
                <v:group id="_x0000_s126" style="mso-position-vertical-relative:line;mso-position-horizontal-relative:char;width:371.15pt;height:19.5pt;" filled="false" stroked="false" coordsize="7422,390" coordorigin="0,0">
                  <v:group id="_x0000_s128" style="position:absolute;left:0;top:0;width:7422;height:390;" filled="false" stroked="false" coordsize="7422,390" coordorigin="0,0">
                    <v:shape id="_x0000_s130" style="position:absolute;left:0;top:361;width:7422;height:29;" filled="false" strokecolor="#000000" strokeweight="1.44pt" coordsize="7422,29" coordorigin="0,0" path="m0,14l7422,14e">
                      <v:stroke joinstyle="bevel" miterlimit="2"/>
                    </v:shape>
                    <v:shape id="_x0000_s132" style="position:absolute;left:675;top:0;width:6025;height:362;" filled="false" strokecolor="#000000" strokeweight="0.48pt" coordsize="6025,362" coordorigin="0,0" path="m4,0l4,361m756,0l756,361m2883,0l2883,361m3783,0l3783,361m4683,0l4683,361m6019,0l6019,361e">
                      <v:stroke joinstyle="bevel" miterlimit="2"/>
                    </v:shape>
                  </v:group>
                  <v:shape id="_x0000_s134" style="position:absolute;left:-20;top:-20;width:7462;height:430;" filled="false" stroked="false" type="#_x0000_t202">
                    <v:fill on="false"/>
                    <v:stroke on="false"/>
                    <v:path/>
                    <v:imagedata o:title=""/>
                    <o:lock v:ext="edit" aspectratio="false"/>
                    <v:textbox inset="0mm,0mm,0mm,0mm">
                      <w:txbxContent>
                        <w:p>
                          <w:pPr>
                            <w:ind w:left="315"/>
                            <w:spacing w:before="129" w:line="228" w:lineRule="auto"/>
                            <w:rPr>
                              <w:rFonts w:ascii="SimSun" w:hAnsi="SimSun" w:eastAsia="SimSun" w:cs="SimSun"/>
                              <w:sz w:val="20"/>
                              <w:szCs w:val="20"/>
                            </w:rPr>
                          </w:pPr>
                          <w:r>
                            <w:rPr>
                              <w:rFonts w:ascii="Times New Roman" w:hAnsi="Times New Roman" w:eastAsia="Times New Roman" w:cs="Times New Roman"/>
                              <w:sz w:val="20"/>
                              <w:szCs w:val="20"/>
                              <w:spacing w:val="2"/>
                            </w:rPr>
                            <w:t>6</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spacing w:val="2"/>
                            </w:rPr>
                            <w:t>O</w:t>
                          </w:r>
                          <w:r>
                            <w:rPr>
                              <w:rFonts w:ascii="Times New Roman" w:hAnsi="Times New Roman" w:eastAsia="Times New Roman" w:cs="Times New Roman"/>
                              <w:sz w:val="13"/>
                              <w:szCs w:val="13"/>
                              <w:spacing w:val="2"/>
                              <w:position w:val="-1"/>
                            </w:rPr>
                            <w:t>3             </w:t>
                          </w:r>
                          <w:r>
                            <w:rPr>
                              <w:rFonts w:ascii="Times New Roman" w:hAnsi="Times New Roman" w:eastAsia="Times New Roman" w:cs="Times New Roman"/>
                              <w:sz w:val="20"/>
                              <w:szCs w:val="20"/>
                              <w:spacing w:val="2"/>
                            </w:rPr>
                            <w:t>90</w:t>
                          </w:r>
                          <w:r>
                            <w:rPr>
                              <w:rFonts w:ascii="SimSun" w:hAnsi="SimSun" w:eastAsia="SimSun" w:cs="SimSun"/>
                              <w:sz w:val="20"/>
                              <w:szCs w:val="20"/>
                              <w:spacing w:val="2"/>
                            </w:rPr>
                            <w:t>百分位</w:t>
                          </w:r>
                          <w:r>
                            <w:rPr>
                              <w:rFonts w:ascii="Times New Roman" w:hAnsi="Times New Roman" w:eastAsia="Times New Roman" w:cs="Times New Roman"/>
                              <w:sz w:val="20"/>
                              <w:szCs w:val="20"/>
                              <w:spacing w:val="2"/>
                            </w:rPr>
                            <w:t>8</w:t>
                          </w:r>
                          <w:r>
                            <w:rPr>
                              <w:rFonts w:ascii="SimSun" w:hAnsi="SimSun" w:eastAsia="SimSun" w:cs="SimSun"/>
                              <w:sz w:val="20"/>
                              <w:szCs w:val="20"/>
                              <w:spacing w:val="2"/>
                            </w:rPr>
                            <w:t>小时平均</w:t>
                          </w:r>
                          <w:r>
                            <w:rPr>
                              <w:rFonts w:ascii="SimSun" w:hAnsi="SimSun" w:eastAsia="SimSun" w:cs="SimSun"/>
                              <w:sz w:val="20"/>
                              <w:szCs w:val="20"/>
                              <w:spacing w:val="24"/>
                            </w:rPr>
                            <w:t xml:space="preserve">    </w:t>
                          </w:r>
                          <w:r>
                            <w:rPr>
                              <w:rFonts w:ascii="Times New Roman" w:hAnsi="Times New Roman" w:eastAsia="Times New Roman" w:cs="Times New Roman"/>
                              <w:sz w:val="20"/>
                              <w:szCs w:val="20"/>
                              <w:spacing w:val="2"/>
                            </w:rPr>
                            <w:t>160</w:t>
                          </w:r>
                          <w:r>
                            <w:rPr>
                              <w:rFonts w:ascii="Times New Roman" w:hAnsi="Times New Roman" w:eastAsia="Times New Roman" w:cs="Times New Roman"/>
                              <w:sz w:val="20"/>
                              <w:szCs w:val="20"/>
                              <w:spacing w:val="4"/>
                            </w:rPr>
                            <w:t xml:space="preserve">            </w:t>
                          </w:r>
                          <w:r>
                            <w:rPr>
                              <w:rFonts w:ascii="Times New Roman" w:hAnsi="Times New Roman" w:eastAsia="Times New Roman" w:cs="Times New Roman"/>
                              <w:sz w:val="20"/>
                              <w:szCs w:val="20"/>
                              <w:spacing w:val="2"/>
                            </w:rPr>
                            <w:t>88               55.00            </w:t>
                          </w:r>
                          <w:r>
                            <w:rPr>
                              <w:rFonts w:ascii="SimSun" w:hAnsi="SimSun" w:eastAsia="SimSun" w:cs="SimSun"/>
                              <w:sz w:val="20"/>
                              <w:szCs w:val="20"/>
                              <w:spacing w:val="2"/>
                            </w:rPr>
                            <w:t>达标</w:t>
                          </w:r>
                        </w:p>
                      </w:txbxContent>
                    </v:textbox>
                  </v:shape>
                </v:group>
              </w:pict>
            </w:r>
          </w:p>
          <w:p>
            <w:pPr>
              <w:pStyle w:val="TableText"/>
              <w:ind w:left="114" w:right="106" w:firstLine="479"/>
              <w:spacing w:before="196" w:line="384" w:lineRule="auto"/>
              <w:rPr/>
            </w:pPr>
            <w:r>
              <w:rPr>
                <w:spacing w:val="-2"/>
              </w:rPr>
              <w:t>根据表</w:t>
            </w:r>
            <w:r>
              <w:rPr>
                <w:rFonts w:ascii="Times New Roman" w:hAnsi="Times New Roman" w:eastAsia="Times New Roman" w:cs="Times New Roman"/>
                <w:spacing w:val="-2"/>
              </w:rPr>
              <w:t>3.1-</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w:t>
            </w:r>
            <w:r>
              <w:rPr>
                <w:spacing w:val="-2"/>
              </w:rPr>
              <w:t>对基本污染物的年评价指标的分析</w:t>
            </w:r>
            <w:r>
              <w:rPr>
                <w:spacing w:val="-3"/>
              </w:rPr>
              <w:t>结果，本项目所在区</w:t>
            </w:r>
            <w:r>
              <w:rPr/>
              <w:t xml:space="preserve"> </w:t>
            </w:r>
            <w:r>
              <w:rPr/>
              <w:t>域</w:t>
            </w:r>
            <w:r>
              <w:rPr>
                <w:rFonts w:ascii="Times New Roman" w:hAnsi="Times New Roman" w:eastAsia="Times New Roman" w:cs="Times New Roman"/>
              </w:rPr>
              <w:t>SO</w:t>
            </w:r>
            <w:r>
              <w:rPr>
                <w:rFonts w:ascii="Times New Roman" w:hAnsi="Times New Roman" w:eastAsia="Times New Roman" w:cs="Times New Roman"/>
                <w:sz w:val="15"/>
                <w:szCs w:val="15"/>
                <w:position w:val="-1"/>
              </w:rPr>
              <w:t>2</w:t>
            </w:r>
            <w:r>
              <w:rPr>
                <w:rFonts w:ascii="Times New Roman" w:hAnsi="Times New Roman" w:eastAsia="Times New Roman" w:cs="Times New Roman"/>
                <w:sz w:val="15"/>
                <w:szCs w:val="15"/>
                <w:spacing w:val="-8"/>
                <w:position w:val="-1"/>
              </w:rPr>
              <w:t xml:space="preserve"> </w:t>
            </w:r>
            <w:r>
              <w:rPr/>
              <w:t>、</w:t>
            </w:r>
            <w:r>
              <w:rPr>
                <w:rFonts w:ascii="Times New Roman" w:hAnsi="Times New Roman" w:eastAsia="Times New Roman" w:cs="Times New Roman"/>
              </w:rPr>
              <w:t>NO</w:t>
            </w:r>
            <w:r>
              <w:rPr>
                <w:rFonts w:ascii="Times New Roman" w:hAnsi="Times New Roman" w:eastAsia="Times New Roman" w:cs="Times New Roman"/>
                <w:sz w:val="15"/>
                <w:szCs w:val="15"/>
                <w:position w:val="-1"/>
              </w:rPr>
              <w:t>2</w:t>
            </w:r>
            <w:r>
              <w:rPr>
                <w:rFonts w:ascii="Times New Roman" w:hAnsi="Times New Roman" w:eastAsia="Times New Roman" w:cs="Times New Roman"/>
                <w:sz w:val="15"/>
                <w:szCs w:val="15"/>
                <w:spacing w:val="-8"/>
                <w:position w:val="-1"/>
              </w:rPr>
              <w:t xml:space="preserve"> </w:t>
            </w:r>
            <w:r>
              <w:rPr/>
              <w:t>、</w:t>
            </w:r>
            <w:r>
              <w:rPr>
                <w:rFonts w:ascii="Times New Roman" w:hAnsi="Times New Roman" w:eastAsia="Times New Roman" w:cs="Times New Roman"/>
              </w:rPr>
              <w:t>CO</w:t>
            </w:r>
            <w:r>
              <w:rPr/>
              <w:t>年评价和</w:t>
            </w:r>
            <w:r>
              <w:rPr>
                <w:rFonts w:ascii="Times New Roman" w:hAnsi="Times New Roman" w:eastAsia="Times New Roman" w:cs="Times New Roman"/>
              </w:rPr>
              <w:t>O</w:t>
            </w:r>
            <w:r>
              <w:rPr>
                <w:rFonts w:ascii="Times New Roman" w:hAnsi="Times New Roman" w:eastAsia="Times New Roman" w:cs="Times New Roman"/>
                <w:sz w:val="15"/>
                <w:szCs w:val="15"/>
                <w:position w:val="-1"/>
              </w:rPr>
              <w:t>3</w:t>
            </w:r>
            <w:r>
              <w:rPr>
                <w:rFonts w:ascii="Times New Roman" w:hAnsi="Times New Roman" w:eastAsia="Times New Roman" w:cs="Times New Roman"/>
                <w:sz w:val="15"/>
                <w:szCs w:val="15"/>
                <w:spacing w:val="15"/>
                <w:position w:val="-1"/>
              </w:rPr>
              <w:t xml:space="preserve"> </w:t>
            </w:r>
            <w:r>
              <w:rPr/>
              <w:t>日最大</w:t>
            </w:r>
            <w:r>
              <w:rPr>
                <w:rFonts w:ascii="Times New Roman" w:hAnsi="Times New Roman" w:eastAsia="Times New Roman" w:cs="Times New Roman"/>
                <w:spacing w:val="-1"/>
              </w:rPr>
              <w:t>8</w:t>
            </w:r>
            <w:r>
              <w:rPr>
                <w:spacing w:val="-1"/>
              </w:rPr>
              <w:t>小时平均的指标为达标；</w:t>
            </w:r>
            <w:r>
              <w:rPr>
                <w:rFonts w:ascii="Times New Roman" w:hAnsi="Times New Roman" w:eastAsia="Times New Roman" w:cs="Times New Roman"/>
                <w:spacing w:val="-1"/>
              </w:rPr>
              <w:t>PM</w:t>
            </w:r>
            <w:r>
              <w:rPr>
                <w:rFonts w:ascii="Times New Roman" w:hAnsi="Times New Roman" w:eastAsia="Times New Roman" w:cs="Times New Roman"/>
                <w:sz w:val="15"/>
                <w:szCs w:val="15"/>
                <w:spacing w:val="-1"/>
                <w:position w:val="-1"/>
              </w:rPr>
              <w:t>2.5</w:t>
            </w:r>
            <w:r>
              <w:rPr>
                <w:spacing w:val="-1"/>
              </w:rPr>
              <w:t>、</w:t>
            </w:r>
          </w:p>
          <w:p>
            <w:pPr>
              <w:pStyle w:val="TableText"/>
              <w:ind w:left="108"/>
              <w:spacing w:before="1" w:line="217" w:lineRule="auto"/>
              <w:rPr/>
            </w:pPr>
            <w:r>
              <w:rPr>
                <w:rFonts w:ascii="Times New Roman" w:hAnsi="Times New Roman" w:eastAsia="Times New Roman" w:cs="Times New Roman"/>
              </w:rPr>
              <w:t>PM</w:t>
            </w:r>
            <w:r>
              <w:rPr>
                <w:rFonts w:ascii="Times New Roman" w:hAnsi="Times New Roman" w:eastAsia="Times New Roman" w:cs="Times New Roman"/>
                <w:sz w:val="15"/>
                <w:szCs w:val="15"/>
                <w:position w:val="-1"/>
              </w:rPr>
              <w:t>10</w:t>
            </w:r>
            <w:r>
              <w:rPr/>
              <w:t>的年评价指标均为超标。判定项目所在区域为非达</w:t>
            </w:r>
            <w:r>
              <w:rPr>
                <w:spacing w:val="-1"/>
              </w:rPr>
              <w:t>标区。</w:t>
            </w:r>
          </w:p>
          <w:p>
            <w:pPr>
              <w:pStyle w:val="TableText"/>
              <w:ind w:left="114" w:right="106" w:firstLine="478"/>
              <w:spacing w:before="218" w:line="384" w:lineRule="auto"/>
              <w:rPr/>
            </w:pPr>
            <w:r>
              <w:rPr>
                <w:spacing w:val="-1"/>
              </w:rPr>
              <w:t>评价结果表明：本项目区域为非达标区，评价区域监测点环境空气</w:t>
            </w:r>
            <w:r>
              <w:rPr>
                <w:spacing w:val="5"/>
              </w:rPr>
              <w:t xml:space="preserve"> </w:t>
            </w:r>
            <w:r>
              <w:rPr>
                <w:spacing w:val="3"/>
              </w:rPr>
              <w:t>质量指标除</w:t>
            </w:r>
            <w:r>
              <w:rPr>
                <w:rFonts w:ascii="Times New Roman" w:hAnsi="Times New Roman" w:eastAsia="Times New Roman" w:cs="Times New Roman"/>
              </w:rPr>
              <w:t>PM</w:t>
            </w:r>
            <w:r>
              <w:rPr>
                <w:rFonts w:ascii="Times New Roman" w:hAnsi="Times New Roman" w:eastAsia="Times New Roman" w:cs="Times New Roman"/>
                <w:sz w:val="15"/>
                <w:szCs w:val="15"/>
                <w:spacing w:val="3"/>
                <w:position w:val="-1"/>
              </w:rPr>
              <w:t>2.5</w:t>
            </w:r>
            <w:r>
              <w:rPr>
                <w:rFonts w:ascii="Times New Roman" w:hAnsi="Times New Roman" w:eastAsia="Times New Roman" w:cs="Times New Roman"/>
                <w:sz w:val="15"/>
                <w:szCs w:val="15"/>
                <w:spacing w:val="5"/>
                <w:position w:val="-1"/>
              </w:rPr>
              <w:t xml:space="preserve"> </w:t>
            </w:r>
            <w:r>
              <w:rPr>
                <w:spacing w:val="3"/>
              </w:rPr>
              <w:t>、</w:t>
            </w:r>
            <w:r>
              <w:rPr>
                <w:rFonts w:ascii="Times New Roman" w:hAnsi="Times New Roman" w:eastAsia="Times New Roman" w:cs="Times New Roman"/>
              </w:rPr>
              <w:t>PM</w:t>
            </w:r>
            <w:r>
              <w:rPr>
                <w:rFonts w:ascii="Times New Roman" w:hAnsi="Times New Roman" w:eastAsia="Times New Roman" w:cs="Times New Roman"/>
                <w:sz w:val="15"/>
                <w:szCs w:val="15"/>
                <w:spacing w:val="3"/>
                <w:position w:val="-1"/>
              </w:rPr>
              <w:t>10</w:t>
            </w:r>
            <w:r>
              <w:rPr>
                <w:spacing w:val="3"/>
              </w:rPr>
              <w:t>外，基本污染物均符合《环境空气质量标准》</w:t>
            </w:r>
          </w:p>
          <w:p>
            <w:pPr>
              <w:pStyle w:val="TableText"/>
              <w:ind w:left="125"/>
              <w:spacing w:line="220" w:lineRule="auto"/>
              <w:rPr/>
            </w:pPr>
            <w:r>
              <w:rPr>
                <w:spacing w:val="-2"/>
              </w:rPr>
              <w:t>（</w:t>
            </w:r>
            <w:r>
              <w:rPr>
                <w:rFonts w:ascii="Times New Roman" w:hAnsi="Times New Roman" w:eastAsia="Times New Roman" w:cs="Times New Roman"/>
                <w:spacing w:val="-2"/>
              </w:rPr>
              <w:t>GB3095-2012</w:t>
            </w:r>
            <w:r>
              <w:rPr>
                <w:spacing w:val="-2"/>
              </w:rPr>
              <w:t>）的二级标准。</w:t>
            </w:r>
          </w:p>
          <w:p>
            <w:pPr>
              <w:pStyle w:val="TableText"/>
              <w:ind w:left="588"/>
              <w:spacing w:before="215" w:line="219" w:lineRule="auto"/>
              <w:outlineLvl w:val="2"/>
              <w:rPr/>
            </w:pPr>
            <w:r>
              <w:rPr>
                <w:rFonts w:ascii="Times New Roman" w:hAnsi="Times New Roman" w:eastAsia="Times New Roman" w:cs="Times New Roman"/>
                <w:b/>
                <w:bCs/>
              </w:rPr>
              <w:t>3.1.2</w:t>
            </w:r>
            <w:r>
              <w:rPr>
                <w14:textOutline w14:w="4358" w14:cap="sq" w14:cmpd="sng">
                  <w14:solidFill>
                    <w14:srgbClr w14:val="000000"/>
                  </w14:solidFill>
                  <w14:prstDash w14:val="solid"/>
                  <w14:bevel/>
                </w14:textOutline>
              </w:rPr>
              <w:t>特征污染物环境质量现状调查</w:t>
            </w:r>
          </w:p>
          <w:p>
            <w:pPr>
              <w:pStyle w:val="TableText"/>
              <w:ind w:left="114" w:right="106" w:firstLine="479"/>
              <w:spacing w:before="213" w:line="385" w:lineRule="auto"/>
              <w:jc w:val="both"/>
              <w:rPr/>
            </w:pPr>
            <w:r>
              <w:rPr>
                <w:spacing w:val="7"/>
              </w:rPr>
              <w:t>根据本项目产排污环节分析，本项目特征污染物为非甲烷总烃因</w:t>
            </w:r>
            <w:r>
              <w:rPr>
                <w:spacing w:val="18"/>
              </w:rPr>
              <w:t xml:space="preserve"> </w:t>
            </w:r>
            <w:r>
              <w:rPr>
                <w:spacing w:val="-11"/>
              </w:rPr>
              <w:t>子。根据《环境影响评价技术导则 大气环境》（</w:t>
            </w:r>
            <w:r>
              <w:rPr>
                <w:rFonts w:ascii="Times New Roman" w:hAnsi="Times New Roman" w:eastAsia="Times New Roman" w:cs="Times New Roman"/>
                <w:spacing w:val="-11"/>
              </w:rPr>
              <w:t>H</w:t>
            </w:r>
            <w:r>
              <w:rPr>
                <w:rFonts w:ascii="Times New Roman" w:hAnsi="Times New Roman" w:eastAsia="Times New Roman" w:cs="Times New Roman"/>
                <w:spacing w:val="-12"/>
              </w:rPr>
              <w:t>J2.2-2018</w:t>
            </w:r>
            <w:r>
              <w:rPr>
                <w:spacing w:val="-12"/>
              </w:rPr>
              <w:t>）文件，</w:t>
            </w:r>
            <w:r>
              <w:rPr>
                <w:rFonts w:ascii="Times New Roman" w:hAnsi="Times New Roman" w:eastAsia="Times New Roman" w:cs="Times New Roman"/>
                <w:spacing w:val="-12"/>
              </w:rPr>
              <w:t>6.1.2.2</w:t>
            </w:r>
            <w:r>
              <w:rPr>
                <w:rFonts w:ascii="Times New Roman" w:hAnsi="Times New Roman" w:eastAsia="Times New Roman" w:cs="Times New Roman"/>
              </w:rPr>
              <w:t xml:space="preserve"> </w:t>
            </w:r>
            <w:r>
              <w:rPr>
                <w:spacing w:val="7"/>
              </w:rPr>
              <w:t>调查评价范围内有环境质量标准的评价因子的环境质量监测数据或进</w:t>
            </w:r>
            <w:r>
              <w:rPr>
                <w:spacing w:val="3"/>
              </w:rPr>
              <w:t xml:space="preserve"> </w:t>
            </w:r>
            <w:r>
              <w:rPr>
                <w:spacing w:val="-1"/>
              </w:rPr>
              <w:t>行补充监测，用于评价项目所在区域环境质量现状。由于非甲烷总烃因</w:t>
            </w:r>
            <w:r>
              <w:rPr>
                <w:spacing w:val="5"/>
              </w:rPr>
              <w:t xml:space="preserve"> </w:t>
            </w:r>
            <w:r>
              <w:rPr>
                <w:spacing w:val="-1"/>
              </w:rPr>
              <w:t>子无环境质量标准，因此未进行现状监测。项目周边无可引用的监测数</w:t>
            </w:r>
          </w:p>
          <w:p>
            <w:pPr>
              <w:pStyle w:val="TableText"/>
              <w:ind w:left="112"/>
              <w:spacing w:line="219" w:lineRule="auto"/>
              <w:rPr/>
            </w:pPr>
            <w:r>
              <w:rPr>
                <w:spacing w:val="-5"/>
              </w:rPr>
              <w:t>据。</w:t>
            </w:r>
          </w:p>
          <w:p>
            <w:pPr>
              <w:pStyle w:val="TableText"/>
              <w:ind w:left="670"/>
              <w:spacing w:before="178" w:line="219" w:lineRule="auto"/>
              <w:outlineLvl w:val="1"/>
              <w:rPr>
                <w:sz w:val="28"/>
                <w:szCs w:val="28"/>
              </w:rPr>
            </w:pPr>
            <w:r>
              <w:rPr>
                <w:rFonts w:ascii="Times New Roman" w:hAnsi="Times New Roman" w:eastAsia="Times New Roman" w:cs="Times New Roman"/>
                <w:sz w:val="28"/>
                <w:szCs w:val="28"/>
                <w:b/>
                <w:bCs/>
              </w:rPr>
              <w:t>3.2</w:t>
            </w:r>
            <w:r>
              <w:rPr>
                <w:sz w:val="28"/>
                <w:szCs w:val="28"/>
                <w14:textOutline w14:w="5103" w14:cap="sq" w14:cmpd="sng">
                  <w14:solidFill>
                    <w14:srgbClr w14:val="000000"/>
                  </w14:solidFill>
                  <w14:prstDash w14:val="solid"/>
                  <w14:bevel/>
                </w14:textOutline>
              </w:rPr>
              <w:t>水环境质量现状调查与评价</w:t>
            </w:r>
          </w:p>
          <w:p>
            <w:pPr>
              <w:pStyle w:val="TableText"/>
              <w:ind w:left="596"/>
              <w:spacing w:before="188" w:line="219" w:lineRule="auto"/>
              <w:outlineLvl w:val="2"/>
              <w:rPr/>
            </w:pPr>
            <w:r>
              <w:rPr>
                <w:spacing w:val="-3"/>
              </w:rPr>
              <w:t>厂界</w:t>
            </w:r>
            <w:r>
              <w:rPr>
                <w:rFonts w:ascii="Times New Roman" w:hAnsi="Times New Roman" w:eastAsia="Times New Roman" w:cs="Times New Roman"/>
                <w:spacing w:val="-3"/>
              </w:rPr>
              <w:t>500m</w:t>
            </w:r>
            <w:r>
              <w:rPr>
                <w:spacing w:val="-3"/>
              </w:rPr>
              <w:t>范围内无地表水环境敏感目标。本项目无生产废水，</w:t>
            </w:r>
            <w:r>
              <w:rPr>
                <w:spacing w:val="-4"/>
              </w:rPr>
              <w:t>不新</w:t>
            </w:r>
          </w:p>
          <w:p>
            <w:pPr>
              <w:pStyle w:val="TableText"/>
              <w:ind w:left="114"/>
              <w:spacing w:before="197" w:line="219" w:lineRule="auto"/>
              <w:rPr/>
            </w:pPr>
            <w:r>
              <w:rPr/>
              <w:t>增生活废水，与地表水体无水力联系。故不</w:t>
            </w:r>
            <w:r>
              <w:rPr>
                <w:spacing w:val="-1"/>
              </w:rPr>
              <w:t>进行地表水环境现状调查。</w:t>
            </w:r>
          </w:p>
          <w:p>
            <w:pPr>
              <w:pStyle w:val="TableText"/>
              <w:ind w:left="670"/>
              <w:spacing w:before="173" w:line="219" w:lineRule="auto"/>
              <w:outlineLvl w:val="1"/>
              <w:rPr>
                <w:sz w:val="28"/>
                <w:szCs w:val="28"/>
              </w:rPr>
            </w:pPr>
            <w:r>
              <w:rPr>
                <w:rFonts w:ascii="Times New Roman" w:hAnsi="Times New Roman" w:eastAsia="Times New Roman" w:cs="Times New Roman"/>
                <w:sz w:val="28"/>
                <w:szCs w:val="28"/>
                <w:b/>
                <w:bCs/>
              </w:rPr>
              <w:t>3.3</w:t>
            </w:r>
            <w:r>
              <w:rPr>
                <w:sz w:val="28"/>
                <w:szCs w:val="28"/>
                <w14:textOutline w14:w="5103" w14:cap="sq" w14:cmpd="sng">
                  <w14:solidFill>
                    <w14:srgbClr w14:val="000000"/>
                  </w14:solidFill>
                  <w14:prstDash w14:val="solid"/>
                  <w14:bevel/>
                </w14:textOutline>
              </w:rPr>
              <w:t>噪声环境质量现状与评价</w:t>
            </w:r>
          </w:p>
          <w:p>
            <w:pPr>
              <w:pStyle w:val="TableText"/>
              <w:ind w:left="594"/>
              <w:spacing w:before="205" w:line="499" w:lineRule="exact"/>
              <w:rPr/>
            </w:pPr>
            <w:r>
              <w:rPr>
                <w:spacing w:val="3"/>
                <w:position w:val="19"/>
              </w:rPr>
              <w:t>本项目属于《声环境质量标准》（</w:t>
            </w:r>
            <w:r>
              <w:rPr>
                <w:rFonts w:ascii="Times New Roman" w:hAnsi="Times New Roman" w:eastAsia="Times New Roman" w:cs="Times New Roman"/>
                <w:position w:val="19"/>
              </w:rPr>
              <w:t>GB</w:t>
            </w:r>
            <w:r>
              <w:rPr>
                <w:rFonts w:ascii="Times New Roman" w:hAnsi="Times New Roman" w:eastAsia="Times New Roman" w:cs="Times New Roman"/>
                <w:spacing w:val="3"/>
                <w:position w:val="19"/>
              </w:rPr>
              <w:t xml:space="preserve"> 3096-2008</w:t>
            </w:r>
            <w:r>
              <w:rPr>
                <w:spacing w:val="3"/>
                <w:position w:val="19"/>
              </w:rPr>
              <w:t>）中的</w:t>
            </w:r>
            <w:r>
              <w:rPr>
                <w:rFonts w:ascii="Times New Roman" w:hAnsi="Times New Roman" w:eastAsia="Times New Roman" w:cs="Times New Roman"/>
                <w:spacing w:val="3"/>
                <w:position w:val="19"/>
              </w:rPr>
              <w:t>2</w:t>
            </w:r>
            <w:r>
              <w:rPr>
                <w:spacing w:val="3"/>
                <w:position w:val="19"/>
              </w:rPr>
              <w:t>类声功能</w:t>
            </w:r>
          </w:p>
          <w:p>
            <w:pPr>
              <w:pStyle w:val="TableText"/>
              <w:ind w:left="131"/>
              <w:spacing w:before="1" w:line="218" w:lineRule="auto"/>
              <w:rPr/>
            </w:pPr>
            <w:r>
              <w:rPr>
                <w:spacing w:val="-2"/>
              </w:rPr>
              <w:t>区。本项目厂界外</w:t>
            </w:r>
            <w:r>
              <w:rPr>
                <w:rFonts w:ascii="Times New Roman" w:hAnsi="Times New Roman" w:eastAsia="Times New Roman" w:cs="Times New Roman"/>
                <w:spacing w:val="-2"/>
              </w:rPr>
              <w:t>50</w:t>
            </w:r>
            <w:r>
              <w:rPr>
                <w:spacing w:val="-2"/>
              </w:rPr>
              <w:t>米，无声环境敏感目标分布。</w:t>
            </w:r>
          </w:p>
          <w:p>
            <w:pPr>
              <w:pStyle w:val="TableText"/>
              <w:ind w:left="670"/>
              <w:spacing w:before="180" w:line="221" w:lineRule="auto"/>
              <w:outlineLvl w:val="1"/>
              <w:rPr>
                <w:sz w:val="28"/>
                <w:szCs w:val="28"/>
              </w:rPr>
            </w:pPr>
            <w:r>
              <w:rPr>
                <w:rFonts w:ascii="Times New Roman" w:hAnsi="Times New Roman" w:eastAsia="Times New Roman" w:cs="Times New Roman"/>
                <w:sz w:val="28"/>
                <w:szCs w:val="28"/>
                <w:b/>
                <w:bCs/>
                <w:spacing w:val="-1"/>
              </w:rPr>
              <w:t>3.4</w:t>
            </w:r>
            <w:r>
              <w:rPr>
                <w:sz w:val="28"/>
                <w:szCs w:val="28"/>
                <w14:textOutline w14:w="5103" w14:cap="sq" w14:cmpd="sng">
                  <w14:solidFill>
                    <w14:srgbClr w14:val="000000"/>
                  </w14:solidFill>
                  <w14:prstDash w14:val="solid"/>
                  <w14:bevel/>
                </w14:textOutline>
                <w:spacing w:val="-1"/>
              </w:rPr>
              <w:t>生态环境</w:t>
            </w:r>
          </w:p>
          <w:p>
            <w:pPr>
              <w:pStyle w:val="TableText"/>
              <w:ind w:left="142" w:right="106" w:firstLine="451"/>
              <w:spacing w:before="202" w:line="384" w:lineRule="auto"/>
              <w:jc w:val="both"/>
              <w:rPr/>
            </w:pPr>
            <w:r>
              <w:rPr>
                <w:spacing w:val="-1"/>
              </w:rPr>
              <w:t>本项目建设位于已建企业内部，用地性质为建设用地，在现有厂区</w:t>
            </w:r>
            <w:r>
              <w:rPr>
                <w:spacing w:val="3"/>
              </w:rPr>
              <w:t xml:space="preserve"> </w:t>
            </w:r>
            <w:r>
              <w:rPr>
                <w:spacing w:val="-2"/>
              </w:rPr>
              <w:t>内进行扩建，不在新增用地，且不含有生态环境保护目标。因此，不再</w:t>
            </w:r>
          </w:p>
          <w:p>
            <w:pPr>
              <w:pStyle w:val="TableText"/>
              <w:ind w:left="112"/>
              <w:spacing w:line="219" w:lineRule="auto"/>
              <w:rPr/>
            </w:pPr>
            <w:r>
              <w:rPr>
                <w:spacing w:val="-1"/>
              </w:rPr>
              <w:t>进行生态环境现状调查。</w:t>
            </w:r>
          </w:p>
          <w:p>
            <w:pPr>
              <w:pStyle w:val="TableText"/>
              <w:ind w:left="594"/>
              <w:spacing w:before="216" w:line="219" w:lineRule="auto"/>
              <w:rPr/>
            </w:pPr>
            <w:r>
              <w:rPr>
                <w:spacing w:val="-1"/>
              </w:rPr>
              <w:t>本项目建设地点不含有生态环境保护目标。</w:t>
            </w:r>
          </w:p>
          <w:p>
            <w:pPr>
              <w:pStyle w:val="TableText"/>
              <w:ind w:left="670"/>
              <w:spacing w:before="180" w:line="220" w:lineRule="auto"/>
              <w:outlineLvl w:val="1"/>
              <w:rPr>
                <w:sz w:val="28"/>
                <w:szCs w:val="28"/>
              </w:rPr>
            </w:pPr>
            <w:r>
              <w:rPr>
                <w:rFonts w:ascii="Times New Roman" w:hAnsi="Times New Roman" w:eastAsia="Times New Roman" w:cs="Times New Roman"/>
                <w:sz w:val="28"/>
                <w:szCs w:val="28"/>
                <w:b/>
                <w:bCs/>
                <w:spacing w:val="-1"/>
              </w:rPr>
              <w:t>3.5</w:t>
            </w:r>
            <w:r>
              <w:rPr>
                <w:sz w:val="28"/>
                <w:szCs w:val="28"/>
                <w14:textOutline w14:w="5103" w14:cap="sq" w14:cmpd="sng">
                  <w14:solidFill>
                    <w14:srgbClr w14:val="000000"/>
                  </w14:solidFill>
                  <w14:prstDash w14:val="solid"/>
                  <w14:bevel/>
                </w14:textOutline>
                <w:spacing w:val="-1"/>
              </w:rPr>
              <w:t>电磁辐射</w:t>
            </w:r>
          </w:p>
          <w:p>
            <w:pPr>
              <w:pStyle w:val="TableText"/>
              <w:ind w:left="594"/>
              <w:spacing w:before="200" w:line="219" w:lineRule="auto"/>
              <w:rPr/>
            </w:pPr>
            <w:r>
              <w:rPr>
                <w:spacing w:val="-1"/>
              </w:rPr>
              <w:t>本项目建设不含有电磁辐射内容。</w:t>
            </w:r>
          </w:p>
          <w:p>
            <w:pPr>
              <w:pStyle w:val="TableText"/>
              <w:ind w:left="670"/>
              <w:spacing w:before="182" w:line="219" w:lineRule="auto"/>
              <w:outlineLvl w:val="1"/>
              <w:rPr>
                <w:sz w:val="28"/>
                <w:szCs w:val="28"/>
              </w:rPr>
            </w:pPr>
            <w:r>
              <w:rPr>
                <w:rFonts w:ascii="Times New Roman" w:hAnsi="Times New Roman" w:eastAsia="Times New Roman" w:cs="Times New Roman"/>
                <w:sz w:val="28"/>
                <w:szCs w:val="28"/>
                <w:b/>
                <w:bCs/>
              </w:rPr>
              <w:t>3.6</w:t>
            </w:r>
            <w:r>
              <w:rPr>
                <w:sz w:val="28"/>
                <w:szCs w:val="28"/>
                <w14:textOutline w14:w="5103" w14:cap="sq" w14:cmpd="sng">
                  <w14:solidFill>
                    <w14:srgbClr w14:val="000000"/>
                  </w14:solidFill>
                  <w14:prstDash w14:val="solid"/>
                  <w14:bevel/>
                </w14:textOutline>
              </w:rPr>
              <w:t>地下水、土壤环境</w:t>
            </w:r>
          </w:p>
        </w:tc>
      </w:tr>
    </w:tbl>
    <w:p>
      <w:pPr>
        <w:pStyle w:val="BodyText"/>
        <w:rPr/>
      </w:pPr>
      <w:r/>
    </w:p>
    <w:p>
      <w:pPr>
        <w:sectPr>
          <w:footerReference w:type="default" r:id="rId195"/>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84"/>
        <w:gridCol w:w="7642"/>
      </w:tblGrid>
      <w:tr>
        <w:trPr>
          <w:trHeight w:val="1009" w:hRule="atLeast"/>
        </w:trPr>
        <w:tc>
          <w:tcPr>
            <w:tcW w:w="884" w:type="dxa"/>
            <w:vAlign w:val="top"/>
          </w:tcPr>
          <w:p>
            <w:pPr>
              <w:rPr>
                <w:rFonts w:ascii="Arial"/>
                <w:sz w:val="21"/>
              </w:rPr>
            </w:pPr>
            <w:r/>
          </w:p>
        </w:tc>
        <w:tc>
          <w:tcPr>
            <w:tcW w:w="7642" w:type="dxa"/>
            <w:vAlign w:val="top"/>
          </w:tcPr>
          <w:p>
            <w:pPr>
              <w:pStyle w:val="TableText"/>
              <w:ind w:left="596"/>
              <w:spacing w:before="200" w:line="499" w:lineRule="exact"/>
              <w:rPr/>
            </w:pPr>
            <w:r>
              <w:rPr>
                <w:spacing w:val="-1"/>
                <w:position w:val="19"/>
              </w:rPr>
              <w:t>建设项目不存在土壤、地下水环境污染途径。不进行土壤、地下水</w:t>
            </w:r>
          </w:p>
          <w:p>
            <w:pPr>
              <w:pStyle w:val="TableText"/>
              <w:ind w:left="113"/>
              <w:spacing w:line="219" w:lineRule="auto"/>
              <w:rPr/>
            </w:pPr>
            <w:r>
              <w:rPr>
                <w:spacing w:val="-2"/>
              </w:rPr>
              <w:t>环境现状调查。</w:t>
            </w:r>
          </w:p>
        </w:tc>
      </w:tr>
      <w:tr>
        <w:trPr>
          <w:trHeight w:val="11314" w:hRule="atLeast"/>
        </w:trPr>
        <w:tc>
          <w:tcPr>
            <w:tcW w:w="884" w:type="dxa"/>
            <w:vAlign w:val="top"/>
          </w:tcPr>
          <w:p>
            <w:pPr>
              <w:pStyle w:val="TableText"/>
              <w:ind w:left="117" w:right="106"/>
              <w:spacing w:before="196" w:line="384" w:lineRule="auto"/>
              <w:jc w:val="both"/>
              <w:rPr/>
            </w:pPr>
            <w:r>
              <w:rPr>
                <w:spacing w:val="-10"/>
              </w:rPr>
              <w:t>环</w:t>
            </w:r>
            <w:r>
              <w:rPr>
                <w:spacing w:val="75"/>
              </w:rPr>
              <w:t xml:space="preserve"> </w:t>
            </w:r>
            <w:r>
              <w:rPr>
                <w:spacing w:val="-10"/>
              </w:rPr>
              <w:t>境</w:t>
            </w:r>
            <w:r>
              <w:rPr/>
              <w:t xml:space="preserve"> </w:t>
            </w:r>
            <w:r>
              <w:rPr>
                <w:spacing w:val="-11"/>
              </w:rPr>
              <w:t>保</w:t>
            </w:r>
            <w:r>
              <w:rPr>
                <w:spacing w:val="75"/>
              </w:rPr>
              <w:t xml:space="preserve"> </w:t>
            </w:r>
            <w:r>
              <w:rPr>
                <w:spacing w:val="-11"/>
              </w:rPr>
              <w:t>护</w:t>
            </w:r>
          </w:p>
          <w:p>
            <w:pPr>
              <w:pStyle w:val="TableText"/>
              <w:ind w:left="163"/>
              <w:spacing w:line="220" w:lineRule="auto"/>
              <w:rPr/>
            </w:pPr>
            <w:r>
              <w:rPr>
                <w:spacing w:val="-28"/>
              </w:rPr>
              <w:t>目标</w:t>
            </w:r>
          </w:p>
        </w:tc>
        <w:tc>
          <w:tcPr>
            <w:tcW w:w="7642" w:type="dxa"/>
            <w:vAlign w:val="top"/>
          </w:tcPr>
          <w:p>
            <w:pPr>
              <w:pStyle w:val="TableText"/>
              <w:ind w:left="670"/>
              <w:spacing w:before="161" w:line="220" w:lineRule="auto"/>
              <w:outlineLvl w:val="1"/>
              <w:rPr>
                <w:sz w:val="28"/>
                <w:szCs w:val="28"/>
              </w:rPr>
            </w:pPr>
            <w:r>
              <w:rPr>
                <w:rFonts w:ascii="Times New Roman" w:hAnsi="Times New Roman" w:eastAsia="Times New Roman" w:cs="Times New Roman"/>
                <w:sz w:val="28"/>
                <w:szCs w:val="28"/>
                <w:b/>
                <w:bCs/>
              </w:rPr>
              <w:t>3.7</w:t>
            </w:r>
            <w:r>
              <w:rPr>
                <w:sz w:val="28"/>
                <w:szCs w:val="28"/>
                <w14:textOutline w14:w="5103" w14:cap="sq" w14:cmpd="sng">
                  <w14:solidFill>
                    <w14:srgbClr w14:val="000000"/>
                  </w14:solidFill>
                  <w14:prstDash w14:val="solid"/>
                  <w14:bevel/>
                </w14:textOutline>
              </w:rPr>
              <w:t>主要环境敏感目标</w:t>
            </w:r>
          </w:p>
          <w:p>
            <w:pPr>
              <w:pStyle w:val="TableText"/>
              <w:ind w:left="593"/>
              <w:spacing w:before="200" w:line="219" w:lineRule="auto"/>
              <w:rPr/>
            </w:pPr>
            <w:r>
              <w:rPr>
                <w:spacing w:val="-1"/>
              </w:rPr>
              <w:t>根据本项目特点和外环境特征确定环境保护目标如下：</w:t>
            </w:r>
          </w:p>
          <w:p>
            <w:pPr>
              <w:pStyle w:val="TableText"/>
              <w:ind w:left="114" w:right="106" w:firstLine="497"/>
              <w:spacing w:before="213" w:line="385" w:lineRule="auto"/>
              <w:rPr/>
            </w:pPr>
            <w:r>
              <w:rPr>
                <w:rFonts w:ascii="Times New Roman" w:hAnsi="Times New Roman" w:eastAsia="Times New Roman" w:cs="Times New Roman"/>
                <w:spacing w:val="1"/>
              </w:rPr>
              <w:t>1</w:t>
            </w:r>
            <w:r>
              <w:rPr>
                <w:rFonts w:ascii="Times New Roman" w:hAnsi="Times New Roman" w:eastAsia="Times New Roman" w:cs="Times New Roman"/>
                <w:spacing w:val="-13"/>
              </w:rPr>
              <w:t xml:space="preserve"> </w:t>
            </w:r>
            <w:r>
              <w:rPr>
                <w:spacing w:val="1"/>
              </w:rPr>
              <w:t>．空气环境：保护项目区所在的区域环境空气质量，不因本项目</w:t>
            </w:r>
            <w:r>
              <w:rPr/>
              <w:t xml:space="preserve"> </w:t>
            </w:r>
            <w:r>
              <w:rPr>
                <w:spacing w:val="-1"/>
              </w:rPr>
              <w:t>实施而降低空气质量级别，使该区域环境空气质量仍能达到《环境空气</w:t>
            </w:r>
            <w:r>
              <w:rPr>
                <w:spacing w:val="5"/>
              </w:rPr>
              <w:t xml:space="preserve"> </w:t>
            </w:r>
            <w:r>
              <w:rPr>
                <w:spacing w:val="-2"/>
              </w:rPr>
              <w:t>质量标准》（</w:t>
            </w:r>
            <w:r>
              <w:rPr>
                <w:rFonts w:ascii="Times New Roman" w:hAnsi="Times New Roman" w:eastAsia="Times New Roman" w:cs="Times New Roman"/>
                <w:spacing w:val="-2"/>
              </w:rPr>
              <w:t>GB3095-2012</w:t>
            </w:r>
            <w:r>
              <w:rPr>
                <w:spacing w:val="-2"/>
              </w:rPr>
              <w:t>）二级标准。根据现场调查，厂界外</w:t>
            </w:r>
            <w:r>
              <w:rPr>
                <w:rFonts w:ascii="Times New Roman" w:hAnsi="Times New Roman" w:eastAsia="Times New Roman" w:cs="Times New Roman"/>
                <w:spacing w:val="-2"/>
              </w:rPr>
              <w:t>5</w:t>
            </w:r>
            <w:r>
              <w:rPr>
                <w:rFonts w:ascii="Times New Roman" w:hAnsi="Times New Roman" w:eastAsia="Times New Roman" w:cs="Times New Roman"/>
                <w:spacing w:val="-3"/>
              </w:rPr>
              <w:t>00</w:t>
            </w:r>
            <w:r>
              <w:rPr>
                <w:spacing w:val="-3"/>
              </w:rPr>
              <w:t>米范</w:t>
            </w:r>
          </w:p>
          <w:p>
            <w:pPr>
              <w:pStyle w:val="TableText"/>
              <w:ind w:left="135"/>
              <w:spacing w:line="219" w:lineRule="auto"/>
              <w:rPr/>
            </w:pPr>
            <w:r>
              <w:rPr>
                <w:spacing w:val="-2"/>
              </w:rPr>
              <w:t>围内无自然保护区、风景名胜区保护目标。</w:t>
            </w:r>
          </w:p>
          <w:p>
            <w:pPr>
              <w:pStyle w:val="TableText"/>
              <w:ind w:left="589"/>
              <w:spacing w:before="216" w:line="499" w:lineRule="exact"/>
              <w:rPr/>
            </w:pPr>
            <w:r>
              <w:rPr>
                <w:rFonts w:ascii="Times New Roman" w:hAnsi="Times New Roman" w:eastAsia="Times New Roman" w:cs="Times New Roman"/>
                <w:spacing w:val="-2"/>
                <w:position w:val="19"/>
              </w:rPr>
              <w:t>2</w:t>
            </w:r>
            <w:r>
              <w:rPr>
                <w:rFonts w:ascii="Times New Roman" w:hAnsi="Times New Roman" w:eastAsia="Times New Roman" w:cs="Times New Roman"/>
                <w:spacing w:val="-19"/>
                <w:position w:val="19"/>
              </w:rPr>
              <w:t xml:space="preserve"> </w:t>
            </w:r>
            <w:r>
              <w:rPr>
                <w:spacing w:val="-2"/>
                <w:position w:val="19"/>
              </w:rPr>
              <w:t>．水环境：根据现场调查，厂界外</w:t>
            </w:r>
            <w:r>
              <w:rPr>
                <w:rFonts w:ascii="Times New Roman" w:hAnsi="Times New Roman" w:eastAsia="Times New Roman" w:cs="Times New Roman"/>
                <w:spacing w:val="-2"/>
                <w:position w:val="19"/>
              </w:rPr>
              <w:t>500</w:t>
            </w:r>
            <w:r>
              <w:rPr>
                <w:spacing w:val="-2"/>
                <w:position w:val="19"/>
              </w:rPr>
              <w:t>米范围内无地下水集中式饮</w:t>
            </w:r>
          </w:p>
          <w:p>
            <w:pPr>
              <w:pStyle w:val="TableText"/>
              <w:ind w:left="115"/>
              <w:spacing w:line="219" w:lineRule="auto"/>
              <w:rPr/>
            </w:pPr>
            <w:r>
              <w:rPr>
                <w:spacing w:val="-1"/>
              </w:rPr>
              <w:t>用水源和热水、矿泉水、温泉等特殊地下水资源。</w:t>
            </w:r>
          </w:p>
          <w:p>
            <w:pPr>
              <w:pStyle w:val="TableText"/>
              <w:ind w:left="594"/>
              <w:spacing w:before="214" w:line="502" w:lineRule="exact"/>
              <w:rPr/>
            </w:pPr>
            <w:r>
              <w:rPr>
                <w:rFonts w:ascii="Times New Roman" w:hAnsi="Times New Roman" w:eastAsia="Times New Roman" w:cs="Times New Roman"/>
                <w:spacing w:val="2"/>
                <w:position w:val="20"/>
              </w:rPr>
              <w:t>3</w:t>
            </w:r>
            <w:r>
              <w:rPr>
                <w:rFonts w:ascii="Times New Roman" w:hAnsi="Times New Roman" w:eastAsia="Times New Roman" w:cs="Times New Roman"/>
                <w:spacing w:val="-26"/>
                <w:position w:val="20"/>
              </w:rPr>
              <w:t xml:space="preserve"> </w:t>
            </w:r>
            <w:r>
              <w:rPr>
                <w:spacing w:val="2"/>
                <w:position w:val="20"/>
              </w:rPr>
              <w:t>．声环境：根据现场调查，厂界外均为空地，厂界</w:t>
            </w:r>
            <w:r>
              <w:rPr>
                <w:rFonts w:ascii="Times New Roman" w:hAnsi="Times New Roman" w:eastAsia="Times New Roman" w:cs="Times New Roman"/>
                <w:spacing w:val="2"/>
                <w:position w:val="20"/>
              </w:rPr>
              <w:t>50</w:t>
            </w:r>
            <w:r>
              <w:rPr>
                <w:spacing w:val="2"/>
                <w:position w:val="20"/>
              </w:rPr>
              <w:t>米范围</w:t>
            </w:r>
            <w:r>
              <w:rPr>
                <w:spacing w:val="1"/>
                <w:position w:val="20"/>
              </w:rPr>
              <w:t>内无</w:t>
            </w:r>
          </w:p>
          <w:p>
            <w:pPr>
              <w:pStyle w:val="TableText"/>
              <w:ind w:left="118"/>
              <w:spacing w:line="220" w:lineRule="auto"/>
              <w:rPr/>
            </w:pPr>
            <w:r>
              <w:rPr>
                <w:spacing w:val="-2"/>
              </w:rPr>
              <w:t>声环境保护目标；</w:t>
            </w:r>
          </w:p>
          <w:p>
            <w:pPr>
              <w:pStyle w:val="TableText"/>
              <w:ind w:left="114" w:right="106" w:firstLine="473"/>
              <w:spacing w:before="213" w:line="385" w:lineRule="auto"/>
              <w:rPr/>
            </w:pPr>
            <w:r>
              <w:rPr>
                <w:rFonts w:ascii="Times New Roman" w:hAnsi="Times New Roman" w:eastAsia="Times New Roman" w:cs="Times New Roman"/>
                <w:spacing w:val="2"/>
              </w:rPr>
              <w:t>4</w:t>
            </w:r>
            <w:r>
              <w:rPr>
                <w:rFonts w:ascii="Times New Roman" w:hAnsi="Times New Roman" w:eastAsia="Times New Roman" w:cs="Times New Roman"/>
                <w:spacing w:val="-18"/>
              </w:rPr>
              <w:t xml:space="preserve"> </w:t>
            </w:r>
            <w:r>
              <w:rPr>
                <w:spacing w:val="2"/>
              </w:rPr>
              <w:t>．生态环境：本项目建设所在地属于建设用地，项目用地范围内</w:t>
            </w:r>
            <w:r>
              <w:rPr/>
              <w:t xml:space="preserve"> </w:t>
            </w:r>
            <w:r>
              <w:rPr>
                <w:spacing w:val="-2"/>
              </w:rPr>
              <w:t>周边农田为本项目生态环境保护目标。环境敏感目标分布见表</w:t>
            </w:r>
            <w:r>
              <w:rPr>
                <w:rFonts w:ascii="Times New Roman" w:hAnsi="Times New Roman" w:eastAsia="Times New Roman" w:cs="Times New Roman"/>
                <w:spacing w:val="-2"/>
              </w:rPr>
              <w:t>3</w:t>
            </w:r>
            <w:r>
              <w:rPr>
                <w:rFonts w:ascii="Times New Roman" w:hAnsi="Times New Roman" w:eastAsia="Times New Roman" w:cs="Times New Roman"/>
                <w:spacing w:val="-3"/>
              </w:rPr>
              <w:t>.7-</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w:t>
            </w:r>
            <w:r>
              <w:rPr>
                <w:spacing w:val="-3"/>
              </w:rPr>
              <w:t>。环</w:t>
            </w:r>
          </w:p>
          <w:p>
            <w:pPr>
              <w:pStyle w:val="TableText"/>
              <w:ind w:left="114"/>
              <w:spacing w:before="1" w:line="218" w:lineRule="auto"/>
              <w:rPr/>
            </w:pPr>
            <w:r>
              <w:rPr>
                <w:spacing w:val="-1"/>
              </w:rPr>
              <w:t>境保护目标分布见图</w:t>
            </w:r>
            <w:r>
              <w:rPr>
                <w:rFonts w:ascii="Times New Roman" w:hAnsi="Times New Roman" w:eastAsia="Times New Roman" w:cs="Times New Roman"/>
                <w:spacing w:val="-1"/>
              </w:rPr>
              <w:t>5</w:t>
            </w:r>
            <w:r>
              <w:rPr>
                <w:spacing w:val="-1"/>
              </w:rPr>
              <w:t>。</w:t>
            </w:r>
          </w:p>
          <w:p>
            <w:pPr>
              <w:pStyle w:val="TableText"/>
              <w:ind w:left="2436"/>
              <w:spacing w:before="63" w:line="213" w:lineRule="auto"/>
              <w:rPr/>
            </w:pPr>
            <w:r>
              <w:rPr>
                <w14:textOutline w14:w="4358" w14:cap="sq" w14:cmpd="sng">
                  <w14:solidFill>
                    <w14:srgbClr w14:val="000000"/>
                  </w14:solidFill>
                  <w14:prstDash w14:val="solid"/>
                  <w14:bevel/>
                </w14:textOutline>
              </w:rPr>
              <w:t>表3.7-1</w:t>
            </w:r>
            <w:r>
              <w:rPr/>
              <w:t xml:space="preserve">  </w:t>
            </w:r>
            <w:r>
              <w:rPr>
                <w14:textOutline w14:w="4358" w14:cap="sq" w14:cmpd="sng">
                  <w14:solidFill>
                    <w14:srgbClr w14:val="000000"/>
                  </w14:solidFill>
                  <w14:prstDash w14:val="solid"/>
                  <w14:bevel/>
                </w14:textOutline>
              </w:rPr>
              <w:t>环境保护目标一览表</w:t>
            </w:r>
          </w:p>
          <w:tbl>
            <w:tblPr>
              <w:tblStyle w:val="TableNormal"/>
              <w:tblW w:w="7421" w:type="dxa"/>
              <w:tblInd w:w="10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25"/>
              <w:gridCol w:w="682"/>
              <w:gridCol w:w="1078"/>
              <w:gridCol w:w="654"/>
              <w:gridCol w:w="873"/>
              <w:gridCol w:w="1131"/>
              <w:gridCol w:w="2578"/>
            </w:tblGrid>
            <w:tr>
              <w:trPr>
                <w:trHeight w:val="823" w:hRule="atLeast"/>
              </w:trPr>
              <w:tc>
                <w:tcPr>
                  <w:tcW w:w="425" w:type="dxa"/>
                  <w:vAlign w:val="top"/>
                  <w:textDirection w:val="tbRlV"/>
                  <w:tcBorders>
                    <w:top w:val="single" w:color="000000" w:sz="10" w:space="0"/>
                    <w:left w:val="nil"/>
                  </w:tcBorders>
                </w:tcPr>
                <w:p>
                  <w:pPr>
                    <w:pStyle w:val="TableText"/>
                    <w:ind w:left="171"/>
                    <w:spacing w:before="103" w:line="218" w:lineRule="auto"/>
                    <w:rPr>
                      <w:sz w:val="20"/>
                      <w:szCs w:val="20"/>
                    </w:rPr>
                  </w:pPr>
                  <w:r>
                    <w:rPr>
                      <w:sz w:val="20"/>
                      <w:szCs w:val="20"/>
                      <w:spacing w:val="8"/>
                    </w:rPr>
                    <w:t>序</w:t>
                  </w:r>
                  <w:r>
                    <w:rPr>
                      <w:sz w:val="20"/>
                      <w:szCs w:val="20"/>
                      <w:spacing w:val="-35"/>
                    </w:rPr>
                    <w:t xml:space="preserve"> </w:t>
                  </w:r>
                  <w:r>
                    <w:rPr>
                      <w:sz w:val="20"/>
                      <w:szCs w:val="20"/>
                      <w:spacing w:val="8"/>
                    </w:rPr>
                    <w:t>号</w:t>
                  </w:r>
                </w:p>
              </w:tc>
              <w:tc>
                <w:tcPr>
                  <w:tcW w:w="682" w:type="dxa"/>
                  <w:vAlign w:val="top"/>
                  <w:tcBorders>
                    <w:top w:val="single" w:color="000000" w:sz="10" w:space="0"/>
                  </w:tcBorders>
                </w:tcPr>
                <w:p>
                  <w:pPr>
                    <w:pStyle w:val="TableText"/>
                    <w:ind w:left="133" w:right="128"/>
                    <w:spacing w:before="36" w:line="239" w:lineRule="auto"/>
                    <w:jc w:val="both"/>
                    <w:rPr>
                      <w:sz w:val="20"/>
                      <w:szCs w:val="20"/>
                    </w:rPr>
                  </w:pPr>
                  <w:r>
                    <w:rPr>
                      <w:sz w:val="20"/>
                      <w:szCs w:val="20"/>
                      <w:spacing w:val="4"/>
                    </w:rPr>
                    <w:t>环境</w:t>
                  </w:r>
                  <w:r>
                    <w:rPr>
                      <w:sz w:val="20"/>
                      <w:szCs w:val="20"/>
                    </w:rPr>
                    <w:t xml:space="preserve"> </w:t>
                  </w:r>
                  <w:r>
                    <w:rPr>
                      <w:sz w:val="20"/>
                      <w:szCs w:val="20"/>
                      <w:spacing w:val="4"/>
                    </w:rPr>
                    <w:t>要素</w:t>
                  </w:r>
                  <w:r>
                    <w:rPr>
                      <w:sz w:val="20"/>
                      <w:szCs w:val="20"/>
                    </w:rPr>
                    <w:t xml:space="preserve"> </w:t>
                  </w:r>
                  <w:r>
                    <w:rPr>
                      <w:sz w:val="20"/>
                      <w:szCs w:val="20"/>
                      <w:spacing w:val="4"/>
                    </w:rPr>
                    <w:t>名称</w:t>
                  </w:r>
                </w:p>
              </w:tc>
              <w:tc>
                <w:tcPr>
                  <w:tcW w:w="1078" w:type="dxa"/>
                  <w:vAlign w:val="top"/>
                  <w:tcBorders>
                    <w:top w:val="single" w:color="000000" w:sz="10" w:space="0"/>
                  </w:tcBorders>
                </w:tcPr>
                <w:p>
                  <w:pPr>
                    <w:spacing w:line="241" w:lineRule="auto"/>
                    <w:rPr>
                      <w:rFonts w:ascii="Arial"/>
                      <w:sz w:val="21"/>
                    </w:rPr>
                  </w:pPr>
                  <w:r/>
                </w:p>
                <w:p>
                  <w:pPr>
                    <w:pStyle w:val="TableText"/>
                    <w:ind w:left="122"/>
                    <w:spacing w:before="65" w:line="228" w:lineRule="auto"/>
                    <w:rPr>
                      <w:sz w:val="20"/>
                      <w:szCs w:val="20"/>
                    </w:rPr>
                  </w:pPr>
                  <w:r>
                    <w:rPr>
                      <w:sz w:val="20"/>
                      <w:szCs w:val="20"/>
                      <w:spacing w:val="7"/>
                    </w:rPr>
                    <w:t>保护对象</w:t>
                  </w:r>
                </w:p>
              </w:tc>
              <w:tc>
                <w:tcPr>
                  <w:tcW w:w="654" w:type="dxa"/>
                  <w:vAlign w:val="top"/>
                  <w:tcBorders>
                    <w:top w:val="single" w:color="000000" w:sz="10" w:space="0"/>
                  </w:tcBorders>
                </w:tcPr>
                <w:p>
                  <w:pPr>
                    <w:pStyle w:val="TableText"/>
                    <w:ind w:left="145" w:right="113" w:hanging="24"/>
                    <w:spacing w:before="171"/>
                    <w:rPr>
                      <w:sz w:val="20"/>
                      <w:szCs w:val="20"/>
                    </w:rPr>
                  </w:pPr>
                  <w:r>
                    <w:rPr>
                      <w:sz w:val="20"/>
                      <w:szCs w:val="20"/>
                      <w:spacing w:val="4"/>
                    </w:rPr>
                    <w:t>保护</w:t>
                  </w:r>
                  <w:r>
                    <w:rPr>
                      <w:sz w:val="20"/>
                      <w:szCs w:val="20"/>
                    </w:rPr>
                    <w:t xml:space="preserve"> </w:t>
                  </w:r>
                  <w:r>
                    <w:rPr>
                      <w:sz w:val="20"/>
                      <w:szCs w:val="20"/>
                      <w:spacing w:val="-8"/>
                    </w:rPr>
                    <w:t>内容</w:t>
                  </w:r>
                </w:p>
              </w:tc>
              <w:tc>
                <w:tcPr>
                  <w:tcW w:w="873" w:type="dxa"/>
                  <w:vAlign w:val="top"/>
                  <w:tcBorders>
                    <w:top w:val="single" w:color="000000" w:sz="10" w:space="0"/>
                  </w:tcBorders>
                </w:tcPr>
                <w:p>
                  <w:pPr>
                    <w:pStyle w:val="TableText"/>
                    <w:ind w:left="124" w:right="117"/>
                    <w:spacing w:before="171" w:line="241" w:lineRule="auto"/>
                    <w:rPr>
                      <w:sz w:val="20"/>
                      <w:szCs w:val="20"/>
                    </w:rPr>
                  </w:pPr>
                  <w:r>
                    <w:rPr>
                      <w:sz w:val="20"/>
                      <w:szCs w:val="20"/>
                      <w:spacing w:val="6"/>
                    </w:rPr>
                    <w:t>相对厂</w:t>
                  </w:r>
                  <w:r>
                    <w:rPr>
                      <w:sz w:val="20"/>
                      <w:szCs w:val="20"/>
                      <w:spacing w:val="1"/>
                    </w:rPr>
                    <w:t xml:space="preserve"> </w:t>
                  </w:r>
                  <w:r>
                    <w:rPr>
                      <w:sz w:val="20"/>
                      <w:szCs w:val="20"/>
                      <w:spacing w:val="6"/>
                    </w:rPr>
                    <w:t>址方位</w:t>
                  </w:r>
                </w:p>
              </w:tc>
              <w:tc>
                <w:tcPr>
                  <w:tcW w:w="1131" w:type="dxa"/>
                  <w:vAlign w:val="top"/>
                  <w:tcBorders>
                    <w:top w:val="single" w:color="000000" w:sz="10" w:space="0"/>
                  </w:tcBorders>
                </w:tcPr>
                <w:p>
                  <w:pPr>
                    <w:pStyle w:val="TableText"/>
                    <w:ind w:left="235" w:right="142" w:hanging="86"/>
                    <w:spacing w:before="172" w:line="246" w:lineRule="auto"/>
                    <w:rPr>
                      <w:sz w:val="20"/>
                      <w:szCs w:val="20"/>
                    </w:rPr>
                  </w:pPr>
                  <w:r>
                    <w:rPr>
                      <w:sz w:val="20"/>
                      <w:szCs w:val="20"/>
                      <w:spacing w:val="7"/>
                    </w:rPr>
                    <w:t>相对距离</w:t>
                  </w:r>
                  <w:r>
                    <w:rPr>
                      <w:sz w:val="20"/>
                      <w:szCs w:val="20"/>
                    </w:rPr>
                    <w:t xml:space="preserve"> </w:t>
                  </w:r>
                  <w:r>
                    <w:rPr>
                      <w:sz w:val="20"/>
                      <w:szCs w:val="20"/>
                      <w:spacing w:val="1"/>
                    </w:rPr>
                    <w:t>（</w:t>
                  </w:r>
                  <w:r>
                    <w:rPr>
                      <w:rFonts w:ascii="Times New Roman" w:hAnsi="Times New Roman" w:eastAsia="Times New Roman" w:cs="Times New Roman"/>
                      <w:sz w:val="20"/>
                      <w:szCs w:val="20"/>
                    </w:rPr>
                    <w:t>km</w:t>
                  </w:r>
                  <w:r>
                    <w:rPr>
                      <w:sz w:val="20"/>
                      <w:szCs w:val="20"/>
                      <w:spacing w:val="1"/>
                    </w:rPr>
                    <w:t>）</w:t>
                  </w:r>
                </w:p>
              </w:tc>
              <w:tc>
                <w:tcPr>
                  <w:tcW w:w="2578" w:type="dxa"/>
                  <w:vAlign w:val="top"/>
                  <w:tcBorders>
                    <w:top w:val="single" w:color="000000" w:sz="10" w:space="0"/>
                    <w:right w:val="nil"/>
                  </w:tcBorders>
                </w:tcPr>
                <w:p>
                  <w:pPr>
                    <w:spacing w:line="241" w:lineRule="auto"/>
                    <w:rPr>
                      <w:rFonts w:ascii="Arial"/>
                      <w:sz w:val="21"/>
                    </w:rPr>
                  </w:pPr>
                  <w:r/>
                </w:p>
                <w:p>
                  <w:pPr>
                    <w:pStyle w:val="TableText"/>
                    <w:ind w:left="873"/>
                    <w:spacing w:before="65" w:line="228" w:lineRule="auto"/>
                    <w:rPr>
                      <w:sz w:val="20"/>
                      <w:szCs w:val="20"/>
                    </w:rPr>
                  </w:pPr>
                  <w:r>
                    <w:rPr>
                      <w:sz w:val="20"/>
                      <w:szCs w:val="20"/>
                      <w:spacing w:val="7"/>
                    </w:rPr>
                    <w:t>执行标准</w:t>
                  </w:r>
                </w:p>
              </w:tc>
            </w:tr>
            <w:tr>
              <w:trPr>
                <w:trHeight w:val="815" w:hRule="atLeast"/>
              </w:trPr>
              <w:tc>
                <w:tcPr>
                  <w:tcW w:w="425" w:type="dxa"/>
                  <w:vAlign w:val="top"/>
                  <w:tcBorders>
                    <w:left w:val="nil"/>
                  </w:tcBorders>
                </w:tcPr>
                <w:p>
                  <w:pPr>
                    <w:spacing w:line="284" w:lineRule="auto"/>
                    <w:rPr>
                      <w:rFonts w:ascii="Arial"/>
                      <w:sz w:val="21"/>
                    </w:rPr>
                  </w:pPr>
                  <w:r/>
                </w:p>
                <w:p>
                  <w:pPr>
                    <w:ind w:left="184"/>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682" w:type="dxa"/>
                  <w:vAlign w:val="top"/>
                </w:tcPr>
                <w:p>
                  <w:pPr>
                    <w:pStyle w:val="TableText"/>
                    <w:ind w:left="139" w:right="128" w:hanging="6"/>
                    <w:spacing w:before="170"/>
                    <w:rPr>
                      <w:sz w:val="20"/>
                      <w:szCs w:val="20"/>
                    </w:rPr>
                  </w:pPr>
                  <w:r>
                    <w:rPr>
                      <w:sz w:val="20"/>
                      <w:szCs w:val="20"/>
                      <w:spacing w:val="4"/>
                    </w:rPr>
                    <w:t>环境</w:t>
                  </w:r>
                  <w:r>
                    <w:rPr>
                      <w:sz w:val="20"/>
                      <w:szCs w:val="20"/>
                    </w:rPr>
                    <w:t xml:space="preserve"> </w:t>
                  </w:r>
                  <w:r>
                    <w:rPr>
                      <w:sz w:val="20"/>
                      <w:szCs w:val="20"/>
                      <w:spacing w:val="1"/>
                    </w:rPr>
                    <w:t>空气</w:t>
                  </w:r>
                </w:p>
              </w:tc>
              <w:tc>
                <w:tcPr>
                  <w:tcW w:w="1078" w:type="dxa"/>
                  <w:vAlign w:val="top"/>
                </w:tcPr>
                <w:p>
                  <w:pPr>
                    <w:pStyle w:val="TableText"/>
                    <w:ind w:left="132"/>
                    <w:spacing w:before="34" w:line="229" w:lineRule="auto"/>
                    <w:rPr>
                      <w:sz w:val="20"/>
                      <w:szCs w:val="20"/>
                    </w:rPr>
                  </w:pPr>
                  <w:r>
                    <w:rPr>
                      <w:sz w:val="20"/>
                      <w:szCs w:val="20"/>
                      <w:spacing w:val="4"/>
                    </w:rPr>
                    <w:t>呼图壁县</w:t>
                  </w:r>
                </w:p>
                <w:p>
                  <w:pPr>
                    <w:pStyle w:val="TableText"/>
                    <w:ind w:left="121"/>
                    <w:spacing w:before="25" w:line="228" w:lineRule="auto"/>
                    <w:rPr>
                      <w:sz w:val="20"/>
                      <w:szCs w:val="20"/>
                    </w:rPr>
                  </w:pPr>
                  <w:r>
                    <w:rPr>
                      <w:sz w:val="20"/>
                      <w:szCs w:val="20"/>
                      <w:spacing w:val="7"/>
                    </w:rPr>
                    <w:t>种牛场居</w:t>
                  </w:r>
                </w:p>
                <w:p>
                  <w:pPr>
                    <w:pStyle w:val="TableText"/>
                    <w:ind w:left="353"/>
                    <w:spacing w:before="24" w:line="208" w:lineRule="auto"/>
                    <w:rPr>
                      <w:sz w:val="20"/>
                      <w:szCs w:val="20"/>
                    </w:rPr>
                  </w:pPr>
                  <w:r>
                    <w:rPr>
                      <w:sz w:val="20"/>
                      <w:szCs w:val="20"/>
                      <w:spacing w:val="-6"/>
                    </w:rPr>
                    <w:t>民区</w:t>
                  </w:r>
                </w:p>
              </w:tc>
              <w:tc>
                <w:tcPr>
                  <w:tcW w:w="654" w:type="dxa"/>
                  <w:vAlign w:val="top"/>
                </w:tcPr>
                <w:p>
                  <w:pPr>
                    <w:spacing w:line="242" w:lineRule="auto"/>
                    <w:rPr>
                      <w:rFonts w:ascii="Arial"/>
                      <w:sz w:val="21"/>
                    </w:rPr>
                  </w:pPr>
                  <w:r/>
                </w:p>
                <w:p>
                  <w:pPr>
                    <w:pStyle w:val="TableText"/>
                    <w:ind w:left="122"/>
                    <w:spacing w:before="65" w:line="228" w:lineRule="auto"/>
                    <w:rPr>
                      <w:sz w:val="20"/>
                      <w:szCs w:val="20"/>
                    </w:rPr>
                  </w:pPr>
                  <w:r>
                    <w:rPr>
                      <w:sz w:val="20"/>
                      <w:szCs w:val="20"/>
                      <w:spacing w:val="3"/>
                    </w:rPr>
                    <w:t>居民</w:t>
                  </w:r>
                </w:p>
              </w:tc>
              <w:tc>
                <w:tcPr>
                  <w:tcW w:w="873" w:type="dxa"/>
                  <w:vAlign w:val="top"/>
                </w:tcPr>
                <w:p>
                  <w:pPr>
                    <w:spacing w:line="241" w:lineRule="auto"/>
                    <w:rPr>
                      <w:rFonts w:ascii="Arial"/>
                      <w:sz w:val="21"/>
                    </w:rPr>
                  </w:pPr>
                  <w:r/>
                </w:p>
                <w:p>
                  <w:pPr>
                    <w:pStyle w:val="TableText"/>
                    <w:ind w:left="235"/>
                    <w:spacing w:before="65" w:line="228" w:lineRule="auto"/>
                    <w:rPr>
                      <w:sz w:val="20"/>
                      <w:szCs w:val="20"/>
                    </w:rPr>
                  </w:pPr>
                  <w:r>
                    <w:rPr>
                      <w:sz w:val="20"/>
                      <w:szCs w:val="20"/>
                      <w:spacing w:val="2"/>
                    </w:rPr>
                    <w:t>西侧</w:t>
                  </w:r>
                </w:p>
              </w:tc>
              <w:tc>
                <w:tcPr>
                  <w:tcW w:w="1131" w:type="dxa"/>
                  <w:vAlign w:val="top"/>
                </w:tcPr>
                <w:p>
                  <w:pPr>
                    <w:spacing w:line="284" w:lineRule="auto"/>
                    <w:rPr>
                      <w:rFonts w:ascii="Arial"/>
                      <w:sz w:val="21"/>
                    </w:rPr>
                  </w:pPr>
                  <w:r/>
                </w:p>
                <w:p>
                  <w:pPr>
                    <w:ind w:left="383"/>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0.45</w:t>
                  </w:r>
                </w:p>
              </w:tc>
              <w:tc>
                <w:tcPr>
                  <w:tcW w:w="2578" w:type="dxa"/>
                  <w:vAlign w:val="top"/>
                  <w:tcBorders>
                    <w:right w:val="nil"/>
                  </w:tcBorders>
                </w:tcPr>
                <w:p>
                  <w:pPr>
                    <w:pStyle w:val="TableText"/>
                    <w:ind w:left="247"/>
                    <w:spacing w:before="171" w:line="228" w:lineRule="auto"/>
                    <w:rPr>
                      <w:sz w:val="20"/>
                      <w:szCs w:val="20"/>
                    </w:rPr>
                  </w:pPr>
                  <w:r>
                    <w:rPr>
                      <w:sz w:val="20"/>
                      <w:szCs w:val="20"/>
                      <w:spacing w:val="7"/>
                    </w:rPr>
                    <w:t>《环境空气质量标准》</w:t>
                  </w:r>
                </w:p>
                <w:p>
                  <w:pPr>
                    <w:pStyle w:val="TableText"/>
                    <w:ind w:left="122"/>
                    <w:spacing w:before="24" w:line="228" w:lineRule="auto"/>
                    <w:rPr>
                      <w:sz w:val="20"/>
                      <w:szCs w:val="20"/>
                    </w:rPr>
                  </w:pPr>
                  <w:r>
                    <w:rPr>
                      <w:sz w:val="20"/>
                      <w:szCs w:val="20"/>
                      <w:spacing w:val="-1"/>
                    </w:rPr>
                    <w:t>（</w:t>
                  </w:r>
                  <w:r>
                    <w:rPr>
                      <w:rFonts w:ascii="Times New Roman" w:hAnsi="Times New Roman" w:eastAsia="Times New Roman" w:cs="Times New Roman"/>
                      <w:sz w:val="20"/>
                      <w:szCs w:val="20"/>
                      <w:spacing w:val="-1"/>
                    </w:rPr>
                    <w:t>GB3095-2012</w:t>
                  </w:r>
                  <w:r>
                    <w:rPr>
                      <w:sz w:val="20"/>
                      <w:szCs w:val="20"/>
                      <w:spacing w:val="-1"/>
                    </w:rPr>
                    <w:t>）二级标准</w:t>
                  </w:r>
                </w:p>
              </w:tc>
            </w:tr>
            <w:tr>
              <w:trPr>
                <w:trHeight w:val="546" w:hRule="atLeast"/>
              </w:trPr>
              <w:tc>
                <w:tcPr>
                  <w:tcW w:w="425" w:type="dxa"/>
                  <w:vAlign w:val="top"/>
                  <w:tcBorders>
                    <w:left w:val="nil"/>
                  </w:tcBorders>
                </w:tcPr>
                <w:p>
                  <w:pPr>
                    <w:ind w:left="163"/>
                    <w:spacing w:before="2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82" w:type="dxa"/>
                  <w:vAlign w:val="top"/>
                </w:tcPr>
                <w:p>
                  <w:pPr>
                    <w:pStyle w:val="TableText"/>
                    <w:ind w:left="239" w:right="128" w:hanging="102"/>
                    <w:spacing w:before="41" w:line="228" w:lineRule="auto"/>
                    <w:rPr>
                      <w:sz w:val="20"/>
                      <w:szCs w:val="20"/>
                    </w:rPr>
                  </w:pPr>
                  <w:r>
                    <w:rPr>
                      <w:sz w:val="20"/>
                      <w:szCs w:val="20"/>
                      <w:spacing w:val="2"/>
                    </w:rPr>
                    <w:t>声环</w:t>
                  </w:r>
                  <w:r>
                    <w:rPr>
                      <w:sz w:val="20"/>
                      <w:szCs w:val="20"/>
                    </w:rPr>
                    <w:t xml:space="preserve"> </w:t>
                  </w:r>
                  <w:r>
                    <w:rPr>
                      <w:sz w:val="20"/>
                      <w:szCs w:val="20"/>
                    </w:rPr>
                    <w:t>境</w:t>
                  </w:r>
                </w:p>
              </w:tc>
              <w:tc>
                <w:tcPr>
                  <w:tcW w:w="3736" w:type="dxa"/>
                  <w:vAlign w:val="top"/>
                  <w:gridSpan w:val="4"/>
                </w:tcPr>
                <w:p>
                  <w:pPr>
                    <w:pStyle w:val="TableText"/>
                    <w:ind w:left="1139"/>
                    <w:spacing w:before="177" w:line="228" w:lineRule="auto"/>
                    <w:rPr>
                      <w:sz w:val="20"/>
                      <w:szCs w:val="20"/>
                    </w:rPr>
                  </w:pPr>
                  <w:r>
                    <w:rPr>
                      <w:sz w:val="20"/>
                      <w:szCs w:val="20"/>
                      <w:spacing w:val="8"/>
                    </w:rPr>
                    <w:t>厂址区域声环境</w:t>
                  </w:r>
                </w:p>
              </w:tc>
              <w:tc>
                <w:tcPr>
                  <w:tcW w:w="2578" w:type="dxa"/>
                  <w:vAlign w:val="top"/>
                  <w:tcBorders>
                    <w:right w:val="nil"/>
                  </w:tcBorders>
                </w:tcPr>
                <w:p>
                  <w:pPr>
                    <w:pStyle w:val="TableText"/>
                    <w:ind w:left="353"/>
                    <w:spacing w:before="42" w:line="228" w:lineRule="auto"/>
                    <w:rPr>
                      <w:sz w:val="20"/>
                      <w:szCs w:val="20"/>
                    </w:rPr>
                  </w:pPr>
                  <w:r>
                    <w:rPr>
                      <w:sz w:val="20"/>
                      <w:szCs w:val="20"/>
                      <w:spacing w:val="7"/>
                    </w:rPr>
                    <w:t>《声环境质量标准》</w:t>
                  </w:r>
                </w:p>
                <w:p>
                  <w:pPr>
                    <w:pStyle w:val="TableText"/>
                    <w:ind w:left="228"/>
                    <w:spacing w:before="24" w:line="205" w:lineRule="auto"/>
                    <w:rPr>
                      <w:sz w:val="20"/>
                      <w:szCs w:val="20"/>
                    </w:rPr>
                  </w:pPr>
                  <w:r>
                    <w:rPr>
                      <w:sz w:val="20"/>
                      <w:szCs w:val="20"/>
                      <w:spacing w:val="5"/>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5"/>
                    </w:rPr>
                    <w:t>3096-2008</w:t>
                  </w:r>
                  <w:r>
                    <w:rPr>
                      <w:sz w:val="20"/>
                      <w:szCs w:val="20"/>
                      <w:spacing w:val="5"/>
                    </w:rPr>
                    <w:t>）</w:t>
                  </w:r>
                  <w:r>
                    <w:rPr>
                      <w:rFonts w:ascii="Times New Roman" w:hAnsi="Times New Roman" w:eastAsia="Times New Roman" w:cs="Times New Roman"/>
                      <w:sz w:val="20"/>
                      <w:szCs w:val="20"/>
                      <w:spacing w:val="5"/>
                    </w:rPr>
                    <w:t>2</w:t>
                  </w:r>
                  <w:r>
                    <w:rPr>
                      <w:sz w:val="20"/>
                      <w:szCs w:val="20"/>
                      <w:spacing w:val="5"/>
                    </w:rPr>
                    <w:t>类区</w:t>
                  </w:r>
                </w:p>
              </w:tc>
            </w:tr>
            <w:tr>
              <w:trPr>
                <w:trHeight w:val="545" w:hRule="atLeast"/>
              </w:trPr>
              <w:tc>
                <w:tcPr>
                  <w:tcW w:w="425" w:type="dxa"/>
                  <w:vAlign w:val="top"/>
                  <w:tcBorders>
                    <w:left w:val="nil"/>
                  </w:tcBorders>
                </w:tcPr>
                <w:p>
                  <w:pPr>
                    <w:ind w:left="168"/>
                    <w:spacing w:before="2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682" w:type="dxa"/>
                  <w:vAlign w:val="top"/>
                </w:tcPr>
                <w:p>
                  <w:pPr>
                    <w:pStyle w:val="TableText"/>
                    <w:ind w:left="133"/>
                    <w:spacing w:before="45" w:line="229" w:lineRule="auto"/>
                    <w:rPr>
                      <w:sz w:val="20"/>
                      <w:szCs w:val="20"/>
                    </w:rPr>
                  </w:pPr>
                  <w:r>
                    <w:rPr>
                      <w:sz w:val="20"/>
                      <w:szCs w:val="20"/>
                      <w:spacing w:val="4"/>
                    </w:rPr>
                    <w:t>地下</w:t>
                  </w:r>
                </w:p>
                <w:p>
                  <w:pPr>
                    <w:pStyle w:val="TableText"/>
                    <w:ind w:left="241"/>
                    <w:spacing w:before="23" w:line="201" w:lineRule="auto"/>
                    <w:rPr>
                      <w:sz w:val="20"/>
                      <w:szCs w:val="20"/>
                    </w:rPr>
                  </w:pPr>
                  <w:r>
                    <w:rPr>
                      <w:sz w:val="20"/>
                      <w:szCs w:val="20"/>
                    </w:rPr>
                    <w:t>水</w:t>
                  </w:r>
                </w:p>
              </w:tc>
              <w:tc>
                <w:tcPr>
                  <w:tcW w:w="3736" w:type="dxa"/>
                  <w:vAlign w:val="top"/>
                  <w:gridSpan w:val="4"/>
                </w:tcPr>
                <w:p>
                  <w:pPr>
                    <w:pStyle w:val="TableText"/>
                    <w:ind w:left="1139"/>
                    <w:spacing w:before="179" w:line="228" w:lineRule="auto"/>
                    <w:rPr>
                      <w:sz w:val="20"/>
                      <w:szCs w:val="20"/>
                    </w:rPr>
                  </w:pPr>
                  <w:r>
                    <w:rPr>
                      <w:sz w:val="20"/>
                      <w:szCs w:val="20"/>
                      <w:spacing w:val="8"/>
                    </w:rPr>
                    <w:t>厂址区域地下水</w:t>
                  </w:r>
                </w:p>
              </w:tc>
              <w:tc>
                <w:tcPr>
                  <w:tcW w:w="2578" w:type="dxa"/>
                  <w:vAlign w:val="top"/>
                  <w:tcBorders>
                    <w:right w:val="nil"/>
                  </w:tcBorders>
                </w:tcPr>
                <w:p>
                  <w:pPr>
                    <w:pStyle w:val="TableText"/>
                    <w:ind w:left="353"/>
                    <w:spacing w:before="45" w:line="228" w:lineRule="auto"/>
                    <w:rPr>
                      <w:sz w:val="20"/>
                      <w:szCs w:val="20"/>
                    </w:rPr>
                  </w:pPr>
                  <w:r>
                    <w:rPr>
                      <w:sz w:val="20"/>
                      <w:szCs w:val="20"/>
                      <w:spacing w:val="7"/>
                    </w:rPr>
                    <w:t>《地下水质量标准》</w:t>
                  </w:r>
                </w:p>
                <w:p>
                  <w:pPr>
                    <w:pStyle w:val="TableText"/>
                    <w:ind w:left="139"/>
                    <w:spacing w:before="24" w:line="201" w:lineRule="auto"/>
                    <w:rPr>
                      <w:sz w:val="20"/>
                      <w:szCs w:val="20"/>
                    </w:rPr>
                  </w:pPr>
                  <w:r>
                    <w:rPr>
                      <w:sz w:val="20"/>
                      <w:szCs w:val="20"/>
                      <w:spacing w:val="5"/>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5"/>
                    </w:rPr>
                    <w:t>/T14848-2017</w:t>
                  </w:r>
                  <w:r>
                    <w:rPr>
                      <w:sz w:val="20"/>
                      <w:szCs w:val="20"/>
                      <w:spacing w:val="5"/>
                    </w:rPr>
                    <w:t>）</w:t>
                  </w:r>
                  <w:r>
                    <w:rPr>
                      <w:rFonts w:ascii="Times New Roman" w:hAnsi="Times New Roman" w:eastAsia="Times New Roman" w:cs="Times New Roman"/>
                      <w:sz w:val="20"/>
                      <w:szCs w:val="20"/>
                      <w:spacing w:val="5"/>
                    </w:rPr>
                    <w:t>Ⅲ</w:t>
                  </w:r>
                  <w:r>
                    <w:rPr>
                      <w:sz w:val="20"/>
                      <w:szCs w:val="20"/>
                      <w:spacing w:val="5"/>
                    </w:rPr>
                    <w:t>类</w:t>
                  </w:r>
                </w:p>
              </w:tc>
            </w:tr>
            <w:tr>
              <w:trPr>
                <w:trHeight w:val="546" w:hRule="atLeast"/>
              </w:trPr>
              <w:tc>
                <w:tcPr>
                  <w:tcW w:w="425" w:type="dxa"/>
                  <w:vAlign w:val="top"/>
                  <w:tcBorders>
                    <w:left w:val="nil"/>
                  </w:tcBorders>
                </w:tcPr>
                <w:p>
                  <w:pPr>
                    <w:ind w:left="162"/>
                    <w:spacing w:before="2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682" w:type="dxa"/>
                  <w:vAlign w:val="top"/>
                </w:tcPr>
                <w:p>
                  <w:pPr>
                    <w:pStyle w:val="TableText"/>
                    <w:ind w:left="133"/>
                    <w:spacing w:before="49" w:line="229" w:lineRule="auto"/>
                    <w:rPr>
                      <w:sz w:val="20"/>
                      <w:szCs w:val="20"/>
                    </w:rPr>
                  </w:pPr>
                  <w:r>
                    <w:rPr>
                      <w:sz w:val="20"/>
                      <w:szCs w:val="20"/>
                      <w:spacing w:val="4"/>
                    </w:rPr>
                    <w:t>地表</w:t>
                  </w:r>
                </w:p>
                <w:p>
                  <w:pPr>
                    <w:pStyle w:val="TableText"/>
                    <w:ind w:left="241"/>
                    <w:spacing w:before="25" w:line="196" w:lineRule="auto"/>
                    <w:rPr>
                      <w:sz w:val="20"/>
                      <w:szCs w:val="20"/>
                    </w:rPr>
                  </w:pPr>
                  <w:r>
                    <w:rPr>
                      <w:sz w:val="20"/>
                      <w:szCs w:val="20"/>
                    </w:rPr>
                    <w:t>水</w:t>
                  </w:r>
                </w:p>
              </w:tc>
              <w:tc>
                <w:tcPr>
                  <w:tcW w:w="3736" w:type="dxa"/>
                  <w:vAlign w:val="top"/>
                  <w:gridSpan w:val="4"/>
                </w:tcPr>
                <w:p>
                  <w:pPr>
                    <w:pStyle w:val="TableText"/>
                    <w:ind w:left="1139"/>
                    <w:spacing w:before="183" w:line="228" w:lineRule="auto"/>
                    <w:rPr>
                      <w:sz w:val="20"/>
                      <w:szCs w:val="20"/>
                    </w:rPr>
                  </w:pPr>
                  <w:r>
                    <w:rPr>
                      <w:sz w:val="20"/>
                      <w:szCs w:val="20"/>
                      <w:spacing w:val="8"/>
                    </w:rPr>
                    <w:t>厂址周边地表水</w:t>
                  </w:r>
                </w:p>
              </w:tc>
              <w:tc>
                <w:tcPr>
                  <w:tcW w:w="2578" w:type="dxa"/>
                  <w:vAlign w:val="top"/>
                  <w:tcBorders>
                    <w:right w:val="nil"/>
                  </w:tcBorders>
                </w:tcPr>
                <w:p>
                  <w:pPr>
                    <w:pStyle w:val="TableText"/>
                    <w:ind w:left="122" w:right="109" w:firstLine="21"/>
                    <w:spacing w:before="50" w:line="224" w:lineRule="auto"/>
                    <w:rPr>
                      <w:sz w:val="20"/>
                      <w:szCs w:val="20"/>
                    </w:rPr>
                  </w:pPr>
                  <w:r>
                    <w:rPr>
                      <w:sz w:val="20"/>
                      <w:szCs w:val="20"/>
                      <w:spacing w:val="7"/>
                    </w:rPr>
                    <w:t>《地表水环境质量标准》</w:t>
                  </w:r>
                  <w:r>
                    <w:rPr>
                      <w:sz w:val="20"/>
                      <w:szCs w:val="20"/>
                      <w:spacing w:val="4"/>
                    </w:rPr>
                    <w:t xml:space="preserve"> </w:t>
                  </w:r>
                  <w:r>
                    <w:rPr>
                      <w:sz w:val="20"/>
                      <w:szCs w:val="20"/>
                    </w:rPr>
                    <w:t>（</w:t>
                  </w:r>
                  <w:r>
                    <w:rPr>
                      <w:rFonts w:ascii="Times New Roman" w:hAnsi="Times New Roman" w:eastAsia="Times New Roman" w:cs="Times New Roman"/>
                      <w:sz w:val="20"/>
                      <w:szCs w:val="20"/>
                    </w:rPr>
                    <w:t>GB3838-2002</w:t>
                  </w:r>
                  <w:r>
                    <w:rPr>
                      <w:sz w:val="20"/>
                      <w:szCs w:val="20"/>
                    </w:rPr>
                    <w:t>）</w:t>
                  </w:r>
                  <w:r>
                    <w:rPr>
                      <w:rFonts w:ascii="Times New Roman" w:hAnsi="Times New Roman" w:eastAsia="Times New Roman" w:cs="Times New Roman"/>
                      <w:sz w:val="20"/>
                      <w:szCs w:val="20"/>
                    </w:rPr>
                    <w:t>Ⅲ</w:t>
                  </w:r>
                  <w:r>
                    <w:rPr>
                      <w:sz w:val="20"/>
                      <w:szCs w:val="20"/>
                    </w:rPr>
                    <w:t>类标准</w:t>
                  </w:r>
                </w:p>
              </w:tc>
            </w:tr>
            <w:tr>
              <w:trPr>
                <w:trHeight w:val="1106" w:hRule="atLeast"/>
              </w:trPr>
              <w:tc>
                <w:tcPr>
                  <w:tcW w:w="425" w:type="dxa"/>
                  <w:vAlign w:val="top"/>
                  <w:tcBorders>
                    <w:bottom w:val="single" w:color="000000" w:sz="10" w:space="0"/>
                    <w:left w:val="nil"/>
                  </w:tcBorders>
                </w:tcPr>
                <w:p>
                  <w:pPr>
                    <w:spacing w:line="442" w:lineRule="auto"/>
                    <w:rPr>
                      <w:rFonts w:ascii="Arial"/>
                      <w:sz w:val="21"/>
                    </w:rPr>
                  </w:pPr>
                  <w:r/>
                </w:p>
                <w:p>
                  <w:pPr>
                    <w:ind w:left="169"/>
                    <w:spacing w:before="5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82" w:type="dxa"/>
                  <w:vAlign w:val="top"/>
                  <w:tcBorders>
                    <w:bottom w:val="single" w:color="000000" w:sz="10" w:space="0"/>
                  </w:tcBorders>
                </w:tcPr>
                <w:p>
                  <w:pPr>
                    <w:spacing w:line="395" w:lineRule="auto"/>
                    <w:rPr>
                      <w:rFonts w:ascii="Arial"/>
                      <w:sz w:val="21"/>
                    </w:rPr>
                  </w:pPr>
                  <w:r/>
                </w:p>
                <w:p>
                  <w:pPr>
                    <w:pStyle w:val="TableText"/>
                    <w:ind w:left="135"/>
                    <w:spacing w:before="65" w:line="233" w:lineRule="auto"/>
                    <w:rPr>
                      <w:sz w:val="20"/>
                      <w:szCs w:val="20"/>
                    </w:rPr>
                  </w:pPr>
                  <w:r>
                    <w:rPr>
                      <w:sz w:val="20"/>
                      <w:szCs w:val="20"/>
                      <w:spacing w:val="3"/>
                    </w:rPr>
                    <w:t>生态</w:t>
                  </w:r>
                </w:p>
              </w:tc>
              <w:tc>
                <w:tcPr>
                  <w:tcW w:w="1078" w:type="dxa"/>
                  <w:vAlign w:val="top"/>
                  <w:tcBorders>
                    <w:bottom w:val="single" w:color="000000" w:sz="10" w:space="0"/>
                  </w:tcBorders>
                </w:tcPr>
                <w:p>
                  <w:pPr>
                    <w:spacing w:line="395" w:lineRule="auto"/>
                    <w:rPr>
                      <w:rFonts w:ascii="Arial"/>
                      <w:sz w:val="21"/>
                    </w:rPr>
                  </w:pPr>
                  <w:r/>
                </w:p>
                <w:p>
                  <w:pPr>
                    <w:pStyle w:val="TableText"/>
                    <w:ind w:left="332"/>
                    <w:spacing w:before="65" w:line="230" w:lineRule="auto"/>
                    <w:rPr>
                      <w:sz w:val="20"/>
                      <w:szCs w:val="20"/>
                    </w:rPr>
                  </w:pPr>
                  <w:r>
                    <w:rPr>
                      <w:sz w:val="20"/>
                      <w:szCs w:val="20"/>
                      <w:spacing w:val="4"/>
                    </w:rPr>
                    <w:t>农田</w:t>
                  </w:r>
                </w:p>
              </w:tc>
              <w:tc>
                <w:tcPr>
                  <w:tcW w:w="654" w:type="dxa"/>
                  <w:vAlign w:val="top"/>
                  <w:tcBorders>
                    <w:bottom w:val="single" w:color="000000" w:sz="10" w:space="0"/>
                  </w:tcBorders>
                </w:tcPr>
                <w:p>
                  <w:pPr>
                    <w:spacing w:line="395" w:lineRule="auto"/>
                    <w:rPr>
                      <w:rFonts w:ascii="Arial"/>
                      <w:sz w:val="21"/>
                    </w:rPr>
                  </w:pPr>
                  <w:r/>
                </w:p>
                <w:p>
                  <w:pPr>
                    <w:pStyle w:val="TableText"/>
                    <w:ind w:left="120"/>
                    <w:spacing w:before="65" w:line="230" w:lineRule="auto"/>
                    <w:rPr>
                      <w:sz w:val="20"/>
                      <w:szCs w:val="20"/>
                    </w:rPr>
                  </w:pPr>
                  <w:r>
                    <w:rPr>
                      <w:sz w:val="20"/>
                      <w:szCs w:val="20"/>
                      <w:spacing w:val="4"/>
                    </w:rPr>
                    <w:t>农田</w:t>
                  </w:r>
                </w:p>
              </w:tc>
              <w:tc>
                <w:tcPr>
                  <w:tcW w:w="873" w:type="dxa"/>
                  <w:vAlign w:val="top"/>
                  <w:tcBorders>
                    <w:bottom w:val="single" w:color="000000" w:sz="10" w:space="0"/>
                  </w:tcBorders>
                </w:tcPr>
                <w:p>
                  <w:pPr>
                    <w:spacing w:line="259" w:lineRule="auto"/>
                    <w:rPr>
                      <w:rFonts w:ascii="Arial"/>
                      <w:sz w:val="21"/>
                    </w:rPr>
                  </w:pPr>
                  <w:r/>
                </w:p>
                <w:p>
                  <w:pPr>
                    <w:pStyle w:val="TableText"/>
                    <w:ind w:right="8"/>
                    <w:spacing w:before="65" w:line="228" w:lineRule="auto"/>
                    <w:jc w:val="right"/>
                    <w:rPr>
                      <w:sz w:val="20"/>
                      <w:szCs w:val="20"/>
                    </w:rPr>
                  </w:pPr>
                  <w:r>
                    <w:rPr>
                      <w:sz w:val="20"/>
                      <w:szCs w:val="20"/>
                      <w:spacing w:val="-16"/>
                    </w:rPr>
                    <w:t>东、南、</w:t>
                  </w:r>
                </w:p>
                <w:p>
                  <w:pPr>
                    <w:pStyle w:val="TableText"/>
                    <w:ind w:left="235"/>
                    <w:spacing w:before="24" w:line="228" w:lineRule="auto"/>
                    <w:rPr>
                      <w:sz w:val="20"/>
                      <w:szCs w:val="20"/>
                    </w:rPr>
                  </w:pPr>
                  <w:r>
                    <w:rPr>
                      <w:sz w:val="20"/>
                      <w:szCs w:val="20"/>
                      <w:spacing w:val="2"/>
                    </w:rPr>
                    <w:t>西侧</w:t>
                  </w:r>
                </w:p>
              </w:tc>
              <w:tc>
                <w:tcPr>
                  <w:tcW w:w="1131" w:type="dxa"/>
                  <w:vAlign w:val="top"/>
                  <w:tcBorders>
                    <w:bottom w:val="single" w:color="000000" w:sz="10" w:space="0"/>
                  </w:tcBorders>
                </w:tcPr>
                <w:p>
                  <w:pPr>
                    <w:pStyle w:val="TableText"/>
                    <w:ind w:left="113" w:right="68" w:firstLine="4"/>
                    <w:spacing w:before="189" w:line="243" w:lineRule="auto"/>
                    <w:jc w:val="both"/>
                    <w:rPr>
                      <w:rFonts w:ascii="Times New Roman" w:hAnsi="Times New Roman" w:eastAsia="Times New Roman" w:cs="Times New Roman"/>
                      <w:sz w:val="20"/>
                      <w:szCs w:val="20"/>
                    </w:rPr>
                  </w:pPr>
                  <w:r>
                    <w:rPr>
                      <w:sz w:val="20"/>
                      <w:szCs w:val="20"/>
                      <w:spacing w:val="-4"/>
                    </w:rPr>
                    <w:t>东侧</w:t>
                  </w:r>
                  <w:r>
                    <w:rPr>
                      <w:rFonts w:ascii="Times New Roman" w:hAnsi="Times New Roman" w:eastAsia="Times New Roman" w:cs="Times New Roman"/>
                      <w:sz w:val="20"/>
                      <w:szCs w:val="20"/>
                      <w:spacing w:val="-4"/>
                    </w:rPr>
                    <w:t>20m</w:t>
                  </w:r>
                  <w:r>
                    <w:rPr>
                      <w:sz w:val="20"/>
                      <w:szCs w:val="20"/>
                      <w:spacing w:val="-4"/>
                    </w:rPr>
                    <w:t>；</w:t>
                  </w:r>
                  <w:r>
                    <w:rPr>
                      <w:sz w:val="20"/>
                      <w:szCs w:val="20"/>
                      <w:spacing w:val="1"/>
                    </w:rPr>
                    <w:t xml:space="preserve"> </w:t>
                  </w:r>
                  <w:r>
                    <w:rPr>
                      <w:sz w:val="20"/>
                      <w:szCs w:val="20"/>
                      <w:spacing w:val="-3"/>
                    </w:rPr>
                    <w:t>南侧</w:t>
                  </w:r>
                  <w:r>
                    <w:rPr>
                      <w:rFonts w:ascii="Times New Roman" w:hAnsi="Times New Roman" w:eastAsia="Times New Roman" w:cs="Times New Roman"/>
                      <w:sz w:val="20"/>
                      <w:szCs w:val="20"/>
                      <w:spacing w:val="-3"/>
                    </w:rPr>
                    <w:t>10m</w:t>
                  </w:r>
                  <w:r>
                    <w:rPr>
                      <w:sz w:val="20"/>
                      <w:szCs w:val="20"/>
                      <w:spacing w:val="-3"/>
                    </w:rPr>
                    <w:t>；</w:t>
                  </w:r>
                  <w:r>
                    <w:rPr>
                      <w:sz w:val="20"/>
                      <w:szCs w:val="20"/>
                    </w:rPr>
                    <w:t xml:space="preserve"> </w:t>
                  </w:r>
                  <w:r>
                    <w:rPr>
                      <w:sz w:val="20"/>
                      <w:szCs w:val="20"/>
                      <w:spacing w:val="7"/>
                    </w:rPr>
                    <w:t>西侧</w:t>
                  </w:r>
                  <w:r>
                    <w:rPr>
                      <w:rFonts w:ascii="Times New Roman" w:hAnsi="Times New Roman" w:eastAsia="Times New Roman" w:cs="Times New Roman"/>
                      <w:sz w:val="20"/>
                      <w:szCs w:val="20"/>
                      <w:spacing w:val="7"/>
                    </w:rPr>
                    <w:t>159m</w:t>
                  </w:r>
                </w:p>
              </w:tc>
              <w:tc>
                <w:tcPr>
                  <w:tcW w:w="2578" w:type="dxa"/>
                  <w:vAlign w:val="top"/>
                  <w:tcBorders>
                    <w:bottom w:val="single" w:color="000000" w:sz="10" w:space="0"/>
                    <w:right w:val="nil"/>
                  </w:tcBorders>
                </w:tcPr>
                <w:p>
                  <w:pPr>
                    <w:pStyle w:val="TableText"/>
                    <w:ind w:left="194"/>
                    <w:spacing w:before="55" w:line="228" w:lineRule="auto"/>
                    <w:rPr>
                      <w:sz w:val="20"/>
                      <w:szCs w:val="20"/>
                    </w:rPr>
                  </w:pPr>
                  <w:r>
                    <w:rPr>
                      <w:sz w:val="20"/>
                      <w:szCs w:val="20"/>
                      <w:spacing w:val="8"/>
                    </w:rPr>
                    <w:t>《土壤环境质量 农用地</w:t>
                  </w:r>
                </w:p>
                <w:p>
                  <w:pPr>
                    <w:pStyle w:val="TableText"/>
                    <w:ind w:left="242"/>
                    <w:spacing w:before="23" w:line="228" w:lineRule="auto"/>
                    <w:rPr>
                      <w:sz w:val="20"/>
                      <w:szCs w:val="20"/>
                    </w:rPr>
                  </w:pPr>
                  <w:r>
                    <w:rPr>
                      <w:sz w:val="20"/>
                      <w:szCs w:val="20"/>
                      <w:spacing w:val="8"/>
                    </w:rPr>
                    <w:t>土壤污染风险管控标准</w:t>
                  </w:r>
                </w:p>
                <w:p>
                  <w:pPr>
                    <w:pStyle w:val="TableText"/>
                    <w:ind w:left="777"/>
                    <w:spacing w:before="25" w:line="228" w:lineRule="auto"/>
                    <w:rPr>
                      <w:sz w:val="20"/>
                      <w:szCs w:val="20"/>
                    </w:rPr>
                  </w:pPr>
                  <w:r>
                    <w:rPr>
                      <w:sz w:val="20"/>
                      <w:szCs w:val="20"/>
                      <w:spacing w:val="8"/>
                    </w:rPr>
                    <w:t>（试行）》</w:t>
                  </w:r>
                </w:p>
                <w:p>
                  <w:pPr>
                    <w:pStyle w:val="TableText"/>
                    <w:ind w:left="333"/>
                    <w:spacing w:before="26" w:line="207" w:lineRule="auto"/>
                    <w:rPr>
                      <w:sz w:val="20"/>
                      <w:szCs w:val="20"/>
                    </w:rPr>
                  </w:pPr>
                  <w:r>
                    <w:rPr>
                      <w:sz w:val="20"/>
                      <w:szCs w:val="20"/>
                      <w:spacing w:val="4"/>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4"/>
                    </w:rPr>
                    <w:t>15618-2018</w:t>
                  </w:r>
                  <w:r>
                    <w:rPr>
                      <w:sz w:val="20"/>
                      <w:szCs w:val="20"/>
                      <w:spacing w:val="4"/>
                    </w:rPr>
                    <w:t>）。</w:t>
                  </w:r>
                </w:p>
              </w:tc>
            </w:tr>
          </w:tbl>
          <w:p>
            <w:pPr>
              <w:spacing w:line="14" w:lineRule="auto"/>
              <w:rPr>
                <w:rFonts w:ascii="Arial"/>
                <w:sz w:val="2"/>
              </w:rPr>
            </w:pPr>
            <w:r/>
          </w:p>
        </w:tc>
      </w:tr>
      <w:tr>
        <w:trPr>
          <w:trHeight w:val="1507" w:hRule="atLeast"/>
        </w:trPr>
        <w:tc>
          <w:tcPr>
            <w:tcW w:w="884" w:type="dxa"/>
            <w:vAlign w:val="top"/>
          </w:tcPr>
          <w:p>
            <w:pPr>
              <w:pStyle w:val="TableText"/>
              <w:ind w:left="117" w:right="106" w:firstLine="1"/>
              <w:spacing w:before="198" w:line="385" w:lineRule="auto"/>
              <w:jc w:val="both"/>
              <w:rPr/>
            </w:pPr>
            <w:r>
              <w:rPr>
                <w:spacing w:val="-13"/>
              </w:rPr>
              <w:t>污</w:t>
            </w:r>
            <w:r>
              <w:rPr>
                <w:spacing w:val="78"/>
              </w:rPr>
              <w:t xml:space="preserve"> </w:t>
            </w:r>
            <w:r>
              <w:rPr>
                <w:spacing w:val="-13"/>
              </w:rPr>
              <w:t>染</w:t>
            </w:r>
            <w:r>
              <w:rPr/>
              <w:t xml:space="preserve"> </w:t>
            </w:r>
            <w:r>
              <w:rPr>
                <w:spacing w:val="-10"/>
              </w:rPr>
              <w:t>物</w:t>
            </w:r>
            <w:r>
              <w:rPr>
                <w:spacing w:val="74"/>
              </w:rPr>
              <w:t xml:space="preserve"> </w:t>
            </w:r>
            <w:r>
              <w:rPr>
                <w:spacing w:val="-10"/>
              </w:rPr>
              <w:t>排</w:t>
            </w:r>
          </w:p>
          <w:p>
            <w:pPr>
              <w:pStyle w:val="TableText"/>
              <w:ind w:left="117"/>
              <w:spacing w:line="220" w:lineRule="auto"/>
              <w:rPr/>
            </w:pPr>
            <w:r>
              <w:rPr>
                <w:spacing w:val="-5"/>
              </w:rPr>
              <w:t>放</w:t>
            </w:r>
            <w:r>
              <w:rPr>
                <w:spacing w:val="73"/>
              </w:rPr>
              <w:t xml:space="preserve"> </w:t>
            </w:r>
            <w:r>
              <w:rPr>
                <w:spacing w:val="-5"/>
              </w:rPr>
              <w:t>控</w:t>
            </w:r>
          </w:p>
        </w:tc>
        <w:tc>
          <w:tcPr>
            <w:tcW w:w="7642" w:type="dxa"/>
            <w:vAlign w:val="top"/>
          </w:tcPr>
          <w:p>
            <w:pPr>
              <w:pStyle w:val="TableText"/>
              <w:ind w:left="597"/>
              <w:spacing w:before="198" w:line="220" w:lineRule="auto"/>
              <w:rPr/>
            </w:pPr>
            <w:r>
              <w:rPr>
                <w:spacing w:val="-2"/>
              </w:rPr>
              <w:t>一、大气污染物排放标准</w:t>
            </w:r>
          </w:p>
          <w:p>
            <w:pPr>
              <w:pStyle w:val="TableText"/>
              <w:ind w:left="593"/>
              <w:spacing w:before="213" w:line="501" w:lineRule="exact"/>
              <w:rPr/>
            </w:pPr>
            <w:r>
              <w:rPr>
                <w:spacing w:val="34"/>
                <w:position w:val="19"/>
              </w:rPr>
              <w:t>运营期有组织废气执行《</w:t>
            </w:r>
            <w:r>
              <w:rPr>
                <w:spacing w:val="-35"/>
                <w:position w:val="19"/>
              </w:rPr>
              <w:t xml:space="preserve"> </w:t>
            </w:r>
            <w:r>
              <w:rPr>
                <w:spacing w:val="34"/>
                <w:position w:val="19"/>
              </w:rPr>
              <w:t>合成树脂工业污染物排放标准》</w:t>
            </w:r>
          </w:p>
          <w:p>
            <w:pPr>
              <w:pStyle w:val="TableText"/>
              <w:ind w:left="125"/>
              <w:spacing w:line="219" w:lineRule="auto"/>
              <w:rPr>
                <w:rFonts w:ascii="Times New Roman" w:hAnsi="Times New Roman" w:eastAsia="Times New Roman" w:cs="Times New Roman"/>
              </w:rPr>
            </w:pPr>
            <w:r>
              <w:rPr>
                <w:spacing w:val="-2"/>
              </w:rPr>
              <w:t>（</w:t>
            </w:r>
            <w:r>
              <w:rPr>
                <w:rFonts w:ascii="Times New Roman" w:hAnsi="Times New Roman" w:eastAsia="Times New Roman" w:cs="Times New Roman"/>
                <w:spacing w:val="-2"/>
              </w:rPr>
              <w:t>GB31572-2015</w:t>
            </w:r>
            <w:r>
              <w:rPr>
                <w:spacing w:val="-2"/>
              </w:rPr>
              <w:t>）中表</w:t>
            </w:r>
            <w:r>
              <w:rPr>
                <w:rFonts w:ascii="Times New Roman" w:hAnsi="Times New Roman" w:eastAsia="Times New Roman" w:cs="Times New Roman"/>
                <w:spacing w:val="-2"/>
              </w:rPr>
              <w:t>5</w:t>
            </w:r>
            <w:r>
              <w:rPr>
                <w:spacing w:val="-2"/>
              </w:rPr>
              <w:t>大气污染物特别</w:t>
            </w:r>
            <w:r>
              <w:rPr>
                <w:spacing w:val="-3"/>
              </w:rPr>
              <w:t>排放限值。无组织废气执行表</w:t>
            </w:r>
            <w:r>
              <w:rPr>
                <w:rFonts w:ascii="Times New Roman" w:hAnsi="Times New Roman" w:eastAsia="Times New Roman" w:cs="Times New Roman"/>
                <w:spacing w:val="-3"/>
              </w:rPr>
              <w:t>9</w:t>
            </w:r>
          </w:p>
        </w:tc>
      </w:tr>
    </w:tbl>
    <w:p>
      <w:pPr>
        <w:pStyle w:val="BodyText"/>
        <w:rPr/>
      </w:pPr>
      <w:r/>
    </w:p>
    <w:p>
      <w:pPr>
        <w:sectPr>
          <w:footerReference w:type="default" r:id="rId196"/>
          <w:pgSz w:w="11906" w:h="16839"/>
          <w:pgMar w:top="400" w:right="1687" w:bottom="1211" w:left="1687" w:header="0" w:footer="1049" w:gutter="0"/>
        </w:sectPr>
        <w:rPr/>
      </w:pPr>
    </w:p>
    <w:p>
      <w:pPr>
        <w:spacing w:before="12"/>
        <w:rPr/>
      </w:pPr>
      <w:r/>
    </w:p>
    <w:p>
      <w:pPr>
        <w:spacing w:before="11"/>
        <w:rPr/>
      </w:pPr>
      <w:r/>
    </w:p>
    <w:p>
      <w:pPr>
        <w:spacing w:before="11"/>
        <w:rPr/>
      </w:pPr>
      <w:r/>
    </w:p>
    <w:p>
      <w:pPr>
        <w:spacing w:before="11"/>
        <w:rPr/>
      </w:pPr>
      <w:r/>
    </w:p>
    <w:tbl>
      <w:tblPr>
        <w:tblStyle w:val="TableNormal"/>
        <w:tblW w:w="1396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48"/>
        <w:gridCol w:w="4809"/>
        <w:gridCol w:w="5312"/>
      </w:tblGrid>
      <w:tr>
        <w:trPr>
          <w:trHeight w:val="2120" w:hRule="atLeast"/>
        </w:trPr>
        <w:tc>
          <w:tcPr>
            <w:tcW w:w="13969" w:type="dxa"/>
            <w:vAlign w:val="top"/>
            <w:gridSpan w:val="3"/>
            <w:tcBorders>
              <w:bottom w:val="nil"/>
            </w:tcBorders>
          </w:tcPr>
          <w:p>
            <w:pPr>
              <w:ind w:firstLine="12906"/>
              <w:spacing w:before="47" w:line="1020" w:lineRule="exact"/>
              <w:rPr/>
            </w:pPr>
            <w:r>
              <w:rPr>
                <w:position w:val="-20"/>
              </w:rPr>
              <w:drawing>
                <wp:inline distT="0" distB="0" distL="0" distR="0">
                  <wp:extent cx="667511" cy="647700"/>
                  <wp:effectExtent l="0" t="0" r="0" b="0"/>
                  <wp:docPr id="188" name="IM 188"/>
                  <wp:cNvGraphicFramePr/>
                  <a:graphic>
                    <a:graphicData uri="http://schemas.openxmlformats.org/drawingml/2006/picture">
                      <pic:pic>
                        <pic:nvPicPr>
                          <pic:cNvPr id="188" name="IM 188"/>
                          <pic:cNvPicPr/>
                        </pic:nvPicPr>
                        <pic:blipFill>
                          <a:blip r:embed="rId159"/>
                          <a:stretch>
                            <a:fillRect/>
                          </a:stretch>
                        </pic:blipFill>
                        <pic:spPr>
                          <a:xfrm rot="0">
                            <a:off x="0" y="0"/>
                            <a:ext cx="667511" cy="647700"/>
                          </a:xfrm>
                          <a:prstGeom prst="rect">
                            <a:avLst/>
                          </a:prstGeom>
                        </pic:spPr>
                      </pic:pic>
                    </a:graphicData>
                  </a:graphic>
                </wp:inline>
              </w:drawing>
            </w:r>
          </w:p>
        </w:tc>
      </w:tr>
      <w:tr>
        <w:trPr>
          <w:trHeight w:val="6919" w:hRule="atLeast"/>
        </w:trPr>
        <w:tc>
          <w:tcPr>
            <w:tcW w:w="3848" w:type="dxa"/>
            <w:vAlign w:val="top"/>
            <w:tcBorders>
              <w:right w:val="nil"/>
              <w:top w:val="nil"/>
            </w:tcBorders>
          </w:tcPr>
          <w:p>
            <w:pPr>
              <w:spacing w:before="1"/>
              <w:rPr/>
            </w:pPr>
            <w:r/>
          </w:p>
          <w:p>
            <w:pPr>
              <w:spacing w:before="1"/>
              <w:rPr/>
            </w:pPr>
            <w:r/>
          </w:p>
          <w:p>
            <w:pPr>
              <w:spacing w:before="1"/>
              <w:rPr/>
            </w:pPr>
            <w:r/>
          </w:p>
          <w:p>
            <w:pPr>
              <w:rPr/>
            </w:pPr>
            <w:r/>
          </w:p>
          <w:p>
            <w:pPr>
              <w:rPr/>
            </w:pPr>
            <w:r/>
          </w:p>
          <w:p>
            <w:pPr>
              <w:rPr/>
            </w:pPr>
            <w:r/>
          </w:p>
          <w:p>
            <w:pPr>
              <w:rPr/>
            </w:pPr>
            <w:r/>
          </w:p>
          <w:p>
            <w:pPr>
              <w:rPr/>
            </w:pPr>
            <w:r/>
          </w:p>
          <w:tbl>
            <w:tblPr>
              <w:tblStyle w:val="TableNormal"/>
              <w:tblW w:w="1776" w:type="dxa"/>
              <w:tblInd w:w="1952" w:type="dxa"/>
              <w:shd w:val="clear" w:fill="FFFFFF"/>
              <w:tblLayout w:type="fixed"/>
              <w:tblBorders>
                <w:left w:val="single" w:color="000000" w:sz="10" w:space="0"/>
                <w:bottom w:val="single" w:color="000000" w:sz="8" w:space="0"/>
                <w:right w:val="single" w:color="000000" w:sz="8" w:space="0"/>
                <w:top w:val="single" w:color="000000" w:sz="10" w:space="0"/>
              </w:tblBorders>
            </w:tblPr>
            <w:tblGrid>
              <w:gridCol w:w="1776"/>
            </w:tblGrid>
            <w:tr>
              <w:trPr>
                <w:trHeight w:val="449" w:hRule="atLeast"/>
              </w:trPr>
              <w:tc>
                <w:tcPr>
                  <w:shd w:val="clear" w:fill="FFFFFF"/>
                  <w:tcW w:w="1776" w:type="dxa"/>
                  <w:vAlign w:val="top"/>
                </w:tcPr>
                <w:p>
                  <w:pPr>
                    <w:pStyle w:val="TableText"/>
                    <w:ind w:left="153"/>
                    <w:spacing w:before="113" w:line="228" w:lineRule="auto"/>
                    <w:rPr>
                      <w:sz w:val="20"/>
                      <w:szCs w:val="20"/>
                    </w:rPr>
                  </w:pPr>
                  <w:r>
                    <w:rPr>
                      <w:sz w:val="20"/>
                      <w:szCs w:val="20"/>
                      <w:spacing w:val="7"/>
                    </w:rPr>
                    <w:t>呼图壁县居民区</w:t>
                  </w:r>
                </w:p>
              </w:tc>
            </w:tr>
          </w:tbl>
          <w:p>
            <w:pPr>
              <w:rPr>
                <w:rFonts w:ascii="Arial"/>
                <w:sz w:val="21"/>
              </w:rPr>
            </w:pPr>
            <w:r/>
          </w:p>
        </w:tc>
        <w:tc>
          <w:tcPr>
            <w:tcW w:w="4809" w:type="dxa"/>
            <w:vAlign w:val="top"/>
            <w:tcBorders>
              <w:left w:val="nil"/>
              <w:right w:val="nil"/>
              <w:top w:val="nil"/>
            </w:tcBorders>
          </w:tcPr>
          <w:p>
            <w:pPr>
              <w:spacing w:line="262" w:lineRule="auto"/>
              <w:rPr>
                <w:rFonts w:ascii="Arial"/>
                <w:sz w:val="21"/>
              </w:rPr>
            </w:pPr>
            <w:r>
              <w:pict>
                <v:rect id="_x0000_s136" style="position:absolute;margin-left:-235.475pt;margin-top:108.929pt;mso-position-vertical-relative:top-margin-area;mso-position-horizontal-relative:right-margin-area;width:166.55pt;height:3.4pt;z-index:253658112;" fillcolor="#FF0000" filled="true" stroked="false"/>
              </w:pict>
            </w:r>
            <w:r>
              <w:drawing>
                <wp:anchor distT="0" distB="0" distL="0" distR="0" simplePos="0" relativeHeight="253657088" behindDoc="1" locked="0" layoutInCell="1" allowOverlap="1">
                  <wp:simplePos x="0" y="0"/>
                  <wp:positionH relativeFrom="rightMargin">
                    <wp:posOffset>-864869</wp:posOffset>
                  </wp:positionH>
                  <wp:positionV relativeFrom="topMargin">
                    <wp:posOffset>1302384</wp:posOffset>
                  </wp:positionV>
                  <wp:extent cx="171450" cy="200533"/>
                  <wp:effectExtent l="0" t="0" r="0" b="0"/>
                  <wp:wrapNone/>
                  <wp:docPr id="190" name="IM 190"/>
                  <wp:cNvGraphicFramePr/>
                  <a:graphic>
                    <a:graphicData uri="http://schemas.openxmlformats.org/drawingml/2006/picture">
                      <pic:pic>
                        <pic:nvPicPr>
                          <pic:cNvPr id="190" name="IM 190"/>
                          <pic:cNvPicPr/>
                        </pic:nvPicPr>
                        <pic:blipFill>
                          <a:blip r:embed="rId198"/>
                          <a:stretch>
                            <a:fillRect/>
                          </a:stretch>
                        </pic:blipFill>
                        <pic:spPr>
                          <a:xfrm rot="0">
                            <a:off x="0" y="0"/>
                            <a:ext cx="171450" cy="200533"/>
                          </a:xfrm>
                          <a:prstGeom prst="rect">
                            <a:avLst/>
                          </a:prstGeom>
                        </pic:spPr>
                      </pic:pic>
                    </a:graphicData>
                  </a:graphic>
                </wp:anchor>
              </w:drawing>
            </w: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firstLine="2421"/>
              <w:spacing w:line="1118" w:lineRule="exact"/>
              <w:rPr/>
            </w:pPr>
            <w:r>
              <w:rPr>
                <w:position w:val="-22"/>
              </w:rPr>
              <w:pict>
                <v:group id="_x0000_s138" style="mso-position-vertical-relative:line;mso-position-horizontal-relative:char;width:56.25pt;height:55.95pt;" filled="false" stroked="false" coordsize="1125,1119" coordorigin="0,0">
                  <v:shape id="_x0000_s140" style="position:absolute;left:0;top:0;width:1125;height:1119;" filled="false" stroked="false" type="#_x0000_t75">
                    <v:imagedata o:title="" r:id="rId199"/>
                  </v:shape>
                  <v:shape id="_x0000_s142" style="position:absolute;left:-20;top:-20;width:1165;height:1159;" filled="false" stroked="false" type="#_x0000_t202">
                    <v:fill on="false"/>
                    <v:stroke on="false"/>
                    <v:path/>
                    <v:imagedata o:title=""/>
                    <o:lock v:ext="edit" aspectratio="false"/>
                    <v:textbox inset="0mm,0mm,0mm,0mm">
                      <w:txbxContent>
                        <w:p>
                          <w:pPr>
                            <w:ind w:left="205"/>
                            <w:spacing w:before="174" w:line="228" w:lineRule="auto"/>
                            <w:rPr>
                              <w:rFonts w:ascii="SimSun" w:hAnsi="SimSun" w:eastAsia="SimSun" w:cs="SimSun"/>
                              <w:sz w:val="20"/>
                              <w:szCs w:val="20"/>
                            </w:rPr>
                          </w:pPr>
                          <w:r>
                            <w:rPr>
                              <w:rFonts w:ascii="SimSun" w:hAnsi="SimSun" w:eastAsia="SimSun" w:cs="SimSun"/>
                              <w:sz w:val="20"/>
                              <w:szCs w:val="20"/>
                              <w:color w:val="FF0000"/>
                              <w14:textOutline w14:w="3795" w14:cap="sq" w14:cmpd="sng">
                                <w14:solidFill>
                                  <w14:srgbClr w14:val="FF0000"/>
                                </w14:solidFill>
                                <w14:prstDash w14:val="solid"/>
                                <w14:bevel/>
                              </w14:textOutline>
                              <w:spacing w:val="6"/>
                            </w:rPr>
                            <w:t>项目区</w:t>
                          </w:r>
                        </w:p>
                      </w:txbxContent>
                    </v:textbox>
                  </v:shape>
                </v:group>
              </w:pict>
            </w:r>
          </w:p>
          <w:p>
            <w:pPr>
              <w:ind w:left="1313"/>
              <w:spacing w:before="154" w:line="186" w:lineRule="auto"/>
              <w:rPr>
                <w:rFonts w:ascii="Calibri" w:hAnsi="Calibri" w:eastAsia="Calibri" w:cs="Calibri"/>
                <w:sz w:val="20"/>
                <w:szCs w:val="20"/>
              </w:rPr>
            </w:pPr>
            <w:r>
              <w:rPr>
                <w:rFonts w:ascii="Calibri" w:hAnsi="Calibri" w:eastAsia="Calibri" w:cs="Calibri"/>
                <w:sz w:val="20"/>
                <w:szCs w:val="20"/>
                <w:color w:val="FF0000"/>
                <w:spacing w:val="3"/>
              </w:rPr>
              <w:t>450m</w:t>
            </w:r>
          </w:p>
        </w:tc>
        <w:tc>
          <w:tcPr>
            <w:tcW w:w="5312" w:type="dxa"/>
            <w:vAlign w:val="top"/>
            <w:tcBorders>
              <w:left w:val="nil"/>
              <w:top w:val="nil"/>
            </w:tcBorders>
          </w:tcPr>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ind w:firstLine="1095"/>
              <w:spacing w:line="290" w:lineRule="exact"/>
              <w:rPr/>
            </w:pPr>
            <w:r>
              <w:rPr>
                <w:position w:val="-5"/>
              </w:rPr>
              <w:drawing>
                <wp:inline distT="0" distB="0" distL="0" distR="0">
                  <wp:extent cx="231558" cy="184708"/>
                  <wp:effectExtent l="0" t="0" r="0" b="0"/>
                  <wp:docPr id="192" name="IM 192"/>
                  <wp:cNvGraphicFramePr/>
                  <a:graphic>
                    <a:graphicData uri="http://schemas.openxmlformats.org/drawingml/2006/picture">
                      <pic:pic>
                        <pic:nvPicPr>
                          <pic:cNvPr id="192" name="IM 192"/>
                          <pic:cNvPicPr/>
                        </pic:nvPicPr>
                        <pic:blipFill>
                          <a:blip r:embed="rId200"/>
                          <a:stretch>
                            <a:fillRect/>
                          </a:stretch>
                        </pic:blipFill>
                        <pic:spPr>
                          <a:xfrm rot="0">
                            <a:off x="0" y="0"/>
                            <a:ext cx="231558" cy="184708"/>
                          </a:xfrm>
                          <a:prstGeom prst="rect">
                            <a:avLst/>
                          </a:prstGeom>
                        </pic:spPr>
                      </pic:pic>
                    </a:graphicData>
                  </a:graphic>
                </wp:inline>
              </w:drawing>
            </w:r>
          </w:p>
        </w:tc>
      </w:tr>
    </w:tbl>
    <w:p>
      <w:pPr>
        <w:ind w:left="5820"/>
        <w:spacing w:before="77" w:line="219"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4"/>
        </w:rPr>
        <w:t>图</w:t>
      </w:r>
      <w:r>
        <w:rPr>
          <w:rFonts w:ascii="SimSun" w:hAnsi="SimSun" w:eastAsia="SimSun" w:cs="SimSun"/>
          <w:sz w:val="24"/>
          <w:szCs w:val="24"/>
          <w:spacing w:val="-49"/>
        </w:rPr>
        <w:t xml:space="preserve"> </w:t>
      </w:r>
      <w:r>
        <w:rPr>
          <w:rFonts w:ascii="Calibri" w:hAnsi="Calibri" w:eastAsia="Calibri" w:cs="Calibri"/>
          <w:sz w:val="24"/>
          <w:szCs w:val="24"/>
          <w:b/>
          <w:bCs/>
          <w:spacing w:val="-4"/>
        </w:rPr>
        <w:t>5</w:t>
      </w:r>
      <w:r>
        <w:rPr>
          <w:rFonts w:ascii="Calibri" w:hAnsi="Calibri" w:eastAsia="Calibri" w:cs="Calibri"/>
          <w:sz w:val="24"/>
          <w:szCs w:val="24"/>
          <w:b/>
          <w:bCs/>
          <w:spacing w:val="8"/>
        </w:rPr>
        <w:t xml:space="preserve">    </w:t>
      </w:r>
      <w:r>
        <w:rPr>
          <w:rFonts w:ascii="SimSun" w:hAnsi="SimSun" w:eastAsia="SimSun" w:cs="SimSun"/>
          <w:sz w:val="24"/>
          <w:szCs w:val="24"/>
          <w14:textOutline w14:w="4358" w14:cap="sq" w14:cmpd="sng">
            <w14:solidFill>
              <w14:srgbClr w14:val="000000"/>
            </w14:solidFill>
            <w14:prstDash w14:val="solid"/>
            <w14:bevel/>
          </w14:textOutline>
          <w:spacing w:val="-4"/>
        </w:rPr>
        <w:t>环境保护目标分布点图</w:t>
      </w:r>
    </w:p>
    <w:p>
      <w:pPr>
        <w:spacing w:line="219" w:lineRule="auto"/>
        <w:sectPr>
          <w:headerReference w:type="default" r:id="rId197"/>
          <w:footerReference w:type="default" r:id="rId16"/>
          <w:pgSz w:w="16839" w:h="11906"/>
          <w:pgMar w:top="400" w:right="1436" w:bottom="400" w:left="1421" w:header="0" w:footer="0" w:gutter="0"/>
        </w:sectPr>
        <w:rPr>
          <w:rFonts w:ascii="SimSun" w:hAnsi="SimSun" w:eastAsia="SimSun" w:cs="SimSun"/>
          <w:sz w:val="24"/>
          <w:szCs w:val="24"/>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84"/>
        <w:gridCol w:w="7642"/>
      </w:tblGrid>
      <w:tr>
        <w:trPr>
          <w:trHeight w:val="7321" w:hRule="atLeast"/>
        </w:trPr>
        <w:tc>
          <w:tcPr>
            <w:tcW w:w="884" w:type="dxa"/>
            <w:vAlign w:val="top"/>
          </w:tcPr>
          <w:p>
            <w:pPr>
              <w:pStyle w:val="TableText"/>
              <w:ind w:left="118"/>
              <w:spacing w:before="200" w:line="499" w:lineRule="exact"/>
              <w:rPr/>
            </w:pPr>
            <w:r>
              <w:rPr>
                <w:spacing w:val="-6"/>
                <w:position w:val="19"/>
              </w:rPr>
              <w:t>制</w:t>
            </w:r>
            <w:r>
              <w:rPr>
                <w:spacing w:val="75"/>
                <w:position w:val="19"/>
              </w:rPr>
              <w:t xml:space="preserve"> </w:t>
            </w:r>
            <w:r>
              <w:rPr>
                <w:spacing w:val="-6"/>
                <w:position w:val="19"/>
              </w:rPr>
              <w:t>标</w:t>
            </w:r>
          </w:p>
          <w:p>
            <w:pPr>
              <w:pStyle w:val="TableText"/>
              <w:ind w:left="119"/>
              <w:spacing w:before="1" w:line="220" w:lineRule="auto"/>
              <w:rPr/>
            </w:pPr>
            <w:r>
              <w:rPr/>
              <w:t>准</w:t>
            </w:r>
          </w:p>
        </w:tc>
        <w:tc>
          <w:tcPr>
            <w:tcW w:w="7642" w:type="dxa"/>
            <w:vAlign w:val="top"/>
          </w:tcPr>
          <w:p>
            <w:pPr>
              <w:pStyle w:val="TableText"/>
              <w:ind w:left="117"/>
              <w:spacing w:before="200" w:line="499" w:lineRule="exact"/>
              <w:rPr/>
            </w:pPr>
            <w:r>
              <w:rPr>
                <w:spacing w:val="-1"/>
                <w:position w:val="19"/>
              </w:rPr>
              <w:t>企业边界大气污染物浓度限值要求，厂区内执行《挥发性有机物无组织</w:t>
            </w:r>
          </w:p>
          <w:p>
            <w:pPr>
              <w:pStyle w:val="TableText"/>
              <w:ind w:left="113"/>
              <w:spacing w:line="219" w:lineRule="auto"/>
              <w:rPr/>
            </w:pPr>
            <w:r>
              <w:rPr>
                <w:spacing w:val="-1"/>
              </w:rPr>
              <w:t>排放控制标准》（</w:t>
            </w:r>
            <w:r>
              <w:rPr>
                <w:rFonts w:ascii="Times New Roman" w:hAnsi="Times New Roman" w:eastAsia="Times New Roman" w:cs="Times New Roman"/>
                <w:spacing w:val="-1"/>
              </w:rPr>
              <w:t>GB37822-2019</w:t>
            </w:r>
            <w:r>
              <w:rPr>
                <w:spacing w:val="-1"/>
              </w:rPr>
              <w:t>）表</w:t>
            </w:r>
            <w:r>
              <w:rPr>
                <w:rFonts w:ascii="Times New Roman" w:hAnsi="Times New Roman" w:eastAsia="Times New Roman" w:cs="Times New Roman"/>
                <w:spacing w:val="-1"/>
              </w:rPr>
              <w:t>A.</w:t>
            </w:r>
            <w:r>
              <w:rPr>
                <w:rFonts w:ascii="Times New Roman" w:hAnsi="Times New Roman" w:eastAsia="Times New Roman" w:cs="Times New Roman"/>
                <w:spacing w:val="-32"/>
              </w:rPr>
              <w:t xml:space="preserve"> </w:t>
            </w:r>
            <w:r>
              <w:rPr>
                <w:rFonts w:ascii="Times New Roman" w:hAnsi="Times New Roman" w:eastAsia="Times New Roman" w:cs="Times New Roman"/>
                <w:spacing w:val="-1"/>
              </w:rPr>
              <w:t>1</w:t>
            </w:r>
            <w:r>
              <w:rPr>
                <w:spacing w:val="-1"/>
              </w:rPr>
              <w:t>特别排放限值。详见</w:t>
            </w:r>
            <w:r>
              <w:rPr>
                <w:spacing w:val="-2"/>
              </w:rPr>
              <w:t>下表。</w:t>
            </w:r>
          </w:p>
          <w:p>
            <w:pPr>
              <w:pStyle w:val="TableText"/>
              <w:ind w:left="652"/>
              <w:spacing w:before="135" w:line="219" w:lineRule="auto"/>
              <w:rPr/>
            </w:pPr>
            <w:r>
              <w:rPr>
                <w14:textOutline w14:w="4358" w14:cap="sq" w14:cmpd="sng">
                  <w14:solidFill>
                    <w14:srgbClr w14:val="000000"/>
                  </w14:solidFill>
                  <w14:prstDash w14:val="solid"/>
                  <w14:bevel/>
                </w14:textOutline>
              </w:rPr>
              <w:t>表</w:t>
            </w:r>
            <w:r>
              <w:rPr>
                <w:rFonts w:ascii="Times New Roman" w:hAnsi="Times New Roman" w:eastAsia="Times New Roman" w:cs="Times New Roman"/>
                <w:b/>
                <w:bCs/>
              </w:rPr>
              <w:t>3.8-1        </w:t>
            </w:r>
            <w:r>
              <w:rPr>
                <w14:textOutline w14:w="4358" w14:cap="sq" w14:cmpd="sng">
                  <w14:solidFill>
                    <w14:srgbClr w14:val="000000"/>
                  </w14:solidFill>
                  <w14:prstDash w14:val="solid"/>
                  <w14:bevel/>
                </w14:textOutline>
              </w:rPr>
              <w:t>合成树脂工业污染物排放标准（</w:t>
            </w:r>
            <w:r>
              <w:rPr>
                <w:rFonts w:ascii="Times New Roman" w:hAnsi="Times New Roman" w:eastAsia="Times New Roman" w:cs="Times New Roman"/>
                <w:b/>
                <w:bCs/>
              </w:rPr>
              <w:t>GB31572-2015</w:t>
            </w:r>
            <w:r>
              <w:rPr>
                <w14:textOutline w14:w="4358" w14:cap="sq" w14:cmpd="sng">
                  <w14:solidFill>
                    <w14:srgbClr w14:val="000000"/>
                  </w14:solidFill>
                  <w14:prstDash w14:val="solid"/>
                  <w14:bevel/>
                </w14:textOutline>
              </w:rPr>
              <w:t>）</w:t>
            </w:r>
          </w:p>
          <w:tbl>
            <w:tblPr>
              <w:tblStyle w:val="TableNormal"/>
              <w:tblW w:w="7423" w:type="dxa"/>
              <w:tblInd w:w="10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63"/>
              <w:gridCol w:w="2222"/>
              <w:gridCol w:w="1459"/>
              <w:gridCol w:w="3079"/>
            </w:tblGrid>
            <w:tr>
              <w:trPr>
                <w:trHeight w:val="473" w:hRule="atLeast"/>
              </w:trPr>
              <w:tc>
                <w:tcPr>
                  <w:tcW w:w="663" w:type="dxa"/>
                  <w:vAlign w:val="top"/>
                  <w:tcBorders>
                    <w:top w:val="single" w:color="000000" w:sz="10" w:space="0"/>
                    <w:left w:val="nil"/>
                  </w:tcBorders>
                </w:tcPr>
                <w:p>
                  <w:pPr>
                    <w:pStyle w:val="TableText"/>
                    <w:ind w:left="127"/>
                    <w:spacing w:before="164" w:line="229" w:lineRule="auto"/>
                    <w:rPr>
                      <w:sz w:val="20"/>
                      <w:szCs w:val="20"/>
                    </w:rPr>
                  </w:pPr>
                  <w:r>
                    <w:rPr>
                      <w:sz w:val="20"/>
                      <w:szCs w:val="20"/>
                      <w:spacing w:val="5"/>
                    </w:rPr>
                    <w:t>序号</w:t>
                  </w:r>
                </w:p>
              </w:tc>
              <w:tc>
                <w:tcPr>
                  <w:tcW w:w="2222" w:type="dxa"/>
                  <w:vAlign w:val="top"/>
                  <w:tcBorders>
                    <w:top w:val="single" w:color="000000" w:sz="10" w:space="0"/>
                  </w:tcBorders>
                </w:tcPr>
                <w:p>
                  <w:pPr>
                    <w:pStyle w:val="TableText"/>
                    <w:ind w:left="592"/>
                    <w:spacing w:before="165" w:line="228" w:lineRule="auto"/>
                    <w:rPr>
                      <w:sz w:val="20"/>
                      <w:szCs w:val="20"/>
                    </w:rPr>
                  </w:pPr>
                  <w:r>
                    <w:rPr>
                      <w:sz w:val="20"/>
                      <w:szCs w:val="20"/>
                      <w:spacing w:val="7"/>
                    </w:rPr>
                    <w:t>污染物项目</w:t>
                  </w:r>
                </w:p>
              </w:tc>
              <w:tc>
                <w:tcPr>
                  <w:tcW w:w="1459" w:type="dxa"/>
                  <w:vAlign w:val="top"/>
                  <w:tcBorders>
                    <w:top w:val="single" w:color="000000" w:sz="10" w:space="0"/>
                  </w:tcBorders>
                </w:tcPr>
                <w:p>
                  <w:pPr>
                    <w:pStyle w:val="TableText"/>
                    <w:ind w:left="314"/>
                    <w:spacing w:before="164" w:line="228" w:lineRule="auto"/>
                    <w:rPr>
                      <w:sz w:val="20"/>
                      <w:szCs w:val="20"/>
                    </w:rPr>
                  </w:pPr>
                  <w:r>
                    <w:rPr>
                      <w:sz w:val="20"/>
                      <w:szCs w:val="20"/>
                      <w:spacing w:val="7"/>
                    </w:rPr>
                    <w:t>排放限值</w:t>
                  </w:r>
                </w:p>
              </w:tc>
              <w:tc>
                <w:tcPr>
                  <w:tcW w:w="3079" w:type="dxa"/>
                  <w:vAlign w:val="top"/>
                  <w:tcBorders>
                    <w:top w:val="single" w:color="000000" w:sz="10" w:space="0"/>
                    <w:right w:val="nil"/>
                  </w:tcBorders>
                </w:tcPr>
                <w:p>
                  <w:pPr>
                    <w:pStyle w:val="TableText"/>
                    <w:ind w:left="285"/>
                    <w:spacing w:before="164" w:line="228" w:lineRule="auto"/>
                    <w:rPr>
                      <w:sz w:val="20"/>
                      <w:szCs w:val="20"/>
                    </w:rPr>
                  </w:pPr>
                  <w:r>
                    <w:rPr>
                      <w:sz w:val="20"/>
                      <w:szCs w:val="20"/>
                      <w:spacing w:val="8"/>
                    </w:rPr>
                    <w:t>单位产品非甲烷总烃排放量</w:t>
                  </w:r>
                </w:p>
              </w:tc>
            </w:tr>
          </w:tbl>
          <w:p>
            <w:pPr>
              <w:pStyle w:val="TableText"/>
              <w:ind w:left="3509"/>
              <w:spacing w:before="161" w:line="228" w:lineRule="auto"/>
              <w:rPr>
                <w:sz w:val="20"/>
                <w:szCs w:val="20"/>
              </w:rPr>
            </w:pPr>
            <w:r>
              <w:rPr>
                <w:sz w:val="20"/>
                <w:szCs w:val="20"/>
                <w:spacing w:val="6"/>
              </w:rPr>
              <w:t>有组织</w:t>
            </w:r>
          </w:p>
          <w:p>
            <w:pPr>
              <w:spacing w:line="56" w:lineRule="exact"/>
              <w:rPr/>
            </w:pPr>
            <w:r/>
          </w:p>
          <w:tbl>
            <w:tblPr>
              <w:tblStyle w:val="TableNormal"/>
              <w:tblW w:w="7423" w:type="dxa"/>
              <w:tblInd w:w="10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63"/>
              <w:gridCol w:w="2222"/>
              <w:gridCol w:w="1459"/>
              <w:gridCol w:w="3079"/>
            </w:tblGrid>
            <w:tr>
              <w:trPr>
                <w:trHeight w:val="478" w:hRule="atLeast"/>
              </w:trPr>
              <w:tc>
                <w:tcPr>
                  <w:tcW w:w="663" w:type="dxa"/>
                  <w:vAlign w:val="top"/>
                  <w:tcBorders>
                    <w:left w:val="nil"/>
                  </w:tcBorders>
                </w:tcPr>
                <w:p>
                  <w:pPr>
                    <w:ind w:left="302"/>
                    <w:spacing w:before="2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22" w:type="dxa"/>
                  <w:vAlign w:val="top"/>
                </w:tcPr>
                <w:p>
                  <w:pPr>
                    <w:pStyle w:val="TableText"/>
                    <w:ind w:left="593"/>
                    <w:spacing w:before="167" w:line="228" w:lineRule="auto"/>
                    <w:rPr>
                      <w:sz w:val="20"/>
                      <w:szCs w:val="20"/>
                    </w:rPr>
                  </w:pPr>
                  <w:r>
                    <w:rPr>
                      <w:sz w:val="20"/>
                      <w:szCs w:val="20"/>
                      <w:spacing w:val="7"/>
                    </w:rPr>
                    <w:t>非甲烷总烃</w:t>
                  </w:r>
                </w:p>
              </w:tc>
              <w:tc>
                <w:tcPr>
                  <w:tcW w:w="1459" w:type="dxa"/>
                  <w:vAlign w:val="top"/>
                </w:tcPr>
                <w:p>
                  <w:pPr>
                    <w:pStyle w:val="TableText"/>
                    <w:ind w:left="295"/>
                    <w:spacing w:before="187" w:line="202" w:lineRule="auto"/>
                    <w:rPr>
                      <w:sz w:val="20"/>
                      <w:szCs w:val="20"/>
                    </w:rPr>
                  </w:pPr>
                  <w:r>
                    <w:rPr>
                      <w:rFonts w:ascii="Times New Roman" w:hAnsi="Times New Roman" w:eastAsia="Times New Roman" w:cs="Times New Roman"/>
                      <w:sz w:val="20"/>
                      <w:szCs w:val="20"/>
                      <w:spacing w:val="3"/>
                    </w:rPr>
                    <w:t>100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3"/>
                    </w:rPr>
                    <w:t>/m</w:t>
                  </w:r>
                  <w:r>
                    <w:rPr>
                      <w:sz w:val="20"/>
                      <w:szCs w:val="20"/>
                      <w:spacing w:val="3"/>
                    </w:rPr>
                    <w:t>³</w:t>
                  </w:r>
                </w:p>
              </w:tc>
              <w:tc>
                <w:tcPr>
                  <w:tcW w:w="3079" w:type="dxa"/>
                  <w:vAlign w:val="top"/>
                  <w:tcBorders>
                    <w:right w:val="nil"/>
                  </w:tcBorders>
                </w:tcPr>
                <w:p>
                  <w:pPr>
                    <w:pStyle w:val="TableText"/>
                    <w:ind w:left="1039"/>
                    <w:spacing w:before="167" w:line="221" w:lineRule="auto"/>
                    <w:rPr>
                      <w:sz w:val="20"/>
                      <w:szCs w:val="20"/>
                    </w:rPr>
                  </w:pPr>
                  <w:r>
                    <w:rPr>
                      <w:rFonts w:ascii="Times New Roman" w:hAnsi="Times New Roman" w:eastAsia="Times New Roman" w:cs="Times New Roman"/>
                      <w:sz w:val="20"/>
                      <w:szCs w:val="20"/>
                      <w:spacing w:val="5"/>
                    </w:rPr>
                    <w:t>0.3</w:t>
                  </w:r>
                  <w:r>
                    <w:rPr>
                      <w:rFonts w:ascii="Times New Roman" w:hAnsi="Times New Roman" w:eastAsia="Times New Roman" w:cs="Times New Roman"/>
                      <w:sz w:val="20"/>
                      <w:szCs w:val="20"/>
                    </w:rPr>
                    <w:t>kg</w:t>
                  </w:r>
                  <w:r>
                    <w:rPr>
                      <w:rFonts w:ascii="Times New Roman" w:hAnsi="Times New Roman" w:eastAsia="Times New Roman" w:cs="Times New Roman"/>
                      <w:sz w:val="20"/>
                      <w:szCs w:val="20"/>
                      <w:spacing w:val="5"/>
                    </w:rPr>
                    <w:t>/t</w:t>
                  </w:r>
                  <w:r>
                    <w:rPr>
                      <w:sz w:val="20"/>
                      <w:szCs w:val="20"/>
                      <w:spacing w:val="5"/>
                    </w:rPr>
                    <w:t>产品</w:t>
                  </w:r>
                </w:p>
              </w:tc>
            </w:tr>
          </w:tbl>
          <w:p>
            <w:pPr>
              <w:pStyle w:val="TableText"/>
              <w:ind w:left="3510"/>
              <w:spacing w:before="164" w:line="228" w:lineRule="auto"/>
              <w:rPr>
                <w:sz w:val="20"/>
                <w:szCs w:val="20"/>
              </w:rPr>
            </w:pPr>
            <w:r>
              <w:rPr>
                <w:sz w:val="20"/>
                <w:szCs w:val="20"/>
                <w:spacing w:val="6"/>
              </w:rPr>
              <w:t>无组织</w:t>
            </w:r>
          </w:p>
          <w:p>
            <w:pPr>
              <w:spacing w:line="58" w:lineRule="exact"/>
              <w:rPr/>
            </w:pPr>
            <w:r/>
          </w:p>
          <w:tbl>
            <w:tblPr>
              <w:tblStyle w:val="TableNormal"/>
              <w:tblW w:w="7423" w:type="dxa"/>
              <w:tblInd w:w="10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63"/>
              <w:gridCol w:w="2222"/>
              <w:gridCol w:w="1459"/>
              <w:gridCol w:w="3079"/>
            </w:tblGrid>
            <w:tr>
              <w:trPr>
                <w:trHeight w:val="466" w:hRule="atLeast"/>
              </w:trPr>
              <w:tc>
                <w:tcPr>
                  <w:tcW w:w="663" w:type="dxa"/>
                  <w:vAlign w:val="top"/>
                  <w:tcBorders>
                    <w:left w:val="nil"/>
                  </w:tcBorders>
                </w:tcPr>
                <w:p>
                  <w:pPr>
                    <w:ind w:left="302"/>
                    <w:spacing w:before="2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22" w:type="dxa"/>
                  <w:vAlign w:val="top"/>
                </w:tcPr>
                <w:p>
                  <w:pPr>
                    <w:pStyle w:val="TableText"/>
                    <w:ind w:left="173"/>
                    <w:spacing w:before="167" w:line="228" w:lineRule="auto"/>
                    <w:rPr>
                      <w:sz w:val="20"/>
                      <w:szCs w:val="20"/>
                    </w:rPr>
                  </w:pPr>
                  <w:r>
                    <w:rPr>
                      <w:sz w:val="20"/>
                      <w:szCs w:val="20"/>
                      <w:spacing w:val="7"/>
                    </w:rPr>
                    <w:t>非甲烷总烃（厂界）</w:t>
                  </w:r>
                </w:p>
              </w:tc>
              <w:tc>
                <w:tcPr>
                  <w:tcW w:w="1459" w:type="dxa"/>
                  <w:vAlign w:val="top"/>
                </w:tcPr>
                <w:p>
                  <w:pPr>
                    <w:pStyle w:val="TableText"/>
                    <w:ind w:left="300"/>
                    <w:spacing w:before="187" w:line="202" w:lineRule="auto"/>
                    <w:rPr>
                      <w:sz w:val="20"/>
                      <w:szCs w:val="20"/>
                    </w:rPr>
                  </w:pPr>
                  <w:r>
                    <w:rPr>
                      <w:rFonts w:ascii="Times New Roman" w:hAnsi="Times New Roman" w:eastAsia="Times New Roman" w:cs="Times New Roman"/>
                      <w:sz w:val="20"/>
                      <w:szCs w:val="20"/>
                      <w:spacing w:val="5"/>
                    </w:rPr>
                    <w:t>4.0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/m</w:t>
                  </w:r>
                  <w:r>
                    <w:rPr>
                      <w:sz w:val="20"/>
                      <w:szCs w:val="20"/>
                      <w:spacing w:val="5"/>
                    </w:rPr>
                    <w:t>³</w:t>
                  </w:r>
                </w:p>
              </w:tc>
              <w:tc>
                <w:tcPr>
                  <w:tcW w:w="3079" w:type="dxa"/>
                  <w:vAlign w:val="top"/>
                  <w:tcBorders>
                    <w:right w:val="nil"/>
                  </w:tcBorders>
                </w:tcPr>
                <w:p>
                  <w:pPr>
                    <w:ind w:left="1507"/>
                    <w:spacing w:before="19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485" w:hRule="atLeast"/>
              </w:trPr>
              <w:tc>
                <w:tcPr>
                  <w:tcW w:w="663" w:type="dxa"/>
                  <w:vAlign w:val="top"/>
                  <w:tcBorders>
                    <w:left w:val="nil"/>
                    <w:bottom w:val="single" w:color="000000" w:sz="10" w:space="0"/>
                  </w:tcBorders>
                </w:tcPr>
                <w:p>
                  <w:pPr>
                    <w:ind w:left="282"/>
                    <w:spacing w:before="2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222" w:type="dxa"/>
                  <w:vAlign w:val="top"/>
                  <w:tcBorders>
                    <w:bottom w:val="single" w:color="000000" w:sz="10" w:space="0"/>
                  </w:tcBorders>
                </w:tcPr>
                <w:p>
                  <w:pPr>
                    <w:pStyle w:val="TableText"/>
                    <w:ind w:left="116"/>
                    <w:spacing w:before="175" w:line="228" w:lineRule="auto"/>
                    <w:rPr>
                      <w:sz w:val="20"/>
                      <w:szCs w:val="20"/>
                    </w:rPr>
                  </w:pPr>
                  <w:r>
                    <w:rPr>
                      <w:sz w:val="20"/>
                      <w:szCs w:val="20"/>
                      <w:spacing w:val="7"/>
                    </w:rPr>
                    <w:t>非甲烷总烃（厂区内）</w:t>
                  </w:r>
                </w:p>
              </w:tc>
              <w:tc>
                <w:tcPr>
                  <w:tcW w:w="1459" w:type="dxa"/>
                  <w:vAlign w:val="top"/>
                  <w:tcBorders>
                    <w:bottom w:val="single" w:color="000000" w:sz="10" w:space="0"/>
                  </w:tcBorders>
                </w:tcPr>
                <w:p>
                  <w:pPr>
                    <w:pStyle w:val="TableText"/>
                    <w:ind w:left="306"/>
                    <w:spacing w:before="196" w:line="202" w:lineRule="auto"/>
                    <w:rPr>
                      <w:sz w:val="20"/>
                      <w:szCs w:val="20"/>
                    </w:rPr>
                  </w:pPr>
                  <w:r>
                    <w:rPr>
                      <w:rFonts w:ascii="Times New Roman" w:hAnsi="Times New Roman" w:eastAsia="Times New Roman" w:cs="Times New Roman"/>
                      <w:sz w:val="20"/>
                      <w:szCs w:val="20"/>
                      <w:spacing w:val="5"/>
                    </w:rPr>
                    <w:t>6.0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/m</w:t>
                  </w:r>
                  <w:r>
                    <w:rPr>
                      <w:sz w:val="20"/>
                      <w:szCs w:val="20"/>
                      <w:spacing w:val="5"/>
                    </w:rPr>
                    <w:t>³</w:t>
                  </w:r>
                </w:p>
              </w:tc>
              <w:tc>
                <w:tcPr>
                  <w:tcW w:w="3079" w:type="dxa"/>
                  <w:vAlign w:val="top"/>
                  <w:tcBorders>
                    <w:right w:val="nil"/>
                    <w:bottom w:val="single" w:color="000000" w:sz="10" w:space="0"/>
                  </w:tcBorders>
                </w:tcPr>
                <w:p>
                  <w:pPr>
                    <w:ind w:left="1507"/>
                    <w:spacing w:before="20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bl>
          <w:p>
            <w:pPr>
              <w:pStyle w:val="TableText"/>
              <w:ind w:left="597"/>
              <w:spacing w:before="195" w:line="220" w:lineRule="auto"/>
              <w:rPr/>
            </w:pPr>
            <w:r>
              <w:rPr>
                <w:spacing w:val="-2"/>
              </w:rPr>
              <w:t>二、噪声排放标准</w:t>
            </w:r>
          </w:p>
          <w:p>
            <w:pPr>
              <w:pStyle w:val="TableText"/>
              <w:ind w:right="42"/>
              <w:spacing w:before="216" w:line="499" w:lineRule="exact"/>
              <w:jc w:val="right"/>
              <w:rPr/>
            </w:pPr>
            <w:r>
              <w:rPr>
                <w:position w:val="19"/>
              </w:rPr>
              <w:t>运营期执行《工业企业厂界环境噪声排放标准》</w:t>
            </w:r>
            <w:r>
              <w:rPr>
                <w:spacing w:val="-1"/>
                <w:position w:val="19"/>
              </w:rPr>
              <w:t>（</w:t>
            </w:r>
            <w:r>
              <w:rPr>
                <w:rFonts w:ascii="Times New Roman" w:hAnsi="Times New Roman" w:eastAsia="Times New Roman" w:cs="Times New Roman"/>
                <w:spacing w:val="-1"/>
                <w:position w:val="19"/>
              </w:rPr>
              <w:t>GB12348-2008</w:t>
            </w:r>
            <w:r>
              <w:rPr>
                <w:spacing w:val="-1"/>
                <w:position w:val="19"/>
              </w:rPr>
              <w:t>）</w:t>
            </w:r>
          </w:p>
          <w:p>
            <w:pPr>
              <w:pStyle w:val="TableText"/>
              <w:ind w:left="109"/>
              <w:spacing w:line="219" w:lineRule="auto"/>
              <w:rPr/>
            </w:pPr>
            <w:r>
              <w:rPr>
                <w:rFonts w:ascii="Times New Roman" w:hAnsi="Times New Roman" w:eastAsia="Times New Roman" w:cs="Times New Roman"/>
                <w:spacing w:val="-1"/>
              </w:rPr>
              <w:t>2</w:t>
            </w:r>
            <w:r>
              <w:rPr>
                <w:spacing w:val="-1"/>
              </w:rPr>
              <w:t>类的标准限值（昼间</w:t>
            </w:r>
            <w:r>
              <w:rPr>
                <w:rFonts w:ascii="Times New Roman" w:hAnsi="Times New Roman" w:eastAsia="Times New Roman" w:cs="Times New Roman"/>
                <w:spacing w:val="-1"/>
              </w:rPr>
              <w:t>≤60dB</w:t>
            </w:r>
            <w:r>
              <w:rPr>
                <w:spacing w:val="-1"/>
              </w:rPr>
              <w:t>（</w:t>
            </w:r>
            <w:r>
              <w:rPr>
                <w:rFonts w:ascii="Times New Roman" w:hAnsi="Times New Roman" w:eastAsia="Times New Roman" w:cs="Times New Roman"/>
                <w:spacing w:val="-1"/>
              </w:rPr>
              <w:t>A</w:t>
            </w:r>
            <w:r>
              <w:rPr>
                <w:spacing w:val="4"/>
              </w:rPr>
              <w:t>），</w:t>
            </w:r>
            <w:r>
              <w:rPr>
                <w:spacing w:val="-1"/>
              </w:rPr>
              <w:t>夜间</w:t>
            </w:r>
            <w:r>
              <w:rPr>
                <w:rFonts w:ascii="Times New Roman" w:hAnsi="Times New Roman" w:eastAsia="Times New Roman" w:cs="Times New Roman"/>
                <w:spacing w:val="-1"/>
              </w:rPr>
              <w:t>≤50dB</w:t>
            </w:r>
            <w:r>
              <w:rPr>
                <w:spacing w:val="-1"/>
              </w:rPr>
              <w:t>（</w:t>
            </w:r>
            <w:r>
              <w:rPr>
                <w:rFonts w:ascii="Times New Roman" w:hAnsi="Times New Roman" w:eastAsia="Times New Roman" w:cs="Times New Roman"/>
                <w:spacing w:val="-1"/>
              </w:rPr>
              <w:t>A</w:t>
            </w:r>
            <w:r>
              <w:rPr>
                <w:spacing w:val="4"/>
              </w:rPr>
              <w:t>））</w:t>
            </w:r>
            <w:r>
              <w:rPr>
                <w:spacing w:val="-1"/>
              </w:rPr>
              <w:t>。</w:t>
            </w:r>
          </w:p>
          <w:p>
            <w:pPr>
              <w:pStyle w:val="TableText"/>
              <w:ind w:left="593"/>
              <w:spacing w:before="215" w:line="219" w:lineRule="auto"/>
              <w:rPr/>
            </w:pPr>
            <w:r>
              <w:rPr>
                <w:spacing w:val="-1"/>
              </w:rPr>
              <w:t>三、固体废物排放执行标准</w:t>
            </w:r>
          </w:p>
          <w:p>
            <w:pPr>
              <w:pStyle w:val="TableText"/>
              <w:spacing w:before="216" w:line="500" w:lineRule="exact"/>
              <w:jc w:val="right"/>
              <w:rPr/>
            </w:pPr>
            <w:r>
              <w:rPr>
                <w:spacing w:val="-6"/>
                <w:position w:val="19"/>
              </w:rPr>
              <w:t>按《一般工业固体废物贮存和填埋污染控制标准》（</w:t>
            </w:r>
            <w:r>
              <w:rPr>
                <w:rFonts w:ascii="Times New Roman" w:hAnsi="Times New Roman" w:eastAsia="Times New Roman" w:cs="Times New Roman"/>
                <w:spacing w:val="-6"/>
                <w:position w:val="19"/>
              </w:rPr>
              <w:t>GB185</w:t>
            </w:r>
            <w:r>
              <w:rPr>
                <w:rFonts w:ascii="Times New Roman" w:hAnsi="Times New Roman" w:eastAsia="Times New Roman" w:cs="Times New Roman"/>
                <w:spacing w:val="-7"/>
                <w:position w:val="19"/>
              </w:rPr>
              <w:t>99-2020</w:t>
            </w:r>
            <w:r>
              <w:rPr>
                <w:spacing w:val="-7"/>
                <w:position w:val="19"/>
              </w:rPr>
              <w:t>）</w:t>
            </w:r>
          </w:p>
          <w:p>
            <w:pPr>
              <w:pStyle w:val="TableText"/>
              <w:spacing w:line="219" w:lineRule="auto"/>
              <w:jc w:val="right"/>
              <w:rPr/>
            </w:pPr>
            <w:r>
              <w:rPr>
                <w:spacing w:val="-3"/>
              </w:rPr>
              <w:t>的要求进行处置；《危险废物贮存污染控制标准》（</w:t>
            </w:r>
            <w:r>
              <w:rPr>
                <w:rFonts w:ascii="Times New Roman" w:hAnsi="Times New Roman" w:eastAsia="Times New Roman" w:cs="Times New Roman"/>
                <w:spacing w:val="-3"/>
              </w:rPr>
              <w:t>GB</w:t>
            </w:r>
            <w:r>
              <w:rPr>
                <w:rFonts w:ascii="Times New Roman" w:hAnsi="Times New Roman" w:eastAsia="Times New Roman" w:cs="Times New Roman"/>
                <w:spacing w:val="33"/>
              </w:rPr>
              <w:t xml:space="preserve"> </w:t>
            </w:r>
            <w:r>
              <w:rPr>
                <w:rFonts w:ascii="Times New Roman" w:hAnsi="Times New Roman" w:eastAsia="Times New Roman" w:cs="Times New Roman"/>
                <w:spacing w:val="-3"/>
              </w:rPr>
              <w:t>18597-2023</w:t>
            </w:r>
            <w:r>
              <w:rPr>
                <w:spacing w:val="-3"/>
              </w:rPr>
              <w:t>）。</w:t>
            </w:r>
          </w:p>
        </w:tc>
      </w:tr>
      <w:tr>
        <w:trPr>
          <w:trHeight w:val="6507" w:hRule="atLeast"/>
        </w:trPr>
        <w:tc>
          <w:tcPr>
            <w:tcW w:w="884" w:type="dxa"/>
            <w:vAlign w:val="top"/>
          </w:tcPr>
          <w:p>
            <w:pPr>
              <w:pStyle w:val="TableText"/>
              <w:ind w:left="116" w:right="106" w:firstLine="7"/>
              <w:spacing w:before="196" w:line="385" w:lineRule="auto"/>
              <w:jc w:val="both"/>
              <w:rPr/>
            </w:pPr>
            <w:r>
              <w:rPr>
                <w:spacing w:val="-13"/>
              </w:rPr>
              <w:t>总</w:t>
            </w:r>
            <w:r>
              <w:rPr>
                <w:spacing w:val="74"/>
              </w:rPr>
              <w:t xml:space="preserve"> </w:t>
            </w:r>
            <w:r>
              <w:rPr>
                <w:spacing w:val="-13"/>
              </w:rPr>
              <w:t>量</w:t>
            </w:r>
            <w:r>
              <w:rPr/>
              <w:t xml:space="preserve"> </w:t>
            </w:r>
            <w:r>
              <w:rPr>
                <w:spacing w:val="-10"/>
              </w:rPr>
              <w:t>控</w:t>
            </w:r>
            <w:r>
              <w:rPr>
                <w:spacing w:val="75"/>
              </w:rPr>
              <w:t xml:space="preserve"> </w:t>
            </w:r>
            <w:r>
              <w:rPr>
                <w:spacing w:val="-10"/>
              </w:rPr>
              <w:t>制</w:t>
            </w:r>
          </w:p>
          <w:p>
            <w:pPr>
              <w:pStyle w:val="TableText"/>
              <w:ind w:left="118"/>
              <w:spacing w:line="220" w:lineRule="auto"/>
              <w:rPr/>
            </w:pPr>
            <w:r>
              <w:rPr>
                <w:spacing w:val="-6"/>
              </w:rPr>
              <w:t>标准</w:t>
            </w:r>
          </w:p>
        </w:tc>
        <w:tc>
          <w:tcPr>
            <w:tcW w:w="7642" w:type="dxa"/>
            <w:vAlign w:val="top"/>
          </w:tcPr>
          <w:p>
            <w:pPr>
              <w:pStyle w:val="TableText"/>
              <w:ind w:left="114" w:right="106" w:firstLine="479"/>
              <w:spacing w:before="196" w:line="385" w:lineRule="auto"/>
              <w:jc w:val="both"/>
              <w:rPr/>
            </w:pPr>
            <w:r>
              <w:rPr>
                <w:spacing w:val="-1"/>
              </w:rPr>
              <w:t>根据自治区党委自治区人民政府印发的《新疆维吾尔自治区生态环</w:t>
            </w:r>
            <w:r>
              <w:rPr>
                <w:spacing w:val="4"/>
              </w:rPr>
              <w:t xml:space="preserve"> </w:t>
            </w:r>
            <w:r>
              <w:rPr>
                <w:spacing w:val="-3"/>
              </w:rPr>
              <w:t>境保护“十四五</w:t>
            </w:r>
            <w:r>
              <w:rPr>
                <w:spacing w:val="-85"/>
              </w:rPr>
              <w:t xml:space="preserve"> </w:t>
            </w:r>
            <w:r>
              <w:rPr>
                <w:spacing w:val="-3"/>
              </w:rPr>
              <w:t>”规划》，新疆“十四五</w:t>
            </w:r>
            <w:r>
              <w:rPr>
                <w:spacing w:val="-88"/>
              </w:rPr>
              <w:t xml:space="preserve"> </w:t>
            </w:r>
            <w:r>
              <w:rPr>
                <w:spacing w:val="-3"/>
              </w:rPr>
              <w:t>”生态环境保护规划总量控制</w:t>
            </w:r>
          </w:p>
          <w:p>
            <w:pPr>
              <w:pStyle w:val="TableText"/>
              <w:ind w:left="116"/>
              <w:spacing w:line="218" w:lineRule="auto"/>
              <w:rPr/>
            </w:pPr>
            <w:r>
              <w:rPr>
                <w:spacing w:val="-1"/>
              </w:rPr>
              <w:t>指标为</w:t>
            </w:r>
            <w:r>
              <w:rPr>
                <w:rFonts w:ascii="Times New Roman" w:hAnsi="Times New Roman" w:eastAsia="Times New Roman" w:cs="Times New Roman"/>
                <w:spacing w:val="-1"/>
              </w:rPr>
              <w:t>COD</w:t>
            </w:r>
            <w:r>
              <w:rPr>
                <w:spacing w:val="-1"/>
              </w:rPr>
              <w:t>、氨氮、氮氧化物和</w:t>
            </w:r>
            <w:r>
              <w:rPr>
                <w:rFonts w:ascii="Times New Roman" w:hAnsi="Times New Roman" w:eastAsia="Times New Roman" w:cs="Times New Roman"/>
                <w:spacing w:val="-1"/>
              </w:rPr>
              <w:t>VOCs</w:t>
            </w:r>
            <w:r>
              <w:rPr>
                <w:spacing w:val="-1"/>
              </w:rPr>
              <w:t>。</w:t>
            </w:r>
          </w:p>
          <w:p>
            <w:pPr>
              <w:pStyle w:val="TableText"/>
              <w:ind w:left="113" w:right="106" w:firstLine="480"/>
              <w:spacing w:before="214" w:line="385" w:lineRule="auto"/>
              <w:jc w:val="both"/>
              <w:rPr/>
            </w:pPr>
            <w:r>
              <w:rPr>
                <w:spacing w:val="-1"/>
              </w:rPr>
              <w:t>根据本项目污染物因子排放特点，本项目不新增二氧化硫、氮氧化</w:t>
            </w:r>
            <w:r>
              <w:rPr>
                <w:spacing w:val="4"/>
              </w:rPr>
              <w:t xml:space="preserve"> </w:t>
            </w:r>
            <w:r>
              <w:rPr>
                <w:spacing w:val="-3"/>
              </w:rPr>
              <w:t>物废气排放量，不新增废水排放量。故不考虑</w:t>
            </w:r>
            <w:r>
              <w:rPr>
                <w:rFonts w:ascii="Times New Roman" w:hAnsi="Times New Roman" w:eastAsia="Times New Roman" w:cs="Times New Roman"/>
                <w:spacing w:val="-3"/>
              </w:rPr>
              <w:t>COD</w:t>
            </w:r>
            <w:r>
              <w:rPr>
                <w:rFonts w:ascii="Times New Roman" w:hAnsi="Times New Roman" w:eastAsia="Times New Roman" w:cs="Times New Roman"/>
                <w:spacing w:val="-16"/>
              </w:rPr>
              <w:t xml:space="preserve"> </w:t>
            </w:r>
            <w:r>
              <w:rPr>
                <w:spacing w:val="-3"/>
              </w:rPr>
              <w:t>、氨氮总量指标和二</w:t>
            </w:r>
          </w:p>
          <w:p>
            <w:pPr>
              <w:pStyle w:val="TableText"/>
              <w:ind w:left="114"/>
              <w:spacing w:line="218" w:lineRule="auto"/>
              <w:rPr/>
            </w:pPr>
            <w:r>
              <w:rPr>
                <w:spacing w:val="-1"/>
              </w:rPr>
              <w:t>氧化硫、氮氧化物总量指标。</w:t>
            </w:r>
          </w:p>
          <w:p>
            <w:pPr>
              <w:pStyle w:val="TableText"/>
              <w:ind w:left="124" w:right="106" w:firstLine="470"/>
              <w:spacing w:before="215" w:line="385" w:lineRule="auto"/>
              <w:jc w:val="both"/>
              <w:rPr/>
            </w:pPr>
            <w:r>
              <w:rPr>
                <w:spacing w:val="-3"/>
              </w:rPr>
              <w:t>本项目需要申请总量控制指标的污染物为</w:t>
            </w:r>
            <w:r>
              <w:rPr>
                <w:rFonts w:ascii="Times New Roman" w:hAnsi="Times New Roman" w:eastAsia="Times New Roman" w:cs="Times New Roman"/>
                <w:spacing w:val="-3"/>
              </w:rPr>
              <w:t>VOCs0.</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15</w:t>
            </w:r>
            <w:r>
              <w:rPr>
                <w:rFonts w:ascii="Times New Roman" w:hAnsi="Times New Roman" w:eastAsia="Times New Roman" w:cs="Times New Roman"/>
                <w:spacing w:val="-4"/>
              </w:rPr>
              <w:t>t/a</w:t>
            </w:r>
            <w:r>
              <w:rPr>
                <w:spacing w:val="-4"/>
              </w:rPr>
              <w:t>。需执行倍量</w:t>
            </w:r>
            <w:r>
              <w:rPr/>
              <w:t xml:space="preserve"> </w:t>
            </w:r>
            <w:r>
              <w:rPr>
                <w:spacing w:val="-3"/>
              </w:rPr>
              <w:t>替代，替代总量为</w:t>
            </w:r>
            <w:r>
              <w:rPr>
                <w:rFonts w:ascii="Times New Roman" w:hAnsi="Times New Roman" w:eastAsia="Times New Roman" w:cs="Times New Roman"/>
                <w:spacing w:val="-3"/>
              </w:rPr>
              <w:t>0.3t/a</w:t>
            </w:r>
            <w:r>
              <w:rPr>
                <w:spacing w:val="-3"/>
              </w:rPr>
              <w:t>。企业向当地生态环境部门申请，由当地环保部</w:t>
            </w:r>
          </w:p>
          <w:p>
            <w:pPr>
              <w:pStyle w:val="TableText"/>
              <w:ind w:left="141"/>
              <w:spacing w:before="1" w:line="219" w:lineRule="auto"/>
              <w:rPr/>
            </w:pPr>
            <w:r>
              <w:rPr>
                <w:spacing w:val="-4"/>
              </w:rPr>
              <w:t>门调控进行倍量替代。</w:t>
            </w:r>
          </w:p>
        </w:tc>
      </w:tr>
    </w:tbl>
    <w:p>
      <w:pPr>
        <w:pStyle w:val="BodyText"/>
        <w:rPr/>
      </w:pPr>
      <w:r/>
    </w:p>
    <w:p>
      <w:pPr>
        <w:sectPr>
          <w:headerReference w:type="default" r:id="rId3"/>
          <w:footerReference w:type="default" r:id="rId201"/>
          <w:pgSz w:w="11906" w:h="16839"/>
          <w:pgMar w:top="400" w:right="1687" w:bottom="1211" w:left="1687" w:header="0" w:footer="1049" w:gutter="0"/>
        </w:sectPr>
        <w:rPr/>
      </w:pPr>
    </w:p>
    <w:p>
      <w:pPr>
        <w:pStyle w:val="BodyText"/>
        <w:spacing w:line="287" w:lineRule="auto"/>
        <w:rPr/>
      </w:pPr>
      <w:r/>
    </w:p>
    <w:p>
      <w:pPr>
        <w:pStyle w:val="BodyText"/>
        <w:spacing w:line="287" w:lineRule="auto"/>
        <w:rPr/>
      </w:pPr>
      <w:r/>
    </w:p>
    <w:p>
      <w:pPr>
        <w:pStyle w:val="BodyText"/>
        <w:spacing w:line="287" w:lineRule="auto"/>
        <w:rPr/>
      </w:pPr>
      <w:r/>
    </w:p>
    <w:p>
      <w:pPr>
        <w:pStyle w:val="BodyText"/>
        <w:spacing w:line="288" w:lineRule="auto"/>
        <w:rPr/>
      </w:pPr>
      <w:r/>
    </w:p>
    <w:p>
      <w:pPr>
        <w:ind w:left="2475"/>
        <w:spacing w:before="91" w:line="221" w:lineRule="auto"/>
        <w:outlineLvl w:val="0"/>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四、主要环境影响和保护措施</w:t>
      </w:r>
    </w:p>
    <w:p>
      <w:pPr>
        <w:spacing w:line="16" w:lineRule="exact"/>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22"/>
        <w:gridCol w:w="7804"/>
      </w:tblGrid>
      <w:tr>
        <w:trPr>
          <w:trHeight w:val="2009" w:hRule="atLeast"/>
        </w:trPr>
        <w:tc>
          <w:tcPr>
            <w:tcW w:w="722" w:type="dxa"/>
            <w:vAlign w:val="top"/>
          </w:tcPr>
          <w:p>
            <w:pPr>
              <w:pStyle w:val="TableText"/>
              <w:ind w:left="128"/>
              <w:spacing w:before="120" w:line="222" w:lineRule="auto"/>
              <w:rPr/>
            </w:pPr>
            <w:r>
              <w:rPr>
                <w:spacing w:val="-5"/>
              </w:rPr>
              <w:t>施工</w:t>
            </w:r>
          </w:p>
          <w:p>
            <w:pPr>
              <w:pStyle w:val="TableText"/>
              <w:ind w:left="132"/>
              <w:spacing w:before="109" w:line="220" w:lineRule="auto"/>
              <w:rPr/>
            </w:pPr>
            <w:r>
              <w:rPr>
                <w:spacing w:val="-7"/>
              </w:rPr>
              <w:t>期环</w:t>
            </w:r>
          </w:p>
          <w:p>
            <w:pPr>
              <w:pStyle w:val="TableText"/>
              <w:ind w:left="130"/>
              <w:spacing w:before="114" w:line="220" w:lineRule="auto"/>
              <w:rPr/>
            </w:pPr>
            <w:r>
              <w:rPr>
                <w:spacing w:val="-6"/>
              </w:rPr>
              <w:t>境保</w:t>
            </w:r>
          </w:p>
          <w:p>
            <w:pPr>
              <w:pStyle w:val="TableText"/>
              <w:ind w:left="130"/>
              <w:spacing w:before="114" w:line="220" w:lineRule="auto"/>
              <w:rPr/>
            </w:pPr>
            <w:r>
              <w:rPr>
                <w:spacing w:val="-6"/>
              </w:rPr>
              <w:t>护措</w:t>
            </w:r>
          </w:p>
          <w:p>
            <w:pPr>
              <w:pStyle w:val="TableText"/>
              <w:ind w:left="248"/>
              <w:spacing w:before="112" w:line="216" w:lineRule="auto"/>
              <w:rPr/>
            </w:pPr>
            <w:r>
              <w:rPr/>
              <w:t>施</w:t>
            </w:r>
          </w:p>
        </w:tc>
        <w:tc>
          <w:tcPr>
            <w:tcW w:w="7804" w:type="dxa"/>
            <w:vAlign w:val="top"/>
          </w:tcPr>
          <w:p>
            <w:pPr>
              <w:pStyle w:val="TableText"/>
              <w:ind w:left="110"/>
              <w:spacing w:before="163" w:line="221" w:lineRule="auto"/>
              <w:outlineLvl w:val="1"/>
              <w:rPr>
                <w:sz w:val="28"/>
                <w:szCs w:val="28"/>
              </w:rPr>
            </w:pPr>
            <w:r>
              <w:rPr>
                <w:rFonts w:ascii="Times New Roman" w:hAnsi="Times New Roman" w:eastAsia="Times New Roman" w:cs="Times New Roman"/>
                <w:sz w:val="28"/>
                <w:szCs w:val="28"/>
                <w:b/>
                <w:bCs/>
              </w:rPr>
              <w:t>4.1</w:t>
            </w:r>
            <w:r>
              <w:rPr>
                <w:sz w:val="28"/>
                <w:szCs w:val="28"/>
                <w14:textOutline w14:w="5103" w14:cap="sq" w14:cmpd="sng">
                  <w14:solidFill>
                    <w14:srgbClr w14:val="000000"/>
                  </w14:solidFill>
                  <w14:prstDash w14:val="solid"/>
                  <w14:bevel/>
                </w14:textOutline>
              </w:rPr>
              <w:t>施工期环境保护措施</w:t>
            </w:r>
          </w:p>
          <w:p>
            <w:pPr>
              <w:pStyle w:val="TableText"/>
              <w:ind w:left="593"/>
              <w:spacing w:before="199" w:line="502" w:lineRule="exact"/>
              <w:rPr/>
            </w:pPr>
            <w:r>
              <w:rPr>
                <w:spacing w:val="-4"/>
                <w:position w:val="20"/>
              </w:rPr>
              <w:t>本项目属于未批先建项目。施工期已结束，施工期的环境影响也已停</w:t>
            </w:r>
          </w:p>
          <w:p>
            <w:pPr>
              <w:pStyle w:val="TableText"/>
              <w:ind w:left="113"/>
              <w:spacing w:line="218" w:lineRule="auto"/>
              <w:rPr/>
            </w:pPr>
            <w:r>
              <w:rPr>
                <w:spacing w:val="-1"/>
              </w:rPr>
              <w:t>止，故本次环评不对施工期做环境影响分析。</w:t>
            </w:r>
          </w:p>
        </w:tc>
      </w:tr>
      <w:tr>
        <w:trPr>
          <w:trHeight w:val="11013" w:hRule="atLeast"/>
        </w:trPr>
        <w:tc>
          <w:tcPr>
            <w:tcW w:w="722" w:type="dxa"/>
            <w:vAlign w:val="top"/>
          </w:tcPr>
          <w:p>
            <w:pPr>
              <w:pStyle w:val="TableText"/>
              <w:ind w:left="129" w:right="117"/>
              <w:spacing w:before="114" w:line="308" w:lineRule="auto"/>
              <w:jc w:val="both"/>
              <w:rPr/>
            </w:pPr>
            <w:r>
              <w:rPr>
                <w:spacing w:val="-5"/>
              </w:rPr>
              <w:t>运营</w:t>
            </w:r>
            <w:r>
              <w:rPr/>
              <w:t xml:space="preserve"> </w:t>
            </w:r>
            <w:r>
              <w:rPr>
                <w:spacing w:val="-6"/>
              </w:rPr>
              <w:t>期环</w:t>
            </w:r>
            <w:r>
              <w:rPr/>
              <w:t xml:space="preserve"> </w:t>
            </w:r>
            <w:r>
              <w:rPr>
                <w:spacing w:val="-6"/>
              </w:rPr>
              <w:t>境影</w:t>
            </w:r>
            <w:r>
              <w:rPr/>
              <w:t xml:space="preserve"> </w:t>
            </w:r>
            <w:r>
              <w:rPr>
                <w:spacing w:val="-6"/>
              </w:rPr>
              <w:t>响和</w:t>
            </w:r>
            <w:r>
              <w:rPr/>
              <w:t xml:space="preserve"> </w:t>
            </w:r>
            <w:r>
              <w:rPr>
                <w:spacing w:val="-6"/>
              </w:rPr>
              <w:t>保护</w:t>
            </w:r>
          </w:p>
          <w:p>
            <w:pPr>
              <w:pStyle w:val="TableText"/>
              <w:ind w:left="129"/>
              <w:spacing w:line="220" w:lineRule="auto"/>
              <w:rPr/>
            </w:pPr>
            <w:r>
              <w:rPr>
                <w:spacing w:val="-5"/>
              </w:rPr>
              <w:t>措施</w:t>
            </w:r>
          </w:p>
        </w:tc>
        <w:tc>
          <w:tcPr>
            <w:tcW w:w="7804" w:type="dxa"/>
            <w:vAlign w:val="top"/>
          </w:tcPr>
          <w:p>
            <w:pPr>
              <w:pStyle w:val="TableText"/>
              <w:ind w:left="672"/>
              <w:spacing w:before="161" w:line="220" w:lineRule="auto"/>
              <w:outlineLvl w:val="1"/>
              <w:rPr>
                <w:sz w:val="28"/>
                <w:szCs w:val="28"/>
              </w:rPr>
            </w:pPr>
            <w:r>
              <w:rPr>
                <w:rFonts w:ascii="Times New Roman" w:hAnsi="Times New Roman" w:eastAsia="Times New Roman" w:cs="Times New Roman"/>
                <w:sz w:val="28"/>
                <w:szCs w:val="28"/>
                <w:b/>
                <w:bCs/>
              </w:rPr>
              <w:t>4.2</w:t>
            </w:r>
            <w:r>
              <w:rPr>
                <w:sz w:val="28"/>
                <w:szCs w:val="28"/>
                <w14:textOutline w14:w="5103" w14:cap="sq" w14:cmpd="sng">
                  <w14:solidFill>
                    <w14:srgbClr w14:val="000000"/>
                  </w14:solidFill>
                  <w14:prstDash w14:val="solid"/>
                  <w14:bevel/>
                </w14:textOutline>
              </w:rPr>
              <w:t>运营期污染物产生及影响</w:t>
            </w:r>
          </w:p>
          <w:p>
            <w:pPr>
              <w:pStyle w:val="TableText"/>
              <w:ind w:left="589"/>
              <w:spacing w:before="200" w:line="220" w:lineRule="auto"/>
              <w:outlineLvl w:val="2"/>
              <w:rPr/>
            </w:pPr>
            <w:r>
              <w:rPr>
                <w:rFonts w:ascii="Times New Roman" w:hAnsi="Times New Roman" w:eastAsia="Times New Roman" w:cs="Times New Roman"/>
                <w:b/>
                <w:bCs/>
              </w:rPr>
              <w:t>4.2.1</w:t>
            </w:r>
            <w:r>
              <w:rPr>
                <w14:textOutline w14:w="4358" w14:cap="sq" w14:cmpd="sng">
                  <w14:solidFill>
                    <w14:srgbClr w14:val="000000"/>
                  </w14:solidFill>
                  <w14:prstDash w14:val="solid"/>
                  <w14:bevel/>
                </w14:textOutline>
              </w:rPr>
              <w:t>大气环境影响分析</w:t>
            </w:r>
          </w:p>
          <w:p>
            <w:pPr>
              <w:pStyle w:val="TableText"/>
              <w:ind w:left="589"/>
              <w:spacing w:before="213" w:line="219" w:lineRule="auto"/>
              <w:outlineLvl w:val="2"/>
              <w:rPr/>
            </w:pPr>
            <w:hyperlink w:history="true" r:id="rId203">
              <w:r>
                <w:rPr>
                  <w:rFonts w:ascii="Times New Roman" w:hAnsi="Times New Roman" w:eastAsia="Times New Roman" w:cs="Times New Roman"/>
                  <w:b/>
                  <w:bCs/>
                  <w:spacing w:val="-1"/>
                </w:rPr>
                <w:t>4.2.1.1</w:t>
              </w:r>
            </w:hyperlink>
            <w:r>
              <w:rPr>
                <w:rFonts w:ascii="Times New Roman" w:hAnsi="Times New Roman" w:eastAsia="Times New Roman" w:cs="Times New Roman"/>
                <w:b/>
                <w:bCs/>
                <w:spacing w:val="-1"/>
              </w:rPr>
              <w:t xml:space="preserve">  </w:t>
            </w:r>
            <w:r>
              <w:rPr>
                <w14:textOutline w14:w="4358" w14:cap="sq" w14:cmpd="sng">
                  <w14:solidFill>
                    <w14:srgbClr w14:val="000000"/>
                  </w14:solidFill>
                  <w14:prstDash w14:val="solid"/>
                  <w14:bevel/>
                </w14:textOutline>
                <w:spacing w:val="-1"/>
              </w:rPr>
              <w:t>废气产生情况</w:t>
            </w:r>
          </w:p>
          <w:p>
            <w:pPr>
              <w:pStyle w:val="TableText"/>
              <w:ind w:left="604"/>
              <w:spacing w:before="216" w:line="499" w:lineRule="exact"/>
              <w:rPr/>
            </w:pPr>
            <w:r>
              <w:rPr>
                <w:spacing w:val="-3"/>
                <w:position w:val="19"/>
              </w:rPr>
              <w:t>（</w:t>
            </w:r>
            <w:r>
              <w:rPr>
                <w:rFonts w:ascii="Times New Roman" w:hAnsi="Times New Roman" w:eastAsia="Times New Roman" w:cs="Times New Roman"/>
                <w:spacing w:val="-3"/>
                <w:position w:val="19"/>
              </w:rPr>
              <w:t>1</w:t>
            </w:r>
            <w:r>
              <w:rPr>
                <w:spacing w:val="-3"/>
                <w:position w:val="19"/>
              </w:rPr>
              <w:t>）正常工况</w:t>
            </w:r>
          </w:p>
          <w:p>
            <w:pPr>
              <w:pStyle w:val="TableText"/>
              <w:ind w:left="591"/>
              <w:spacing w:line="217" w:lineRule="auto"/>
              <w:rPr/>
            </w:pPr>
            <w:r>
              <w:rPr>
                <w:spacing w:val="-2"/>
              </w:rPr>
              <w:t>①废气产生情况</w:t>
            </w:r>
          </w:p>
          <w:p>
            <w:pPr>
              <w:pStyle w:val="TableText"/>
              <w:ind w:left="131" w:right="106" w:firstLine="470"/>
              <w:spacing w:before="217" w:line="385" w:lineRule="auto"/>
              <w:rPr/>
            </w:pPr>
            <w:r>
              <w:rPr>
                <w:spacing w:val="15"/>
              </w:rPr>
              <w:t>聚乙烯受热分解温度为</w:t>
            </w:r>
            <w:r>
              <w:rPr>
                <w:rFonts w:ascii="Times New Roman" w:hAnsi="Times New Roman" w:eastAsia="Times New Roman" w:cs="Times New Roman"/>
                <w:spacing w:val="15"/>
              </w:rPr>
              <w:t>380</w:t>
            </w:r>
            <w:r>
              <w:rPr>
                <w:spacing w:val="15"/>
              </w:rPr>
              <w:t>℃以上</w:t>
            </w:r>
            <w:r>
              <w:rPr>
                <w:spacing w:val="-67"/>
              </w:rPr>
              <w:t xml:space="preserve"> </w:t>
            </w:r>
            <w:r>
              <w:rPr>
                <w:spacing w:val="15"/>
              </w:rPr>
              <w:t>，本项目熔融过程控制温度为</w:t>
            </w:r>
            <w:r>
              <w:rPr/>
              <w:t xml:space="preserve"> </w:t>
            </w:r>
            <w:r>
              <w:rPr>
                <w:rFonts w:ascii="Times New Roman" w:hAnsi="Times New Roman" w:eastAsia="Times New Roman" w:cs="Times New Roman"/>
                <w:spacing w:val="-1"/>
              </w:rPr>
              <w:t>160</w:t>
            </w:r>
            <w:r>
              <w:rPr>
                <w:spacing w:val="-1"/>
              </w:rPr>
              <w:t>℃~</w:t>
            </w:r>
            <w:r>
              <w:rPr>
                <w:rFonts w:ascii="Times New Roman" w:hAnsi="Times New Roman" w:eastAsia="Times New Roman" w:cs="Times New Roman"/>
                <w:spacing w:val="-1"/>
              </w:rPr>
              <w:t>170</w:t>
            </w:r>
            <w:r>
              <w:rPr>
                <w:spacing w:val="-1"/>
              </w:rPr>
              <w:t>℃</w:t>
            </w:r>
            <w:r>
              <w:rPr>
                <w:spacing w:val="-85"/>
              </w:rPr>
              <w:t xml:space="preserve"> </w:t>
            </w:r>
            <w:r>
              <w:rPr>
                <w:spacing w:val="-1"/>
              </w:rPr>
              <w:t>, 达不到聚乙烯的分解温度，但在固态树脂加热转化到流态</w:t>
            </w:r>
          </w:p>
          <w:p>
            <w:pPr>
              <w:pStyle w:val="TableText"/>
              <w:ind w:left="112"/>
              <w:spacing w:before="1" w:line="218" w:lineRule="auto"/>
              <w:rPr/>
            </w:pPr>
            <w:r>
              <w:rPr>
                <w:spacing w:val="-1"/>
              </w:rPr>
              <w:t>树脂的过程中会有少量有机气体挥发，以非甲烷总烃计。</w:t>
            </w:r>
          </w:p>
          <w:p>
            <w:pPr>
              <w:pStyle w:val="TableText"/>
              <w:ind w:left="114" w:right="106" w:firstLine="479"/>
              <w:spacing w:before="214" w:line="385" w:lineRule="auto"/>
              <w:rPr/>
            </w:pPr>
            <w:r>
              <w:rPr>
                <w:spacing w:val="5"/>
              </w:rPr>
              <w:t>生产有机废气产生环节主要为塑化挤出、吹胀</w:t>
            </w:r>
            <w:r>
              <w:rPr>
                <w:spacing w:val="4"/>
              </w:rPr>
              <w:t>牵引及风环冷却环节</w:t>
            </w:r>
            <w:r>
              <w:rPr/>
              <w:t xml:space="preserve"> </w:t>
            </w:r>
            <w:r>
              <w:rPr/>
              <w:t>等，配置集气设施对有机废气进行收集，采用活性炭吸附</w:t>
            </w:r>
            <w:r>
              <w:rPr>
                <w:rFonts w:ascii="Times New Roman" w:hAnsi="Times New Roman" w:eastAsia="Times New Roman" w:cs="Times New Roman"/>
              </w:rPr>
              <w:t>+</w:t>
            </w:r>
            <w:r>
              <w:rPr/>
              <w:t>直接催化燃烧</w:t>
            </w:r>
          </w:p>
          <w:p>
            <w:pPr>
              <w:pStyle w:val="TableText"/>
              <w:ind w:left="113"/>
              <w:spacing w:before="1" w:line="219" w:lineRule="auto"/>
              <w:rPr/>
            </w:pPr>
            <w:r>
              <w:rPr>
                <w:spacing w:val="-1"/>
              </w:rPr>
              <w:t>法装置进行处理，净化后的废气经</w:t>
            </w:r>
            <w:r>
              <w:rPr>
                <w:rFonts w:ascii="Times New Roman" w:hAnsi="Times New Roman" w:eastAsia="Times New Roman" w:cs="Times New Roman"/>
                <w:spacing w:val="-1"/>
              </w:rPr>
              <w:t>1</w:t>
            </w:r>
            <w:r>
              <w:rPr>
                <w:spacing w:val="-1"/>
              </w:rPr>
              <w:t>根</w:t>
            </w:r>
            <w:r>
              <w:rPr>
                <w:rFonts w:ascii="Times New Roman" w:hAnsi="Times New Roman" w:eastAsia="Times New Roman" w:cs="Times New Roman"/>
                <w:spacing w:val="-1"/>
              </w:rPr>
              <w:t>15m</w:t>
            </w:r>
            <w:r>
              <w:rPr>
                <w:spacing w:val="-1"/>
              </w:rPr>
              <w:t>高排气筒排放。</w:t>
            </w:r>
          </w:p>
          <w:p>
            <w:pPr>
              <w:pStyle w:val="TableText"/>
              <w:ind w:left="112" w:right="47" w:firstLine="480"/>
              <w:spacing w:before="215" w:line="376" w:lineRule="auto"/>
              <w:rPr>
                <w:rFonts w:ascii="Times New Roman" w:hAnsi="Times New Roman" w:eastAsia="Times New Roman" w:cs="Times New Roman"/>
              </w:rPr>
            </w:pPr>
            <w:r>
              <w:rPr>
                <w:spacing w:val="-1"/>
              </w:rPr>
              <w:t>根据《排放源统计调查产排污核算方法和系数手册》中“</w:t>
            </w:r>
            <w:r>
              <w:rPr>
                <w:rFonts w:ascii="Times New Roman" w:hAnsi="Times New Roman" w:eastAsia="Times New Roman" w:cs="Times New Roman"/>
                <w:spacing w:val="-1"/>
              </w:rPr>
              <w:t>292</w:t>
            </w:r>
            <w:r>
              <w:rPr>
                <w:spacing w:val="-1"/>
              </w:rPr>
              <w:t>塑料制 </w:t>
            </w:r>
            <w:r>
              <w:rPr>
                <w:spacing w:val="-9"/>
              </w:rPr>
              <w:t>品行业系数手册，</w:t>
            </w:r>
            <w:r>
              <w:rPr>
                <w:rFonts w:ascii="Times New Roman" w:hAnsi="Times New Roman" w:eastAsia="Times New Roman" w:cs="Times New Roman"/>
                <w:spacing w:val="-9"/>
              </w:rPr>
              <w:t>2921</w:t>
            </w:r>
            <w:r>
              <w:rPr>
                <w:spacing w:val="-9"/>
              </w:rPr>
              <w:t>塑料薄膜制造行业系数表</w:t>
            </w:r>
            <w:r>
              <w:rPr>
                <w:spacing w:val="-87"/>
              </w:rPr>
              <w:t xml:space="preserve"> </w:t>
            </w:r>
            <w:r>
              <w:rPr>
                <w:spacing w:val="-9"/>
              </w:rPr>
              <w:t>”，塑料薄膜生产（原料：</w:t>
            </w:r>
            <w:r>
              <w:rPr/>
              <w:t xml:space="preserve"> </w:t>
            </w:r>
            <w:r>
              <w:rPr>
                <w:spacing w:val="-10"/>
              </w:rPr>
              <w:t>树脂、助剂，工艺：配料—混合—挤出，所</w:t>
            </w:r>
            <w:r>
              <w:rPr>
                <w:spacing w:val="-11"/>
              </w:rPr>
              <w:t>有规模）工业挥发性有机物（以</w:t>
            </w:r>
            <w:r>
              <w:rPr/>
              <w:t xml:space="preserve"> </w:t>
            </w:r>
            <w:r>
              <w:rPr/>
              <w:t>非甲烷总烃计）产生量为</w:t>
            </w:r>
            <w:r>
              <w:rPr>
                <w:rFonts w:ascii="Times New Roman" w:hAnsi="Times New Roman" w:eastAsia="Times New Roman" w:cs="Times New Roman"/>
              </w:rPr>
              <w:t>2.50kg/</w:t>
            </w:r>
            <w:r>
              <w:rPr/>
              <w:t>吨</w:t>
            </w:r>
            <w:r>
              <w:rPr>
                <w:rFonts w:ascii="Times New Roman" w:hAnsi="Times New Roman" w:eastAsia="Times New Roman" w:cs="Times New Roman"/>
              </w:rPr>
              <w:t>.</w:t>
            </w:r>
            <w:r>
              <w:rPr/>
              <w:t>产品。非甲烷总烃产生量为</w:t>
            </w:r>
            <w:r>
              <w:rPr>
                <w:rFonts w:ascii="Times New Roman" w:hAnsi="Times New Roman" w:eastAsia="Times New Roman" w:cs="Times New Roman"/>
              </w:rPr>
              <w:t>2.50kg/</w:t>
            </w:r>
            <w:r>
              <w:rPr/>
              <w:t>吨</w:t>
            </w:r>
            <w:r>
              <w:rPr>
                <w:rFonts w:ascii="Times New Roman" w:hAnsi="Times New Roman" w:eastAsia="Times New Roman" w:cs="Times New Roman"/>
              </w:rPr>
              <w:t>.</w:t>
            </w:r>
          </w:p>
          <w:p>
            <w:pPr>
              <w:pStyle w:val="TableText"/>
              <w:ind w:left="112"/>
              <w:spacing w:line="323" w:lineRule="exact"/>
              <w:rPr/>
            </w:pPr>
            <w:r>
              <w:rPr>
                <w:spacing w:val="-2"/>
                <w:position w:val="1"/>
              </w:rPr>
              <w:t>产品×</w:t>
            </w:r>
            <w:r>
              <w:rPr>
                <w:rFonts w:ascii="Times New Roman" w:hAnsi="Times New Roman" w:eastAsia="Times New Roman" w:cs="Times New Roman"/>
                <w:spacing w:val="-2"/>
                <w:position w:val="1"/>
              </w:rPr>
              <w:t>500</w:t>
            </w:r>
            <w:r>
              <w:rPr>
                <w:spacing w:val="-2"/>
                <w:position w:val="1"/>
              </w:rPr>
              <w:t>吨</w:t>
            </w:r>
            <w:r>
              <w:rPr>
                <w:rFonts w:ascii="Times New Roman" w:hAnsi="Times New Roman" w:eastAsia="Times New Roman" w:cs="Times New Roman"/>
                <w:spacing w:val="-2"/>
                <w:position w:val="1"/>
              </w:rPr>
              <w:t>.</w:t>
            </w:r>
            <w:r>
              <w:rPr>
                <w:spacing w:val="-2"/>
                <w:position w:val="1"/>
              </w:rPr>
              <w:t>产品</w:t>
            </w:r>
            <w:r>
              <w:rPr>
                <w:rFonts w:ascii="Times New Roman" w:hAnsi="Times New Roman" w:eastAsia="Times New Roman" w:cs="Times New Roman"/>
                <w:spacing w:val="-2"/>
                <w:position w:val="1"/>
              </w:rPr>
              <w:t>/a=</w:t>
            </w:r>
            <w:r>
              <w:rPr>
                <w:rFonts w:ascii="Times New Roman" w:hAnsi="Times New Roman" w:eastAsia="Times New Roman" w:cs="Times New Roman"/>
                <w:spacing w:val="-29"/>
                <w:position w:val="1"/>
              </w:rPr>
              <w:t xml:space="preserve"> </w:t>
            </w:r>
            <w:r>
              <w:rPr>
                <w:rFonts w:ascii="Times New Roman" w:hAnsi="Times New Roman" w:eastAsia="Times New Roman" w:cs="Times New Roman"/>
                <w:spacing w:val="-2"/>
                <w:position w:val="1"/>
              </w:rPr>
              <w:t>1.25t/a</w:t>
            </w:r>
            <w:r>
              <w:rPr>
                <w:spacing w:val="-2"/>
                <w:position w:val="1"/>
              </w:rPr>
              <w:t>。</w:t>
            </w:r>
          </w:p>
          <w:p>
            <w:pPr>
              <w:pStyle w:val="TableText"/>
              <w:ind w:left="590"/>
              <w:spacing w:before="222" w:line="217" w:lineRule="auto"/>
              <w:rPr/>
            </w:pPr>
            <w:r>
              <w:rPr>
                <w:spacing w:val="-2"/>
              </w:rPr>
              <w:t>②废气收集情况</w:t>
            </w:r>
          </w:p>
          <w:p>
            <w:pPr>
              <w:pStyle w:val="TableText"/>
              <w:ind w:left="594"/>
              <w:spacing w:before="217" w:line="219" w:lineRule="auto"/>
              <w:rPr/>
            </w:pPr>
            <w:r>
              <w:rPr>
                <w:spacing w:val="-1"/>
              </w:rPr>
              <w:t>主要产生废气设备建设局部密闭式集气罩，在污染物产生点上方</w:t>
            </w:r>
          </w:p>
          <w:p>
            <w:pPr>
              <w:pStyle w:val="TableText"/>
              <w:ind w:left="131"/>
              <w:spacing w:before="216" w:line="219" w:lineRule="auto"/>
              <w:rPr/>
            </w:pPr>
            <w:r>
              <w:rPr>
                <w:rFonts w:ascii="Times New Roman" w:hAnsi="Times New Roman" w:eastAsia="Times New Roman" w:cs="Times New Roman"/>
                <w:spacing w:val="-2"/>
              </w:rPr>
              <w:t>10-</w:t>
            </w:r>
            <w:r>
              <w:rPr>
                <w:rFonts w:ascii="Times New Roman" w:hAnsi="Times New Roman" w:eastAsia="Times New Roman" w:cs="Times New Roman"/>
                <w:spacing w:val="-20"/>
              </w:rPr>
              <w:t xml:space="preserve"> </w:t>
            </w:r>
            <w:r>
              <w:rPr>
                <w:rFonts w:ascii="Times New Roman" w:hAnsi="Times New Roman" w:eastAsia="Times New Roman" w:cs="Times New Roman"/>
                <w:spacing w:val="-2"/>
              </w:rPr>
              <w:t>15cm</w:t>
            </w:r>
            <w:r>
              <w:rPr>
                <w:spacing w:val="-2"/>
              </w:rPr>
              <w:t>设置负压收集装置，每条生产线设置</w:t>
            </w:r>
            <w:r>
              <w:rPr>
                <w:rFonts w:ascii="Times New Roman" w:hAnsi="Times New Roman" w:eastAsia="Times New Roman" w:cs="Times New Roman"/>
                <w:spacing w:val="-2"/>
              </w:rPr>
              <w:t>3</w:t>
            </w:r>
            <w:r>
              <w:rPr>
                <w:spacing w:val="-2"/>
              </w:rPr>
              <w:t>个集气罩，尺寸分别为</w:t>
            </w:r>
          </w:p>
          <w:p>
            <w:pPr>
              <w:pStyle w:val="TableText"/>
              <w:ind w:left="118" w:right="106" w:hanging="5"/>
              <w:spacing w:before="215" w:line="385" w:lineRule="auto"/>
              <w:rPr/>
            </w:pPr>
            <w:r>
              <w:rPr>
                <w:rFonts w:ascii="Times New Roman" w:hAnsi="Times New Roman" w:eastAsia="Times New Roman" w:cs="Times New Roman"/>
                <w:spacing w:val="-3"/>
              </w:rPr>
              <w:t>900mm</w:t>
            </w:r>
            <w:r>
              <w:rPr>
                <w:spacing w:val="-3"/>
              </w:rPr>
              <w:t>×</w:t>
            </w:r>
            <w:r>
              <w:rPr>
                <w:rFonts w:ascii="Times New Roman" w:hAnsi="Times New Roman" w:eastAsia="Times New Roman" w:cs="Times New Roman"/>
                <w:spacing w:val="-3"/>
              </w:rPr>
              <w:t>400mm</w:t>
            </w:r>
            <w:r>
              <w:rPr>
                <w:rFonts w:ascii="Times New Roman" w:hAnsi="Times New Roman" w:eastAsia="Times New Roman" w:cs="Times New Roman"/>
                <w:spacing w:val="-35"/>
              </w:rPr>
              <w:t xml:space="preserve"> </w:t>
            </w:r>
            <w:r>
              <w:rPr>
                <w:spacing w:val="-3"/>
              </w:rPr>
              <w:t>、</w:t>
            </w:r>
            <w:r>
              <w:rPr>
                <w:rFonts w:ascii="Times New Roman" w:hAnsi="Times New Roman" w:eastAsia="Times New Roman" w:cs="Times New Roman"/>
                <w:spacing w:val="-3"/>
              </w:rPr>
              <w:t>1250mm</w:t>
            </w:r>
            <w:r>
              <w:rPr>
                <w:spacing w:val="-3"/>
              </w:rPr>
              <w:t>×</w:t>
            </w:r>
            <w:r>
              <w:rPr>
                <w:rFonts w:ascii="Times New Roman" w:hAnsi="Times New Roman" w:eastAsia="Times New Roman" w:cs="Times New Roman"/>
                <w:spacing w:val="-3"/>
              </w:rPr>
              <w:t>700mm</w:t>
            </w:r>
            <w:r>
              <w:rPr>
                <w:rFonts w:ascii="Times New Roman" w:hAnsi="Times New Roman" w:eastAsia="Times New Roman" w:cs="Times New Roman"/>
                <w:spacing w:val="-33"/>
              </w:rPr>
              <w:t xml:space="preserve"> </w:t>
            </w:r>
            <w:r>
              <w:rPr>
                <w:spacing w:val="-3"/>
              </w:rPr>
              <w:t>、</w:t>
            </w:r>
            <w:r>
              <w:rPr>
                <w:rFonts w:ascii="Times New Roman" w:hAnsi="Times New Roman" w:eastAsia="Times New Roman" w:cs="Times New Roman"/>
                <w:spacing w:val="-3"/>
              </w:rPr>
              <w:t>600mm</w:t>
            </w:r>
            <w:r>
              <w:rPr>
                <w:spacing w:val="-3"/>
              </w:rPr>
              <w:t>×</w:t>
            </w:r>
            <w:r>
              <w:rPr>
                <w:rFonts w:ascii="Times New Roman" w:hAnsi="Times New Roman" w:eastAsia="Times New Roman" w:cs="Times New Roman"/>
                <w:spacing w:val="-3"/>
              </w:rPr>
              <w:t>4</w:t>
            </w:r>
            <w:r>
              <w:rPr>
                <w:rFonts w:ascii="Times New Roman" w:hAnsi="Times New Roman" w:eastAsia="Times New Roman" w:cs="Times New Roman"/>
                <w:spacing w:val="-4"/>
              </w:rPr>
              <w:t>00mm</w:t>
            </w:r>
            <w:r>
              <w:rPr>
                <w:rFonts w:ascii="Times New Roman" w:hAnsi="Times New Roman" w:eastAsia="Times New Roman" w:cs="Times New Roman"/>
                <w:spacing w:val="-30"/>
              </w:rPr>
              <w:t xml:space="preserve"> </w:t>
            </w:r>
            <w:r>
              <w:rPr>
                <w:spacing w:val="-4"/>
              </w:rPr>
              <w:t>，四周采用软质垂</w:t>
            </w:r>
            <w:r>
              <w:rPr/>
              <w:t xml:space="preserve"> </w:t>
            </w:r>
            <w:r>
              <w:rPr>
                <w:spacing w:val="-4"/>
              </w:rPr>
              <w:t>帘围挡，根据《广东省工业源挥发性有机物减排量核算方法》（试行）中</w:t>
            </w:r>
          </w:p>
          <w:p>
            <w:pPr>
              <w:pStyle w:val="TableText"/>
              <w:ind w:left="112"/>
              <w:spacing w:before="1" w:line="218" w:lineRule="auto"/>
              <w:rPr/>
            </w:pPr>
            <w:r>
              <w:rPr>
                <w:spacing w:val="-1"/>
              </w:rPr>
              <w:t>包围型集气设备，集气效率可达到</w:t>
            </w:r>
            <w:r>
              <w:rPr>
                <w:rFonts w:ascii="Times New Roman" w:hAnsi="Times New Roman" w:eastAsia="Times New Roman" w:cs="Times New Roman"/>
                <w:spacing w:val="-1"/>
              </w:rPr>
              <w:t>80%</w:t>
            </w:r>
            <w:r>
              <w:rPr>
                <w:rFonts w:ascii="Times New Roman" w:hAnsi="Times New Roman" w:eastAsia="Times New Roman" w:cs="Times New Roman"/>
                <w:spacing w:val="-28"/>
              </w:rPr>
              <w:t xml:space="preserve"> </w:t>
            </w:r>
            <w:r>
              <w:rPr>
                <w:spacing w:val="-1"/>
              </w:rPr>
              <w:t>。本项目按照</w:t>
            </w:r>
            <w:r>
              <w:rPr>
                <w:rFonts w:ascii="Times New Roman" w:hAnsi="Times New Roman" w:eastAsia="Times New Roman" w:cs="Times New Roman"/>
                <w:spacing w:val="-2"/>
              </w:rPr>
              <w:t>80%</w:t>
            </w:r>
            <w:r>
              <w:rPr>
                <w:spacing w:val="-2"/>
              </w:rPr>
              <w:t>集气效率计算。</w:t>
            </w:r>
          </w:p>
        </w:tc>
      </w:tr>
    </w:tbl>
    <w:p>
      <w:pPr>
        <w:pStyle w:val="BodyText"/>
        <w:rPr/>
      </w:pPr>
      <w:r/>
    </w:p>
    <w:p>
      <w:pPr>
        <w:sectPr>
          <w:footerReference w:type="default" r:id="rId202"/>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22"/>
        <w:gridCol w:w="7804"/>
      </w:tblGrid>
      <w:tr>
        <w:trPr>
          <w:trHeight w:val="13517" w:hRule="atLeast"/>
        </w:trPr>
        <w:tc>
          <w:tcPr>
            <w:tcW w:w="722" w:type="dxa"/>
            <w:vAlign w:val="top"/>
          </w:tcPr>
          <w:p>
            <w:pPr>
              <w:rPr>
                <w:rFonts w:ascii="Arial"/>
                <w:sz w:val="21"/>
              </w:rPr>
            </w:pPr>
            <w:r/>
          </w:p>
        </w:tc>
        <w:tc>
          <w:tcPr>
            <w:tcW w:w="7804" w:type="dxa"/>
            <w:vAlign w:val="top"/>
          </w:tcPr>
          <w:p>
            <w:pPr>
              <w:pStyle w:val="TableText"/>
              <w:ind w:left="590"/>
              <w:spacing w:before="200" w:line="217" w:lineRule="auto"/>
              <w:rPr/>
            </w:pPr>
            <w:r>
              <w:rPr>
                <w:spacing w:val="-2"/>
              </w:rPr>
              <w:t>③废气治理措施</w:t>
            </w:r>
          </w:p>
          <w:p>
            <w:pPr>
              <w:pStyle w:val="TableText"/>
              <w:ind w:left="111" w:right="1" w:firstLine="482"/>
              <w:spacing w:before="219" w:line="384" w:lineRule="auto"/>
              <w:rPr>
                <w:rFonts w:ascii="Times New Roman" w:hAnsi="Times New Roman" w:eastAsia="Times New Roman" w:cs="Times New Roman"/>
              </w:rPr>
            </w:pPr>
            <w:r>
              <w:rPr>
                <w:spacing w:val="-1"/>
              </w:rPr>
              <w:t>生产运营过程中废气经局部密闭式集气罩负压收集后排入挥发性有</w:t>
            </w:r>
            <w:r>
              <w:rPr>
                <w:spacing w:val="5"/>
              </w:rPr>
              <w:t xml:space="preserve">   </w:t>
            </w:r>
            <w:r>
              <w:rPr>
                <w:spacing w:val="-7"/>
              </w:rPr>
              <w:t>机废气处理装置处理，采取《排放源统计调查产排污核算方法和系</w:t>
            </w:r>
            <w:r>
              <w:rPr>
                <w:spacing w:val="-8"/>
              </w:rPr>
              <w:t>数手册》</w:t>
            </w:r>
            <w:r>
              <w:rPr/>
              <w:t xml:space="preserve"> </w:t>
            </w:r>
            <w:r>
              <w:rPr/>
              <w:t>（</w:t>
            </w:r>
            <w:r>
              <w:rPr>
                <w:rFonts w:ascii="Times New Roman" w:hAnsi="Times New Roman" w:eastAsia="Times New Roman" w:cs="Times New Roman"/>
              </w:rPr>
              <w:t>2021</w:t>
            </w:r>
            <w:r>
              <w:rPr/>
              <w:t>）中</w:t>
            </w:r>
            <w:r>
              <w:rPr>
                <w:rFonts w:ascii="Times New Roman" w:hAnsi="Times New Roman" w:eastAsia="Times New Roman" w:cs="Times New Roman"/>
              </w:rPr>
              <w:t>2921</w:t>
            </w:r>
            <w:r>
              <w:rPr/>
              <w:t>塑料薄膜制造行业系数表推荐 蓄</w:t>
            </w:r>
            <w:r>
              <w:rPr>
                <w:spacing w:val="-1"/>
              </w:rPr>
              <w:t>热式热力燃烧法中“活</w:t>
            </w:r>
            <w:r>
              <w:rPr/>
              <w:t xml:space="preserve">  </w:t>
            </w:r>
            <w:r>
              <w:rPr>
                <w:spacing w:val="-2"/>
              </w:rPr>
              <w:t>性炭吸附</w:t>
            </w:r>
            <w:r>
              <w:rPr>
                <w:rFonts w:ascii="Times New Roman" w:hAnsi="Times New Roman" w:eastAsia="Times New Roman" w:cs="Times New Roman"/>
                <w:spacing w:val="-2"/>
              </w:rPr>
              <w:t>+</w:t>
            </w:r>
            <w:r>
              <w:rPr>
                <w:spacing w:val="-2"/>
              </w:rPr>
              <w:t>直接催化燃烧法（</w:t>
            </w:r>
            <w:r>
              <w:rPr>
                <w:rFonts w:ascii="Times New Roman" w:hAnsi="Times New Roman" w:eastAsia="Times New Roman" w:cs="Times New Roman"/>
                <w:spacing w:val="-2"/>
              </w:rPr>
              <w:t>CO</w:t>
            </w:r>
            <w:r>
              <w:rPr>
                <w:spacing w:val="-2"/>
              </w:rPr>
              <w:t>）</w:t>
            </w:r>
            <w:r>
              <w:rPr>
                <w:spacing w:val="-89"/>
              </w:rPr>
              <w:t xml:space="preserve"> </w:t>
            </w:r>
            <w:r>
              <w:rPr>
                <w:spacing w:val="-2"/>
              </w:rPr>
              <w:t>”处理装置处理，最终废气经一根</w:t>
            </w:r>
            <w:r>
              <w:rPr>
                <w:rFonts w:ascii="Times New Roman" w:hAnsi="Times New Roman" w:eastAsia="Times New Roman" w:cs="Times New Roman"/>
                <w:spacing w:val="-2"/>
              </w:rPr>
              <w:t>15m</w:t>
            </w:r>
          </w:p>
          <w:p>
            <w:pPr>
              <w:pStyle w:val="TableText"/>
              <w:ind w:left="119"/>
              <w:spacing w:line="219" w:lineRule="auto"/>
              <w:rPr/>
            </w:pPr>
            <w:r>
              <w:rPr>
                <w:spacing w:val="-3"/>
              </w:rPr>
              <w:t>高排气筒排放。</w:t>
            </w:r>
          </w:p>
          <w:p>
            <w:pPr>
              <w:pStyle w:val="TableText"/>
              <w:ind w:left="111" w:right="106" w:firstLine="480"/>
              <w:spacing w:before="212" w:line="385" w:lineRule="auto"/>
              <w:rPr/>
            </w:pPr>
            <w:r>
              <w:rPr>
                <w:spacing w:val="-4"/>
              </w:rPr>
              <w:t>根据设备厂家提供废气处理装置设备说明，活性炭吸附净化装置处理</w:t>
            </w:r>
            <w:r>
              <w:rPr>
                <w:spacing w:val="18"/>
              </w:rPr>
              <w:t xml:space="preserve"> </w:t>
            </w:r>
            <w:r>
              <w:rPr>
                <w:spacing w:val="-1"/>
              </w:rPr>
              <w:t>废气量为</w:t>
            </w:r>
            <w:r>
              <w:rPr>
                <w:rFonts w:ascii="Times New Roman" w:hAnsi="Times New Roman" w:eastAsia="Times New Roman" w:cs="Times New Roman"/>
                <w:spacing w:val="-1"/>
              </w:rPr>
              <w:t>20000m</w:t>
            </w:r>
            <w:r>
              <w:rPr>
                <w:spacing w:val="-1"/>
              </w:rPr>
              <w:t>³</w:t>
            </w:r>
            <w:r>
              <w:rPr>
                <w:rFonts w:ascii="Times New Roman" w:hAnsi="Times New Roman" w:eastAsia="Times New Roman" w:cs="Times New Roman"/>
                <w:spacing w:val="-1"/>
              </w:rPr>
              <w:t>/h</w:t>
            </w:r>
            <w:r>
              <w:rPr>
                <w:rFonts w:ascii="Times New Roman" w:hAnsi="Times New Roman" w:eastAsia="Times New Roman" w:cs="Times New Roman"/>
                <w:spacing w:val="-31"/>
              </w:rPr>
              <w:t xml:space="preserve"> </w:t>
            </w:r>
            <w:r>
              <w:rPr>
                <w:spacing w:val="-1"/>
              </w:rPr>
              <w:t>，废气经活性炭吸附后干净废气排空，活性炭进</w:t>
            </w:r>
            <w:r>
              <w:rPr>
                <w:spacing w:val="-2"/>
              </w:rPr>
              <w:t>入直</w:t>
            </w:r>
            <w:r>
              <w:rPr/>
              <w:t xml:space="preserve"> </w:t>
            </w:r>
            <w:r>
              <w:rPr/>
              <w:t>接催化燃烧装置，电加热工作时间半小时，当催化床温</w:t>
            </w:r>
            <w:r>
              <w:rPr>
                <w:spacing w:val="-1"/>
              </w:rPr>
              <w:t>度达到</w:t>
            </w:r>
            <w:r>
              <w:rPr>
                <w:rFonts w:ascii="Times New Roman" w:hAnsi="Times New Roman" w:eastAsia="Times New Roman" w:cs="Times New Roman"/>
                <w:spacing w:val="-1"/>
              </w:rPr>
              <w:t>250</w:t>
            </w:r>
            <w:r>
              <w:rPr>
                <w:spacing w:val="-1"/>
              </w:rPr>
              <w:t>℃</w:t>
            </w:r>
            <w:r>
              <w:rPr>
                <w:rFonts w:ascii="Times New Roman" w:hAnsi="Times New Roman" w:eastAsia="Times New Roman" w:cs="Times New Roman"/>
                <w:spacing w:val="-1"/>
              </w:rPr>
              <w:t>-300</w:t>
            </w:r>
            <w:r>
              <w:rPr>
                <w:rFonts w:ascii="Times New Roman" w:hAnsi="Times New Roman" w:eastAsia="Times New Roman" w:cs="Times New Roman"/>
              </w:rPr>
              <w:t xml:space="preserve">  </w:t>
            </w:r>
            <w:r>
              <w:rPr>
                <w:spacing w:val="-3"/>
              </w:rPr>
              <w:t>℃时，催化燃烧床开始反应，利用废气反应产生的热空</w:t>
            </w:r>
            <w:r>
              <w:rPr>
                <w:spacing w:val="-4"/>
              </w:rPr>
              <w:t>气循环使用，此时</w:t>
            </w:r>
            <w:r>
              <w:rPr/>
              <w:t xml:space="preserve"> </w:t>
            </w:r>
            <w:r>
              <w:rPr/>
              <w:t>电加热停止，不需要外加热，单床脱附，脱附时间</w:t>
            </w:r>
            <w:r>
              <w:rPr>
                <w:spacing w:val="-1"/>
              </w:rPr>
              <w:t>为</w:t>
            </w:r>
            <w:r>
              <w:rPr>
                <w:rFonts w:ascii="Times New Roman" w:hAnsi="Times New Roman" w:eastAsia="Times New Roman" w:cs="Times New Roman"/>
                <w:spacing w:val="-1"/>
              </w:rPr>
              <w:t>4-5</w:t>
            </w:r>
            <w:r>
              <w:rPr>
                <w:spacing w:val="-1"/>
              </w:rPr>
              <w:t>小时，设定时间</w:t>
            </w:r>
            <w:r>
              <w:rPr/>
              <w:t xml:space="preserve"> </w:t>
            </w:r>
            <w:r>
              <w:rPr>
                <w:spacing w:val="-3"/>
              </w:rPr>
              <w:t>活性炭吸附床定时自动切换脱附，内部装填的蜂窝体贵金属催</w:t>
            </w:r>
            <w:r>
              <w:rPr>
                <w:spacing w:val="-4"/>
              </w:rPr>
              <w:t>化剂使用寿</w:t>
            </w:r>
            <w:r>
              <w:rPr/>
              <w:t xml:space="preserve"> </w:t>
            </w:r>
            <w:r>
              <w:rPr>
                <w:spacing w:val="-1"/>
              </w:rPr>
              <w:t>命为</w:t>
            </w:r>
            <w:r>
              <w:rPr>
                <w:rFonts w:ascii="Times New Roman" w:hAnsi="Times New Roman" w:eastAsia="Times New Roman" w:cs="Times New Roman"/>
                <w:spacing w:val="-1"/>
              </w:rPr>
              <w:t>10000</w:t>
            </w:r>
            <w:r>
              <w:rPr>
                <w:spacing w:val="-1"/>
              </w:rPr>
              <w:t>小时。催化燃烧装置废气量为</w:t>
            </w:r>
            <w:r>
              <w:rPr>
                <w:rFonts w:ascii="Times New Roman" w:hAnsi="Times New Roman" w:eastAsia="Times New Roman" w:cs="Times New Roman"/>
                <w:spacing w:val="-1"/>
              </w:rPr>
              <w:t>2000m</w:t>
            </w:r>
            <w:r>
              <w:rPr>
                <w:spacing w:val="-1"/>
              </w:rPr>
              <w:t>³</w:t>
            </w:r>
            <w:r>
              <w:rPr>
                <w:rFonts w:ascii="Times New Roman" w:hAnsi="Times New Roman" w:eastAsia="Times New Roman" w:cs="Times New Roman"/>
                <w:spacing w:val="-1"/>
              </w:rPr>
              <w:t>/h</w:t>
            </w:r>
            <w:r>
              <w:rPr>
                <w:rFonts w:ascii="Times New Roman" w:hAnsi="Times New Roman" w:eastAsia="Times New Roman" w:cs="Times New Roman"/>
                <w:spacing w:val="-31"/>
              </w:rPr>
              <w:t xml:space="preserve"> </w:t>
            </w:r>
            <w:r>
              <w:rPr>
                <w:spacing w:val="-1"/>
              </w:rPr>
              <w:t>，则项目废气处理装置</w:t>
            </w:r>
          </w:p>
          <w:p>
            <w:pPr>
              <w:pStyle w:val="TableText"/>
              <w:ind w:left="111"/>
              <w:spacing w:line="220" w:lineRule="auto"/>
              <w:rPr/>
            </w:pPr>
            <w:r>
              <w:rPr>
                <w:spacing w:val="-1"/>
              </w:rPr>
              <w:t>废气风量为</w:t>
            </w:r>
            <w:r>
              <w:rPr>
                <w:rFonts w:ascii="Times New Roman" w:hAnsi="Times New Roman" w:eastAsia="Times New Roman" w:cs="Times New Roman"/>
                <w:spacing w:val="-1"/>
              </w:rPr>
              <w:t>22000m</w:t>
            </w:r>
            <w:r>
              <w:rPr>
                <w:spacing w:val="-1"/>
              </w:rPr>
              <w:t>³</w:t>
            </w:r>
            <w:r>
              <w:rPr>
                <w:rFonts w:ascii="Times New Roman" w:hAnsi="Times New Roman" w:eastAsia="Times New Roman" w:cs="Times New Roman"/>
                <w:spacing w:val="-1"/>
              </w:rPr>
              <w:t>/h</w:t>
            </w:r>
            <w:r>
              <w:rPr>
                <w:spacing w:val="-1"/>
              </w:rPr>
              <w:t>。</w:t>
            </w:r>
          </w:p>
          <w:p>
            <w:pPr>
              <w:pStyle w:val="TableText"/>
              <w:ind w:left="595"/>
              <w:spacing w:before="212" w:line="219" w:lineRule="auto"/>
              <w:rPr/>
            </w:pPr>
            <w:r>
              <w:rPr>
                <w:spacing w:val="-1"/>
              </w:rPr>
              <w:t>为确保有机废气能够得到高效的治理，抽风管风速应不低于</w:t>
            </w:r>
          </w:p>
          <w:p>
            <w:pPr>
              <w:pStyle w:val="TableText"/>
              <w:ind w:left="131"/>
              <w:spacing w:before="217" w:line="499" w:lineRule="exact"/>
              <w:rPr/>
            </w:pPr>
            <w:r>
              <w:rPr>
                <w:rFonts w:ascii="Times New Roman" w:hAnsi="Times New Roman" w:eastAsia="Times New Roman" w:cs="Times New Roman"/>
                <w:spacing w:val="-2"/>
                <w:position w:val="19"/>
              </w:rPr>
              <w:t>15-20m/s</w:t>
            </w:r>
            <w:r>
              <w:rPr>
                <w:rFonts w:ascii="Times New Roman" w:hAnsi="Times New Roman" w:eastAsia="Times New Roman" w:cs="Times New Roman"/>
                <w:spacing w:val="-15"/>
                <w:position w:val="19"/>
              </w:rPr>
              <w:t xml:space="preserve"> </w:t>
            </w:r>
            <w:r>
              <w:rPr>
                <w:spacing w:val="-2"/>
                <w:position w:val="19"/>
              </w:rPr>
              <w:t>，距离集气罩开口面最远处的</w:t>
            </w:r>
            <w:r>
              <w:rPr>
                <w:rFonts w:ascii="Times New Roman" w:hAnsi="Times New Roman" w:eastAsia="Times New Roman" w:cs="Times New Roman"/>
                <w:spacing w:val="-2"/>
                <w:position w:val="19"/>
              </w:rPr>
              <w:t>VOCs</w:t>
            </w:r>
            <w:r>
              <w:rPr>
                <w:spacing w:val="-2"/>
                <w:position w:val="19"/>
              </w:rPr>
              <w:t>无组织排放位置风速不低于</w:t>
            </w:r>
          </w:p>
          <w:p>
            <w:pPr>
              <w:pStyle w:val="TableText"/>
              <w:ind w:left="112"/>
              <w:spacing w:before="1" w:line="219" w:lineRule="auto"/>
              <w:rPr/>
            </w:pPr>
            <w:r>
              <w:rPr>
                <w:rFonts w:ascii="Times New Roman" w:hAnsi="Times New Roman" w:eastAsia="Times New Roman" w:cs="Times New Roman"/>
                <w:spacing w:val="-2"/>
              </w:rPr>
              <w:t>0.3m/s</w:t>
            </w:r>
            <w:r>
              <w:rPr>
                <w:rFonts w:ascii="Times New Roman" w:hAnsi="Times New Roman" w:eastAsia="Times New Roman" w:cs="Times New Roman"/>
                <w:spacing w:val="-33"/>
              </w:rPr>
              <w:t xml:space="preserve"> </w:t>
            </w:r>
            <w:r>
              <w:rPr>
                <w:spacing w:val="-2"/>
              </w:rPr>
              <w:t>，排风管直径须在</w:t>
            </w:r>
            <w:r>
              <w:rPr>
                <w:rFonts w:ascii="Times New Roman" w:hAnsi="Times New Roman" w:eastAsia="Times New Roman" w:cs="Times New Roman"/>
                <w:spacing w:val="-2"/>
              </w:rPr>
              <w:t>150mm</w:t>
            </w:r>
            <w:r>
              <w:rPr>
                <w:rFonts w:ascii="Times New Roman" w:hAnsi="Times New Roman" w:eastAsia="Times New Roman" w:cs="Times New Roman"/>
                <w:spacing w:val="-30"/>
              </w:rPr>
              <w:t xml:space="preserve"> </w:t>
            </w:r>
            <w:r>
              <w:rPr>
                <w:spacing w:val="-2"/>
              </w:rPr>
              <w:t>，</w:t>
            </w:r>
            <w:r>
              <w:rPr>
                <w:spacing w:val="-3"/>
              </w:rPr>
              <w:t>共设置</w:t>
            </w:r>
            <w:r>
              <w:rPr>
                <w:rFonts w:ascii="Times New Roman" w:hAnsi="Times New Roman" w:eastAsia="Times New Roman" w:cs="Times New Roman"/>
                <w:spacing w:val="-3"/>
              </w:rPr>
              <w:t>6</w:t>
            </w:r>
            <w:r>
              <w:rPr>
                <w:spacing w:val="-3"/>
              </w:rPr>
              <w:t>个集气罩。</w:t>
            </w:r>
          </w:p>
          <w:p>
            <w:pPr>
              <w:pStyle w:val="TableText"/>
              <w:ind w:left="590"/>
              <w:spacing w:before="214" w:line="217" w:lineRule="auto"/>
              <w:rPr/>
            </w:pPr>
            <w:r>
              <w:rPr>
                <w:spacing w:val="-1"/>
              </w:rPr>
              <w:t>④废气处理装置净化效率选取依据</w:t>
            </w:r>
          </w:p>
          <w:p>
            <w:pPr>
              <w:pStyle w:val="TableText"/>
              <w:ind w:left="117" w:right="106" w:firstLine="477"/>
              <w:spacing w:before="219" w:line="384" w:lineRule="auto"/>
              <w:rPr/>
            </w:pPr>
            <w:r>
              <w:rPr>
                <w:spacing w:val="-3"/>
              </w:rPr>
              <w:t>参照《排放源统计调查产排污核算方法和系数手册》（</w:t>
            </w:r>
            <w:r>
              <w:rPr>
                <w:rFonts w:ascii="Times New Roman" w:hAnsi="Times New Roman" w:eastAsia="Times New Roman" w:cs="Times New Roman"/>
                <w:spacing w:val="-3"/>
              </w:rPr>
              <w:t>2021</w:t>
            </w:r>
            <w:r>
              <w:rPr>
                <w:spacing w:val="-3"/>
              </w:rPr>
              <w:t>）中</w:t>
            </w:r>
            <w:r>
              <w:rPr>
                <w:rFonts w:ascii="Times New Roman" w:hAnsi="Times New Roman" w:eastAsia="Times New Roman" w:cs="Times New Roman"/>
                <w:spacing w:val="-3"/>
              </w:rPr>
              <w:t>29</w:t>
            </w:r>
            <w:r>
              <w:rPr>
                <w:rFonts w:ascii="Times New Roman" w:hAnsi="Times New Roman" w:eastAsia="Times New Roman" w:cs="Times New Roman"/>
                <w:spacing w:val="-4"/>
              </w:rPr>
              <w:t>21</w:t>
            </w:r>
            <w:r>
              <w:rPr>
                <w:rFonts w:ascii="Times New Roman" w:hAnsi="Times New Roman" w:eastAsia="Times New Roman" w:cs="Times New Roman"/>
              </w:rPr>
              <w:t xml:space="preserve"> </w:t>
            </w:r>
            <w:r>
              <w:rPr>
                <w:spacing w:val="-3"/>
              </w:rPr>
              <w:t>塑料薄膜制造行业系数表，“活性炭吸附</w:t>
            </w:r>
            <w:r>
              <w:rPr>
                <w:rFonts w:ascii="Times New Roman" w:hAnsi="Times New Roman" w:eastAsia="Times New Roman" w:cs="Times New Roman"/>
                <w:spacing w:val="-3"/>
              </w:rPr>
              <w:t>+</w:t>
            </w:r>
            <w:r>
              <w:rPr>
                <w:spacing w:val="-3"/>
              </w:rPr>
              <w:t>直接催化燃烧法（</w:t>
            </w:r>
            <w:r>
              <w:rPr>
                <w:rFonts w:ascii="Times New Roman" w:hAnsi="Times New Roman" w:eastAsia="Times New Roman" w:cs="Times New Roman"/>
                <w:spacing w:val="-3"/>
              </w:rPr>
              <w:t>CO</w:t>
            </w:r>
            <w:r>
              <w:rPr>
                <w:spacing w:val="-3"/>
              </w:rPr>
              <w:t>）”效率</w:t>
            </w:r>
          </w:p>
          <w:p>
            <w:pPr>
              <w:pStyle w:val="TableText"/>
              <w:ind w:left="115"/>
              <w:spacing w:before="1" w:line="218" w:lineRule="auto"/>
              <w:rPr/>
            </w:pPr>
            <w:r>
              <w:rPr>
                <w:spacing w:val="-2"/>
              </w:rPr>
              <w:t>为</w:t>
            </w:r>
            <w:r>
              <w:rPr>
                <w:rFonts w:ascii="Times New Roman" w:hAnsi="Times New Roman" w:eastAsia="Times New Roman" w:cs="Times New Roman"/>
                <w:spacing w:val="-2"/>
              </w:rPr>
              <w:t>85%</w:t>
            </w:r>
            <w:r>
              <w:rPr>
                <w:rFonts w:ascii="Times New Roman" w:hAnsi="Times New Roman" w:eastAsia="Times New Roman" w:cs="Times New Roman"/>
                <w:spacing w:val="-27"/>
              </w:rPr>
              <w:t xml:space="preserve"> </w:t>
            </w:r>
            <w:r>
              <w:rPr>
                <w:spacing w:val="-2"/>
              </w:rPr>
              <w:t>。本项目参照</w:t>
            </w:r>
            <w:r>
              <w:rPr>
                <w:rFonts w:ascii="Times New Roman" w:hAnsi="Times New Roman" w:eastAsia="Times New Roman" w:cs="Times New Roman"/>
                <w:spacing w:val="-2"/>
              </w:rPr>
              <w:t>85%</w:t>
            </w:r>
            <w:r>
              <w:rPr>
                <w:spacing w:val="-2"/>
              </w:rPr>
              <w:t>净化效率进行结果计算。</w:t>
            </w:r>
          </w:p>
          <w:p>
            <w:pPr>
              <w:pStyle w:val="TableText"/>
              <w:ind w:left="112" w:right="106" w:firstLine="483"/>
              <w:spacing w:before="216" w:line="385" w:lineRule="auto"/>
              <w:rPr/>
            </w:pPr>
            <w:r>
              <w:rPr>
                <w:spacing w:val="-4"/>
              </w:rPr>
              <w:t>该处理装置除净化有机废气外，对项目生产过程产生的臭气浓度和恶</w:t>
            </w:r>
            <w:r>
              <w:rPr>
                <w:spacing w:val="14"/>
              </w:rPr>
              <w:t xml:space="preserve"> </w:t>
            </w:r>
            <w:r>
              <w:rPr>
                <w:spacing w:val="-3"/>
              </w:rPr>
              <w:t>臭特征污染物（主要为氨和硫化氢）具有净化效果，臭气浓</w:t>
            </w:r>
            <w:r>
              <w:rPr>
                <w:spacing w:val="-4"/>
              </w:rPr>
              <w:t>度和恶臭特征</w:t>
            </w:r>
            <w:r>
              <w:rPr/>
              <w:t xml:space="preserve"> </w:t>
            </w:r>
            <w:r>
              <w:rPr>
                <w:spacing w:val="2"/>
              </w:rPr>
              <w:t>污染物经净化处理后</w:t>
            </w:r>
            <w:r>
              <w:rPr>
                <w:rFonts w:ascii="Times New Roman" w:hAnsi="Times New Roman" w:eastAsia="Times New Roman" w:cs="Times New Roman"/>
                <w:spacing w:val="2"/>
              </w:rPr>
              <w:t>,</w:t>
            </w:r>
            <w:r>
              <w:rPr>
                <w:spacing w:val="2"/>
              </w:rPr>
              <w:t>对周边环境影响更小。因此，臭气浓度和恶臭污染</w:t>
            </w:r>
          </w:p>
          <w:p>
            <w:pPr>
              <w:pStyle w:val="TableText"/>
              <w:ind w:left="112"/>
              <w:spacing w:line="219" w:lineRule="auto"/>
              <w:rPr/>
            </w:pPr>
            <w:r>
              <w:rPr>
                <w:spacing w:val="-1"/>
              </w:rPr>
              <w:t>物产生量以定性分析，不进行量化计算。</w:t>
            </w:r>
          </w:p>
          <w:p>
            <w:pPr>
              <w:pStyle w:val="TableText"/>
              <w:ind w:left="590"/>
              <w:spacing w:before="215" w:line="217" w:lineRule="auto"/>
              <w:rPr/>
            </w:pPr>
            <w:r>
              <w:rPr>
                <w:spacing w:val="-1"/>
              </w:rPr>
              <w:t>⑤废气产生及排放量核算</w:t>
            </w:r>
          </w:p>
          <w:p>
            <w:pPr>
              <w:pStyle w:val="TableText"/>
              <w:ind w:left="593"/>
              <w:spacing w:before="217" w:line="219" w:lineRule="auto"/>
              <w:rPr/>
            </w:pPr>
            <w:r>
              <w:rPr>
                <w:spacing w:val="-1"/>
              </w:rPr>
              <w:t>有组织废气风量为</w:t>
            </w:r>
            <w:r>
              <w:rPr>
                <w:rFonts w:ascii="Times New Roman" w:hAnsi="Times New Roman" w:eastAsia="Times New Roman" w:cs="Times New Roman"/>
                <w:spacing w:val="-1"/>
              </w:rPr>
              <w:t>22000Nm</w:t>
            </w:r>
            <w:r>
              <w:rPr>
                <w:spacing w:val="-1"/>
              </w:rPr>
              <w:t>³</w:t>
            </w:r>
            <w:r>
              <w:rPr>
                <w:rFonts w:ascii="Times New Roman" w:hAnsi="Times New Roman" w:eastAsia="Times New Roman" w:cs="Times New Roman"/>
                <w:spacing w:val="-1"/>
              </w:rPr>
              <w:t>/h</w:t>
            </w:r>
            <w:r>
              <w:rPr>
                <w:spacing w:val="-1"/>
              </w:rPr>
              <w:t>，有组织非甲烷总烃产生量为</w:t>
            </w:r>
            <w:r>
              <w:rPr>
                <w:rFonts w:ascii="Times New Roman" w:hAnsi="Times New Roman" w:eastAsia="Times New Roman" w:cs="Times New Roman"/>
                <w:spacing w:val="-1"/>
              </w:rPr>
              <w:t>1t/</w:t>
            </w:r>
            <w:r>
              <w:rPr>
                <w:rFonts w:ascii="Times New Roman" w:hAnsi="Times New Roman" w:eastAsia="Times New Roman" w:cs="Times New Roman"/>
                <w:spacing w:val="-2"/>
              </w:rPr>
              <w:t>a</w:t>
            </w:r>
            <w:r>
              <w:rPr>
                <w:spacing w:val="-2"/>
              </w:rPr>
              <w:t>，产</w:t>
            </w:r>
          </w:p>
        </w:tc>
      </w:tr>
    </w:tbl>
    <w:p>
      <w:pPr>
        <w:pStyle w:val="BodyText"/>
        <w:rPr/>
      </w:pPr>
      <w:r/>
    </w:p>
    <w:p>
      <w:pPr>
        <w:sectPr>
          <w:footerReference w:type="default" r:id="rId204"/>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22"/>
        <w:gridCol w:w="7804"/>
      </w:tblGrid>
      <w:tr>
        <w:trPr>
          <w:trHeight w:val="13779" w:hRule="atLeast"/>
        </w:trPr>
        <w:tc>
          <w:tcPr>
            <w:tcW w:w="722" w:type="dxa"/>
            <w:vAlign w:val="top"/>
          </w:tcPr>
          <w:p>
            <w:pPr>
              <w:rPr>
                <w:rFonts w:ascii="Arial"/>
                <w:sz w:val="21"/>
              </w:rPr>
            </w:pPr>
            <w:r/>
          </w:p>
        </w:tc>
        <w:tc>
          <w:tcPr>
            <w:tcW w:w="7804" w:type="dxa"/>
            <w:vAlign w:val="top"/>
          </w:tcPr>
          <w:p>
            <w:pPr>
              <w:pStyle w:val="TableText"/>
              <w:ind w:left="111" w:right="7" w:firstLine="2"/>
              <w:spacing w:before="198" w:line="385" w:lineRule="auto"/>
              <w:jc w:val="both"/>
              <w:rPr/>
            </w:pPr>
            <w:r>
              <w:rPr>
                <w:spacing w:val="-3"/>
              </w:rPr>
              <w:t>生速率为</w:t>
            </w:r>
            <w:r>
              <w:rPr>
                <w:rFonts w:ascii="Times New Roman" w:hAnsi="Times New Roman" w:eastAsia="Times New Roman" w:cs="Times New Roman"/>
                <w:spacing w:val="-3"/>
              </w:rPr>
              <w:t>0.69kg/h</w:t>
            </w:r>
            <w:r>
              <w:rPr>
                <w:rFonts w:ascii="Times New Roman" w:hAnsi="Times New Roman" w:eastAsia="Times New Roman" w:cs="Times New Roman"/>
                <w:spacing w:val="-28"/>
              </w:rPr>
              <w:t xml:space="preserve"> </w:t>
            </w:r>
            <w:r>
              <w:rPr>
                <w:spacing w:val="-3"/>
              </w:rPr>
              <w:t>，产生浓度为</w:t>
            </w:r>
            <w:r>
              <w:rPr>
                <w:rFonts w:ascii="Times New Roman" w:hAnsi="Times New Roman" w:eastAsia="Times New Roman" w:cs="Times New Roman"/>
                <w:spacing w:val="-3"/>
              </w:rPr>
              <w:t>31.57mg/Nm</w:t>
            </w:r>
            <w:r>
              <w:rPr>
                <w:spacing w:val="-3"/>
              </w:rPr>
              <w:t>³;</w:t>
            </w:r>
            <w:r>
              <w:rPr>
                <w:spacing w:val="67"/>
              </w:rPr>
              <w:t xml:space="preserve"> </w:t>
            </w:r>
            <w:r>
              <w:rPr>
                <w:spacing w:val="-3"/>
              </w:rPr>
              <w:t>经处</w:t>
            </w:r>
            <w:r>
              <w:rPr>
                <w:spacing w:val="-4"/>
              </w:rPr>
              <w:t>理后排放量为</w:t>
            </w:r>
            <w:r>
              <w:rPr>
                <w:rFonts w:ascii="Times New Roman" w:hAnsi="Times New Roman" w:eastAsia="Times New Roman" w:cs="Times New Roman"/>
                <w:spacing w:val="-4"/>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15t/a</w:t>
            </w:r>
            <w:r>
              <w:rPr>
                <w:spacing w:val="-4"/>
              </w:rPr>
              <w:t>，</w:t>
            </w:r>
            <w:r>
              <w:rPr/>
              <w:t xml:space="preserve"> </w:t>
            </w:r>
            <w:r>
              <w:rPr>
                <w:spacing w:val="-1"/>
              </w:rPr>
              <w:t>排放速率为</w:t>
            </w:r>
            <w:r>
              <w:rPr>
                <w:rFonts w:ascii="Times New Roman" w:hAnsi="Times New Roman" w:eastAsia="Times New Roman" w:cs="Times New Roman"/>
                <w:spacing w:val="-1"/>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1"/>
              </w:rPr>
              <w:t>104kg/h</w:t>
            </w:r>
            <w:r>
              <w:rPr>
                <w:rFonts w:ascii="Times New Roman" w:hAnsi="Times New Roman" w:eastAsia="Times New Roman" w:cs="Times New Roman"/>
                <w:spacing w:val="-26"/>
              </w:rPr>
              <w:t xml:space="preserve"> </w:t>
            </w:r>
            <w:r>
              <w:rPr>
                <w:spacing w:val="-1"/>
              </w:rPr>
              <w:t>，排放浓度为</w:t>
            </w:r>
            <w:r>
              <w:rPr>
                <w:rFonts w:ascii="Times New Roman" w:hAnsi="Times New Roman" w:eastAsia="Times New Roman" w:cs="Times New Roman"/>
                <w:spacing w:val="-1"/>
              </w:rPr>
              <w:t>4.73mg/Nm</w:t>
            </w:r>
            <w:r>
              <w:rPr>
                <w:spacing w:val="-1"/>
              </w:rPr>
              <w:t>³</w:t>
            </w:r>
            <w:r>
              <w:rPr>
                <w:spacing w:val="-82"/>
              </w:rPr>
              <w:t xml:space="preserve"> </w:t>
            </w:r>
            <w:r>
              <w:rPr>
                <w:spacing w:val="-1"/>
              </w:rPr>
              <w:t>。本项目有组织挥发性有 </w:t>
            </w:r>
            <w:r>
              <w:rPr>
                <w:spacing w:val="-1"/>
              </w:rPr>
              <w:t>机废气排放浓度满足《合成树脂工业污染物排放</w:t>
            </w:r>
            <w:r>
              <w:rPr>
                <w:spacing w:val="-2"/>
              </w:rPr>
              <w:t>标准》（</w:t>
            </w:r>
            <w:r>
              <w:rPr>
                <w:rFonts w:ascii="Times New Roman" w:hAnsi="Times New Roman" w:eastAsia="Times New Roman" w:cs="Times New Roman"/>
                <w:spacing w:val="-2"/>
              </w:rPr>
              <w:t>GB31572-2015</w:t>
            </w:r>
            <w:r>
              <w:rPr>
                <w:spacing w:val="-2"/>
              </w:rPr>
              <w:t>）</w:t>
            </w:r>
          </w:p>
          <w:p>
            <w:pPr>
              <w:pStyle w:val="TableText"/>
              <w:ind w:left="135"/>
              <w:spacing w:line="210" w:lineRule="auto"/>
              <w:rPr/>
            </w:pPr>
            <w:r>
              <w:rPr>
                <w:spacing w:val="-1"/>
              </w:rPr>
              <w:t>中表</w:t>
            </w:r>
            <w:r>
              <w:rPr>
                <w:rFonts w:ascii="Times New Roman" w:hAnsi="Times New Roman" w:eastAsia="Times New Roman" w:cs="Times New Roman"/>
                <w:spacing w:val="-1"/>
              </w:rPr>
              <w:t>5</w:t>
            </w:r>
            <w:r>
              <w:rPr>
                <w:spacing w:val="-1"/>
              </w:rPr>
              <w:t>大气污染物特别排放限值要求（浓度</w:t>
            </w:r>
            <w:r>
              <w:rPr>
                <w:rFonts w:ascii="Times New Roman" w:hAnsi="Times New Roman" w:eastAsia="Times New Roman" w:cs="Times New Roman"/>
                <w:spacing w:val="-1"/>
              </w:rPr>
              <w:t>60mg/</w:t>
            </w:r>
            <w:r>
              <w:rPr>
                <w:rFonts w:ascii="Times New Roman" w:hAnsi="Times New Roman" w:eastAsia="Times New Roman" w:cs="Times New Roman"/>
                <w:spacing w:val="-2"/>
              </w:rPr>
              <w:t>m</w:t>
            </w:r>
            <w:r>
              <w:rPr>
                <w:spacing w:val="-2"/>
              </w:rPr>
              <w:t>³) 。</w:t>
            </w:r>
          </w:p>
          <w:p>
            <w:pPr>
              <w:pStyle w:val="TableText"/>
              <w:ind w:left="590"/>
              <w:spacing w:before="226" w:line="217" w:lineRule="auto"/>
              <w:rPr/>
            </w:pPr>
            <w:r>
              <w:rPr>
                <w:spacing w:val="-1"/>
              </w:rPr>
              <w:t>⑥满足单位产品非甲烷总烃排放量限值</w:t>
            </w:r>
          </w:p>
          <w:p>
            <w:pPr>
              <w:pStyle w:val="TableText"/>
              <w:ind w:left="114" w:right="45" w:firstLine="478"/>
              <w:spacing w:before="215" w:line="385" w:lineRule="auto"/>
              <w:rPr/>
            </w:pPr>
            <w:r>
              <w:rPr>
                <w:spacing w:val="-4"/>
              </w:rPr>
              <w:t>根据本项目污染物排放量核算，本项目有组织废气非甲烷总烃排放量</w:t>
            </w:r>
            <w:r>
              <w:rPr>
                <w:spacing w:val="18"/>
              </w:rPr>
              <w:t xml:space="preserve"> </w:t>
            </w:r>
            <w:r>
              <w:rPr>
                <w:spacing w:val="-7"/>
              </w:rPr>
              <w:t>为</w:t>
            </w:r>
            <w:r>
              <w:rPr>
                <w:rFonts w:ascii="Times New Roman" w:hAnsi="Times New Roman" w:eastAsia="Times New Roman" w:cs="Times New Roman"/>
                <w:spacing w:val="-7"/>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7"/>
              </w:rPr>
              <w:t>15t/a</w:t>
            </w:r>
            <w:r>
              <w:rPr>
                <w:spacing w:val="-7"/>
              </w:rPr>
              <w:t>，项目年产</w:t>
            </w:r>
            <w:r>
              <w:rPr>
                <w:rFonts w:ascii="Times New Roman" w:hAnsi="Times New Roman" w:eastAsia="Times New Roman" w:cs="Times New Roman"/>
                <w:spacing w:val="-7"/>
              </w:rPr>
              <w:t>500t/a</w:t>
            </w:r>
            <w:r>
              <w:rPr>
                <w:spacing w:val="-7"/>
              </w:rPr>
              <w:t>农用地膜，单位产品非甲烷总烃排放量</w:t>
            </w:r>
            <w:r>
              <w:rPr>
                <w:spacing w:val="-8"/>
              </w:rPr>
              <w:t>为</w:t>
            </w:r>
            <w:r>
              <w:rPr>
                <w:rFonts w:ascii="Times New Roman" w:hAnsi="Times New Roman" w:eastAsia="Times New Roman" w:cs="Times New Roman"/>
                <w:spacing w:val="-8"/>
              </w:rPr>
              <w:t>0.3kg/t</w:t>
            </w:r>
            <w:r>
              <w:rPr>
                <w:spacing w:val="-8"/>
              </w:rPr>
              <w:t>，</w:t>
            </w:r>
            <w:r>
              <w:rPr/>
              <w:t xml:space="preserve"> </w:t>
            </w:r>
            <w:r>
              <w:rPr>
                <w:spacing w:val="-1"/>
              </w:rPr>
              <w:t>可满足《合成树脂工业污染物排放标准》（</w:t>
            </w:r>
            <w:r>
              <w:rPr>
                <w:rFonts w:ascii="Times New Roman" w:hAnsi="Times New Roman" w:eastAsia="Times New Roman" w:cs="Times New Roman"/>
                <w:spacing w:val="-1"/>
              </w:rPr>
              <w:t>GB31572-2015</w:t>
            </w:r>
            <w:r>
              <w:rPr>
                <w:spacing w:val="-1"/>
              </w:rPr>
              <w:t>）中表</w:t>
            </w:r>
            <w:r>
              <w:rPr>
                <w:rFonts w:ascii="Times New Roman" w:hAnsi="Times New Roman" w:eastAsia="Times New Roman" w:cs="Times New Roman"/>
                <w:spacing w:val="-1"/>
              </w:rPr>
              <w:t>5</w:t>
            </w:r>
            <w:r>
              <w:rPr>
                <w:spacing w:val="-1"/>
              </w:rPr>
              <w:t>单位产</w:t>
            </w:r>
          </w:p>
          <w:p>
            <w:pPr>
              <w:pStyle w:val="TableText"/>
              <w:ind w:left="132"/>
              <w:spacing w:line="212" w:lineRule="auto"/>
              <w:rPr/>
            </w:pPr>
            <w:r>
              <w:rPr>
                <w:spacing w:val="-2"/>
              </w:rPr>
              <w:t>品非甲烷总烃排放量限值要求（浓度</w:t>
            </w:r>
            <w:r>
              <w:rPr>
                <w:rFonts w:ascii="Times New Roman" w:hAnsi="Times New Roman" w:eastAsia="Times New Roman" w:cs="Times New Roman"/>
                <w:spacing w:val="-2"/>
              </w:rPr>
              <w:t>0.3kg/t</w:t>
            </w:r>
            <w:r>
              <w:rPr>
                <w:spacing w:val="-2"/>
              </w:rPr>
              <w:t>）。</w:t>
            </w:r>
          </w:p>
          <w:p>
            <w:pPr>
              <w:pStyle w:val="TableText"/>
              <w:ind w:left="111" w:right="106" w:firstLine="483"/>
              <w:spacing w:before="228" w:line="384" w:lineRule="auto"/>
              <w:rPr/>
            </w:pPr>
            <w:r>
              <w:rPr>
                <w:spacing w:val="-2"/>
              </w:rPr>
              <w:t>厂界无组织非甲烷总烃废气排放总量为</w:t>
            </w:r>
            <w:r>
              <w:rPr>
                <w:rFonts w:ascii="Times New Roman" w:hAnsi="Times New Roman" w:eastAsia="Times New Roman" w:cs="Times New Roman"/>
                <w:spacing w:val="-2"/>
              </w:rPr>
              <w:t>0.25t/a</w:t>
            </w:r>
            <w:r>
              <w:rPr>
                <w:spacing w:val="-2"/>
              </w:rPr>
              <w:t>，</w:t>
            </w:r>
            <w:r>
              <w:rPr>
                <w:rFonts w:ascii="Times New Roman" w:hAnsi="Times New Roman" w:eastAsia="Times New Roman" w:cs="Times New Roman"/>
                <w:spacing w:val="-2"/>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174kg/h</w:t>
            </w:r>
            <w:r>
              <w:rPr>
                <w:spacing w:val="-2"/>
              </w:rPr>
              <w:t>。无组</w:t>
            </w:r>
            <w:r>
              <w:rPr>
                <w:spacing w:val="-3"/>
              </w:rPr>
              <w:t>织有</w:t>
            </w:r>
            <w:r>
              <w:rPr/>
              <w:t xml:space="preserve"> </w:t>
            </w:r>
            <w:r>
              <w:rPr>
                <w:spacing w:val="-3"/>
              </w:rPr>
              <w:t>机废气排放量较少，运营生产期间车间关闭门窗，增大了局部</w:t>
            </w:r>
            <w:r>
              <w:rPr>
                <w:spacing w:val="-4"/>
              </w:rPr>
              <w:t>密闭式集气</w:t>
            </w:r>
            <w:r>
              <w:rPr/>
              <w:t xml:space="preserve"> </w:t>
            </w:r>
            <w:r>
              <w:rPr>
                <w:spacing w:val="-3"/>
              </w:rPr>
              <w:t>罩收集效率，减少无组织废气排放。项目区厂界非甲烷</w:t>
            </w:r>
            <w:r>
              <w:rPr>
                <w:spacing w:val="-4"/>
              </w:rPr>
              <w:t>总烃废气执行《合</w:t>
            </w:r>
            <w:r>
              <w:rPr/>
              <w:t xml:space="preserve"> </w:t>
            </w:r>
            <w:r>
              <w:rPr>
                <w:spacing w:val="-1"/>
              </w:rPr>
              <w:t>成树脂工业污染物排放标准》（</w:t>
            </w:r>
            <w:r>
              <w:rPr>
                <w:rFonts w:ascii="Times New Roman" w:hAnsi="Times New Roman" w:eastAsia="Times New Roman" w:cs="Times New Roman"/>
                <w:spacing w:val="-1"/>
              </w:rPr>
              <w:t>GB31572-2015</w:t>
            </w:r>
            <w:r>
              <w:rPr>
                <w:spacing w:val="-1"/>
              </w:rPr>
              <w:t>）中表</w:t>
            </w:r>
            <w:r>
              <w:rPr>
                <w:rFonts w:ascii="Times New Roman" w:hAnsi="Times New Roman" w:eastAsia="Times New Roman" w:cs="Times New Roman"/>
                <w:spacing w:val="-1"/>
              </w:rPr>
              <w:t>9</w:t>
            </w:r>
            <w:r>
              <w:rPr>
                <w:spacing w:val="-1"/>
              </w:rPr>
              <w:t>企业边界大气污染</w:t>
            </w:r>
            <w:r>
              <w:rPr>
                <w:spacing w:val="4"/>
              </w:rPr>
              <w:t xml:space="preserve"> </w:t>
            </w:r>
            <w:r>
              <w:rPr>
                <w:spacing w:val="-4"/>
              </w:rPr>
              <w:t>物浓度限值（浓度</w:t>
            </w:r>
            <w:r>
              <w:rPr>
                <w:rFonts w:ascii="Times New Roman" w:hAnsi="Times New Roman" w:eastAsia="Times New Roman" w:cs="Times New Roman"/>
                <w:spacing w:val="-4"/>
              </w:rPr>
              <w:t>4.0mg/m</w:t>
            </w:r>
            <w:r>
              <w:rPr>
                <w:spacing w:val="-4"/>
              </w:rPr>
              <w:t>³) ;</w:t>
            </w:r>
            <w:r>
              <w:rPr>
                <w:spacing w:val="40"/>
              </w:rPr>
              <w:t xml:space="preserve"> </w:t>
            </w:r>
            <w:r>
              <w:rPr>
                <w:spacing w:val="-4"/>
              </w:rPr>
              <w:t>厂房外执行</w:t>
            </w:r>
            <w:r>
              <w:rPr>
                <w:spacing w:val="-5"/>
              </w:rPr>
              <w:t>《挥发性有机物无组织排放控</w:t>
            </w:r>
          </w:p>
          <w:p>
            <w:pPr>
              <w:pStyle w:val="TableText"/>
              <w:ind w:left="113"/>
              <w:spacing w:line="212" w:lineRule="auto"/>
              <w:rPr/>
            </w:pPr>
            <w:r>
              <w:rPr/>
              <w:t>制标准》（</w:t>
            </w:r>
            <w:r>
              <w:rPr>
                <w:rFonts w:ascii="Times New Roman" w:hAnsi="Times New Roman" w:eastAsia="Times New Roman" w:cs="Times New Roman"/>
              </w:rPr>
              <w:t>GB37822-2019</w:t>
            </w:r>
            <w:r>
              <w:rPr/>
              <w:t>）相关要求（</w:t>
            </w:r>
            <w:r>
              <w:rPr>
                <w:rFonts w:ascii="Times New Roman" w:hAnsi="Times New Roman" w:eastAsia="Times New Roman" w:cs="Times New Roman"/>
              </w:rPr>
              <w:t>1h</w:t>
            </w:r>
            <w:r>
              <w:rPr/>
              <w:t>平均</w:t>
            </w:r>
            <w:r>
              <w:rPr>
                <w:spacing w:val="-1"/>
              </w:rPr>
              <w:t>浓度</w:t>
            </w:r>
            <w:r>
              <w:rPr>
                <w:rFonts w:ascii="Times New Roman" w:hAnsi="Times New Roman" w:eastAsia="Times New Roman" w:cs="Times New Roman"/>
                <w:spacing w:val="-1"/>
              </w:rPr>
              <w:t>6mg/m</w:t>
            </w:r>
            <w:r>
              <w:rPr>
                <w:spacing w:val="-1"/>
              </w:rPr>
              <w:t>³) 。</w:t>
            </w:r>
          </w:p>
          <w:p>
            <w:pPr>
              <w:pStyle w:val="TableText"/>
              <w:ind w:left="604"/>
              <w:spacing w:before="225" w:line="220" w:lineRule="auto"/>
              <w:rPr/>
            </w:pPr>
            <w:r>
              <w:rPr>
                <w:spacing w:val="-3"/>
              </w:rPr>
              <w:t>（</w:t>
            </w:r>
            <w:r>
              <w:rPr>
                <w:rFonts w:ascii="Times New Roman" w:hAnsi="Times New Roman" w:eastAsia="Times New Roman" w:cs="Times New Roman"/>
                <w:spacing w:val="-3"/>
              </w:rPr>
              <w:t>2</w:t>
            </w:r>
            <w:r>
              <w:rPr>
                <w:spacing w:val="-3"/>
              </w:rPr>
              <w:t>）非正常工况</w:t>
            </w:r>
          </w:p>
          <w:p>
            <w:pPr>
              <w:pStyle w:val="TableText"/>
              <w:ind w:left="113" w:right="106" w:firstLine="494"/>
              <w:spacing w:before="213" w:line="385" w:lineRule="auto"/>
              <w:rPr/>
            </w:pPr>
            <w:r>
              <w:rPr>
                <w:spacing w:val="-4"/>
              </w:rPr>
              <w:t>当环保净化设备发生故障情况下，废气污染物未经处理直接排放，对</w:t>
            </w:r>
            <w:r>
              <w:rPr>
                <w:spacing w:val="3"/>
              </w:rPr>
              <w:t xml:space="preserve"> </w:t>
            </w:r>
            <w:r>
              <w:rPr>
                <w:spacing w:val="-1"/>
              </w:rPr>
              <w:t>周边环境造成一定影响。事故状态下，废气净化效率为</w:t>
            </w:r>
            <w:r>
              <w:rPr>
                <w:rFonts w:ascii="Times New Roman" w:hAnsi="Times New Roman" w:eastAsia="Times New Roman" w:cs="Times New Roman"/>
                <w:spacing w:val="-1"/>
              </w:rPr>
              <w:t>0</w:t>
            </w:r>
            <w:r>
              <w:rPr>
                <w:rFonts w:ascii="Times New Roman" w:hAnsi="Times New Roman" w:eastAsia="Times New Roman" w:cs="Times New Roman"/>
                <w:spacing w:val="-13"/>
              </w:rPr>
              <w:t xml:space="preserve"> </w:t>
            </w:r>
            <w:r>
              <w:rPr>
                <w:spacing w:val="-1"/>
              </w:rPr>
              <w:t>，按照单次储蓄</w:t>
            </w:r>
          </w:p>
          <w:p>
            <w:pPr>
              <w:pStyle w:val="TableText"/>
              <w:ind w:right="15"/>
              <w:spacing w:before="1" w:line="219" w:lineRule="auto"/>
              <w:jc w:val="right"/>
              <w:rPr/>
            </w:pPr>
            <w:r>
              <w:rPr>
                <w:spacing w:val="-1"/>
              </w:rPr>
              <w:t>时间为</w:t>
            </w:r>
            <w:r>
              <w:rPr>
                <w:rFonts w:ascii="Times New Roman" w:hAnsi="Times New Roman" w:eastAsia="Times New Roman" w:cs="Times New Roman"/>
                <w:spacing w:val="-1"/>
              </w:rPr>
              <w:t>1h</w:t>
            </w:r>
            <w:r>
              <w:rPr>
                <w:spacing w:val="-1"/>
              </w:rPr>
              <w:t>计算，一年内发生一次概率计算，污染物排放情况如下表所示。</w:t>
            </w:r>
          </w:p>
          <w:p>
            <w:pPr>
              <w:pStyle w:val="TableText"/>
              <w:ind w:left="1789"/>
              <w:spacing w:before="135" w:line="219" w:lineRule="auto"/>
              <w:rPr/>
            </w:pPr>
            <w:r>
              <w:rPr>
                <w14:textOutline w14:w="4358" w14:cap="sq" w14:cmpd="sng">
                  <w14:solidFill>
                    <w14:srgbClr w14:val="000000"/>
                  </w14:solidFill>
                  <w14:prstDash w14:val="solid"/>
                  <w14:bevel/>
                </w14:textOutline>
              </w:rPr>
              <w:t>表</w:t>
            </w:r>
            <w:r>
              <w:rPr>
                <w:rFonts w:ascii="Times New Roman" w:hAnsi="Times New Roman" w:eastAsia="Times New Roman" w:cs="Times New Roman"/>
                <w:b/>
                <w:bCs/>
              </w:rPr>
              <w:t>4.2-1  </w:t>
            </w:r>
            <w:r>
              <w:rPr>
                <w14:textOutline w14:w="4358" w14:cap="sq" w14:cmpd="sng">
                  <w14:solidFill>
                    <w14:srgbClr w14:val="000000"/>
                  </w14:solidFill>
                  <w14:prstDash w14:val="solid"/>
                  <w14:bevel/>
                </w14:textOutline>
              </w:rPr>
              <w:t>大气污染物非正常排放量核算表</w:t>
            </w:r>
          </w:p>
          <w:tbl>
            <w:tblPr>
              <w:tblStyle w:val="TableNormal"/>
              <w:tblW w:w="7581" w:type="dxa"/>
              <w:tblInd w:w="10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92"/>
              <w:gridCol w:w="1108"/>
              <w:gridCol w:w="865"/>
              <w:gridCol w:w="1128"/>
              <w:gridCol w:w="1052"/>
              <w:gridCol w:w="706"/>
              <w:gridCol w:w="725"/>
              <w:gridCol w:w="1105"/>
            </w:tblGrid>
            <w:tr>
              <w:trPr>
                <w:trHeight w:val="1074" w:hRule="atLeast"/>
              </w:trPr>
              <w:tc>
                <w:tcPr>
                  <w:tcW w:w="892" w:type="dxa"/>
                  <w:vAlign w:val="top"/>
                  <w:tcBorders>
                    <w:top w:val="single" w:color="000000" w:sz="10" w:space="0"/>
                    <w:left w:val="nil"/>
                  </w:tcBorders>
                </w:tcPr>
                <w:p>
                  <w:pPr>
                    <w:pStyle w:val="TableText"/>
                    <w:ind w:left="141"/>
                    <w:spacing w:before="113" w:line="228" w:lineRule="auto"/>
                    <w:rPr>
                      <w:sz w:val="20"/>
                      <w:szCs w:val="20"/>
                    </w:rPr>
                  </w:pPr>
                  <w:r>
                    <w:rPr>
                      <w:sz w:val="20"/>
                      <w:szCs w:val="20"/>
                      <w:spacing w:val="6"/>
                    </w:rPr>
                    <w:t>污染源</w:t>
                  </w:r>
                </w:p>
              </w:tc>
              <w:tc>
                <w:tcPr>
                  <w:tcW w:w="1108" w:type="dxa"/>
                  <w:vAlign w:val="top"/>
                  <w:tcBorders>
                    <w:top w:val="single" w:color="000000" w:sz="10" w:space="0"/>
                  </w:tcBorders>
                </w:tcPr>
                <w:p>
                  <w:pPr>
                    <w:pStyle w:val="TableText"/>
                    <w:ind w:left="242" w:right="133" w:hanging="99"/>
                    <w:spacing w:before="112" w:line="281" w:lineRule="auto"/>
                    <w:rPr>
                      <w:sz w:val="20"/>
                      <w:szCs w:val="20"/>
                    </w:rPr>
                  </w:pPr>
                  <w:r>
                    <w:rPr>
                      <w:sz w:val="20"/>
                      <w:szCs w:val="20"/>
                      <w:spacing w:val="6"/>
                    </w:rPr>
                    <w:t>非正常排</w:t>
                  </w:r>
                  <w:r>
                    <w:rPr>
                      <w:sz w:val="20"/>
                      <w:szCs w:val="20"/>
                      <w:spacing w:val="1"/>
                    </w:rPr>
                    <w:t xml:space="preserve"> </w:t>
                  </w:r>
                  <w:r>
                    <w:rPr>
                      <w:sz w:val="20"/>
                      <w:szCs w:val="20"/>
                      <w:spacing w:val="6"/>
                    </w:rPr>
                    <w:t>放原因</w:t>
                  </w:r>
                </w:p>
              </w:tc>
              <w:tc>
                <w:tcPr>
                  <w:tcW w:w="865" w:type="dxa"/>
                  <w:vAlign w:val="top"/>
                  <w:tcBorders>
                    <w:top w:val="single" w:color="000000" w:sz="10" w:space="0"/>
                  </w:tcBorders>
                </w:tcPr>
                <w:p>
                  <w:pPr>
                    <w:pStyle w:val="TableText"/>
                    <w:ind w:left="123"/>
                    <w:spacing w:before="113" w:line="228" w:lineRule="auto"/>
                    <w:rPr>
                      <w:sz w:val="20"/>
                      <w:szCs w:val="20"/>
                    </w:rPr>
                  </w:pPr>
                  <w:r>
                    <w:rPr>
                      <w:sz w:val="20"/>
                      <w:szCs w:val="20"/>
                      <w:spacing w:val="6"/>
                    </w:rPr>
                    <w:t>污染源</w:t>
                  </w:r>
                </w:p>
              </w:tc>
              <w:tc>
                <w:tcPr>
                  <w:tcW w:w="1128" w:type="dxa"/>
                  <w:vAlign w:val="top"/>
                  <w:tcBorders>
                    <w:top w:val="single" w:color="000000" w:sz="10" w:space="0"/>
                  </w:tcBorders>
                </w:tcPr>
                <w:p>
                  <w:pPr>
                    <w:pStyle w:val="TableText"/>
                    <w:ind w:left="123" w:right="122" w:firstLine="29"/>
                    <w:spacing w:before="111" w:line="293" w:lineRule="auto"/>
                    <w:rPr>
                      <w:sz w:val="20"/>
                      <w:szCs w:val="20"/>
                    </w:rPr>
                  </w:pPr>
                  <w:r>
                    <w:rPr>
                      <w:sz w:val="20"/>
                      <w:szCs w:val="20"/>
                      <w:spacing w:val="6"/>
                    </w:rPr>
                    <w:t>非正常排</w:t>
                  </w:r>
                  <w:r>
                    <w:rPr>
                      <w:sz w:val="20"/>
                      <w:szCs w:val="20"/>
                      <w:spacing w:val="1"/>
                    </w:rPr>
                    <w:t xml:space="preserve"> </w:t>
                  </w:r>
                  <w:r>
                    <w:rPr>
                      <w:sz w:val="20"/>
                      <w:szCs w:val="20"/>
                      <w:spacing w:val="16"/>
                      <w:w w:val="117"/>
                    </w:rPr>
                    <w:t>放浓度</w:t>
                  </w:r>
                  <w:r>
                    <w:rPr>
                      <w:sz w:val="20"/>
                      <w:szCs w:val="20"/>
                    </w:rPr>
                    <w:t xml:space="preserve">  </w:t>
                  </w:r>
                  <w:r>
                    <w:rPr>
                      <w:sz w:val="20"/>
                      <w:szCs w:val="20"/>
                      <w:spacing w:val="1"/>
                    </w:rPr>
                    <w:t>（</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1"/>
                    </w:rPr>
                    <w:t>/m</w:t>
                  </w:r>
                  <w:r>
                    <w:rPr>
                      <w:sz w:val="20"/>
                      <w:szCs w:val="20"/>
                      <w:spacing w:val="1"/>
                    </w:rPr>
                    <w:t>³)</w:t>
                  </w:r>
                </w:p>
              </w:tc>
              <w:tc>
                <w:tcPr>
                  <w:tcW w:w="1052" w:type="dxa"/>
                  <w:vAlign w:val="top"/>
                  <w:tcBorders>
                    <w:top w:val="single" w:color="000000" w:sz="10" w:space="0"/>
                  </w:tcBorders>
                </w:tcPr>
                <w:p>
                  <w:pPr>
                    <w:pStyle w:val="TableText"/>
                    <w:ind w:left="145" w:right="145" w:firstLine="74"/>
                    <w:spacing w:before="111" w:line="293" w:lineRule="auto"/>
                    <w:jc w:val="both"/>
                    <w:rPr>
                      <w:sz w:val="20"/>
                      <w:szCs w:val="20"/>
                    </w:rPr>
                  </w:pPr>
                  <w:r>
                    <w:rPr>
                      <w:sz w:val="20"/>
                      <w:szCs w:val="20"/>
                      <w:spacing w:val="5"/>
                    </w:rPr>
                    <w:t>非正常</w:t>
                  </w:r>
                  <w:r>
                    <w:rPr>
                      <w:sz w:val="20"/>
                      <w:szCs w:val="20"/>
                      <w:spacing w:val="1"/>
                    </w:rPr>
                    <w:t xml:space="preserve"> </w:t>
                  </w:r>
                  <w:r>
                    <w:rPr>
                      <w:sz w:val="20"/>
                      <w:szCs w:val="20"/>
                      <w:spacing w:val="33"/>
                      <w:w w:val="130"/>
                    </w:rPr>
                    <w:t>速率</w:t>
                  </w:r>
                  <w:r>
                    <w:rPr>
                      <w:sz w:val="20"/>
                      <w:szCs w:val="20"/>
                    </w:rPr>
                    <w:t xml:space="preserve">  </w:t>
                  </w:r>
                  <w:r>
                    <w:rPr>
                      <w:sz w:val="20"/>
                      <w:szCs w:val="20"/>
                    </w:rPr>
                    <w:t>（</w:t>
                  </w:r>
                  <w:r>
                    <w:rPr>
                      <w:rFonts w:ascii="Times New Roman" w:hAnsi="Times New Roman" w:eastAsia="Times New Roman" w:cs="Times New Roman"/>
                      <w:sz w:val="20"/>
                      <w:szCs w:val="20"/>
                    </w:rPr>
                    <w:t>kg/h</w:t>
                  </w:r>
                  <w:r>
                    <w:rPr>
                      <w:sz w:val="20"/>
                      <w:szCs w:val="20"/>
                    </w:rPr>
                    <w:t>）</w:t>
                  </w:r>
                </w:p>
              </w:tc>
              <w:tc>
                <w:tcPr>
                  <w:tcW w:w="706" w:type="dxa"/>
                  <w:vAlign w:val="top"/>
                  <w:tcBorders>
                    <w:top w:val="single" w:color="000000" w:sz="10" w:space="0"/>
                  </w:tcBorders>
                </w:tcPr>
                <w:p>
                  <w:pPr>
                    <w:pStyle w:val="TableText"/>
                    <w:ind w:left="150"/>
                    <w:spacing w:before="112" w:line="360" w:lineRule="exact"/>
                    <w:rPr>
                      <w:sz w:val="20"/>
                      <w:szCs w:val="20"/>
                    </w:rPr>
                  </w:pPr>
                  <w:r>
                    <w:rPr>
                      <w:sz w:val="20"/>
                      <w:szCs w:val="20"/>
                      <w:spacing w:val="3"/>
                      <w:position w:val="11"/>
                    </w:rPr>
                    <w:t>单次</w:t>
                  </w:r>
                </w:p>
                <w:p>
                  <w:pPr>
                    <w:pStyle w:val="TableText"/>
                    <w:ind w:left="151"/>
                    <w:spacing w:line="227" w:lineRule="auto"/>
                    <w:rPr>
                      <w:sz w:val="20"/>
                      <w:szCs w:val="20"/>
                    </w:rPr>
                  </w:pPr>
                  <w:r>
                    <w:rPr>
                      <w:sz w:val="20"/>
                      <w:szCs w:val="20"/>
                      <w:spacing w:val="3"/>
                    </w:rPr>
                    <w:t>持续</w:t>
                  </w:r>
                </w:p>
                <w:p>
                  <w:pPr>
                    <w:pStyle w:val="TableText"/>
                    <w:ind w:left="158"/>
                    <w:spacing w:before="113" w:line="213" w:lineRule="auto"/>
                    <w:rPr>
                      <w:sz w:val="20"/>
                      <w:szCs w:val="20"/>
                    </w:rPr>
                  </w:pPr>
                  <w:r>
                    <w:rPr>
                      <w:sz w:val="20"/>
                      <w:szCs w:val="20"/>
                      <w:spacing w:val="-1"/>
                    </w:rPr>
                    <w:t>时间</w:t>
                  </w:r>
                </w:p>
              </w:tc>
              <w:tc>
                <w:tcPr>
                  <w:tcW w:w="725" w:type="dxa"/>
                  <w:vAlign w:val="top"/>
                  <w:tcBorders>
                    <w:top w:val="single" w:color="000000" w:sz="10" w:space="0"/>
                  </w:tcBorders>
                </w:tcPr>
                <w:p>
                  <w:pPr>
                    <w:pStyle w:val="TableText"/>
                    <w:ind w:left="158"/>
                    <w:spacing w:before="112" w:line="228" w:lineRule="auto"/>
                    <w:rPr>
                      <w:sz w:val="20"/>
                      <w:szCs w:val="20"/>
                    </w:rPr>
                  </w:pPr>
                  <w:r>
                    <w:rPr>
                      <w:sz w:val="20"/>
                      <w:szCs w:val="20"/>
                      <w:spacing w:val="4"/>
                    </w:rPr>
                    <w:t>年发</w:t>
                  </w:r>
                </w:p>
                <w:p>
                  <w:pPr>
                    <w:pStyle w:val="TableText"/>
                    <w:ind w:left="159"/>
                    <w:spacing w:before="113" w:line="230" w:lineRule="auto"/>
                    <w:rPr>
                      <w:sz w:val="20"/>
                      <w:szCs w:val="20"/>
                    </w:rPr>
                  </w:pPr>
                  <w:r>
                    <w:rPr>
                      <w:sz w:val="20"/>
                      <w:szCs w:val="20"/>
                      <w:spacing w:val="3"/>
                    </w:rPr>
                    <w:t>生频</w:t>
                  </w:r>
                </w:p>
                <w:p>
                  <w:pPr>
                    <w:pStyle w:val="TableText"/>
                    <w:ind w:left="269"/>
                    <w:spacing w:before="111" w:line="213" w:lineRule="auto"/>
                    <w:rPr>
                      <w:sz w:val="20"/>
                      <w:szCs w:val="20"/>
                    </w:rPr>
                  </w:pPr>
                  <w:r>
                    <w:rPr>
                      <w:sz w:val="20"/>
                      <w:szCs w:val="20"/>
                    </w:rPr>
                    <w:t>次</w:t>
                  </w:r>
                </w:p>
              </w:tc>
              <w:tc>
                <w:tcPr>
                  <w:tcW w:w="1105" w:type="dxa"/>
                  <w:vAlign w:val="top"/>
                  <w:tcBorders>
                    <w:top w:val="single" w:color="000000" w:sz="10" w:space="0"/>
                    <w:right w:val="nil"/>
                  </w:tcBorders>
                </w:tcPr>
                <w:p>
                  <w:pPr>
                    <w:pStyle w:val="TableText"/>
                    <w:ind w:left="138"/>
                    <w:spacing w:before="113" w:line="228" w:lineRule="auto"/>
                    <w:rPr>
                      <w:sz w:val="20"/>
                      <w:szCs w:val="20"/>
                    </w:rPr>
                  </w:pPr>
                  <w:r>
                    <w:rPr>
                      <w:sz w:val="20"/>
                      <w:szCs w:val="20"/>
                      <w:spacing w:val="7"/>
                    </w:rPr>
                    <w:t>应对措施</w:t>
                  </w:r>
                </w:p>
              </w:tc>
            </w:tr>
            <w:tr>
              <w:trPr>
                <w:trHeight w:val="739" w:hRule="atLeast"/>
              </w:trPr>
              <w:tc>
                <w:tcPr>
                  <w:tcW w:w="892" w:type="dxa"/>
                  <w:vAlign w:val="top"/>
                  <w:tcBorders>
                    <w:bottom w:val="single" w:color="000000" w:sz="10" w:space="0"/>
                    <w:left w:val="nil"/>
                  </w:tcBorders>
                </w:tcPr>
                <w:p>
                  <w:pPr>
                    <w:pStyle w:val="TableText"/>
                    <w:ind w:left="141" w:right="129" w:hanging="2"/>
                    <w:spacing w:before="124" w:line="279" w:lineRule="auto"/>
                    <w:rPr>
                      <w:sz w:val="20"/>
                      <w:szCs w:val="20"/>
                    </w:rPr>
                  </w:pPr>
                  <w:r>
                    <w:rPr>
                      <w:sz w:val="20"/>
                      <w:szCs w:val="20"/>
                      <w:spacing w:val="6"/>
                    </w:rPr>
                    <w:t>排气筒</w:t>
                  </w:r>
                  <w:r>
                    <w:rPr>
                      <w:sz w:val="20"/>
                      <w:szCs w:val="20"/>
                      <w:spacing w:val="1"/>
                    </w:rPr>
                    <w:t xml:space="preserve"> </w:t>
                  </w:r>
                  <w:r>
                    <w:rPr>
                      <w:sz w:val="20"/>
                      <w:szCs w:val="20"/>
                    </w:rPr>
                    <w:t>（</w:t>
                  </w:r>
                  <w:r>
                    <w:rPr>
                      <w:rFonts w:ascii="Times New Roman" w:hAnsi="Times New Roman" w:eastAsia="Times New Roman" w:cs="Times New Roman"/>
                      <w:sz w:val="20"/>
                      <w:szCs w:val="20"/>
                    </w:rPr>
                    <w:t>P1</w:t>
                  </w:r>
                  <w:r>
                    <w:rPr>
                      <w:sz w:val="20"/>
                      <w:szCs w:val="20"/>
                    </w:rPr>
                    <w:t>）</w:t>
                  </w:r>
                </w:p>
              </w:tc>
              <w:tc>
                <w:tcPr>
                  <w:tcW w:w="1108" w:type="dxa"/>
                  <w:vAlign w:val="top"/>
                  <w:tcBorders>
                    <w:bottom w:val="single" w:color="000000" w:sz="10" w:space="0"/>
                  </w:tcBorders>
                </w:tcPr>
                <w:p>
                  <w:pPr>
                    <w:pStyle w:val="TableText"/>
                    <w:ind w:left="143" w:right="133"/>
                    <w:spacing w:before="124" w:line="279" w:lineRule="auto"/>
                    <w:rPr>
                      <w:sz w:val="20"/>
                      <w:szCs w:val="20"/>
                    </w:rPr>
                  </w:pPr>
                  <w:r>
                    <w:rPr>
                      <w:sz w:val="20"/>
                      <w:szCs w:val="20"/>
                      <w:spacing w:val="6"/>
                    </w:rPr>
                    <w:t>处理装置</w:t>
                  </w:r>
                  <w:r>
                    <w:rPr>
                      <w:sz w:val="20"/>
                      <w:szCs w:val="20"/>
                    </w:rPr>
                    <w:t xml:space="preserve"> </w:t>
                  </w:r>
                  <w:r>
                    <w:rPr>
                      <w:sz w:val="20"/>
                      <w:szCs w:val="20"/>
                      <w:spacing w:val="6"/>
                    </w:rPr>
                    <w:t>发生故障</w:t>
                  </w:r>
                </w:p>
              </w:tc>
              <w:tc>
                <w:tcPr>
                  <w:tcW w:w="865" w:type="dxa"/>
                  <w:vAlign w:val="top"/>
                  <w:tcBorders>
                    <w:bottom w:val="single" w:color="000000" w:sz="10" w:space="0"/>
                  </w:tcBorders>
                </w:tcPr>
                <w:p>
                  <w:pPr>
                    <w:pStyle w:val="TableText"/>
                    <w:ind w:left="125"/>
                    <w:spacing w:before="123" w:line="228" w:lineRule="auto"/>
                    <w:rPr>
                      <w:sz w:val="20"/>
                      <w:szCs w:val="20"/>
                    </w:rPr>
                  </w:pPr>
                  <w:r>
                    <w:rPr>
                      <w:sz w:val="20"/>
                      <w:szCs w:val="20"/>
                      <w:spacing w:val="5"/>
                    </w:rPr>
                    <w:t>非甲烷</w:t>
                  </w:r>
                </w:p>
                <w:p>
                  <w:pPr>
                    <w:pStyle w:val="TableText"/>
                    <w:ind w:left="233"/>
                    <w:spacing w:before="112" w:line="227" w:lineRule="auto"/>
                    <w:rPr>
                      <w:sz w:val="20"/>
                      <w:szCs w:val="20"/>
                    </w:rPr>
                  </w:pPr>
                  <w:r>
                    <w:rPr>
                      <w:sz w:val="20"/>
                      <w:szCs w:val="20"/>
                      <w:spacing w:val="2"/>
                    </w:rPr>
                    <w:t>总烃</w:t>
                  </w:r>
                </w:p>
              </w:tc>
              <w:tc>
                <w:tcPr>
                  <w:tcW w:w="1128" w:type="dxa"/>
                  <w:vAlign w:val="top"/>
                  <w:tcBorders>
                    <w:bottom w:val="single" w:color="000000" w:sz="10" w:space="0"/>
                  </w:tcBorders>
                </w:tcPr>
                <w:p>
                  <w:pPr>
                    <w:ind w:left="332"/>
                    <w:spacing w:before="15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31.57</w:t>
                  </w:r>
                </w:p>
              </w:tc>
              <w:tc>
                <w:tcPr>
                  <w:tcW w:w="1052" w:type="dxa"/>
                  <w:vAlign w:val="top"/>
                  <w:tcBorders>
                    <w:bottom w:val="single" w:color="000000" w:sz="10" w:space="0"/>
                  </w:tcBorders>
                </w:tcPr>
                <w:p>
                  <w:pPr>
                    <w:ind w:left="345"/>
                    <w:spacing w:before="15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0.69</w:t>
                  </w:r>
                </w:p>
              </w:tc>
              <w:tc>
                <w:tcPr>
                  <w:tcW w:w="706" w:type="dxa"/>
                  <w:vAlign w:val="top"/>
                  <w:tcBorders>
                    <w:bottom w:val="single" w:color="000000" w:sz="10" w:space="0"/>
                  </w:tcBorders>
                </w:tcPr>
                <w:p>
                  <w:pPr>
                    <w:ind w:left="270"/>
                    <w:spacing w:before="15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9"/>
                    </w:rPr>
                    <w:t>1h</w:t>
                  </w:r>
                </w:p>
              </w:tc>
              <w:tc>
                <w:tcPr>
                  <w:tcW w:w="725" w:type="dxa"/>
                  <w:vAlign w:val="top"/>
                  <w:tcBorders>
                    <w:bottom w:val="single" w:color="000000" w:sz="10" w:space="0"/>
                  </w:tcBorders>
                </w:tcPr>
                <w:p>
                  <w:pPr>
                    <w:pStyle w:val="TableText"/>
                    <w:ind w:left="174"/>
                    <w:spacing w:before="123" w:line="228" w:lineRule="auto"/>
                    <w:rPr>
                      <w:sz w:val="20"/>
                      <w:szCs w:val="20"/>
                    </w:rPr>
                  </w:pPr>
                  <w:r>
                    <w:rPr>
                      <w:rFonts w:ascii="Times New Roman" w:hAnsi="Times New Roman" w:eastAsia="Times New Roman" w:cs="Times New Roman"/>
                      <w:sz w:val="20"/>
                      <w:szCs w:val="20"/>
                      <w:spacing w:val="-10"/>
                    </w:rPr>
                    <w:t>1</w:t>
                  </w:r>
                  <w:r>
                    <w:rPr>
                      <w:rFonts w:ascii="Times New Roman" w:hAnsi="Times New Roman" w:eastAsia="Times New Roman" w:cs="Times New Roman"/>
                      <w:sz w:val="20"/>
                      <w:szCs w:val="20"/>
                      <w:spacing w:val="9"/>
                    </w:rPr>
                    <w:t xml:space="preserve">  </w:t>
                  </w:r>
                  <w:r>
                    <w:rPr>
                      <w:sz w:val="20"/>
                      <w:szCs w:val="20"/>
                      <w:spacing w:val="-10"/>
                    </w:rPr>
                    <w:t>次</w:t>
                  </w:r>
                </w:p>
              </w:tc>
              <w:tc>
                <w:tcPr>
                  <w:tcW w:w="1105" w:type="dxa"/>
                  <w:vAlign w:val="top"/>
                  <w:tcBorders>
                    <w:bottom w:val="single" w:color="000000" w:sz="10" w:space="0"/>
                    <w:right w:val="nil"/>
                  </w:tcBorders>
                </w:tcPr>
                <w:p>
                  <w:pPr>
                    <w:pStyle w:val="TableText"/>
                    <w:ind w:left="138" w:right="134" w:firstLine="5"/>
                    <w:spacing w:before="124" w:line="279" w:lineRule="auto"/>
                    <w:rPr>
                      <w:sz w:val="20"/>
                      <w:szCs w:val="20"/>
                    </w:rPr>
                  </w:pPr>
                  <w:r>
                    <w:rPr>
                      <w:sz w:val="20"/>
                      <w:szCs w:val="20"/>
                      <w:spacing w:val="6"/>
                    </w:rPr>
                    <w:t>定期维护</w:t>
                  </w:r>
                  <w:r>
                    <w:rPr>
                      <w:sz w:val="20"/>
                      <w:szCs w:val="20"/>
                    </w:rPr>
                    <w:t xml:space="preserve"> </w:t>
                  </w:r>
                  <w:r>
                    <w:rPr>
                      <w:sz w:val="20"/>
                      <w:szCs w:val="20"/>
                      <w:spacing w:val="7"/>
                    </w:rPr>
                    <w:t>环保设备</w:t>
                  </w:r>
                </w:p>
              </w:tc>
            </w:tr>
          </w:tbl>
          <w:p>
            <w:pPr>
              <w:pStyle w:val="TableText"/>
              <w:ind w:left="589"/>
              <w:spacing w:before="196" w:line="219" w:lineRule="auto"/>
              <w:outlineLvl w:val="2"/>
              <w:rPr/>
            </w:pPr>
            <w:hyperlink w:history="true" r:id="rId206">
              <w:r>
                <w:rPr>
                  <w:rFonts w:ascii="Times New Roman" w:hAnsi="Times New Roman" w:eastAsia="Times New Roman" w:cs="Times New Roman"/>
                  <w:b/>
                  <w:bCs/>
                  <w:spacing w:val="-1"/>
                </w:rPr>
                <w:t>4.2.1.2</w:t>
              </w:r>
            </w:hyperlink>
            <w:r>
              <w:rPr>
                <w:rFonts w:ascii="Times New Roman" w:hAnsi="Times New Roman" w:eastAsia="Times New Roman" w:cs="Times New Roman"/>
                <w:b/>
                <w:bCs/>
                <w:spacing w:val="-1"/>
              </w:rPr>
              <w:t xml:space="preserve">  </w:t>
            </w:r>
            <w:r>
              <w:rPr>
                <w14:textOutline w14:w="4358" w14:cap="sq" w14:cmpd="sng">
                  <w14:solidFill>
                    <w14:srgbClr w14:val="000000"/>
                  </w14:solidFill>
                  <w14:prstDash w14:val="solid"/>
                  <w14:bevel/>
                </w14:textOutline>
                <w:spacing w:val="-1"/>
              </w:rPr>
              <w:t>污染物排放参数</w:t>
            </w:r>
          </w:p>
          <w:p>
            <w:pPr>
              <w:pStyle w:val="TableText"/>
              <w:ind w:left="592"/>
              <w:spacing w:before="215" w:line="219" w:lineRule="auto"/>
              <w:rPr/>
            </w:pPr>
            <w:r>
              <w:rPr>
                <w:spacing w:val="-1"/>
              </w:rPr>
              <w:t>根据计算，项目营运期废气排放情况如下表。</w:t>
            </w:r>
          </w:p>
        </w:tc>
      </w:tr>
    </w:tbl>
    <w:p>
      <w:pPr>
        <w:pStyle w:val="BodyText"/>
        <w:rPr/>
      </w:pPr>
      <w:r/>
    </w:p>
    <w:p>
      <w:pPr>
        <w:sectPr>
          <w:footerReference w:type="default" r:id="rId205"/>
          <w:pgSz w:w="11906" w:h="16839"/>
          <w:pgMar w:top="400" w:right="1687" w:bottom="1211" w:left="1687" w:header="0" w:footer="1049" w:gutter="0"/>
        </w:sectPr>
        <w:rPr/>
      </w:pPr>
    </w:p>
    <w:p>
      <w:pPr>
        <w:pStyle w:val="BodyText"/>
        <w:spacing w:line="285" w:lineRule="auto"/>
        <w:rPr/>
      </w:pPr>
      <w:r/>
    </w:p>
    <w:p>
      <w:pPr>
        <w:pStyle w:val="BodyText"/>
        <w:spacing w:line="285" w:lineRule="auto"/>
        <w:rPr/>
      </w:pPr>
      <w:r/>
    </w:p>
    <w:p>
      <w:pPr>
        <w:pStyle w:val="BodyText"/>
        <w:spacing w:line="285" w:lineRule="auto"/>
        <w:rPr/>
      </w:pPr>
      <w:r/>
    </w:p>
    <w:p>
      <w:pPr>
        <w:pStyle w:val="BodyText"/>
        <w:spacing w:line="285" w:lineRule="auto"/>
        <w:rPr/>
      </w:pPr>
      <w:r/>
    </w:p>
    <w:p>
      <w:pPr>
        <w:pStyle w:val="BodyText"/>
        <w:spacing w:line="286" w:lineRule="auto"/>
        <w:rPr/>
      </w:pPr>
      <w:r/>
    </w:p>
    <w:p>
      <w:pPr>
        <w:ind w:left="4923"/>
        <w:spacing w:before="78" w:line="219"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sz w:val="24"/>
          <w:szCs w:val="24"/>
          <w:b/>
          <w:bCs/>
        </w:rPr>
        <w:t>4.2-2    </w:t>
      </w:r>
      <w:r>
        <w:rPr>
          <w:rFonts w:ascii="SimSun" w:hAnsi="SimSun" w:eastAsia="SimSun" w:cs="SimSun"/>
          <w:sz w:val="24"/>
          <w:szCs w:val="24"/>
          <w14:textOutline w14:w="4358" w14:cap="sq" w14:cmpd="sng">
            <w14:solidFill>
              <w14:srgbClr w14:val="000000"/>
            </w14:solidFill>
            <w14:prstDash w14:val="solid"/>
            <w14:bevel/>
          </w14:textOutline>
        </w:rPr>
        <w:t>本项目废气产生、排放情况一览表</w:t>
      </w:r>
    </w:p>
    <w:p>
      <w:pPr>
        <w:spacing w:line="18" w:lineRule="auto"/>
        <w:rPr>
          <w:rFonts w:ascii="Arial"/>
          <w:sz w:val="2"/>
        </w:rPr>
      </w:pPr>
      <w:r>
        <w:rPr>
          <w:rFonts w:ascii="Arial"/>
          <w:sz w:val="2"/>
        </w:rPr>
      </w:r>
    </w:p>
    <w:tbl>
      <w:tblPr>
        <w:tblStyle w:val="TableNormal"/>
        <w:tblW w:w="14177" w:type="dxa"/>
        <w:tblInd w:w="12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38"/>
        <w:gridCol w:w="1321"/>
        <w:gridCol w:w="885"/>
        <w:gridCol w:w="1129"/>
        <w:gridCol w:w="1103"/>
        <w:gridCol w:w="911"/>
        <w:gridCol w:w="1798"/>
        <w:gridCol w:w="735"/>
        <w:gridCol w:w="1218"/>
        <w:gridCol w:w="1198"/>
        <w:gridCol w:w="1061"/>
        <w:gridCol w:w="922"/>
        <w:gridCol w:w="1058"/>
      </w:tblGrid>
      <w:tr>
        <w:trPr>
          <w:trHeight w:val="346" w:hRule="atLeast"/>
        </w:trPr>
        <w:tc>
          <w:tcPr>
            <w:tcW w:w="838" w:type="dxa"/>
            <w:vAlign w:val="top"/>
            <w:vMerge w:val="restart"/>
            <w:tcBorders>
              <w:left w:val="single" w:color="000000" w:sz="10" w:space="0"/>
              <w:top w:val="single" w:color="000000" w:sz="10" w:space="0"/>
              <w:bottom w:val="nil"/>
            </w:tcBorders>
          </w:tcPr>
          <w:p>
            <w:pPr>
              <w:pStyle w:val="TableText"/>
              <w:ind w:left="200"/>
              <w:spacing w:before="90" w:line="300" w:lineRule="exact"/>
              <w:rPr>
                <w:sz w:val="20"/>
                <w:szCs w:val="20"/>
              </w:rPr>
            </w:pPr>
            <w:r>
              <w:rPr>
                <w:sz w:val="20"/>
                <w:szCs w:val="20"/>
                <w:spacing w:val="3"/>
                <w:position w:val="6"/>
              </w:rPr>
              <w:t>污染</w:t>
            </w:r>
          </w:p>
          <w:p>
            <w:pPr>
              <w:pStyle w:val="TableText"/>
              <w:ind w:left="304"/>
              <w:spacing w:line="229" w:lineRule="auto"/>
              <w:rPr>
                <w:sz w:val="20"/>
                <w:szCs w:val="20"/>
              </w:rPr>
            </w:pPr>
            <w:r>
              <w:rPr>
                <w:sz w:val="20"/>
                <w:szCs w:val="20"/>
              </w:rPr>
              <w:t>物</w:t>
            </w:r>
          </w:p>
          <w:p>
            <w:pPr>
              <w:pStyle w:val="TableText"/>
              <w:ind w:left="199"/>
              <w:spacing w:before="51" w:line="228" w:lineRule="auto"/>
              <w:rPr>
                <w:sz w:val="20"/>
                <w:szCs w:val="20"/>
              </w:rPr>
            </w:pPr>
            <w:r>
              <w:rPr>
                <w:sz w:val="20"/>
                <w:szCs w:val="20"/>
                <w:spacing w:val="4"/>
              </w:rPr>
              <w:t>种类</w:t>
            </w:r>
          </w:p>
        </w:tc>
        <w:tc>
          <w:tcPr>
            <w:tcW w:w="1321" w:type="dxa"/>
            <w:vAlign w:val="top"/>
            <w:vMerge w:val="restart"/>
            <w:tcBorders>
              <w:top w:val="single" w:color="000000" w:sz="10" w:space="0"/>
              <w:bottom w:val="nil"/>
            </w:tcBorders>
          </w:tcPr>
          <w:p>
            <w:pPr>
              <w:pStyle w:val="TableText"/>
              <w:ind w:left="446"/>
              <w:spacing w:before="238" w:line="300" w:lineRule="exact"/>
              <w:rPr>
                <w:sz w:val="20"/>
                <w:szCs w:val="20"/>
              </w:rPr>
            </w:pPr>
            <w:r>
              <w:rPr>
                <w:sz w:val="20"/>
                <w:szCs w:val="20"/>
                <w:spacing w:val="4"/>
                <w:position w:val="6"/>
              </w:rPr>
              <w:t>产污</w:t>
            </w:r>
          </w:p>
          <w:p>
            <w:pPr>
              <w:pStyle w:val="TableText"/>
              <w:ind w:left="446"/>
              <w:spacing w:line="228" w:lineRule="auto"/>
              <w:rPr>
                <w:sz w:val="20"/>
                <w:szCs w:val="20"/>
              </w:rPr>
            </w:pPr>
            <w:r>
              <w:rPr>
                <w:sz w:val="20"/>
                <w:szCs w:val="20"/>
                <w:spacing w:val="4"/>
              </w:rPr>
              <w:t>环节</w:t>
            </w:r>
          </w:p>
        </w:tc>
        <w:tc>
          <w:tcPr>
            <w:tcW w:w="885" w:type="dxa"/>
            <w:vAlign w:val="top"/>
            <w:vMerge w:val="restart"/>
            <w:tcBorders>
              <w:top w:val="single" w:color="000000" w:sz="10" w:space="0"/>
              <w:bottom w:val="nil"/>
            </w:tcBorders>
          </w:tcPr>
          <w:p>
            <w:pPr>
              <w:pStyle w:val="TableText"/>
              <w:ind w:left="229"/>
              <w:spacing w:before="238" w:line="300" w:lineRule="exact"/>
              <w:rPr>
                <w:sz w:val="20"/>
                <w:szCs w:val="20"/>
              </w:rPr>
            </w:pPr>
            <w:r>
              <w:rPr>
                <w:sz w:val="20"/>
                <w:szCs w:val="20"/>
                <w:spacing w:val="4"/>
                <w:position w:val="6"/>
              </w:rPr>
              <w:t>排放</w:t>
            </w:r>
          </w:p>
          <w:p>
            <w:pPr>
              <w:pStyle w:val="TableText"/>
              <w:ind w:left="231"/>
              <w:spacing w:line="229" w:lineRule="auto"/>
              <w:rPr>
                <w:sz w:val="20"/>
                <w:szCs w:val="20"/>
              </w:rPr>
            </w:pPr>
            <w:r>
              <w:rPr>
                <w:sz w:val="20"/>
                <w:szCs w:val="20"/>
                <w:spacing w:val="3"/>
              </w:rPr>
              <w:t>形式</w:t>
            </w:r>
          </w:p>
        </w:tc>
        <w:tc>
          <w:tcPr>
            <w:tcW w:w="3143" w:type="dxa"/>
            <w:vAlign w:val="top"/>
            <w:gridSpan w:val="3"/>
            <w:tcBorders>
              <w:top w:val="single" w:color="000000" w:sz="10" w:space="0"/>
            </w:tcBorders>
          </w:tcPr>
          <w:p>
            <w:pPr>
              <w:pStyle w:val="TableText"/>
              <w:ind w:left="838"/>
              <w:spacing w:before="84" w:line="228" w:lineRule="auto"/>
              <w:rPr>
                <w:sz w:val="20"/>
                <w:szCs w:val="20"/>
              </w:rPr>
            </w:pPr>
            <w:r>
              <w:rPr>
                <w:sz w:val="20"/>
                <w:szCs w:val="20"/>
                <w:spacing w:val="8"/>
              </w:rPr>
              <w:t>污染物产生情况</w:t>
            </w:r>
          </w:p>
        </w:tc>
        <w:tc>
          <w:tcPr>
            <w:tcW w:w="3751" w:type="dxa"/>
            <w:vAlign w:val="top"/>
            <w:gridSpan w:val="3"/>
            <w:tcBorders>
              <w:top w:val="single" w:color="000000" w:sz="10" w:space="0"/>
            </w:tcBorders>
          </w:tcPr>
          <w:p>
            <w:pPr>
              <w:pStyle w:val="TableText"/>
              <w:ind w:left="1149"/>
              <w:spacing w:before="85" w:line="228" w:lineRule="auto"/>
              <w:rPr>
                <w:sz w:val="20"/>
                <w:szCs w:val="20"/>
              </w:rPr>
            </w:pPr>
            <w:r>
              <w:rPr>
                <w:sz w:val="20"/>
                <w:szCs w:val="20"/>
                <w:spacing w:val="8"/>
              </w:rPr>
              <w:t>污染物治理设施</w:t>
            </w:r>
          </w:p>
        </w:tc>
        <w:tc>
          <w:tcPr>
            <w:tcW w:w="3181" w:type="dxa"/>
            <w:vAlign w:val="top"/>
            <w:gridSpan w:val="3"/>
            <w:tcBorders>
              <w:top w:val="single" w:color="000000" w:sz="10" w:space="0"/>
            </w:tcBorders>
          </w:tcPr>
          <w:p>
            <w:pPr>
              <w:pStyle w:val="TableText"/>
              <w:ind w:left="871"/>
              <w:spacing w:before="85" w:line="228" w:lineRule="auto"/>
              <w:rPr>
                <w:sz w:val="20"/>
                <w:szCs w:val="20"/>
              </w:rPr>
            </w:pPr>
            <w:r>
              <w:rPr>
                <w:sz w:val="20"/>
                <w:szCs w:val="20"/>
                <w:spacing w:val="8"/>
              </w:rPr>
              <w:t>污染物排放情况</w:t>
            </w:r>
          </w:p>
        </w:tc>
        <w:tc>
          <w:tcPr>
            <w:tcW w:w="1058" w:type="dxa"/>
            <w:vAlign w:val="top"/>
            <w:vMerge w:val="restart"/>
            <w:tcBorders>
              <w:right w:val="single" w:color="000000" w:sz="10" w:space="0"/>
              <w:top w:val="single" w:color="000000" w:sz="10" w:space="0"/>
              <w:bottom w:val="nil"/>
            </w:tcBorders>
          </w:tcPr>
          <w:p>
            <w:pPr>
              <w:pStyle w:val="TableText"/>
              <w:ind w:left="328"/>
              <w:spacing w:before="238" w:line="229" w:lineRule="auto"/>
              <w:rPr>
                <w:sz w:val="20"/>
                <w:szCs w:val="20"/>
              </w:rPr>
            </w:pPr>
            <w:r>
              <w:rPr>
                <w:sz w:val="20"/>
                <w:szCs w:val="20"/>
                <w:spacing w:val="4"/>
              </w:rPr>
              <w:t>排放</w:t>
            </w:r>
          </w:p>
          <w:p>
            <w:pPr>
              <w:pStyle w:val="TableText"/>
              <w:ind w:right="2"/>
              <w:spacing w:before="51" w:line="230" w:lineRule="auto"/>
              <w:jc w:val="right"/>
              <w:rPr>
                <w:sz w:val="20"/>
                <w:szCs w:val="20"/>
              </w:rPr>
            </w:pPr>
            <w:r>
              <w:rPr>
                <w:sz w:val="20"/>
                <w:szCs w:val="20"/>
                <w:spacing w:val="1"/>
              </w:rPr>
              <w:t>时间（</w:t>
            </w:r>
            <w:r>
              <w:rPr>
                <w:rFonts w:ascii="Times New Roman" w:hAnsi="Times New Roman" w:eastAsia="Times New Roman" w:cs="Times New Roman"/>
                <w:sz w:val="20"/>
                <w:szCs w:val="20"/>
                <w:spacing w:val="1"/>
              </w:rPr>
              <w:t>h</w:t>
            </w:r>
            <w:r>
              <w:rPr>
                <w:sz w:val="20"/>
                <w:szCs w:val="20"/>
                <w:spacing w:val="1"/>
              </w:rPr>
              <w:t>）</w:t>
            </w:r>
          </w:p>
        </w:tc>
      </w:tr>
      <w:tr>
        <w:trPr>
          <w:trHeight w:val="599" w:hRule="atLeast"/>
        </w:trPr>
        <w:tc>
          <w:tcPr>
            <w:tcW w:w="838" w:type="dxa"/>
            <w:vAlign w:val="top"/>
            <w:vMerge w:val="continue"/>
            <w:tcBorders>
              <w:left w:val="single" w:color="000000" w:sz="10" w:space="0"/>
              <w:top w:val="nil"/>
            </w:tcBorders>
          </w:tcPr>
          <w:p>
            <w:pPr>
              <w:rPr>
                <w:rFonts w:ascii="Arial"/>
                <w:sz w:val="21"/>
              </w:rPr>
            </w:pPr>
            <w:r/>
          </w:p>
        </w:tc>
        <w:tc>
          <w:tcPr>
            <w:tcW w:w="1321" w:type="dxa"/>
            <w:vAlign w:val="top"/>
            <w:vMerge w:val="continue"/>
            <w:tcBorders>
              <w:top w:val="nil"/>
            </w:tcBorders>
          </w:tcPr>
          <w:p>
            <w:pPr>
              <w:rPr>
                <w:rFonts w:ascii="Arial"/>
                <w:sz w:val="21"/>
              </w:rPr>
            </w:pPr>
            <w:r/>
          </w:p>
        </w:tc>
        <w:tc>
          <w:tcPr>
            <w:tcW w:w="885" w:type="dxa"/>
            <w:vAlign w:val="top"/>
            <w:vMerge w:val="continue"/>
            <w:tcBorders>
              <w:top w:val="nil"/>
            </w:tcBorders>
          </w:tcPr>
          <w:p>
            <w:pPr>
              <w:rPr>
                <w:rFonts w:ascii="Arial"/>
                <w:sz w:val="21"/>
              </w:rPr>
            </w:pPr>
            <w:r/>
          </w:p>
        </w:tc>
        <w:tc>
          <w:tcPr>
            <w:tcW w:w="1129" w:type="dxa"/>
            <w:vAlign w:val="top"/>
          </w:tcPr>
          <w:p>
            <w:pPr>
              <w:pStyle w:val="TableText"/>
              <w:ind w:left="117" w:right="129" w:firstLine="25"/>
              <w:spacing w:before="62" w:line="243" w:lineRule="auto"/>
              <w:rPr>
                <w:sz w:val="20"/>
                <w:szCs w:val="20"/>
              </w:rPr>
            </w:pPr>
            <w:r>
              <w:rPr>
                <w:sz w:val="20"/>
                <w:szCs w:val="20"/>
                <w:spacing w:val="7"/>
              </w:rPr>
              <w:t>产生浓度</w:t>
            </w:r>
            <w:r>
              <w:rPr>
                <w:sz w:val="20"/>
                <w:szCs w:val="20"/>
              </w:rPr>
              <w:t xml:space="preserve"> </w:t>
            </w:r>
            <w:r>
              <w:rPr>
                <w:sz w:val="20"/>
                <w:szCs w:val="20"/>
                <w:spacing w:val="1"/>
              </w:rPr>
              <w:t>（</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1"/>
              </w:rPr>
              <w:t>/m</w:t>
            </w:r>
            <w:r>
              <w:rPr>
                <w:sz w:val="20"/>
                <w:szCs w:val="20"/>
                <w:spacing w:val="1"/>
              </w:rPr>
              <w:t>³)</w:t>
            </w:r>
          </w:p>
        </w:tc>
        <w:tc>
          <w:tcPr>
            <w:tcW w:w="1103" w:type="dxa"/>
            <w:vAlign w:val="top"/>
          </w:tcPr>
          <w:p>
            <w:pPr>
              <w:pStyle w:val="TableText"/>
              <w:ind w:left="166" w:right="135" w:hanging="34"/>
              <w:spacing w:before="62" w:line="243" w:lineRule="auto"/>
              <w:rPr>
                <w:sz w:val="20"/>
                <w:szCs w:val="20"/>
              </w:rPr>
            </w:pPr>
            <w:r>
              <w:rPr>
                <w:sz w:val="20"/>
                <w:szCs w:val="20"/>
                <w:spacing w:val="7"/>
              </w:rPr>
              <w:t>产生速率</w:t>
            </w:r>
            <w:r>
              <w:rPr>
                <w:sz w:val="20"/>
                <w:szCs w:val="20"/>
              </w:rPr>
              <w:t xml:space="preserve"> </w:t>
            </w:r>
            <w:r>
              <w:rPr>
                <w:sz w:val="20"/>
                <w:szCs w:val="20"/>
                <w:spacing w:val="1"/>
              </w:rPr>
              <w:t>（</w:t>
            </w:r>
            <w:r>
              <w:rPr>
                <w:rFonts w:ascii="Times New Roman" w:hAnsi="Times New Roman" w:eastAsia="Times New Roman" w:cs="Times New Roman"/>
                <w:sz w:val="20"/>
                <w:szCs w:val="20"/>
              </w:rPr>
              <w:t>kg</w:t>
            </w:r>
            <w:r>
              <w:rPr>
                <w:rFonts w:ascii="Times New Roman" w:hAnsi="Times New Roman" w:eastAsia="Times New Roman" w:cs="Times New Roman"/>
                <w:sz w:val="20"/>
                <w:szCs w:val="20"/>
                <w:spacing w:val="1"/>
              </w:rPr>
              <w:t>/h</w:t>
            </w:r>
            <w:r>
              <w:rPr>
                <w:sz w:val="20"/>
                <w:szCs w:val="20"/>
                <w:spacing w:val="1"/>
              </w:rPr>
              <w:t>）</w:t>
            </w:r>
          </w:p>
        </w:tc>
        <w:tc>
          <w:tcPr>
            <w:tcW w:w="911" w:type="dxa"/>
            <w:vAlign w:val="top"/>
          </w:tcPr>
          <w:p>
            <w:pPr>
              <w:pStyle w:val="TableText"/>
              <w:ind w:left="153" w:right="141" w:hanging="10"/>
              <w:spacing w:before="62" w:line="243" w:lineRule="auto"/>
              <w:rPr>
                <w:sz w:val="20"/>
                <w:szCs w:val="20"/>
              </w:rPr>
            </w:pPr>
            <w:r>
              <w:rPr>
                <w:sz w:val="20"/>
                <w:szCs w:val="20"/>
                <w:spacing w:val="6"/>
              </w:rPr>
              <w:t>产生量</w:t>
            </w:r>
            <w:r>
              <w:rPr>
                <w:sz w:val="20"/>
                <w:szCs w:val="20"/>
                <w:spacing w:val="1"/>
              </w:rPr>
              <w:t xml:space="preserve"> </w:t>
            </w:r>
            <w:r>
              <w:rPr>
                <w:sz w:val="20"/>
                <w:szCs w:val="20"/>
                <w:spacing w:val="-1"/>
              </w:rPr>
              <w:t>（</w:t>
            </w:r>
            <w:r>
              <w:rPr>
                <w:rFonts w:ascii="Times New Roman" w:hAnsi="Times New Roman" w:eastAsia="Times New Roman" w:cs="Times New Roman"/>
                <w:sz w:val="20"/>
                <w:szCs w:val="20"/>
                <w:spacing w:val="-1"/>
              </w:rPr>
              <w:t>t/a</w:t>
            </w:r>
            <w:r>
              <w:rPr>
                <w:sz w:val="20"/>
                <w:szCs w:val="20"/>
                <w:spacing w:val="-1"/>
              </w:rPr>
              <w:t>）</w:t>
            </w:r>
          </w:p>
        </w:tc>
        <w:tc>
          <w:tcPr>
            <w:tcW w:w="1798" w:type="dxa"/>
            <w:vAlign w:val="top"/>
          </w:tcPr>
          <w:p>
            <w:pPr>
              <w:pStyle w:val="TableText"/>
              <w:ind w:left="696"/>
              <w:spacing w:before="213" w:line="238" w:lineRule="auto"/>
              <w:rPr>
                <w:sz w:val="20"/>
                <w:szCs w:val="20"/>
              </w:rPr>
            </w:pPr>
            <w:r>
              <w:rPr>
                <w:sz w:val="20"/>
                <w:szCs w:val="20"/>
                <w:spacing w:val="3"/>
              </w:rPr>
              <w:t>工艺</w:t>
            </w:r>
          </w:p>
        </w:tc>
        <w:tc>
          <w:tcPr>
            <w:tcW w:w="735" w:type="dxa"/>
            <w:vAlign w:val="top"/>
          </w:tcPr>
          <w:p>
            <w:pPr>
              <w:pStyle w:val="TableText"/>
              <w:ind w:left="170"/>
              <w:spacing w:before="213" w:line="228" w:lineRule="auto"/>
              <w:rPr>
                <w:sz w:val="20"/>
                <w:szCs w:val="20"/>
              </w:rPr>
            </w:pPr>
            <w:r>
              <w:rPr>
                <w:sz w:val="20"/>
                <w:szCs w:val="20"/>
                <w:spacing w:val="2"/>
              </w:rPr>
              <w:t>效率</w:t>
            </w:r>
          </w:p>
        </w:tc>
        <w:tc>
          <w:tcPr>
            <w:tcW w:w="1218" w:type="dxa"/>
            <w:vAlign w:val="top"/>
          </w:tcPr>
          <w:p>
            <w:pPr>
              <w:pStyle w:val="TableText"/>
              <w:ind w:left="202"/>
              <w:spacing w:before="63" w:line="228" w:lineRule="auto"/>
              <w:rPr>
                <w:sz w:val="20"/>
                <w:szCs w:val="20"/>
              </w:rPr>
            </w:pPr>
            <w:r>
              <w:rPr>
                <w:sz w:val="20"/>
                <w:szCs w:val="20"/>
                <w:spacing w:val="6"/>
              </w:rPr>
              <w:t>是否为可</w:t>
            </w:r>
          </w:p>
          <w:p>
            <w:pPr>
              <w:pStyle w:val="TableText"/>
              <w:ind w:left="307"/>
              <w:spacing w:before="52" w:line="209" w:lineRule="auto"/>
              <w:rPr>
                <w:sz w:val="20"/>
                <w:szCs w:val="20"/>
              </w:rPr>
            </w:pPr>
            <w:r>
              <w:rPr>
                <w:sz w:val="20"/>
                <w:szCs w:val="20"/>
                <w:spacing w:val="5"/>
              </w:rPr>
              <w:t>行技术</w:t>
            </w:r>
          </w:p>
        </w:tc>
        <w:tc>
          <w:tcPr>
            <w:tcW w:w="1198" w:type="dxa"/>
            <w:vAlign w:val="top"/>
          </w:tcPr>
          <w:p>
            <w:pPr>
              <w:pStyle w:val="TableText"/>
              <w:ind w:left="128" w:right="173" w:firstLine="61"/>
              <w:spacing w:before="62" w:line="243" w:lineRule="auto"/>
              <w:rPr>
                <w:sz w:val="20"/>
                <w:szCs w:val="20"/>
              </w:rPr>
            </w:pPr>
            <w:r>
              <w:rPr>
                <w:sz w:val="20"/>
                <w:szCs w:val="20"/>
                <w:spacing w:val="7"/>
              </w:rPr>
              <w:t>排放浓度</w:t>
            </w:r>
            <w:r>
              <w:rPr>
                <w:sz w:val="20"/>
                <w:szCs w:val="20"/>
              </w:rPr>
              <w:t xml:space="preserve"> </w:t>
            </w:r>
            <w:r>
              <w:rPr>
                <w:sz w:val="20"/>
                <w:szCs w:val="20"/>
                <w:spacing w:val="4"/>
              </w:rPr>
              <w:t>（</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4"/>
              </w:rPr>
              <w:t>/m</w:t>
            </w:r>
            <w:r>
              <w:rPr>
                <w:sz w:val="20"/>
                <w:szCs w:val="20"/>
                <w:spacing w:val="4"/>
              </w:rPr>
              <w:t>³)</w:t>
            </w:r>
          </w:p>
        </w:tc>
        <w:tc>
          <w:tcPr>
            <w:tcW w:w="1061" w:type="dxa"/>
            <w:vAlign w:val="top"/>
          </w:tcPr>
          <w:p>
            <w:pPr>
              <w:pStyle w:val="TableText"/>
              <w:ind w:left="156" w:right="103" w:hanging="34"/>
              <w:spacing w:before="62" w:line="243" w:lineRule="auto"/>
              <w:rPr>
                <w:sz w:val="20"/>
                <w:szCs w:val="20"/>
              </w:rPr>
            </w:pPr>
            <w:r>
              <w:rPr>
                <w:sz w:val="20"/>
                <w:szCs w:val="20"/>
                <w:spacing w:val="7"/>
              </w:rPr>
              <w:t>排放速率</w:t>
            </w:r>
            <w:r>
              <w:rPr>
                <w:sz w:val="20"/>
                <w:szCs w:val="20"/>
              </w:rPr>
              <w:t xml:space="preserve"> </w:t>
            </w:r>
            <w:r>
              <w:rPr>
                <w:sz w:val="20"/>
                <w:szCs w:val="20"/>
                <w:spacing w:val="2"/>
              </w:rPr>
              <w:t>（</w:t>
            </w:r>
            <w:r>
              <w:rPr>
                <w:rFonts w:ascii="Times New Roman" w:hAnsi="Times New Roman" w:eastAsia="Times New Roman" w:cs="Times New Roman"/>
                <w:sz w:val="20"/>
                <w:szCs w:val="20"/>
              </w:rPr>
              <w:t>kg</w:t>
            </w:r>
            <w:r>
              <w:rPr>
                <w:rFonts w:ascii="Times New Roman" w:hAnsi="Times New Roman" w:eastAsia="Times New Roman" w:cs="Times New Roman"/>
                <w:sz w:val="20"/>
                <w:szCs w:val="20"/>
                <w:spacing w:val="2"/>
              </w:rPr>
              <w:t>/h</w:t>
            </w:r>
            <w:r>
              <w:rPr>
                <w:sz w:val="20"/>
                <w:szCs w:val="20"/>
                <w:spacing w:val="2"/>
              </w:rPr>
              <w:t>）</w:t>
            </w:r>
          </w:p>
        </w:tc>
        <w:tc>
          <w:tcPr>
            <w:tcW w:w="922" w:type="dxa"/>
            <w:vAlign w:val="top"/>
          </w:tcPr>
          <w:p>
            <w:pPr>
              <w:pStyle w:val="TableText"/>
              <w:ind w:left="170" w:right="135" w:hanging="10"/>
              <w:spacing w:before="62" w:line="243" w:lineRule="auto"/>
              <w:rPr>
                <w:sz w:val="20"/>
                <w:szCs w:val="20"/>
              </w:rPr>
            </w:pPr>
            <w:r>
              <w:rPr>
                <w:sz w:val="20"/>
                <w:szCs w:val="20"/>
                <w:spacing w:val="6"/>
              </w:rPr>
              <w:t>排放量</w:t>
            </w:r>
            <w:r>
              <w:rPr>
                <w:sz w:val="20"/>
                <w:szCs w:val="20"/>
                <w:spacing w:val="1"/>
              </w:rPr>
              <w:t xml:space="preserve"> </w:t>
            </w:r>
            <w:r>
              <w:rPr>
                <w:sz w:val="20"/>
                <w:szCs w:val="20"/>
              </w:rPr>
              <w:t>（</w:t>
            </w:r>
            <w:r>
              <w:rPr>
                <w:rFonts w:ascii="Times New Roman" w:hAnsi="Times New Roman" w:eastAsia="Times New Roman" w:cs="Times New Roman"/>
                <w:sz w:val="20"/>
                <w:szCs w:val="20"/>
              </w:rPr>
              <w:t>t/a</w:t>
            </w:r>
            <w:r>
              <w:rPr>
                <w:sz w:val="20"/>
                <w:szCs w:val="20"/>
              </w:rPr>
              <w:t>）</w:t>
            </w:r>
          </w:p>
        </w:tc>
        <w:tc>
          <w:tcPr>
            <w:tcW w:w="1058" w:type="dxa"/>
            <w:vAlign w:val="top"/>
            <w:vMerge w:val="continue"/>
            <w:tcBorders>
              <w:right w:val="single" w:color="000000" w:sz="10" w:space="0"/>
              <w:top w:val="nil"/>
            </w:tcBorders>
          </w:tcPr>
          <w:p>
            <w:pPr>
              <w:rPr>
                <w:rFonts w:ascii="Arial"/>
                <w:sz w:val="21"/>
              </w:rPr>
            </w:pPr>
            <w:r/>
          </w:p>
        </w:tc>
      </w:tr>
      <w:tr>
        <w:trPr>
          <w:trHeight w:val="896" w:hRule="atLeast"/>
        </w:trPr>
        <w:tc>
          <w:tcPr>
            <w:tcW w:w="838" w:type="dxa"/>
            <w:vAlign w:val="top"/>
            <w:vMerge w:val="restart"/>
            <w:tcBorders>
              <w:left w:val="single" w:color="000000" w:sz="10" w:space="0"/>
              <w:bottom w:val="nil"/>
            </w:tcBorders>
          </w:tcPr>
          <w:p>
            <w:pPr>
              <w:spacing w:line="306" w:lineRule="auto"/>
              <w:rPr>
                <w:rFonts w:ascii="Arial"/>
                <w:sz w:val="21"/>
              </w:rPr>
            </w:pPr>
            <w:r/>
          </w:p>
          <w:p>
            <w:pPr>
              <w:pStyle w:val="TableText"/>
              <w:ind w:left="202"/>
              <w:spacing w:before="65" w:line="228" w:lineRule="auto"/>
              <w:rPr>
                <w:sz w:val="20"/>
                <w:szCs w:val="20"/>
              </w:rPr>
            </w:pPr>
            <w:r>
              <w:rPr>
                <w:sz w:val="20"/>
                <w:szCs w:val="20"/>
                <w:spacing w:val="3"/>
              </w:rPr>
              <w:t>非甲</w:t>
            </w:r>
          </w:p>
          <w:p>
            <w:pPr>
              <w:pStyle w:val="TableText"/>
              <w:ind w:left="199"/>
              <w:spacing w:before="53" w:line="228" w:lineRule="auto"/>
              <w:rPr>
                <w:sz w:val="20"/>
                <w:szCs w:val="20"/>
              </w:rPr>
            </w:pPr>
            <w:r>
              <w:rPr>
                <w:sz w:val="20"/>
                <w:szCs w:val="20"/>
                <w:spacing w:val="4"/>
              </w:rPr>
              <w:t>烷总</w:t>
            </w:r>
          </w:p>
          <w:p>
            <w:pPr>
              <w:pStyle w:val="TableText"/>
              <w:ind w:left="305"/>
              <w:spacing w:before="53" w:line="228" w:lineRule="auto"/>
              <w:rPr>
                <w:sz w:val="20"/>
                <w:szCs w:val="20"/>
              </w:rPr>
            </w:pPr>
            <w:r>
              <w:rPr>
                <w:sz w:val="20"/>
                <w:szCs w:val="20"/>
              </w:rPr>
              <w:t>烃</w:t>
            </w:r>
          </w:p>
        </w:tc>
        <w:tc>
          <w:tcPr>
            <w:tcW w:w="1321" w:type="dxa"/>
            <w:vAlign w:val="top"/>
            <w:vMerge w:val="restart"/>
            <w:tcBorders>
              <w:bottom w:val="nil"/>
            </w:tcBorders>
          </w:tcPr>
          <w:p>
            <w:pPr>
              <w:spacing w:line="305" w:lineRule="auto"/>
              <w:rPr>
                <w:rFonts w:ascii="Arial"/>
                <w:sz w:val="21"/>
              </w:rPr>
            </w:pPr>
            <w:r/>
          </w:p>
          <w:p>
            <w:pPr>
              <w:pStyle w:val="TableText"/>
              <w:ind w:left="139" w:right="145" w:hanging="6"/>
              <w:spacing w:before="65" w:line="261" w:lineRule="auto"/>
              <w:rPr>
                <w:sz w:val="20"/>
                <w:szCs w:val="20"/>
              </w:rPr>
            </w:pPr>
            <w:r>
              <w:rPr>
                <w:sz w:val="20"/>
                <w:szCs w:val="20"/>
                <w:spacing w:val="7"/>
              </w:rPr>
              <w:t>塑化挤出、</w:t>
            </w:r>
            <w:r>
              <w:rPr>
                <w:sz w:val="20"/>
                <w:szCs w:val="20"/>
              </w:rPr>
              <w:t xml:space="preserve"> </w:t>
            </w:r>
            <w:r>
              <w:rPr>
                <w:sz w:val="20"/>
                <w:szCs w:val="20"/>
                <w:spacing w:val="6"/>
              </w:rPr>
              <w:t>吹胀牵引及</w:t>
            </w:r>
            <w:r>
              <w:rPr>
                <w:sz w:val="20"/>
                <w:szCs w:val="20"/>
              </w:rPr>
              <w:t xml:space="preserve"> </w:t>
            </w:r>
            <w:r>
              <w:rPr>
                <w:sz w:val="20"/>
                <w:szCs w:val="20"/>
                <w:spacing w:val="31"/>
              </w:rPr>
              <w:t>风环冷却</w:t>
            </w:r>
          </w:p>
        </w:tc>
        <w:tc>
          <w:tcPr>
            <w:tcW w:w="885" w:type="dxa"/>
            <w:vAlign w:val="top"/>
          </w:tcPr>
          <w:p>
            <w:pPr>
              <w:spacing w:line="302" w:lineRule="auto"/>
              <w:rPr>
                <w:rFonts w:ascii="Arial"/>
                <w:sz w:val="21"/>
              </w:rPr>
            </w:pPr>
            <w:r/>
          </w:p>
          <w:p>
            <w:pPr>
              <w:pStyle w:val="TableText"/>
              <w:ind w:left="124"/>
              <w:spacing w:before="65" w:line="228" w:lineRule="auto"/>
              <w:rPr>
                <w:sz w:val="20"/>
                <w:szCs w:val="20"/>
              </w:rPr>
            </w:pPr>
            <w:r>
              <w:rPr>
                <w:sz w:val="20"/>
                <w:szCs w:val="20"/>
                <w:spacing w:val="6"/>
              </w:rPr>
              <w:t>有组织</w:t>
            </w:r>
          </w:p>
        </w:tc>
        <w:tc>
          <w:tcPr>
            <w:tcW w:w="1129" w:type="dxa"/>
            <w:vAlign w:val="top"/>
          </w:tcPr>
          <w:p>
            <w:pPr>
              <w:spacing w:line="361" w:lineRule="auto"/>
              <w:rPr>
                <w:rFonts w:ascii="Arial"/>
                <w:sz w:val="21"/>
              </w:rPr>
            </w:pPr>
            <w:r/>
          </w:p>
          <w:p>
            <w:pPr>
              <w:ind w:left="328"/>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31.57</w:t>
            </w:r>
          </w:p>
        </w:tc>
        <w:tc>
          <w:tcPr>
            <w:tcW w:w="1103" w:type="dxa"/>
            <w:vAlign w:val="top"/>
          </w:tcPr>
          <w:p>
            <w:pPr>
              <w:spacing w:line="361" w:lineRule="auto"/>
              <w:rPr>
                <w:rFonts w:ascii="Arial"/>
                <w:sz w:val="21"/>
              </w:rPr>
            </w:pPr>
            <w:r/>
          </w:p>
          <w:p>
            <w:pPr>
              <w:ind w:left="367"/>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0.69</w:t>
            </w:r>
          </w:p>
        </w:tc>
        <w:tc>
          <w:tcPr>
            <w:tcW w:w="911" w:type="dxa"/>
            <w:vAlign w:val="top"/>
          </w:tcPr>
          <w:p>
            <w:pPr>
              <w:spacing w:line="361" w:lineRule="auto"/>
              <w:rPr>
                <w:rFonts w:ascii="Arial"/>
                <w:sz w:val="21"/>
              </w:rPr>
            </w:pPr>
            <w:r/>
          </w:p>
          <w:p>
            <w:pPr>
              <w:ind w:left="423"/>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98" w:type="dxa"/>
            <w:vAlign w:val="top"/>
          </w:tcPr>
          <w:p>
            <w:pPr>
              <w:pStyle w:val="TableText"/>
              <w:ind w:left="219"/>
              <w:spacing w:before="68" w:line="227" w:lineRule="auto"/>
              <w:rPr>
                <w:sz w:val="20"/>
                <w:szCs w:val="20"/>
              </w:rPr>
            </w:pPr>
            <w:r>
              <w:rPr>
                <w:sz w:val="20"/>
                <w:szCs w:val="20"/>
                <w:spacing w:val="7"/>
              </w:rPr>
              <w:t>活性炭吸附</w:t>
            </w:r>
            <w:r>
              <w:rPr>
                <w:rFonts w:ascii="Times New Roman" w:hAnsi="Times New Roman" w:eastAsia="Times New Roman" w:cs="Times New Roman"/>
                <w:sz w:val="20"/>
                <w:szCs w:val="20"/>
                <w:spacing w:val="7"/>
              </w:rPr>
              <w:t>+</w:t>
            </w:r>
            <w:r>
              <w:rPr>
                <w:sz w:val="20"/>
                <w:szCs w:val="20"/>
                <w:spacing w:val="7"/>
              </w:rPr>
              <w:t>直</w:t>
            </w:r>
          </w:p>
          <w:p>
            <w:pPr>
              <w:pStyle w:val="TableText"/>
              <w:ind w:left="273"/>
              <w:spacing w:before="54" w:line="227" w:lineRule="auto"/>
              <w:rPr>
                <w:sz w:val="20"/>
                <w:szCs w:val="20"/>
              </w:rPr>
            </w:pPr>
            <w:r>
              <w:rPr>
                <w:sz w:val="20"/>
                <w:szCs w:val="20"/>
                <w:spacing w:val="8"/>
              </w:rPr>
              <w:t>接催化燃烧法</w:t>
            </w:r>
          </w:p>
          <w:p>
            <w:pPr>
              <w:pStyle w:val="TableText"/>
              <w:ind w:left="339"/>
              <w:spacing w:before="53" w:line="201" w:lineRule="auto"/>
              <w:rPr>
                <w:sz w:val="20"/>
                <w:szCs w:val="20"/>
              </w:rPr>
            </w:pPr>
            <w:r>
              <w:rPr>
                <w:rFonts w:ascii="Times New Roman" w:hAnsi="Times New Roman" w:eastAsia="Times New Roman" w:cs="Times New Roman"/>
                <w:sz w:val="20"/>
                <w:szCs w:val="20"/>
                <w:spacing w:val="6"/>
              </w:rPr>
              <w:t>+15m</w:t>
            </w:r>
            <w:r>
              <w:rPr>
                <w:sz w:val="20"/>
                <w:szCs w:val="20"/>
                <w:spacing w:val="6"/>
              </w:rPr>
              <w:t>排气筒</w:t>
            </w:r>
          </w:p>
        </w:tc>
        <w:tc>
          <w:tcPr>
            <w:tcW w:w="735" w:type="dxa"/>
            <w:vAlign w:val="top"/>
          </w:tcPr>
          <w:p>
            <w:pPr>
              <w:spacing w:line="361" w:lineRule="auto"/>
              <w:rPr>
                <w:rFonts w:ascii="Arial"/>
                <w:sz w:val="21"/>
              </w:rPr>
            </w:pPr>
            <w:r/>
          </w:p>
          <w:p>
            <w:pPr>
              <w:ind w:left="187"/>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85%</w:t>
            </w:r>
          </w:p>
        </w:tc>
        <w:tc>
          <w:tcPr>
            <w:tcW w:w="1218" w:type="dxa"/>
            <w:vAlign w:val="top"/>
          </w:tcPr>
          <w:p>
            <w:pPr>
              <w:spacing w:line="302" w:lineRule="auto"/>
              <w:rPr>
                <w:rFonts w:ascii="Arial"/>
                <w:sz w:val="21"/>
              </w:rPr>
            </w:pPr>
            <w:r/>
          </w:p>
          <w:p>
            <w:pPr>
              <w:pStyle w:val="TableText"/>
              <w:ind w:left="409"/>
              <w:spacing w:before="65" w:line="228" w:lineRule="auto"/>
              <w:rPr>
                <w:sz w:val="20"/>
                <w:szCs w:val="20"/>
              </w:rPr>
            </w:pPr>
            <w:r>
              <w:rPr>
                <w:sz w:val="20"/>
                <w:szCs w:val="20"/>
                <w:spacing w:val="3"/>
              </w:rPr>
              <w:t>可行</w:t>
            </w:r>
          </w:p>
        </w:tc>
        <w:tc>
          <w:tcPr>
            <w:tcW w:w="1198" w:type="dxa"/>
            <w:vAlign w:val="top"/>
          </w:tcPr>
          <w:p>
            <w:pPr>
              <w:spacing w:line="361" w:lineRule="auto"/>
              <w:rPr>
                <w:rFonts w:ascii="Arial"/>
                <w:sz w:val="21"/>
              </w:rPr>
            </w:pPr>
            <w:r/>
          </w:p>
          <w:p>
            <w:pPr>
              <w:ind w:left="42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4.73</w:t>
            </w:r>
          </w:p>
        </w:tc>
        <w:tc>
          <w:tcPr>
            <w:tcW w:w="1061" w:type="dxa"/>
            <w:vAlign w:val="top"/>
          </w:tcPr>
          <w:p>
            <w:pPr>
              <w:spacing w:line="361" w:lineRule="auto"/>
              <w:rPr>
                <w:rFonts w:ascii="Arial"/>
                <w:sz w:val="21"/>
              </w:rPr>
            </w:pPr>
            <w:r/>
          </w:p>
          <w:p>
            <w:pPr>
              <w:ind w:left="306"/>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0.104</w:t>
            </w:r>
          </w:p>
        </w:tc>
        <w:tc>
          <w:tcPr>
            <w:tcW w:w="922" w:type="dxa"/>
            <w:vAlign w:val="top"/>
          </w:tcPr>
          <w:p>
            <w:pPr>
              <w:spacing w:line="361" w:lineRule="auto"/>
              <w:rPr>
                <w:rFonts w:ascii="Arial"/>
                <w:sz w:val="21"/>
              </w:rPr>
            </w:pPr>
            <w:r/>
          </w:p>
          <w:p>
            <w:pPr>
              <w:ind w:left="292"/>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0.15</w:t>
            </w:r>
          </w:p>
        </w:tc>
        <w:tc>
          <w:tcPr>
            <w:tcW w:w="1058" w:type="dxa"/>
            <w:vAlign w:val="top"/>
            <w:vMerge w:val="restart"/>
            <w:tcBorders>
              <w:bottom w:val="nil"/>
              <w:right w:val="single" w:color="000000" w:sz="10" w:space="0"/>
            </w:tcBorders>
          </w:tcPr>
          <w:p>
            <w:pPr>
              <w:spacing w:line="332" w:lineRule="auto"/>
              <w:rPr>
                <w:rFonts w:ascii="Arial"/>
                <w:sz w:val="21"/>
              </w:rPr>
            </w:pPr>
            <w:r/>
          </w:p>
          <w:p>
            <w:pPr>
              <w:spacing w:line="332" w:lineRule="auto"/>
              <w:rPr>
                <w:rFonts w:ascii="Arial"/>
                <w:sz w:val="21"/>
              </w:rPr>
            </w:pPr>
            <w:r/>
          </w:p>
          <w:p>
            <w:pPr>
              <w:ind w:left="344"/>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1440</w:t>
            </w:r>
          </w:p>
        </w:tc>
      </w:tr>
      <w:tr>
        <w:trPr>
          <w:trHeight w:val="622" w:hRule="atLeast"/>
        </w:trPr>
        <w:tc>
          <w:tcPr>
            <w:tcW w:w="838" w:type="dxa"/>
            <w:vAlign w:val="top"/>
            <w:vMerge w:val="continue"/>
            <w:tcBorders>
              <w:left w:val="single" w:color="000000" w:sz="10" w:space="0"/>
              <w:bottom w:val="single" w:color="000000" w:sz="10" w:space="0"/>
              <w:top w:val="nil"/>
            </w:tcBorders>
          </w:tcPr>
          <w:p>
            <w:pPr>
              <w:rPr>
                <w:rFonts w:ascii="Arial"/>
                <w:sz w:val="21"/>
              </w:rPr>
            </w:pPr>
            <w:r/>
          </w:p>
        </w:tc>
        <w:tc>
          <w:tcPr>
            <w:tcW w:w="1321" w:type="dxa"/>
            <w:vAlign w:val="top"/>
            <w:vMerge w:val="continue"/>
            <w:tcBorders>
              <w:bottom w:val="single" w:color="000000" w:sz="10" w:space="0"/>
              <w:top w:val="nil"/>
            </w:tcBorders>
          </w:tcPr>
          <w:p>
            <w:pPr>
              <w:rPr>
                <w:rFonts w:ascii="Arial"/>
                <w:sz w:val="21"/>
              </w:rPr>
            </w:pPr>
            <w:r/>
          </w:p>
        </w:tc>
        <w:tc>
          <w:tcPr>
            <w:tcW w:w="885" w:type="dxa"/>
            <w:vAlign w:val="top"/>
            <w:tcBorders>
              <w:bottom w:val="single" w:color="000000" w:sz="10" w:space="0"/>
            </w:tcBorders>
          </w:tcPr>
          <w:p>
            <w:pPr>
              <w:pStyle w:val="TableText"/>
              <w:ind w:left="125"/>
              <w:spacing w:before="228" w:line="228" w:lineRule="auto"/>
              <w:rPr>
                <w:sz w:val="20"/>
                <w:szCs w:val="20"/>
              </w:rPr>
            </w:pPr>
            <w:r>
              <w:rPr>
                <w:sz w:val="20"/>
                <w:szCs w:val="20"/>
                <w:spacing w:val="6"/>
              </w:rPr>
              <w:t>无组织</w:t>
            </w:r>
          </w:p>
        </w:tc>
        <w:tc>
          <w:tcPr>
            <w:tcW w:w="1129" w:type="dxa"/>
            <w:vAlign w:val="top"/>
            <w:tcBorders>
              <w:bottom w:val="single" w:color="000000" w:sz="10" w:space="0"/>
            </w:tcBorders>
          </w:tcPr>
          <w:p>
            <w:pPr>
              <w:spacing w:line="307" w:lineRule="auto"/>
              <w:rPr>
                <w:rFonts w:ascii="Arial"/>
                <w:sz w:val="21"/>
              </w:rPr>
            </w:pPr>
            <w:r/>
          </w:p>
          <w:p>
            <w:pPr>
              <w:ind w:left="527"/>
              <w:spacing w:before="58" w:line="96"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c>
          <w:tcPr>
            <w:tcW w:w="1103" w:type="dxa"/>
            <w:vAlign w:val="top"/>
            <w:tcBorders>
              <w:bottom w:val="single" w:color="000000" w:sz="10" w:space="0"/>
            </w:tcBorders>
          </w:tcPr>
          <w:p>
            <w:pPr>
              <w:ind w:left="314"/>
              <w:spacing w:before="27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0.174</w:t>
            </w:r>
          </w:p>
        </w:tc>
        <w:tc>
          <w:tcPr>
            <w:tcW w:w="911" w:type="dxa"/>
            <w:vAlign w:val="top"/>
            <w:tcBorders>
              <w:bottom w:val="single" w:color="000000" w:sz="10" w:space="0"/>
            </w:tcBorders>
          </w:tcPr>
          <w:p>
            <w:pPr>
              <w:ind w:left="274"/>
              <w:spacing w:before="27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0.25</w:t>
            </w:r>
          </w:p>
        </w:tc>
        <w:tc>
          <w:tcPr>
            <w:tcW w:w="1798" w:type="dxa"/>
            <w:vAlign w:val="top"/>
            <w:tcBorders>
              <w:bottom w:val="single" w:color="000000" w:sz="10" w:space="0"/>
            </w:tcBorders>
          </w:tcPr>
          <w:p>
            <w:pPr>
              <w:pStyle w:val="TableText"/>
              <w:ind w:left="168"/>
              <w:spacing w:before="76" w:line="228" w:lineRule="auto"/>
              <w:rPr>
                <w:sz w:val="20"/>
                <w:szCs w:val="20"/>
              </w:rPr>
            </w:pPr>
            <w:r>
              <w:rPr>
                <w:sz w:val="20"/>
                <w:szCs w:val="20"/>
                <w:spacing w:val="8"/>
              </w:rPr>
              <w:t>加强集气罩密闭</w:t>
            </w:r>
          </w:p>
          <w:p>
            <w:pPr>
              <w:pStyle w:val="TableText"/>
              <w:ind w:left="276"/>
              <w:spacing w:before="53" w:line="217" w:lineRule="auto"/>
              <w:rPr>
                <w:sz w:val="20"/>
                <w:szCs w:val="20"/>
              </w:rPr>
            </w:pPr>
            <w:r>
              <w:rPr>
                <w:sz w:val="20"/>
                <w:szCs w:val="20"/>
                <w:spacing w:val="7"/>
              </w:rPr>
              <w:t>性，定期通风</w:t>
            </w:r>
          </w:p>
        </w:tc>
        <w:tc>
          <w:tcPr>
            <w:tcW w:w="735" w:type="dxa"/>
            <w:vAlign w:val="top"/>
            <w:tcBorders>
              <w:bottom w:val="single" w:color="000000" w:sz="10" w:space="0"/>
            </w:tcBorders>
          </w:tcPr>
          <w:p>
            <w:pPr>
              <w:spacing w:line="307" w:lineRule="auto"/>
              <w:rPr>
                <w:rFonts w:ascii="Arial"/>
                <w:sz w:val="21"/>
              </w:rPr>
            </w:pPr>
            <w:r/>
          </w:p>
          <w:p>
            <w:pPr>
              <w:ind w:left="341"/>
              <w:spacing w:before="58" w:line="96"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c>
          <w:tcPr>
            <w:tcW w:w="1218" w:type="dxa"/>
            <w:vAlign w:val="top"/>
            <w:tcBorders>
              <w:bottom w:val="single" w:color="000000" w:sz="10" w:space="0"/>
            </w:tcBorders>
          </w:tcPr>
          <w:p>
            <w:pPr>
              <w:pStyle w:val="TableText"/>
              <w:ind w:left="409"/>
              <w:spacing w:before="228" w:line="228" w:lineRule="auto"/>
              <w:rPr>
                <w:sz w:val="20"/>
                <w:szCs w:val="20"/>
              </w:rPr>
            </w:pPr>
            <w:r>
              <w:rPr>
                <w:sz w:val="20"/>
                <w:szCs w:val="20"/>
                <w:spacing w:val="3"/>
              </w:rPr>
              <w:t>可行</w:t>
            </w:r>
          </w:p>
        </w:tc>
        <w:tc>
          <w:tcPr>
            <w:tcW w:w="1198" w:type="dxa"/>
            <w:vAlign w:val="top"/>
            <w:tcBorders>
              <w:bottom w:val="single" w:color="000000" w:sz="10" w:space="0"/>
            </w:tcBorders>
          </w:tcPr>
          <w:p>
            <w:pPr>
              <w:spacing w:line="307" w:lineRule="auto"/>
              <w:rPr>
                <w:rFonts w:ascii="Arial"/>
                <w:sz w:val="21"/>
              </w:rPr>
            </w:pPr>
            <w:r/>
          </w:p>
          <w:p>
            <w:pPr>
              <w:ind w:left="574"/>
              <w:spacing w:before="58" w:line="96"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c>
          <w:tcPr>
            <w:tcW w:w="1061" w:type="dxa"/>
            <w:vAlign w:val="top"/>
            <w:tcBorders>
              <w:bottom w:val="single" w:color="000000" w:sz="10" w:space="0"/>
            </w:tcBorders>
          </w:tcPr>
          <w:p>
            <w:pPr>
              <w:ind w:left="306"/>
              <w:spacing w:before="27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0.174</w:t>
            </w:r>
          </w:p>
        </w:tc>
        <w:tc>
          <w:tcPr>
            <w:tcW w:w="922" w:type="dxa"/>
            <w:vAlign w:val="top"/>
            <w:tcBorders>
              <w:bottom w:val="single" w:color="000000" w:sz="10" w:space="0"/>
            </w:tcBorders>
          </w:tcPr>
          <w:p>
            <w:pPr>
              <w:ind w:left="292"/>
              <w:spacing w:before="27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0.25</w:t>
            </w:r>
          </w:p>
        </w:tc>
        <w:tc>
          <w:tcPr>
            <w:tcW w:w="1058" w:type="dxa"/>
            <w:vAlign w:val="top"/>
            <w:vMerge w:val="continue"/>
            <w:tcBorders>
              <w:bottom w:val="single" w:color="000000" w:sz="10" w:space="0"/>
              <w:right w:val="single" w:color="000000" w:sz="10" w:space="0"/>
              <w:top w:val="nil"/>
            </w:tcBorders>
          </w:tcPr>
          <w:p>
            <w:pPr>
              <w:rPr>
                <w:rFonts w:ascii="Arial"/>
                <w:sz w:val="21"/>
              </w:rPr>
            </w:pPr>
            <w:r/>
          </w:p>
        </w:tc>
      </w:tr>
    </w:tbl>
    <w:p>
      <w:pPr>
        <w:ind w:left="5286"/>
        <w:spacing w:before="115" w:line="219"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sz w:val="24"/>
          <w:szCs w:val="24"/>
          <w:b/>
          <w:bCs/>
        </w:rPr>
        <w:t>4.2-3    </w:t>
      </w:r>
      <w:r>
        <w:rPr>
          <w:rFonts w:ascii="SimSun" w:hAnsi="SimSun" w:eastAsia="SimSun" w:cs="SimSun"/>
          <w:sz w:val="24"/>
          <w:szCs w:val="24"/>
          <w14:textOutline w14:w="4358" w14:cap="sq" w14:cmpd="sng">
            <w14:solidFill>
              <w14:srgbClr w14:val="000000"/>
            </w14:solidFill>
            <w14:prstDash w14:val="solid"/>
            <w14:bevel/>
          </w14:textOutline>
        </w:rPr>
        <w:t>点源大气排放口基本情况表</w:t>
      </w:r>
    </w:p>
    <w:tbl>
      <w:tblPr>
        <w:tblStyle w:val="TableNormal"/>
        <w:tblW w:w="14168" w:type="dxa"/>
        <w:tblInd w:w="12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80"/>
        <w:gridCol w:w="1048"/>
        <w:gridCol w:w="1043"/>
        <w:gridCol w:w="1103"/>
        <w:gridCol w:w="898"/>
        <w:gridCol w:w="1102"/>
        <w:gridCol w:w="1089"/>
        <w:gridCol w:w="885"/>
        <w:gridCol w:w="640"/>
        <w:gridCol w:w="885"/>
        <w:gridCol w:w="1879"/>
        <w:gridCol w:w="1688"/>
        <w:gridCol w:w="1328"/>
      </w:tblGrid>
      <w:tr>
        <w:trPr>
          <w:trHeight w:val="364" w:hRule="atLeast"/>
        </w:trPr>
        <w:tc>
          <w:tcPr>
            <w:tcW w:w="580" w:type="dxa"/>
            <w:vAlign w:val="top"/>
            <w:vMerge w:val="restart"/>
            <w:textDirection w:val="tbRlV"/>
            <w:tcBorders>
              <w:left w:val="single" w:color="000000" w:sz="10" w:space="0"/>
              <w:top w:val="single" w:color="000000" w:sz="10" w:space="0"/>
              <w:bottom w:val="nil"/>
            </w:tcBorders>
          </w:tcPr>
          <w:p>
            <w:pPr>
              <w:pStyle w:val="TableText"/>
              <w:ind w:left="119"/>
              <w:spacing w:before="188" w:line="214" w:lineRule="auto"/>
              <w:rPr>
                <w:sz w:val="20"/>
                <w:szCs w:val="20"/>
              </w:rPr>
            </w:pPr>
            <w:r>
              <w:rPr>
                <w:sz w:val="20"/>
                <w:szCs w:val="20"/>
                <w:spacing w:val="8"/>
              </w:rPr>
              <w:t>编</w:t>
            </w:r>
            <w:r>
              <w:rPr>
                <w:sz w:val="20"/>
                <w:szCs w:val="20"/>
                <w:spacing w:val="51"/>
              </w:rPr>
              <w:t xml:space="preserve"> </w:t>
            </w:r>
            <w:r>
              <w:rPr>
                <w:sz w:val="20"/>
                <w:szCs w:val="20"/>
                <w:spacing w:val="8"/>
              </w:rPr>
              <w:t>号</w:t>
            </w:r>
          </w:p>
        </w:tc>
        <w:tc>
          <w:tcPr>
            <w:tcW w:w="1048" w:type="dxa"/>
            <w:vAlign w:val="top"/>
            <w:vMerge w:val="restart"/>
            <w:tcBorders>
              <w:top w:val="single" w:color="000000" w:sz="10" w:space="0"/>
              <w:bottom w:val="nil"/>
            </w:tcBorders>
          </w:tcPr>
          <w:p>
            <w:pPr>
              <w:pStyle w:val="TableText"/>
              <w:ind w:left="205"/>
              <w:spacing w:before="119" w:line="228" w:lineRule="auto"/>
              <w:rPr>
                <w:sz w:val="20"/>
                <w:szCs w:val="20"/>
              </w:rPr>
            </w:pPr>
            <w:r>
              <w:rPr>
                <w:sz w:val="20"/>
                <w:szCs w:val="20"/>
                <w:spacing w:val="6"/>
              </w:rPr>
              <w:t>污染源</w:t>
            </w:r>
          </w:p>
          <w:p>
            <w:pPr>
              <w:pStyle w:val="TableText"/>
              <w:ind w:left="311"/>
              <w:spacing w:before="112" w:line="221" w:lineRule="auto"/>
              <w:rPr>
                <w:sz w:val="20"/>
                <w:szCs w:val="20"/>
              </w:rPr>
            </w:pPr>
            <w:r>
              <w:rPr>
                <w:sz w:val="20"/>
                <w:szCs w:val="20"/>
                <w:spacing w:val="3"/>
              </w:rPr>
              <w:t>名称</w:t>
            </w:r>
          </w:p>
        </w:tc>
        <w:tc>
          <w:tcPr>
            <w:tcW w:w="2146" w:type="dxa"/>
            <w:vAlign w:val="top"/>
            <w:gridSpan w:val="2"/>
            <w:tcBorders>
              <w:top w:val="single" w:color="000000" w:sz="10" w:space="0"/>
            </w:tcBorders>
          </w:tcPr>
          <w:p>
            <w:pPr>
              <w:pStyle w:val="TableText"/>
              <w:ind w:left="127"/>
              <w:spacing w:before="114" w:line="221" w:lineRule="auto"/>
              <w:rPr>
                <w:sz w:val="20"/>
                <w:szCs w:val="20"/>
              </w:rPr>
            </w:pPr>
            <w:r>
              <w:rPr>
                <w:sz w:val="20"/>
                <w:szCs w:val="20"/>
                <w:spacing w:val="8"/>
              </w:rPr>
              <w:t>排气筒底部中心坐标</w:t>
            </w:r>
          </w:p>
        </w:tc>
        <w:tc>
          <w:tcPr>
            <w:tcW w:w="898" w:type="dxa"/>
            <w:vAlign w:val="top"/>
            <w:vMerge w:val="restart"/>
            <w:tcBorders>
              <w:top w:val="single" w:color="000000" w:sz="10" w:space="0"/>
              <w:bottom w:val="nil"/>
            </w:tcBorders>
          </w:tcPr>
          <w:p>
            <w:pPr>
              <w:pStyle w:val="TableText"/>
              <w:ind w:left="134" w:right="131"/>
              <w:spacing w:before="118" w:line="277" w:lineRule="auto"/>
              <w:rPr>
                <w:rFonts w:ascii="Times New Roman" w:hAnsi="Times New Roman" w:eastAsia="Times New Roman" w:cs="Times New Roman"/>
                <w:sz w:val="20"/>
                <w:szCs w:val="20"/>
              </w:rPr>
            </w:pPr>
            <w:r>
              <w:rPr>
                <w:sz w:val="20"/>
                <w:szCs w:val="20"/>
                <w:spacing w:val="6"/>
              </w:rPr>
              <w:t>排气筒</w:t>
            </w:r>
            <w:r>
              <w:rPr>
                <w:sz w:val="20"/>
                <w:szCs w:val="20"/>
                <w:spacing w:val="1"/>
              </w:rPr>
              <w:t xml:space="preserve"> </w:t>
            </w:r>
            <w:r>
              <w:rPr>
                <w:sz w:val="20"/>
                <w:szCs w:val="20"/>
                <w:spacing w:val="3"/>
              </w:rPr>
              <w:t>高度</w:t>
            </w:r>
            <w:r>
              <w:rPr>
                <w:rFonts w:ascii="Times New Roman" w:hAnsi="Times New Roman" w:eastAsia="Times New Roman" w:cs="Times New Roman"/>
                <w:sz w:val="20"/>
                <w:szCs w:val="20"/>
                <w:spacing w:val="3"/>
              </w:rPr>
              <w:t>/m</w:t>
            </w:r>
          </w:p>
        </w:tc>
        <w:tc>
          <w:tcPr>
            <w:tcW w:w="1102" w:type="dxa"/>
            <w:vAlign w:val="top"/>
            <w:vMerge w:val="restart"/>
            <w:tcBorders>
              <w:top w:val="single" w:color="000000" w:sz="10" w:space="0"/>
              <w:bottom w:val="nil"/>
            </w:tcBorders>
          </w:tcPr>
          <w:p>
            <w:pPr>
              <w:pStyle w:val="TableText"/>
              <w:ind w:left="159" w:right="127" w:hanging="26"/>
              <w:spacing w:before="118" w:line="277" w:lineRule="auto"/>
              <w:rPr>
                <w:rFonts w:ascii="Times New Roman" w:hAnsi="Times New Roman" w:eastAsia="Times New Roman" w:cs="Times New Roman"/>
                <w:sz w:val="20"/>
                <w:szCs w:val="20"/>
              </w:rPr>
            </w:pPr>
            <w:r>
              <w:rPr>
                <w:sz w:val="20"/>
                <w:szCs w:val="20"/>
                <w:spacing w:val="7"/>
              </w:rPr>
              <w:t>排气筒出</w:t>
            </w:r>
            <w:r>
              <w:rPr>
                <w:sz w:val="20"/>
                <w:szCs w:val="20"/>
              </w:rPr>
              <w:t xml:space="preserve"> </w:t>
            </w:r>
            <w:r>
              <w:rPr>
                <w:sz w:val="20"/>
                <w:szCs w:val="20"/>
                <w:spacing w:val="-1"/>
              </w:rPr>
              <w:t>口内径</w:t>
            </w:r>
            <w:r>
              <w:rPr>
                <w:rFonts w:ascii="Times New Roman" w:hAnsi="Times New Roman" w:eastAsia="Times New Roman" w:cs="Times New Roman"/>
                <w:sz w:val="20"/>
                <w:szCs w:val="20"/>
                <w:spacing w:val="-1"/>
              </w:rPr>
              <w:t>/m</w:t>
            </w:r>
          </w:p>
        </w:tc>
        <w:tc>
          <w:tcPr>
            <w:tcW w:w="1089" w:type="dxa"/>
            <w:vAlign w:val="top"/>
            <w:vMerge w:val="restart"/>
            <w:tcBorders>
              <w:top w:val="single" w:color="000000" w:sz="10" w:space="0"/>
              <w:bottom w:val="nil"/>
            </w:tcBorders>
          </w:tcPr>
          <w:p>
            <w:pPr>
              <w:pStyle w:val="TableText"/>
              <w:ind w:left="206" w:right="125" w:hanging="79"/>
              <w:spacing w:before="118" w:line="277" w:lineRule="auto"/>
              <w:rPr>
                <w:sz w:val="20"/>
                <w:szCs w:val="20"/>
              </w:rPr>
            </w:pPr>
            <w:r>
              <w:rPr>
                <w:sz w:val="20"/>
                <w:szCs w:val="20"/>
                <w:spacing w:val="7"/>
              </w:rPr>
              <w:t>废气出口</w:t>
            </w:r>
            <w:r>
              <w:rPr>
                <w:sz w:val="20"/>
                <w:szCs w:val="20"/>
                <w:spacing w:val="1"/>
              </w:rPr>
              <w:t xml:space="preserve"> </w:t>
            </w:r>
            <w:r>
              <w:rPr>
                <w:sz w:val="20"/>
                <w:szCs w:val="20"/>
                <w:spacing w:val="5"/>
              </w:rPr>
              <w:t>温度</w:t>
            </w:r>
            <w:r>
              <w:rPr>
                <w:rFonts w:ascii="Times New Roman" w:hAnsi="Times New Roman" w:eastAsia="Times New Roman" w:cs="Times New Roman"/>
                <w:sz w:val="20"/>
                <w:szCs w:val="20"/>
                <w:spacing w:val="5"/>
              </w:rPr>
              <w:t>/</w:t>
            </w:r>
            <w:r>
              <w:rPr>
                <w:sz w:val="20"/>
                <w:szCs w:val="20"/>
                <w:spacing w:val="5"/>
              </w:rPr>
              <w:t>℃</w:t>
            </w:r>
          </w:p>
        </w:tc>
        <w:tc>
          <w:tcPr>
            <w:tcW w:w="885" w:type="dxa"/>
            <w:vAlign w:val="top"/>
            <w:vMerge w:val="restart"/>
            <w:tcBorders>
              <w:top w:val="single" w:color="000000" w:sz="10" w:space="0"/>
              <w:bottom w:val="nil"/>
            </w:tcBorders>
          </w:tcPr>
          <w:p>
            <w:pPr>
              <w:pStyle w:val="TableText"/>
              <w:ind w:left="134"/>
              <w:spacing w:before="119" w:line="229" w:lineRule="auto"/>
              <w:rPr>
                <w:sz w:val="20"/>
                <w:szCs w:val="20"/>
              </w:rPr>
            </w:pPr>
            <w:r>
              <w:rPr>
                <w:sz w:val="20"/>
                <w:szCs w:val="20"/>
                <w:spacing w:val="6"/>
              </w:rPr>
              <w:t>排放口</w:t>
            </w:r>
          </w:p>
          <w:p>
            <w:pPr>
              <w:pStyle w:val="TableText"/>
              <w:ind w:left="239"/>
              <w:spacing w:before="112" w:line="221" w:lineRule="auto"/>
              <w:rPr>
                <w:sz w:val="20"/>
                <w:szCs w:val="20"/>
              </w:rPr>
            </w:pPr>
            <w:r>
              <w:rPr>
                <w:sz w:val="20"/>
                <w:szCs w:val="20"/>
                <w:spacing w:val="4"/>
              </w:rPr>
              <w:t>类型</w:t>
            </w:r>
          </w:p>
        </w:tc>
        <w:tc>
          <w:tcPr>
            <w:tcW w:w="640" w:type="dxa"/>
            <w:vAlign w:val="top"/>
            <w:vMerge w:val="restart"/>
            <w:tcBorders>
              <w:top w:val="single" w:color="000000" w:sz="10" w:space="0"/>
              <w:bottom w:val="nil"/>
            </w:tcBorders>
          </w:tcPr>
          <w:p>
            <w:pPr>
              <w:pStyle w:val="TableText"/>
              <w:ind w:left="119" w:right="107" w:hanging="2"/>
              <w:spacing w:before="118" w:line="277" w:lineRule="auto"/>
              <w:rPr>
                <w:sz w:val="20"/>
                <w:szCs w:val="20"/>
              </w:rPr>
            </w:pPr>
            <w:r>
              <w:rPr>
                <w:sz w:val="20"/>
                <w:szCs w:val="20"/>
                <w:spacing w:val="4"/>
              </w:rPr>
              <w:t>排放</w:t>
            </w:r>
            <w:r>
              <w:rPr>
                <w:sz w:val="20"/>
                <w:szCs w:val="20"/>
              </w:rPr>
              <w:t xml:space="preserve"> </w:t>
            </w:r>
            <w:r>
              <w:rPr>
                <w:sz w:val="20"/>
                <w:szCs w:val="20"/>
                <w:spacing w:val="3"/>
              </w:rPr>
              <w:t>工况</w:t>
            </w:r>
          </w:p>
        </w:tc>
        <w:tc>
          <w:tcPr>
            <w:tcW w:w="5780" w:type="dxa"/>
            <w:vAlign w:val="top"/>
            <w:gridSpan w:val="4"/>
            <w:tcBorders>
              <w:right w:val="single" w:color="000000" w:sz="10" w:space="0"/>
              <w:top w:val="single" w:color="000000" w:sz="10" w:space="0"/>
            </w:tcBorders>
          </w:tcPr>
          <w:p>
            <w:pPr>
              <w:pStyle w:val="TableText"/>
              <w:ind w:left="2162"/>
              <w:spacing w:before="114" w:line="221" w:lineRule="auto"/>
              <w:rPr>
                <w:sz w:val="20"/>
                <w:szCs w:val="20"/>
              </w:rPr>
            </w:pPr>
            <w:r>
              <w:rPr>
                <w:sz w:val="20"/>
                <w:szCs w:val="20"/>
                <w:spacing w:val="8"/>
              </w:rPr>
              <w:t>污染物排放情况</w:t>
            </w:r>
          </w:p>
        </w:tc>
      </w:tr>
      <w:tr>
        <w:trPr>
          <w:trHeight w:val="360" w:hRule="atLeast"/>
        </w:trPr>
        <w:tc>
          <w:tcPr>
            <w:tcW w:w="580" w:type="dxa"/>
            <w:vAlign w:val="top"/>
            <w:vMerge w:val="continue"/>
            <w:textDirection w:val="tbRlV"/>
            <w:tcBorders>
              <w:left w:val="single" w:color="000000" w:sz="10" w:space="0"/>
              <w:top w:val="nil"/>
            </w:tcBorders>
          </w:tcPr>
          <w:p>
            <w:pPr>
              <w:rPr>
                <w:rFonts w:ascii="Arial"/>
                <w:sz w:val="21"/>
              </w:rPr>
            </w:pPr>
            <w:r/>
          </w:p>
        </w:tc>
        <w:tc>
          <w:tcPr>
            <w:tcW w:w="1048" w:type="dxa"/>
            <w:vAlign w:val="top"/>
            <w:vMerge w:val="continue"/>
            <w:tcBorders>
              <w:top w:val="nil"/>
            </w:tcBorders>
          </w:tcPr>
          <w:p>
            <w:pPr>
              <w:rPr>
                <w:rFonts w:ascii="Arial"/>
                <w:sz w:val="21"/>
              </w:rPr>
            </w:pPr>
            <w:r/>
          </w:p>
        </w:tc>
        <w:tc>
          <w:tcPr>
            <w:tcW w:w="1043" w:type="dxa"/>
            <w:vAlign w:val="top"/>
          </w:tcPr>
          <w:p>
            <w:pPr>
              <w:pStyle w:val="TableText"/>
              <w:ind w:left="309"/>
              <w:spacing w:before="114" w:line="217" w:lineRule="auto"/>
              <w:rPr>
                <w:sz w:val="20"/>
                <w:szCs w:val="20"/>
              </w:rPr>
            </w:pPr>
            <w:r>
              <w:rPr>
                <w:sz w:val="20"/>
                <w:szCs w:val="20"/>
                <w:spacing w:val="3"/>
              </w:rPr>
              <w:t>经度</w:t>
            </w:r>
          </w:p>
        </w:tc>
        <w:tc>
          <w:tcPr>
            <w:tcW w:w="1103" w:type="dxa"/>
            <w:vAlign w:val="top"/>
          </w:tcPr>
          <w:p>
            <w:pPr>
              <w:pStyle w:val="TableText"/>
              <w:ind w:left="340"/>
              <w:spacing w:before="114" w:line="217" w:lineRule="auto"/>
              <w:rPr>
                <w:sz w:val="20"/>
                <w:szCs w:val="20"/>
              </w:rPr>
            </w:pPr>
            <w:r>
              <w:rPr>
                <w:sz w:val="20"/>
                <w:szCs w:val="20"/>
                <w:spacing w:val="4"/>
              </w:rPr>
              <w:t>纬度</w:t>
            </w:r>
          </w:p>
        </w:tc>
        <w:tc>
          <w:tcPr>
            <w:tcW w:w="898" w:type="dxa"/>
            <w:vAlign w:val="top"/>
            <w:vMerge w:val="continue"/>
            <w:tcBorders>
              <w:top w:val="nil"/>
            </w:tcBorders>
          </w:tcPr>
          <w:p>
            <w:pPr>
              <w:rPr>
                <w:rFonts w:ascii="Arial"/>
                <w:sz w:val="21"/>
              </w:rPr>
            </w:pPr>
            <w:r/>
          </w:p>
        </w:tc>
        <w:tc>
          <w:tcPr>
            <w:tcW w:w="1102" w:type="dxa"/>
            <w:vAlign w:val="top"/>
            <w:vMerge w:val="continue"/>
            <w:tcBorders>
              <w:top w:val="nil"/>
            </w:tcBorders>
          </w:tcPr>
          <w:p>
            <w:pPr>
              <w:rPr>
                <w:rFonts w:ascii="Arial"/>
                <w:sz w:val="21"/>
              </w:rPr>
            </w:pPr>
            <w:r/>
          </w:p>
        </w:tc>
        <w:tc>
          <w:tcPr>
            <w:tcW w:w="1089" w:type="dxa"/>
            <w:vAlign w:val="top"/>
            <w:vMerge w:val="continue"/>
            <w:tcBorders>
              <w:top w:val="nil"/>
            </w:tcBorders>
          </w:tcPr>
          <w:p>
            <w:pPr>
              <w:rPr>
                <w:rFonts w:ascii="Arial"/>
                <w:sz w:val="21"/>
              </w:rPr>
            </w:pPr>
            <w:r/>
          </w:p>
        </w:tc>
        <w:tc>
          <w:tcPr>
            <w:tcW w:w="885" w:type="dxa"/>
            <w:vAlign w:val="top"/>
            <w:vMerge w:val="continue"/>
            <w:tcBorders>
              <w:top w:val="nil"/>
            </w:tcBorders>
          </w:tcPr>
          <w:p>
            <w:pPr>
              <w:rPr>
                <w:rFonts w:ascii="Arial"/>
                <w:sz w:val="21"/>
              </w:rPr>
            </w:pPr>
            <w:r/>
          </w:p>
        </w:tc>
        <w:tc>
          <w:tcPr>
            <w:tcW w:w="640" w:type="dxa"/>
            <w:vAlign w:val="top"/>
            <w:vMerge w:val="continue"/>
            <w:tcBorders>
              <w:top w:val="nil"/>
            </w:tcBorders>
          </w:tcPr>
          <w:p>
            <w:pPr>
              <w:rPr>
                <w:rFonts w:ascii="Arial"/>
                <w:sz w:val="21"/>
              </w:rPr>
            </w:pPr>
            <w:r/>
          </w:p>
        </w:tc>
        <w:tc>
          <w:tcPr>
            <w:tcW w:w="885" w:type="dxa"/>
            <w:vAlign w:val="top"/>
          </w:tcPr>
          <w:p>
            <w:pPr>
              <w:pStyle w:val="TableText"/>
              <w:ind w:left="246"/>
              <w:spacing w:before="114" w:line="217" w:lineRule="auto"/>
              <w:rPr>
                <w:sz w:val="20"/>
                <w:szCs w:val="20"/>
              </w:rPr>
            </w:pPr>
            <w:r>
              <w:rPr>
                <w:sz w:val="20"/>
                <w:szCs w:val="20"/>
                <w:spacing w:val="3"/>
              </w:rPr>
              <w:t>名称</w:t>
            </w:r>
          </w:p>
        </w:tc>
        <w:tc>
          <w:tcPr>
            <w:tcW w:w="1879" w:type="dxa"/>
            <w:vAlign w:val="top"/>
          </w:tcPr>
          <w:p>
            <w:pPr>
              <w:pStyle w:val="TableText"/>
              <w:ind w:left="119"/>
              <w:spacing w:before="114" w:line="217" w:lineRule="auto"/>
              <w:rPr>
                <w:sz w:val="20"/>
                <w:szCs w:val="20"/>
              </w:rPr>
            </w:pPr>
            <w:r>
              <w:rPr>
                <w:sz w:val="20"/>
                <w:szCs w:val="20"/>
                <w:spacing w:val="-2"/>
              </w:rPr>
              <w:t>排放浓度（</w:t>
            </w:r>
            <w:r>
              <w:rPr>
                <w:rFonts w:ascii="Times New Roman" w:hAnsi="Times New Roman" w:eastAsia="Times New Roman" w:cs="Times New Roman"/>
                <w:sz w:val="20"/>
                <w:szCs w:val="20"/>
                <w:spacing w:val="-2"/>
              </w:rPr>
              <w:t>mg/m</w:t>
            </w:r>
            <w:r>
              <w:rPr>
                <w:sz w:val="20"/>
                <w:szCs w:val="20"/>
                <w:spacing w:val="-2"/>
              </w:rPr>
              <w:t>³)</w:t>
            </w:r>
          </w:p>
        </w:tc>
        <w:tc>
          <w:tcPr>
            <w:tcW w:w="1688" w:type="dxa"/>
            <w:vAlign w:val="top"/>
          </w:tcPr>
          <w:p>
            <w:pPr>
              <w:pStyle w:val="TableText"/>
              <w:ind w:right="2"/>
              <w:spacing w:before="114" w:line="217" w:lineRule="auto"/>
              <w:jc w:val="right"/>
              <w:rPr>
                <w:sz w:val="20"/>
                <w:szCs w:val="20"/>
              </w:rPr>
            </w:pPr>
            <w:r>
              <w:rPr>
                <w:sz w:val="20"/>
                <w:szCs w:val="20"/>
              </w:rPr>
              <w:t>排放速率（</w:t>
            </w:r>
            <w:r>
              <w:rPr>
                <w:rFonts w:ascii="Times New Roman" w:hAnsi="Times New Roman" w:eastAsia="Times New Roman" w:cs="Times New Roman"/>
                <w:sz w:val="20"/>
                <w:szCs w:val="20"/>
              </w:rPr>
              <w:t>kg/h</w:t>
            </w:r>
            <w:r>
              <w:rPr>
                <w:sz w:val="20"/>
                <w:szCs w:val="20"/>
              </w:rPr>
              <w:t>）</w:t>
            </w:r>
          </w:p>
        </w:tc>
        <w:tc>
          <w:tcPr>
            <w:tcW w:w="1328" w:type="dxa"/>
            <w:vAlign w:val="top"/>
            <w:tcBorders>
              <w:right w:val="single" w:color="000000" w:sz="10" w:space="0"/>
            </w:tcBorders>
          </w:tcPr>
          <w:p>
            <w:pPr>
              <w:pStyle w:val="TableText"/>
              <w:ind w:right="5"/>
              <w:spacing w:before="114" w:line="217" w:lineRule="auto"/>
              <w:jc w:val="right"/>
              <w:rPr>
                <w:sz w:val="20"/>
                <w:szCs w:val="20"/>
              </w:rPr>
            </w:pPr>
            <w:r>
              <w:rPr>
                <w:sz w:val="20"/>
                <w:szCs w:val="20"/>
                <w:spacing w:val="-2"/>
              </w:rPr>
              <w:t>排放量（</w:t>
            </w:r>
            <w:r>
              <w:rPr>
                <w:rFonts w:ascii="Times New Roman" w:hAnsi="Times New Roman" w:eastAsia="Times New Roman" w:cs="Times New Roman"/>
                <w:sz w:val="20"/>
                <w:szCs w:val="20"/>
                <w:spacing w:val="-2"/>
              </w:rPr>
              <w:t>t/a</w:t>
            </w:r>
            <w:r>
              <w:rPr>
                <w:sz w:val="20"/>
                <w:szCs w:val="20"/>
                <w:spacing w:val="-2"/>
              </w:rPr>
              <w:t>）</w:t>
            </w:r>
          </w:p>
        </w:tc>
      </w:tr>
      <w:tr>
        <w:trPr>
          <w:trHeight w:val="1094" w:hRule="atLeast"/>
        </w:trPr>
        <w:tc>
          <w:tcPr>
            <w:tcW w:w="580" w:type="dxa"/>
            <w:vAlign w:val="top"/>
            <w:tcBorders>
              <w:left w:val="single" w:color="000000" w:sz="10" w:space="0"/>
              <w:bottom w:val="single" w:color="000000" w:sz="10" w:space="0"/>
            </w:tcBorders>
          </w:tcPr>
          <w:p>
            <w:pPr>
              <w:spacing w:line="276" w:lineRule="auto"/>
              <w:rPr>
                <w:rFonts w:ascii="Arial"/>
                <w:sz w:val="21"/>
              </w:rPr>
            </w:pPr>
            <w:r/>
          </w:p>
          <w:p>
            <w:pPr>
              <w:ind w:left="125"/>
              <w:spacing w:before="57" w:line="36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position w:val="15"/>
              </w:rPr>
              <w:t>DA</w:t>
            </w:r>
          </w:p>
          <w:p>
            <w:pPr>
              <w:ind w:left="122"/>
              <w:spacing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001</w:t>
            </w:r>
          </w:p>
        </w:tc>
        <w:tc>
          <w:tcPr>
            <w:tcW w:w="1048" w:type="dxa"/>
            <w:vAlign w:val="top"/>
            <w:tcBorders>
              <w:bottom w:val="single" w:color="000000" w:sz="10" w:space="0"/>
            </w:tcBorders>
          </w:tcPr>
          <w:p>
            <w:pPr>
              <w:pStyle w:val="TableText"/>
              <w:ind w:left="203"/>
              <w:spacing w:before="120" w:line="228" w:lineRule="auto"/>
              <w:rPr>
                <w:sz w:val="20"/>
                <w:szCs w:val="20"/>
              </w:rPr>
            </w:pPr>
            <w:r>
              <w:rPr>
                <w:sz w:val="20"/>
                <w:szCs w:val="20"/>
                <w:spacing w:val="6"/>
              </w:rPr>
              <w:t>地膜生</w:t>
            </w:r>
          </w:p>
          <w:p>
            <w:pPr>
              <w:pStyle w:val="TableText"/>
              <w:ind w:left="203"/>
              <w:spacing w:before="112" w:line="228" w:lineRule="auto"/>
              <w:rPr>
                <w:sz w:val="20"/>
                <w:szCs w:val="20"/>
              </w:rPr>
            </w:pPr>
            <w:r>
              <w:rPr>
                <w:sz w:val="20"/>
                <w:szCs w:val="20"/>
                <w:spacing w:val="6"/>
              </w:rPr>
              <w:t>产线排</w:t>
            </w:r>
          </w:p>
          <w:p>
            <w:pPr>
              <w:pStyle w:val="TableText"/>
              <w:ind w:left="446"/>
              <w:spacing w:before="112" w:line="226" w:lineRule="auto"/>
              <w:rPr>
                <w:sz w:val="20"/>
                <w:szCs w:val="20"/>
              </w:rPr>
            </w:pPr>
            <w:r>
              <w:rPr>
                <w:sz w:val="20"/>
                <w:szCs w:val="20"/>
              </w:rPr>
              <w:t>口</w:t>
            </w:r>
          </w:p>
        </w:tc>
        <w:tc>
          <w:tcPr>
            <w:tcW w:w="1043" w:type="dxa"/>
            <w:vAlign w:val="top"/>
            <w:tcBorders>
              <w:bottom w:val="single" w:color="000000" w:sz="10" w:space="0"/>
            </w:tcBorders>
          </w:tcPr>
          <w:p>
            <w:pPr>
              <w:pStyle w:val="TableText"/>
              <w:ind w:left="312"/>
              <w:spacing w:before="143" w:line="197" w:lineRule="auto"/>
              <w:rPr>
                <w:sz w:val="20"/>
                <w:szCs w:val="20"/>
              </w:rPr>
            </w:pPr>
            <w:r>
              <w:rPr>
                <w:rFonts w:ascii="Times New Roman" w:hAnsi="Times New Roman" w:eastAsia="Times New Roman" w:cs="Times New Roman"/>
                <w:sz w:val="20"/>
                <w:szCs w:val="20"/>
                <w:spacing w:val="-1"/>
              </w:rPr>
              <w:t>86</w:t>
            </w:r>
            <w:r>
              <w:rPr>
                <w:rFonts w:ascii="Times New Roman" w:hAnsi="Times New Roman" w:eastAsia="Times New Roman" w:cs="Times New Roman"/>
                <w:sz w:val="20"/>
                <w:szCs w:val="20"/>
                <w:spacing w:val="-22"/>
              </w:rPr>
              <w:t xml:space="preserve"> </w:t>
            </w:r>
            <w:r>
              <w:rPr>
                <w:sz w:val="20"/>
                <w:szCs w:val="20"/>
                <w:spacing w:val="-1"/>
              </w:rPr>
              <w:t>°</w:t>
            </w:r>
          </w:p>
          <w:p>
            <w:pPr>
              <w:ind w:left="107"/>
              <w:spacing w:before="1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56'39.753</w:t>
            </w:r>
          </w:p>
          <w:p>
            <w:pPr>
              <w:ind w:left="480"/>
              <w:spacing w:before="173" w:line="19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103" w:type="dxa"/>
            <w:vAlign w:val="top"/>
            <w:tcBorders>
              <w:bottom w:val="single" w:color="000000" w:sz="10" w:space="0"/>
            </w:tcBorders>
          </w:tcPr>
          <w:p>
            <w:pPr>
              <w:pStyle w:val="TableText"/>
              <w:ind w:left="334"/>
              <w:spacing w:before="143" w:line="197" w:lineRule="auto"/>
              <w:rPr>
                <w:sz w:val="20"/>
                <w:szCs w:val="20"/>
              </w:rPr>
            </w:pPr>
            <w:r>
              <w:rPr>
                <w:rFonts w:ascii="Times New Roman" w:hAnsi="Times New Roman" w:eastAsia="Times New Roman" w:cs="Times New Roman"/>
                <w:sz w:val="20"/>
                <w:szCs w:val="20"/>
                <w:spacing w:val="2"/>
              </w:rPr>
              <w:t>44</w:t>
            </w:r>
            <w:r>
              <w:rPr>
                <w:rFonts w:ascii="Times New Roman" w:hAnsi="Times New Roman" w:eastAsia="Times New Roman" w:cs="Times New Roman"/>
                <w:sz w:val="20"/>
                <w:szCs w:val="20"/>
                <w:spacing w:val="-22"/>
              </w:rPr>
              <w:t xml:space="preserve"> </w:t>
            </w:r>
            <w:r>
              <w:rPr>
                <w:sz w:val="20"/>
                <w:szCs w:val="20"/>
                <w:spacing w:val="2"/>
              </w:rPr>
              <w:t>°</w:t>
            </w:r>
          </w:p>
          <w:p>
            <w:pPr>
              <w:ind w:left="154"/>
              <w:spacing w:before="1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11'47.907</w:t>
            </w:r>
          </w:p>
          <w:p>
            <w:pPr>
              <w:ind w:left="513"/>
              <w:spacing w:before="173" w:line="19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898" w:type="dxa"/>
            <w:vAlign w:val="top"/>
            <w:tcBorders>
              <w:bottom w:val="single" w:color="000000" w:sz="10" w:space="0"/>
            </w:tcBorders>
          </w:tcPr>
          <w:p>
            <w:pPr>
              <w:spacing w:line="455" w:lineRule="auto"/>
              <w:rPr>
                <w:rFonts w:ascii="Arial"/>
                <w:sz w:val="21"/>
              </w:rPr>
            </w:pPr>
            <w:r/>
          </w:p>
          <w:p>
            <w:pPr>
              <w:ind w:left="361"/>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1102" w:type="dxa"/>
            <w:vAlign w:val="top"/>
            <w:tcBorders>
              <w:bottom w:val="single" w:color="000000" w:sz="10" w:space="0"/>
            </w:tcBorders>
          </w:tcPr>
          <w:p>
            <w:pPr>
              <w:spacing w:line="455" w:lineRule="auto"/>
              <w:rPr>
                <w:rFonts w:ascii="Arial"/>
                <w:sz w:val="21"/>
              </w:rPr>
            </w:pPr>
            <w:r/>
          </w:p>
          <w:p>
            <w:pPr>
              <w:ind w:left="421"/>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0.6</w:t>
            </w:r>
          </w:p>
        </w:tc>
        <w:tc>
          <w:tcPr>
            <w:tcW w:w="1089" w:type="dxa"/>
            <w:vAlign w:val="top"/>
            <w:tcBorders>
              <w:bottom w:val="single" w:color="000000" w:sz="10" w:space="0"/>
            </w:tcBorders>
          </w:tcPr>
          <w:p>
            <w:pPr>
              <w:spacing w:line="455" w:lineRule="auto"/>
              <w:rPr>
                <w:rFonts w:ascii="Arial"/>
                <w:sz w:val="21"/>
              </w:rPr>
            </w:pPr>
            <w:r/>
          </w:p>
          <w:p>
            <w:pPr>
              <w:ind w:left="388"/>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250</w:t>
            </w:r>
          </w:p>
        </w:tc>
        <w:tc>
          <w:tcPr>
            <w:tcW w:w="885" w:type="dxa"/>
            <w:vAlign w:val="top"/>
            <w:tcBorders>
              <w:bottom w:val="single" w:color="000000" w:sz="10" w:space="0"/>
            </w:tcBorders>
          </w:tcPr>
          <w:p>
            <w:pPr>
              <w:pStyle w:val="TableText"/>
              <w:ind w:left="239" w:right="125" w:hanging="102"/>
              <w:spacing w:before="298" w:line="281" w:lineRule="auto"/>
              <w:rPr>
                <w:sz w:val="20"/>
                <w:szCs w:val="20"/>
              </w:rPr>
            </w:pPr>
            <w:r>
              <w:rPr>
                <w:sz w:val="20"/>
                <w:szCs w:val="20"/>
                <w:spacing w:val="5"/>
              </w:rPr>
              <w:t>一般排</w:t>
            </w:r>
            <w:r>
              <w:rPr>
                <w:sz w:val="20"/>
                <w:szCs w:val="20"/>
                <w:spacing w:val="1"/>
              </w:rPr>
              <w:t xml:space="preserve"> </w:t>
            </w:r>
            <w:r>
              <w:rPr>
                <w:sz w:val="20"/>
                <w:szCs w:val="20"/>
                <w:spacing w:val="4"/>
              </w:rPr>
              <w:t>放口</w:t>
            </w:r>
          </w:p>
        </w:tc>
        <w:tc>
          <w:tcPr>
            <w:tcW w:w="640" w:type="dxa"/>
            <w:vAlign w:val="top"/>
            <w:tcBorders>
              <w:bottom w:val="single" w:color="000000" w:sz="10" w:space="0"/>
            </w:tcBorders>
          </w:tcPr>
          <w:p>
            <w:pPr>
              <w:pStyle w:val="TableText"/>
              <w:ind w:left="120" w:right="107" w:firstLine="1"/>
              <w:spacing w:before="300" w:line="280" w:lineRule="auto"/>
              <w:rPr>
                <w:sz w:val="20"/>
                <w:szCs w:val="20"/>
              </w:rPr>
            </w:pPr>
            <w:r>
              <w:rPr>
                <w:sz w:val="20"/>
                <w:szCs w:val="20"/>
                <w:spacing w:val="2"/>
              </w:rPr>
              <w:t>正常</w:t>
            </w:r>
            <w:r>
              <w:rPr>
                <w:sz w:val="20"/>
                <w:szCs w:val="20"/>
              </w:rPr>
              <w:t xml:space="preserve"> </w:t>
            </w:r>
            <w:r>
              <w:rPr>
                <w:sz w:val="20"/>
                <w:szCs w:val="20"/>
                <w:spacing w:val="3"/>
              </w:rPr>
              <w:t>工况</w:t>
            </w:r>
          </w:p>
        </w:tc>
        <w:tc>
          <w:tcPr>
            <w:tcW w:w="885" w:type="dxa"/>
            <w:vAlign w:val="top"/>
            <w:tcBorders>
              <w:bottom w:val="single" w:color="000000" w:sz="10" w:space="0"/>
            </w:tcBorders>
          </w:tcPr>
          <w:p>
            <w:pPr>
              <w:pStyle w:val="TableText"/>
              <w:ind w:left="141"/>
              <w:spacing w:before="300" w:line="228" w:lineRule="auto"/>
              <w:rPr>
                <w:sz w:val="20"/>
                <w:szCs w:val="20"/>
              </w:rPr>
            </w:pPr>
            <w:r>
              <w:rPr>
                <w:sz w:val="20"/>
                <w:szCs w:val="20"/>
                <w:spacing w:val="5"/>
              </w:rPr>
              <w:t>非甲烷</w:t>
            </w:r>
          </w:p>
          <w:p>
            <w:pPr>
              <w:pStyle w:val="TableText"/>
              <w:ind w:left="249"/>
              <w:spacing w:before="113" w:line="228" w:lineRule="auto"/>
              <w:rPr>
                <w:sz w:val="20"/>
                <w:szCs w:val="20"/>
              </w:rPr>
            </w:pPr>
            <w:r>
              <w:rPr>
                <w:sz w:val="20"/>
                <w:szCs w:val="20"/>
                <w:spacing w:val="2"/>
              </w:rPr>
              <w:t>总烃</w:t>
            </w:r>
          </w:p>
        </w:tc>
        <w:tc>
          <w:tcPr>
            <w:tcW w:w="1879" w:type="dxa"/>
            <w:vAlign w:val="top"/>
            <w:tcBorders>
              <w:bottom w:val="single" w:color="000000" w:sz="10" w:space="0"/>
            </w:tcBorders>
          </w:tcPr>
          <w:p>
            <w:pPr>
              <w:spacing w:line="450" w:lineRule="auto"/>
              <w:rPr>
                <w:rFonts w:ascii="Arial"/>
                <w:sz w:val="21"/>
              </w:rPr>
            </w:pPr>
            <w:r/>
          </w:p>
          <w:p>
            <w:pPr>
              <w:ind w:left="762"/>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4.73</w:t>
            </w:r>
          </w:p>
        </w:tc>
        <w:tc>
          <w:tcPr>
            <w:tcW w:w="1688" w:type="dxa"/>
            <w:vAlign w:val="top"/>
            <w:tcBorders>
              <w:bottom w:val="single" w:color="000000" w:sz="10" w:space="0"/>
            </w:tcBorders>
          </w:tcPr>
          <w:p>
            <w:pPr>
              <w:spacing w:line="450" w:lineRule="auto"/>
              <w:rPr>
                <w:rFonts w:ascii="Arial"/>
                <w:sz w:val="21"/>
              </w:rPr>
            </w:pPr>
            <w:r/>
          </w:p>
          <w:p>
            <w:pPr>
              <w:ind w:left="622"/>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0.104</w:t>
            </w:r>
          </w:p>
        </w:tc>
        <w:tc>
          <w:tcPr>
            <w:tcW w:w="1328" w:type="dxa"/>
            <w:vAlign w:val="top"/>
            <w:tcBorders>
              <w:bottom w:val="single" w:color="000000" w:sz="10" w:space="0"/>
              <w:right w:val="single" w:color="000000" w:sz="10" w:space="0"/>
            </w:tcBorders>
          </w:tcPr>
          <w:p>
            <w:pPr>
              <w:spacing w:line="450" w:lineRule="auto"/>
              <w:rPr>
                <w:rFonts w:ascii="Arial"/>
                <w:sz w:val="21"/>
              </w:rPr>
            </w:pPr>
            <w:r/>
          </w:p>
          <w:p>
            <w:pPr>
              <w:ind w:left="490"/>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0.15</w:t>
            </w:r>
          </w:p>
        </w:tc>
      </w:tr>
    </w:tbl>
    <w:p>
      <w:pPr>
        <w:ind w:left="5346"/>
        <w:spacing w:before="115" w:line="219"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sz w:val="24"/>
          <w:szCs w:val="24"/>
          <w:b/>
          <w:bCs/>
        </w:rPr>
        <w:t>4.2-4  </w:t>
      </w:r>
      <w:r>
        <w:rPr>
          <w:rFonts w:ascii="SimSun" w:hAnsi="SimSun" w:eastAsia="SimSun" w:cs="SimSun"/>
          <w:sz w:val="24"/>
          <w:szCs w:val="24"/>
          <w14:textOutline w14:w="4358" w14:cap="sq" w14:cmpd="sng">
            <w14:solidFill>
              <w14:srgbClr w14:val="000000"/>
            </w14:solidFill>
            <w14:prstDash w14:val="solid"/>
            <w14:bevel/>
          </w14:textOutline>
        </w:rPr>
        <w:t>面源污染物排放基本情况表</w:t>
      </w:r>
    </w:p>
    <w:p>
      <w:pPr>
        <w:spacing w:line="18" w:lineRule="auto"/>
        <w:rPr>
          <w:rFonts w:ascii="Arial"/>
          <w:sz w:val="2"/>
        </w:rPr>
      </w:pPr>
      <w:r>
        <w:rPr>
          <w:rFonts w:ascii="Arial"/>
          <w:sz w:val="2"/>
        </w:rPr>
      </w:r>
    </w:p>
    <w:tbl>
      <w:tblPr>
        <w:tblStyle w:val="TableNormal"/>
        <w:tblW w:w="1440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81"/>
        <w:gridCol w:w="1547"/>
        <w:gridCol w:w="3159"/>
        <w:gridCol w:w="871"/>
        <w:gridCol w:w="871"/>
        <w:gridCol w:w="2293"/>
        <w:gridCol w:w="1657"/>
        <w:gridCol w:w="827"/>
        <w:gridCol w:w="579"/>
        <w:gridCol w:w="2218"/>
      </w:tblGrid>
      <w:tr>
        <w:trPr>
          <w:trHeight w:val="363" w:hRule="atLeast"/>
        </w:trPr>
        <w:tc>
          <w:tcPr>
            <w:tcW w:w="381" w:type="dxa"/>
            <w:vAlign w:val="top"/>
            <w:vMerge w:val="restart"/>
            <w:textDirection w:val="tbRlV"/>
            <w:tcBorders>
              <w:left w:val="single" w:color="000000" w:sz="10" w:space="0"/>
              <w:top w:val="single" w:color="000000" w:sz="10" w:space="0"/>
              <w:bottom w:val="nil"/>
            </w:tcBorders>
          </w:tcPr>
          <w:p>
            <w:pPr>
              <w:pStyle w:val="TableText"/>
              <w:ind w:left="119"/>
              <w:spacing w:before="85" w:line="214" w:lineRule="auto"/>
              <w:rPr>
                <w:sz w:val="20"/>
                <w:szCs w:val="20"/>
              </w:rPr>
            </w:pPr>
            <w:r>
              <w:rPr>
                <w:sz w:val="20"/>
                <w:szCs w:val="20"/>
                <w:spacing w:val="8"/>
              </w:rPr>
              <w:t>编</w:t>
            </w:r>
            <w:r>
              <w:rPr>
                <w:sz w:val="20"/>
                <w:szCs w:val="20"/>
                <w:spacing w:val="51"/>
              </w:rPr>
              <w:t xml:space="preserve"> </w:t>
            </w:r>
            <w:r>
              <w:rPr>
                <w:sz w:val="20"/>
                <w:szCs w:val="20"/>
                <w:spacing w:val="8"/>
              </w:rPr>
              <w:t>号</w:t>
            </w:r>
          </w:p>
        </w:tc>
        <w:tc>
          <w:tcPr>
            <w:tcW w:w="1547" w:type="dxa"/>
            <w:vAlign w:val="top"/>
            <w:vMerge w:val="restart"/>
            <w:tcBorders>
              <w:top w:val="single" w:color="000000" w:sz="10" w:space="0"/>
              <w:bottom w:val="nil"/>
            </w:tcBorders>
          </w:tcPr>
          <w:p>
            <w:pPr>
              <w:pStyle w:val="TableText"/>
              <w:ind w:left="140" w:right="17" w:hanging="135"/>
              <w:spacing w:before="118" w:line="276" w:lineRule="auto"/>
              <w:rPr>
                <w:sz w:val="20"/>
                <w:szCs w:val="20"/>
              </w:rPr>
            </w:pPr>
            <w:r>
              <w:rPr>
                <w:sz w:val="20"/>
                <w:szCs w:val="20"/>
                <w:spacing w:val="7"/>
              </w:rPr>
              <w:t>生产设施编号</w:t>
            </w:r>
            <w:r>
              <w:rPr>
                <w:rFonts w:ascii="Times New Roman" w:hAnsi="Times New Roman" w:eastAsia="Times New Roman" w:cs="Times New Roman"/>
                <w:sz w:val="20"/>
                <w:szCs w:val="20"/>
                <w:spacing w:val="7"/>
              </w:rPr>
              <w:t>/</w:t>
            </w:r>
            <w:r>
              <w:rPr>
                <w:sz w:val="20"/>
                <w:szCs w:val="20"/>
                <w:spacing w:val="7"/>
              </w:rPr>
              <w:t>无</w:t>
            </w:r>
            <w:r>
              <w:rPr>
                <w:sz w:val="20"/>
                <w:szCs w:val="20"/>
                <w:spacing w:val="6"/>
              </w:rPr>
              <w:t xml:space="preserve"> </w:t>
            </w:r>
            <w:r>
              <w:rPr>
                <w:sz w:val="20"/>
                <w:szCs w:val="20"/>
                <w:spacing w:val="7"/>
              </w:rPr>
              <w:t>组织排放编号</w:t>
            </w:r>
          </w:p>
        </w:tc>
        <w:tc>
          <w:tcPr>
            <w:tcW w:w="3159" w:type="dxa"/>
            <w:vAlign w:val="top"/>
            <w:vMerge w:val="restart"/>
            <w:tcBorders>
              <w:top w:val="single" w:color="000000" w:sz="10" w:space="0"/>
              <w:bottom w:val="nil"/>
            </w:tcBorders>
          </w:tcPr>
          <w:p>
            <w:pPr>
              <w:pStyle w:val="TableText"/>
              <w:ind w:left="1158"/>
              <w:spacing w:before="298" w:line="228" w:lineRule="auto"/>
              <w:rPr>
                <w:sz w:val="20"/>
                <w:szCs w:val="20"/>
              </w:rPr>
            </w:pPr>
            <w:r>
              <w:rPr>
                <w:sz w:val="20"/>
                <w:szCs w:val="20"/>
                <w:spacing w:val="7"/>
              </w:rPr>
              <w:t>产污环节</w:t>
            </w:r>
          </w:p>
        </w:tc>
        <w:tc>
          <w:tcPr>
            <w:tcW w:w="871" w:type="dxa"/>
            <w:vAlign w:val="top"/>
            <w:vMerge w:val="restart"/>
            <w:tcBorders>
              <w:top w:val="single" w:color="000000" w:sz="10" w:space="0"/>
              <w:bottom w:val="nil"/>
            </w:tcBorders>
          </w:tcPr>
          <w:p>
            <w:pPr>
              <w:pStyle w:val="TableText"/>
              <w:ind w:left="332" w:right="18" w:hanging="312"/>
              <w:spacing w:before="118" w:line="276" w:lineRule="auto"/>
              <w:rPr>
                <w:sz w:val="20"/>
                <w:szCs w:val="20"/>
              </w:rPr>
            </w:pPr>
            <w:r>
              <w:rPr>
                <w:sz w:val="20"/>
                <w:szCs w:val="20"/>
                <w:spacing w:val="6"/>
              </w:rPr>
              <w:t>污染物种</w:t>
            </w:r>
            <w:r>
              <w:rPr>
                <w:sz w:val="20"/>
                <w:szCs w:val="20"/>
                <w:spacing w:val="2"/>
              </w:rPr>
              <w:t xml:space="preserve"> </w:t>
            </w:r>
            <w:r>
              <w:rPr>
                <w:sz w:val="20"/>
                <w:szCs w:val="20"/>
              </w:rPr>
              <w:t>类</w:t>
            </w:r>
          </w:p>
        </w:tc>
        <w:tc>
          <w:tcPr>
            <w:tcW w:w="3164" w:type="dxa"/>
            <w:vAlign w:val="top"/>
            <w:gridSpan w:val="2"/>
            <w:tcBorders>
              <w:top w:val="single" w:color="000000" w:sz="10" w:space="0"/>
            </w:tcBorders>
          </w:tcPr>
          <w:p>
            <w:pPr>
              <w:pStyle w:val="TableText"/>
              <w:ind w:left="351"/>
              <w:spacing w:before="114" w:line="220" w:lineRule="auto"/>
              <w:rPr>
                <w:sz w:val="20"/>
                <w:szCs w:val="20"/>
              </w:rPr>
            </w:pPr>
            <w:r>
              <w:rPr>
                <w:sz w:val="20"/>
                <w:szCs w:val="20"/>
                <w:spacing w:val="7"/>
              </w:rPr>
              <w:t>国家或地方污染物排放标准</w:t>
            </w:r>
          </w:p>
        </w:tc>
        <w:tc>
          <w:tcPr>
            <w:tcW w:w="1657" w:type="dxa"/>
            <w:vAlign w:val="top"/>
            <w:vMerge w:val="restart"/>
            <w:tcBorders>
              <w:top w:val="single" w:color="000000" w:sz="10" w:space="0"/>
              <w:bottom w:val="nil"/>
            </w:tcBorders>
          </w:tcPr>
          <w:p>
            <w:pPr>
              <w:pStyle w:val="TableText"/>
              <w:ind w:left="421"/>
              <w:spacing w:before="298" w:line="228" w:lineRule="auto"/>
              <w:rPr>
                <w:sz w:val="20"/>
                <w:szCs w:val="20"/>
              </w:rPr>
            </w:pPr>
            <w:r>
              <w:rPr>
                <w:sz w:val="20"/>
                <w:szCs w:val="20"/>
                <w:spacing w:val="7"/>
              </w:rPr>
              <w:t>其他信息</w:t>
            </w:r>
          </w:p>
        </w:tc>
        <w:tc>
          <w:tcPr>
            <w:tcW w:w="827" w:type="dxa"/>
            <w:vAlign w:val="top"/>
            <w:vMerge w:val="restart"/>
            <w:tcBorders>
              <w:top w:val="single" w:color="000000" w:sz="10" w:space="0"/>
              <w:bottom w:val="nil"/>
            </w:tcBorders>
          </w:tcPr>
          <w:p>
            <w:pPr>
              <w:pStyle w:val="TableText"/>
              <w:ind w:left="36" w:right="8" w:firstLine="76"/>
              <w:spacing w:before="118" w:line="276" w:lineRule="auto"/>
              <w:rPr>
                <w:rFonts w:ascii="Times New Roman" w:hAnsi="Times New Roman" w:eastAsia="Times New Roman" w:cs="Times New Roman"/>
                <w:sz w:val="20"/>
                <w:szCs w:val="20"/>
              </w:rPr>
            </w:pPr>
            <w:r>
              <w:rPr>
                <w:sz w:val="20"/>
                <w:szCs w:val="20"/>
                <w:spacing w:val="5"/>
              </w:rPr>
              <w:t>年排放 </w:t>
            </w:r>
            <w:r>
              <w:rPr>
                <w:sz w:val="20"/>
                <w:szCs w:val="20"/>
                <w:spacing w:val="4"/>
              </w:rPr>
              <w:t>小时数</w:t>
            </w:r>
            <w:r>
              <w:rPr>
                <w:rFonts w:ascii="Times New Roman" w:hAnsi="Times New Roman" w:eastAsia="Times New Roman" w:cs="Times New Roman"/>
                <w:sz w:val="20"/>
                <w:szCs w:val="20"/>
                <w:spacing w:val="4"/>
              </w:rPr>
              <w:t>/h</w:t>
            </w:r>
          </w:p>
        </w:tc>
        <w:tc>
          <w:tcPr>
            <w:tcW w:w="579" w:type="dxa"/>
            <w:vAlign w:val="top"/>
            <w:vMerge w:val="restart"/>
            <w:tcBorders>
              <w:top w:val="single" w:color="000000" w:sz="10" w:space="0"/>
              <w:bottom w:val="nil"/>
            </w:tcBorders>
          </w:tcPr>
          <w:p>
            <w:pPr>
              <w:pStyle w:val="TableText"/>
              <w:ind w:left="96" w:right="69" w:hanging="2"/>
              <w:spacing w:before="118" w:line="276" w:lineRule="auto"/>
              <w:rPr>
                <w:sz w:val="20"/>
                <w:szCs w:val="20"/>
              </w:rPr>
            </w:pPr>
            <w:r>
              <w:rPr>
                <w:sz w:val="20"/>
                <w:szCs w:val="20"/>
                <w:spacing w:val="4"/>
              </w:rPr>
              <w:t>排放</w:t>
            </w:r>
            <w:r>
              <w:rPr>
                <w:sz w:val="20"/>
                <w:szCs w:val="20"/>
              </w:rPr>
              <w:t xml:space="preserve"> </w:t>
            </w:r>
            <w:r>
              <w:rPr>
                <w:sz w:val="20"/>
                <w:szCs w:val="20"/>
                <w:spacing w:val="3"/>
              </w:rPr>
              <w:t>工况</w:t>
            </w:r>
          </w:p>
        </w:tc>
        <w:tc>
          <w:tcPr>
            <w:tcW w:w="2218" w:type="dxa"/>
            <w:vAlign w:val="top"/>
            <w:tcBorders>
              <w:right w:val="single" w:color="000000" w:sz="10" w:space="0"/>
              <w:top w:val="single" w:color="000000" w:sz="10" w:space="0"/>
            </w:tcBorders>
          </w:tcPr>
          <w:p>
            <w:pPr>
              <w:pStyle w:val="TableText"/>
              <w:spacing w:before="114" w:line="220" w:lineRule="auto"/>
              <w:jc w:val="right"/>
              <w:rPr>
                <w:sz w:val="20"/>
                <w:szCs w:val="20"/>
              </w:rPr>
            </w:pPr>
            <w:r>
              <w:rPr>
                <w:sz w:val="20"/>
                <w:szCs w:val="20"/>
                <w:spacing w:val="-3"/>
              </w:rPr>
              <w:t>污染物排放速率</w:t>
            </w:r>
            <w:r>
              <w:rPr>
                <w:rFonts w:ascii="Times New Roman" w:hAnsi="Times New Roman" w:eastAsia="Times New Roman" w:cs="Times New Roman"/>
                <w:sz w:val="20"/>
                <w:szCs w:val="20"/>
                <w:spacing w:val="-3"/>
              </w:rPr>
              <w:t>/</w:t>
            </w:r>
            <w:r>
              <w:rPr>
                <w:sz w:val="20"/>
                <w:szCs w:val="20"/>
                <w:spacing w:val="-3"/>
              </w:rPr>
              <w:t>（</w:t>
            </w:r>
            <w:r>
              <w:rPr>
                <w:rFonts w:ascii="Times New Roman" w:hAnsi="Times New Roman" w:eastAsia="Times New Roman" w:cs="Times New Roman"/>
                <w:sz w:val="20"/>
                <w:szCs w:val="20"/>
                <w:spacing w:val="-3"/>
              </w:rPr>
              <w:t>kg/h</w:t>
            </w:r>
            <w:r>
              <w:rPr>
                <w:sz w:val="20"/>
                <w:szCs w:val="20"/>
                <w:spacing w:val="-3"/>
              </w:rPr>
              <w:t>）</w:t>
            </w:r>
          </w:p>
        </w:tc>
      </w:tr>
      <w:tr>
        <w:trPr>
          <w:trHeight w:val="359" w:hRule="atLeast"/>
        </w:trPr>
        <w:tc>
          <w:tcPr>
            <w:tcW w:w="381" w:type="dxa"/>
            <w:vAlign w:val="top"/>
            <w:vMerge w:val="continue"/>
            <w:textDirection w:val="tbRlV"/>
            <w:tcBorders>
              <w:left w:val="single" w:color="000000" w:sz="10" w:space="0"/>
              <w:top w:val="nil"/>
            </w:tcBorders>
          </w:tcPr>
          <w:p>
            <w:pPr>
              <w:rPr>
                <w:rFonts w:ascii="Arial"/>
                <w:sz w:val="21"/>
              </w:rPr>
            </w:pPr>
            <w:r/>
          </w:p>
        </w:tc>
        <w:tc>
          <w:tcPr>
            <w:tcW w:w="1547" w:type="dxa"/>
            <w:vAlign w:val="top"/>
            <w:vMerge w:val="continue"/>
            <w:tcBorders>
              <w:top w:val="nil"/>
            </w:tcBorders>
          </w:tcPr>
          <w:p>
            <w:pPr>
              <w:rPr>
                <w:rFonts w:ascii="Arial"/>
                <w:sz w:val="21"/>
              </w:rPr>
            </w:pPr>
            <w:r/>
          </w:p>
        </w:tc>
        <w:tc>
          <w:tcPr>
            <w:tcW w:w="3159" w:type="dxa"/>
            <w:vAlign w:val="top"/>
            <w:vMerge w:val="continue"/>
            <w:tcBorders>
              <w:top w:val="nil"/>
            </w:tcBorders>
          </w:tcPr>
          <w:p>
            <w:pPr>
              <w:rPr>
                <w:rFonts w:ascii="Arial"/>
                <w:sz w:val="21"/>
              </w:rPr>
            </w:pPr>
            <w:r/>
          </w:p>
        </w:tc>
        <w:tc>
          <w:tcPr>
            <w:tcW w:w="871" w:type="dxa"/>
            <w:vAlign w:val="top"/>
            <w:vMerge w:val="continue"/>
            <w:tcBorders>
              <w:top w:val="nil"/>
            </w:tcBorders>
          </w:tcPr>
          <w:p>
            <w:pPr>
              <w:rPr>
                <w:rFonts w:ascii="Arial"/>
                <w:sz w:val="21"/>
              </w:rPr>
            </w:pPr>
            <w:r/>
          </w:p>
        </w:tc>
        <w:tc>
          <w:tcPr>
            <w:tcW w:w="871" w:type="dxa"/>
            <w:vAlign w:val="top"/>
          </w:tcPr>
          <w:p>
            <w:pPr>
              <w:pStyle w:val="TableText"/>
              <w:ind w:left="232"/>
              <w:spacing w:before="116" w:line="215" w:lineRule="auto"/>
              <w:rPr>
                <w:sz w:val="20"/>
                <w:szCs w:val="20"/>
              </w:rPr>
            </w:pPr>
            <w:r>
              <w:rPr>
                <w:sz w:val="20"/>
                <w:szCs w:val="20"/>
                <w:spacing w:val="3"/>
              </w:rPr>
              <w:t>名称</w:t>
            </w:r>
          </w:p>
        </w:tc>
        <w:tc>
          <w:tcPr>
            <w:tcW w:w="2293" w:type="dxa"/>
            <w:vAlign w:val="top"/>
          </w:tcPr>
          <w:p>
            <w:pPr>
              <w:pStyle w:val="TableText"/>
              <w:ind w:left="227"/>
              <w:spacing w:before="116" w:line="215" w:lineRule="auto"/>
              <w:rPr>
                <w:sz w:val="20"/>
                <w:szCs w:val="20"/>
              </w:rPr>
            </w:pPr>
            <w:r>
              <w:rPr>
                <w:sz w:val="20"/>
                <w:szCs w:val="20"/>
                <w:spacing w:val="7"/>
              </w:rPr>
              <w:t>浓度限值（</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7"/>
              </w:rPr>
              <w:t>/m</w:t>
            </w:r>
            <w:r>
              <w:rPr>
                <w:sz w:val="20"/>
                <w:szCs w:val="20"/>
                <w:spacing w:val="7"/>
              </w:rPr>
              <w:t>³)</w:t>
            </w:r>
          </w:p>
        </w:tc>
        <w:tc>
          <w:tcPr>
            <w:tcW w:w="1657" w:type="dxa"/>
            <w:vAlign w:val="top"/>
            <w:vMerge w:val="continue"/>
            <w:tcBorders>
              <w:top w:val="nil"/>
            </w:tcBorders>
          </w:tcPr>
          <w:p>
            <w:pPr>
              <w:rPr>
                <w:rFonts w:ascii="Arial"/>
                <w:sz w:val="21"/>
              </w:rPr>
            </w:pPr>
            <w:r/>
          </w:p>
        </w:tc>
        <w:tc>
          <w:tcPr>
            <w:tcW w:w="827" w:type="dxa"/>
            <w:vAlign w:val="top"/>
            <w:vMerge w:val="continue"/>
            <w:tcBorders>
              <w:top w:val="nil"/>
            </w:tcBorders>
          </w:tcPr>
          <w:p>
            <w:pPr>
              <w:rPr>
                <w:rFonts w:ascii="Arial"/>
                <w:sz w:val="21"/>
              </w:rPr>
            </w:pPr>
            <w:r/>
          </w:p>
        </w:tc>
        <w:tc>
          <w:tcPr>
            <w:tcW w:w="579" w:type="dxa"/>
            <w:vAlign w:val="top"/>
            <w:vMerge w:val="continue"/>
            <w:tcBorders>
              <w:top w:val="nil"/>
            </w:tcBorders>
          </w:tcPr>
          <w:p>
            <w:pPr>
              <w:rPr>
                <w:rFonts w:ascii="Arial"/>
                <w:sz w:val="21"/>
              </w:rPr>
            </w:pPr>
            <w:r/>
          </w:p>
        </w:tc>
        <w:tc>
          <w:tcPr>
            <w:tcW w:w="2218" w:type="dxa"/>
            <w:vAlign w:val="top"/>
            <w:tcBorders>
              <w:right w:val="single" w:color="000000" w:sz="10" w:space="0"/>
            </w:tcBorders>
          </w:tcPr>
          <w:p>
            <w:pPr>
              <w:pStyle w:val="TableText"/>
              <w:ind w:left="591"/>
              <w:spacing w:before="116" w:line="215" w:lineRule="auto"/>
              <w:rPr>
                <w:sz w:val="20"/>
                <w:szCs w:val="20"/>
              </w:rPr>
            </w:pPr>
            <w:r>
              <w:rPr>
                <w:sz w:val="20"/>
                <w:szCs w:val="20"/>
                <w:spacing w:val="7"/>
              </w:rPr>
              <w:t>非甲烷总烃</w:t>
            </w:r>
          </w:p>
        </w:tc>
      </w:tr>
      <w:tr>
        <w:trPr>
          <w:trHeight w:val="736" w:hRule="atLeast"/>
        </w:trPr>
        <w:tc>
          <w:tcPr>
            <w:tcW w:w="381" w:type="dxa"/>
            <w:vAlign w:val="top"/>
            <w:tcBorders>
              <w:left w:val="single" w:color="000000" w:sz="10" w:space="0"/>
              <w:bottom w:val="single" w:color="000000" w:sz="10" w:space="0"/>
            </w:tcBorders>
          </w:tcPr>
          <w:p>
            <w:pPr>
              <w:spacing w:line="278" w:lineRule="auto"/>
              <w:rPr>
                <w:rFonts w:ascii="Arial"/>
                <w:sz w:val="21"/>
              </w:rPr>
            </w:pPr>
            <w:r/>
          </w:p>
          <w:p>
            <w:pPr>
              <w:ind w:left="150"/>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47" w:type="dxa"/>
            <w:vAlign w:val="top"/>
            <w:tcBorders>
              <w:bottom w:val="single" w:color="000000" w:sz="10" w:space="0"/>
            </w:tcBorders>
          </w:tcPr>
          <w:p>
            <w:pPr>
              <w:pStyle w:val="TableText"/>
              <w:ind w:left="350"/>
              <w:spacing w:before="301" w:line="228" w:lineRule="auto"/>
              <w:rPr>
                <w:sz w:val="20"/>
                <w:szCs w:val="20"/>
              </w:rPr>
            </w:pPr>
            <w:r>
              <w:rPr>
                <w:sz w:val="20"/>
                <w:szCs w:val="20"/>
                <w:spacing w:val="6"/>
              </w:rPr>
              <w:t>生产车间</w:t>
            </w:r>
          </w:p>
        </w:tc>
        <w:tc>
          <w:tcPr>
            <w:tcW w:w="3159" w:type="dxa"/>
            <w:vAlign w:val="top"/>
            <w:tcBorders>
              <w:bottom w:val="single" w:color="000000" w:sz="10" w:space="0"/>
            </w:tcBorders>
          </w:tcPr>
          <w:p>
            <w:pPr>
              <w:pStyle w:val="TableText"/>
              <w:ind w:left="111"/>
              <w:spacing w:before="301" w:line="227" w:lineRule="auto"/>
              <w:rPr>
                <w:sz w:val="20"/>
                <w:szCs w:val="20"/>
              </w:rPr>
            </w:pPr>
            <w:r>
              <w:rPr>
                <w:sz w:val="20"/>
                <w:szCs w:val="20"/>
                <w:spacing w:val="8"/>
              </w:rPr>
              <w:t>塑化挤出、吹胀牵引及风环冷却</w:t>
            </w:r>
          </w:p>
        </w:tc>
        <w:tc>
          <w:tcPr>
            <w:tcW w:w="871" w:type="dxa"/>
            <w:vAlign w:val="top"/>
            <w:tcBorders>
              <w:bottom w:val="single" w:color="000000" w:sz="10" w:space="0"/>
            </w:tcBorders>
          </w:tcPr>
          <w:p>
            <w:pPr>
              <w:pStyle w:val="TableText"/>
              <w:ind w:left="332" w:right="18" w:hanging="311"/>
              <w:spacing w:before="121" w:line="279" w:lineRule="auto"/>
              <w:rPr>
                <w:sz w:val="20"/>
                <w:szCs w:val="20"/>
              </w:rPr>
            </w:pPr>
            <w:r>
              <w:rPr>
                <w:sz w:val="20"/>
                <w:szCs w:val="20"/>
                <w:spacing w:val="6"/>
              </w:rPr>
              <w:t>非甲烷总</w:t>
            </w:r>
            <w:r>
              <w:rPr>
                <w:sz w:val="20"/>
                <w:szCs w:val="20"/>
                <w:spacing w:val="1"/>
              </w:rPr>
              <w:t xml:space="preserve"> </w:t>
            </w:r>
            <w:r>
              <w:rPr>
                <w:sz w:val="20"/>
                <w:szCs w:val="20"/>
              </w:rPr>
              <w:t>烃</w:t>
            </w:r>
          </w:p>
        </w:tc>
        <w:tc>
          <w:tcPr>
            <w:tcW w:w="871" w:type="dxa"/>
            <w:vAlign w:val="top"/>
            <w:tcBorders>
              <w:bottom w:val="single" w:color="000000" w:sz="10" w:space="0"/>
            </w:tcBorders>
          </w:tcPr>
          <w:p>
            <w:pPr>
              <w:pStyle w:val="TableText"/>
              <w:ind w:left="335" w:right="15" w:hanging="311"/>
              <w:spacing w:before="121" w:line="279" w:lineRule="auto"/>
              <w:rPr>
                <w:sz w:val="20"/>
                <w:szCs w:val="20"/>
              </w:rPr>
            </w:pPr>
            <w:r>
              <w:rPr>
                <w:sz w:val="20"/>
                <w:szCs w:val="20"/>
                <w:spacing w:val="6"/>
              </w:rPr>
              <w:t>非甲烷总</w:t>
            </w:r>
            <w:r>
              <w:rPr>
                <w:sz w:val="20"/>
                <w:szCs w:val="20"/>
                <w:spacing w:val="1"/>
              </w:rPr>
              <w:t xml:space="preserve"> </w:t>
            </w:r>
            <w:r>
              <w:rPr>
                <w:sz w:val="20"/>
                <w:szCs w:val="20"/>
              </w:rPr>
              <w:t>烃</w:t>
            </w:r>
          </w:p>
        </w:tc>
        <w:tc>
          <w:tcPr>
            <w:tcW w:w="2293" w:type="dxa"/>
            <w:vAlign w:val="top"/>
            <w:tcBorders>
              <w:bottom w:val="single" w:color="000000" w:sz="10" w:space="0"/>
            </w:tcBorders>
          </w:tcPr>
          <w:p>
            <w:pPr>
              <w:spacing w:line="278" w:lineRule="auto"/>
              <w:rPr>
                <w:rFonts w:ascii="Arial"/>
                <w:sz w:val="21"/>
              </w:rPr>
            </w:pPr>
            <w:r/>
          </w:p>
          <w:p>
            <w:pPr>
              <w:ind w:left="1019"/>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w:t>
            </w:r>
          </w:p>
        </w:tc>
        <w:tc>
          <w:tcPr>
            <w:tcW w:w="1657" w:type="dxa"/>
            <w:vAlign w:val="top"/>
            <w:tcBorders>
              <w:bottom w:val="single" w:color="000000" w:sz="10" w:space="0"/>
            </w:tcBorders>
          </w:tcPr>
          <w:p>
            <w:pPr>
              <w:pStyle w:val="TableText"/>
              <w:ind w:left="106"/>
              <w:spacing w:before="121" w:line="228" w:lineRule="auto"/>
              <w:rPr>
                <w:sz w:val="20"/>
                <w:szCs w:val="20"/>
              </w:rPr>
            </w:pPr>
            <w:r>
              <w:rPr>
                <w:sz w:val="20"/>
                <w:szCs w:val="20"/>
                <w:spacing w:val="8"/>
              </w:rPr>
              <w:t>加强集气罩密闭</w:t>
            </w:r>
          </w:p>
          <w:p>
            <w:pPr>
              <w:pStyle w:val="TableText"/>
              <w:ind w:left="212"/>
              <w:spacing w:before="112" w:line="226" w:lineRule="auto"/>
              <w:rPr>
                <w:sz w:val="20"/>
                <w:szCs w:val="20"/>
              </w:rPr>
            </w:pPr>
            <w:r>
              <w:rPr>
                <w:sz w:val="20"/>
                <w:szCs w:val="20"/>
                <w:spacing w:val="7"/>
              </w:rPr>
              <w:t>性，定期通风</w:t>
            </w:r>
          </w:p>
        </w:tc>
        <w:tc>
          <w:tcPr>
            <w:tcW w:w="827" w:type="dxa"/>
            <w:vAlign w:val="top"/>
            <w:tcBorders>
              <w:bottom w:val="single" w:color="000000" w:sz="10" w:space="0"/>
            </w:tcBorders>
          </w:tcPr>
          <w:p>
            <w:pPr>
              <w:spacing w:line="278" w:lineRule="auto"/>
              <w:rPr>
                <w:rFonts w:ascii="Arial"/>
                <w:sz w:val="21"/>
              </w:rPr>
            </w:pPr>
            <w:r/>
          </w:p>
          <w:p>
            <w:pPr>
              <w:ind w:left="234"/>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1440</w:t>
            </w:r>
          </w:p>
        </w:tc>
        <w:tc>
          <w:tcPr>
            <w:tcW w:w="579" w:type="dxa"/>
            <w:vAlign w:val="top"/>
            <w:tcBorders>
              <w:bottom w:val="single" w:color="000000" w:sz="10" w:space="0"/>
            </w:tcBorders>
          </w:tcPr>
          <w:p>
            <w:pPr>
              <w:pStyle w:val="TableText"/>
              <w:ind w:left="110"/>
              <w:spacing w:before="301" w:line="228" w:lineRule="auto"/>
              <w:rPr>
                <w:sz w:val="20"/>
                <w:szCs w:val="20"/>
              </w:rPr>
            </w:pPr>
            <w:r>
              <w:rPr>
                <w:sz w:val="20"/>
                <w:szCs w:val="20"/>
                <w:spacing w:val="-4"/>
              </w:rPr>
              <w:t>间断</w:t>
            </w:r>
          </w:p>
        </w:tc>
        <w:tc>
          <w:tcPr>
            <w:tcW w:w="2218" w:type="dxa"/>
            <w:vAlign w:val="top"/>
            <w:tcBorders>
              <w:bottom w:val="single" w:color="000000" w:sz="10" w:space="0"/>
              <w:right w:val="single" w:color="000000" w:sz="10" w:space="0"/>
            </w:tcBorders>
          </w:tcPr>
          <w:p>
            <w:pPr>
              <w:spacing w:line="278" w:lineRule="auto"/>
              <w:rPr>
                <w:rFonts w:ascii="Arial"/>
                <w:sz w:val="21"/>
              </w:rPr>
            </w:pPr>
            <w:r/>
          </w:p>
          <w:p>
            <w:pPr>
              <w:ind w:left="928"/>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0.17</w:t>
            </w:r>
          </w:p>
        </w:tc>
      </w:tr>
    </w:tbl>
    <w:p>
      <w:pPr>
        <w:ind w:left="6135"/>
        <w:spacing w:before="45" w:line="212"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rPr>
        <w:t>表4.2-5</w:t>
      </w:r>
      <w:r>
        <w:rPr>
          <w:rFonts w:ascii="SimSun" w:hAnsi="SimSun" w:eastAsia="SimSun" w:cs="SimSun"/>
          <w:sz w:val="24"/>
          <w:szCs w:val="24"/>
        </w:rPr>
        <w:t xml:space="preserve">   </w:t>
      </w:r>
      <w:r>
        <w:rPr>
          <w:rFonts w:ascii="SimSun" w:hAnsi="SimSun" w:eastAsia="SimSun" w:cs="SimSun"/>
          <w:sz w:val="24"/>
          <w:szCs w:val="24"/>
          <w14:textOutline w14:w="4358" w14:cap="sq" w14:cmpd="sng">
            <w14:solidFill>
              <w14:srgbClr w14:val="000000"/>
            </w14:solidFill>
            <w14:prstDash w14:val="solid"/>
            <w14:bevel/>
          </w14:textOutline>
        </w:rPr>
        <w:t>执行排放标准</w:t>
      </w:r>
    </w:p>
    <w:tbl>
      <w:tblPr>
        <w:tblStyle w:val="TableNormal"/>
        <w:tblW w:w="14166" w:type="dxa"/>
        <w:tblInd w:w="12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1"/>
        <w:gridCol w:w="1465"/>
        <w:gridCol w:w="1154"/>
        <w:gridCol w:w="1219"/>
        <w:gridCol w:w="8877"/>
      </w:tblGrid>
      <w:tr>
        <w:trPr>
          <w:trHeight w:val="357" w:hRule="atLeast"/>
        </w:trPr>
        <w:tc>
          <w:tcPr>
            <w:tcW w:w="1451" w:type="dxa"/>
            <w:vAlign w:val="top"/>
            <w:tcBorders>
              <w:left w:val="single" w:color="000000" w:sz="10" w:space="0"/>
              <w:top w:val="single" w:color="000000" w:sz="10" w:space="0"/>
            </w:tcBorders>
          </w:tcPr>
          <w:p>
            <w:pPr>
              <w:pStyle w:val="TableText"/>
              <w:ind w:left="297"/>
              <w:spacing w:before="112" w:line="216" w:lineRule="auto"/>
              <w:rPr>
                <w:sz w:val="20"/>
                <w:szCs w:val="20"/>
              </w:rPr>
            </w:pPr>
            <w:r>
              <w:rPr>
                <w:sz w:val="20"/>
                <w:szCs w:val="20"/>
                <w:spacing w:val="7"/>
              </w:rPr>
              <w:t>排放方式</w:t>
            </w:r>
          </w:p>
        </w:tc>
        <w:tc>
          <w:tcPr>
            <w:tcW w:w="1465" w:type="dxa"/>
            <w:vAlign w:val="top"/>
            <w:tcBorders>
              <w:top w:val="single" w:color="000000" w:sz="10" w:space="0"/>
            </w:tcBorders>
          </w:tcPr>
          <w:p>
            <w:pPr>
              <w:pStyle w:val="TableText"/>
              <w:ind w:left="307"/>
              <w:spacing w:before="112" w:line="216" w:lineRule="auto"/>
              <w:rPr>
                <w:sz w:val="20"/>
                <w:szCs w:val="20"/>
              </w:rPr>
            </w:pPr>
            <w:r>
              <w:rPr>
                <w:sz w:val="20"/>
                <w:szCs w:val="20"/>
                <w:spacing w:val="7"/>
              </w:rPr>
              <w:t>评价因子</w:t>
            </w:r>
          </w:p>
        </w:tc>
        <w:tc>
          <w:tcPr>
            <w:tcW w:w="1154" w:type="dxa"/>
            <w:vAlign w:val="top"/>
            <w:tcBorders>
              <w:top w:val="single" w:color="000000" w:sz="10" w:space="0"/>
            </w:tcBorders>
          </w:tcPr>
          <w:p>
            <w:pPr>
              <w:pStyle w:val="TableText"/>
              <w:ind w:left="155"/>
              <w:spacing w:before="112" w:line="216" w:lineRule="auto"/>
              <w:rPr>
                <w:sz w:val="20"/>
                <w:szCs w:val="20"/>
              </w:rPr>
            </w:pPr>
            <w:r>
              <w:rPr>
                <w:sz w:val="20"/>
                <w:szCs w:val="20"/>
                <w:spacing w:val="7"/>
              </w:rPr>
              <w:t>平均时段</w:t>
            </w:r>
          </w:p>
        </w:tc>
        <w:tc>
          <w:tcPr>
            <w:tcW w:w="1219" w:type="dxa"/>
            <w:vAlign w:val="top"/>
            <w:tcBorders>
              <w:top w:val="single" w:color="000000" w:sz="10" w:space="0"/>
            </w:tcBorders>
          </w:tcPr>
          <w:p>
            <w:pPr>
              <w:pStyle w:val="TableText"/>
              <w:ind w:left="190"/>
              <w:spacing w:before="112" w:line="216" w:lineRule="auto"/>
              <w:rPr>
                <w:sz w:val="20"/>
                <w:szCs w:val="20"/>
              </w:rPr>
            </w:pPr>
            <w:r>
              <w:rPr>
                <w:sz w:val="20"/>
                <w:szCs w:val="20"/>
                <w:spacing w:val="7"/>
              </w:rPr>
              <w:t>排放限值</w:t>
            </w:r>
          </w:p>
        </w:tc>
        <w:tc>
          <w:tcPr>
            <w:tcW w:w="8877" w:type="dxa"/>
            <w:vAlign w:val="top"/>
            <w:tcBorders>
              <w:right w:val="single" w:color="000000" w:sz="10" w:space="0"/>
              <w:top w:val="single" w:color="000000" w:sz="10" w:space="0"/>
            </w:tcBorders>
          </w:tcPr>
          <w:p>
            <w:pPr>
              <w:pStyle w:val="TableText"/>
              <w:ind w:left="4021"/>
              <w:spacing w:before="112" w:line="216" w:lineRule="auto"/>
              <w:rPr>
                <w:sz w:val="20"/>
                <w:szCs w:val="20"/>
              </w:rPr>
            </w:pPr>
            <w:r>
              <w:rPr>
                <w:sz w:val="20"/>
                <w:szCs w:val="20"/>
                <w:spacing w:val="7"/>
              </w:rPr>
              <w:t>标准来源</w:t>
            </w:r>
          </w:p>
        </w:tc>
      </w:tr>
      <w:tr>
        <w:trPr>
          <w:trHeight w:val="374" w:hRule="atLeast"/>
        </w:trPr>
        <w:tc>
          <w:tcPr>
            <w:tcW w:w="1451" w:type="dxa"/>
            <w:vAlign w:val="top"/>
            <w:tcBorders>
              <w:left w:val="single" w:color="000000" w:sz="10" w:space="0"/>
              <w:bottom w:val="single" w:color="000000" w:sz="10" w:space="0"/>
            </w:tcBorders>
          </w:tcPr>
          <w:p>
            <w:pPr>
              <w:pStyle w:val="TableText"/>
              <w:ind w:left="401"/>
              <w:spacing w:before="120" w:line="225" w:lineRule="auto"/>
              <w:rPr>
                <w:sz w:val="20"/>
                <w:szCs w:val="20"/>
              </w:rPr>
            </w:pPr>
            <w:r>
              <w:rPr>
                <w:sz w:val="20"/>
                <w:szCs w:val="20"/>
                <w:spacing w:val="6"/>
              </w:rPr>
              <w:t>有组织</w:t>
            </w:r>
          </w:p>
        </w:tc>
        <w:tc>
          <w:tcPr>
            <w:tcW w:w="1465" w:type="dxa"/>
            <w:vAlign w:val="top"/>
            <w:tcBorders>
              <w:bottom w:val="single" w:color="000000" w:sz="10" w:space="0"/>
            </w:tcBorders>
          </w:tcPr>
          <w:p>
            <w:pPr>
              <w:pStyle w:val="TableText"/>
              <w:ind w:left="208"/>
              <w:spacing w:before="120" w:line="225" w:lineRule="auto"/>
              <w:rPr>
                <w:sz w:val="20"/>
                <w:szCs w:val="20"/>
              </w:rPr>
            </w:pPr>
            <w:r>
              <w:rPr>
                <w:sz w:val="20"/>
                <w:szCs w:val="20"/>
                <w:spacing w:val="7"/>
              </w:rPr>
              <w:t>非甲烷总烃</w:t>
            </w:r>
          </w:p>
        </w:tc>
        <w:tc>
          <w:tcPr>
            <w:tcW w:w="1154" w:type="dxa"/>
            <w:vAlign w:val="top"/>
            <w:tcBorders>
              <w:bottom w:val="single" w:color="000000" w:sz="10" w:space="0"/>
            </w:tcBorders>
          </w:tcPr>
          <w:p>
            <w:pPr>
              <w:ind w:left="539"/>
              <w:spacing w:before="15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219" w:type="dxa"/>
            <w:vAlign w:val="top"/>
            <w:tcBorders>
              <w:bottom w:val="single" w:color="000000" w:sz="10" w:space="0"/>
            </w:tcBorders>
          </w:tcPr>
          <w:p>
            <w:pPr>
              <w:pStyle w:val="TableText"/>
              <w:ind w:left="210"/>
              <w:spacing w:before="141" w:line="202" w:lineRule="auto"/>
              <w:rPr>
                <w:sz w:val="20"/>
                <w:szCs w:val="20"/>
              </w:rPr>
            </w:pPr>
            <w:r>
              <w:rPr>
                <w:rFonts w:ascii="Times New Roman" w:hAnsi="Times New Roman" w:eastAsia="Times New Roman" w:cs="Times New Roman"/>
                <w:sz w:val="20"/>
                <w:szCs w:val="20"/>
                <w:spacing w:val="5"/>
              </w:rPr>
              <w:t>60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/m</w:t>
            </w:r>
            <w:r>
              <w:rPr>
                <w:sz w:val="20"/>
                <w:szCs w:val="20"/>
                <w:spacing w:val="5"/>
              </w:rPr>
              <w:t>³</w:t>
            </w:r>
          </w:p>
        </w:tc>
        <w:tc>
          <w:tcPr>
            <w:tcW w:w="8877" w:type="dxa"/>
            <w:vAlign w:val="top"/>
            <w:tcBorders>
              <w:bottom w:val="single" w:color="000000" w:sz="10" w:space="0"/>
              <w:right w:val="single" w:color="000000" w:sz="10" w:space="0"/>
            </w:tcBorders>
          </w:tcPr>
          <w:p>
            <w:pPr>
              <w:pStyle w:val="TableText"/>
              <w:ind w:left="380"/>
              <w:spacing w:before="120" w:line="225" w:lineRule="auto"/>
              <w:rPr>
                <w:sz w:val="20"/>
                <w:szCs w:val="20"/>
              </w:rPr>
            </w:pPr>
            <w:r>
              <w:rPr>
                <w:sz w:val="20"/>
                <w:szCs w:val="20"/>
                <w:spacing w:val="9"/>
              </w:rPr>
              <w:t>《合成树脂工业污染物排放标准》（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9"/>
              </w:rPr>
              <w:t>31572-201</w:t>
            </w:r>
            <w:r>
              <w:rPr>
                <w:rFonts w:ascii="Times New Roman" w:hAnsi="Times New Roman" w:eastAsia="Times New Roman" w:cs="Times New Roman"/>
                <w:sz w:val="20"/>
                <w:szCs w:val="20"/>
                <w:spacing w:val="8"/>
              </w:rPr>
              <w:t>5</w:t>
            </w:r>
            <w:r>
              <w:rPr>
                <w:sz w:val="20"/>
                <w:szCs w:val="20"/>
                <w:spacing w:val="8"/>
              </w:rPr>
              <w:t>）中表</w:t>
            </w:r>
            <w:r>
              <w:rPr>
                <w:rFonts w:ascii="Times New Roman" w:hAnsi="Times New Roman" w:eastAsia="Times New Roman" w:cs="Times New Roman"/>
                <w:sz w:val="20"/>
                <w:szCs w:val="20"/>
                <w:spacing w:val="8"/>
              </w:rPr>
              <w:t>5</w:t>
            </w:r>
            <w:r>
              <w:rPr>
                <w:sz w:val="20"/>
                <w:szCs w:val="20"/>
                <w:spacing w:val="8"/>
              </w:rPr>
              <w:t>大气污染物特别排放限值要求</w:t>
            </w:r>
          </w:p>
        </w:tc>
      </w:tr>
    </w:tbl>
    <w:p>
      <w:pPr>
        <w:pStyle w:val="BodyText"/>
        <w:rPr/>
      </w:pPr>
      <w:r/>
    </w:p>
    <w:p>
      <w:pPr>
        <w:sectPr>
          <w:footerReference w:type="default" r:id="rId207"/>
          <w:pgSz w:w="16839" w:h="11906"/>
          <w:pgMar w:top="400" w:right="1204" w:bottom="1211" w:left="1204" w:header="0" w:footer="1049" w:gutter="0"/>
        </w:sectPr>
        <w:rPr/>
      </w:pPr>
    </w:p>
    <w:p>
      <w:pPr>
        <w:spacing w:before="39"/>
        <w:rPr/>
      </w:pPr>
      <w:r/>
    </w:p>
    <w:p>
      <w:pPr>
        <w:spacing w:before="39"/>
        <w:rPr/>
      </w:pPr>
      <w:r/>
    </w:p>
    <w:p>
      <w:pPr>
        <w:spacing w:before="38"/>
        <w:rPr/>
      </w:pPr>
      <w:r/>
    </w:p>
    <w:p>
      <w:pPr>
        <w:spacing w:before="38"/>
        <w:rPr/>
      </w:pPr>
      <w:r/>
    </w:p>
    <w:p>
      <w:pPr>
        <w:spacing w:before="38"/>
        <w:rPr/>
      </w:pPr>
      <w:r/>
    </w:p>
    <w:tbl>
      <w:tblPr>
        <w:tblStyle w:val="TableNormal"/>
        <w:tblW w:w="14166"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1"/>
        <w:gridCol w:w="1465"/>
        <w:gridCol w:w="1154"/>
        <w:gridCol w:w="1219"/>
        <w:gridCol w:w="8877"/>
      </w:tblGrid>
      <w:tr>
        <w:trPr>
          <w:trHeight w:val="343" w:hRule="atLeast"/>
        </w:trPr>
        <w:tc>
          <w:tcPr>
            <w:tcW w:w="1451" w:type="dxa"/>
            <w:vAlign w:val="top"/>
            <w:tcBorders>
              <w:left w:val="single" w:color="000000" w:sz="10" w:space="0"/>
              <w:top w:val="single" w:color="000000" w:sz="10" w:space="0"/>
            </w:tcBorders>
          </w:tcPr>
          <w:p>
            <w:pPr>
              <w:rPr>
                <w:rFonts w:ascii="Arial"/>
                <w:sz w:val="21"/>
              </w:rPr>
            </w:pPr>
            <w:r/>
          </w:p>
        </w:tc>
        <w:tc>
          <w:tcPr>
            <w:tcW w:w="1465" w:type="dxa"/>
            <w:vAlign w:val="top"/>
            <w:vMerge w:val="restart"/>
            <w:tcBorders>
              <w:top w:val="single" w:color="000000" w:sz="10" w:space="0"/>
              <w:bottom w:val="nil"/>
            </w:tcBorders>
          </w:tcPr>
          <w:p>
            <w:pPr>
              <w:rPr>
                <w:rFonts w:ascii="Arial"/>
                <w:sz w:val="21"/>
              </w:rPr>
            </w:pPr>
            <w:r/>
          </w:p>
        </w:tc>
        <w:tc>
          <w:tcPr>
            <w:tcW w:w="1154" w:type="dxa"/>
            <w:vAlign w:val="top"/>
            <w:tcBorders>
              <w:top w:val="single" w:color="000000" w:sz="10" w:space="0"/>
            </w:tcBorders>
          </w:tcPr>
          <w:p>
            <w:pPr>
              <w:rPr>
                <w:rFonts w:ascii="Arial"/>
                <w:sz w:val="21"/>
              </w:rPr>
            </w:pPr>
            <w:r/>
          </w:p>
        </w:tc>
        <w:tc>
          <w:tcPr>
            <w:tcW w:w="1219" w:type="dxa"/>
            <w:vAlign w:val="top"/>
            <w:tcBorders>
              <w:top w:val="single" w:color="000000" w:sz="10" w:space="0"/>
            </w:tcBorders>
          </w:tcPr>
          <w:p>
            <w:pPr>
              <w:rPr>
                <w:rFonts w:ascii="Arial"/>
                <w:sz w:val="21"/>
              </w:rPr>
            </w:pPr>
            <w:r/>
          </w:p>
        </w:tc>
        <w:tc>
          <w:tcPr>
            <w:tcW w:w="8877" w:type="dxa"/>
            <w:vAlign w:val="top"/>
            <w:tcBorders>
              <w:right w:val="single" w:color="000000" w:sz="10" w:space="0"/>
              <w:top w:val="single" w:color="000000" w:sz="10" w:space="0"/>
            </w:tcBorders>
          </w:tcPr>
          <w:p>
            <w:pPr>
              <w:rPr>
                <w:rFonts w:ascii="Arial"/>
                <w:sz w:val="21"/>
              </w:rPr>
            </w:pPr>
            <w:r/>
          </w:p>
        </w:tc>
      </w:tr>
      <w:tr>
        <w:trPr>
          <w:trHeight w:val="525" w:hRule="atLeast"/>
        </w:trPr>
        <w:tc>
          <w:tcPr>
            <w:tcW w:w="1451" w:type="dxa"/>
            <w:vAlign w:val="top"/>
            <w:tcBorders>
              <w:left w:val="single" w:color="000000" w:sz="10" w:space="0"/>
            </w:tcBorders>
          </w:tcPr>
          <w:p>
            <w:pPr>
              <w:pStyle w:val="TableText"/>
              <w:ind w:left="402"/>
              <w:spacing w:before="200" w:line="228" w:lineRule="auto"/>
              <w:rPr>
                <w:sz w:val="20"/>
                <w:szCs w:val="20"/>
              </w:rPr>
            </w:pPr>
            <w:r>
              <w:rPr>
                <w:sz w:val="20"/>
                <w:szCs w:val="20"/>
                <w:spacing w:val="6"/>
              </w:rPr>
              <w:t>无组织</w:t>
            </w:r>
          </w:p>
        </w:tc>
        <w:tc>
          <w:tcPr>
            <w:tcW w:w="1465" w:type="dxa"/>
            <w:vAlign w:val="top"/>
            <w:vMerge w:val="continue"/>
            <w:tcBorders>
              <w:top w:val="nil"/>
            </w:tcBorders>
          </w:tcPr>
          <w:p>
            <w:pPr>
              <w:rPr>
                <w:rFonts w:ascii="Arial"/>
                <w:sz w:val="21"/>
              </w:rPr>
            </w:pPr>
            <w:r/>
          </w:p>
        </w:tc>
        <w:tc>
          <w:tcPr>
            <w:tcW w:w="1154" w:type="dxa"/>
            <w:vAlign w:val="top"/>
          </w:tcPr>
          <w:p>
            <w:pPr>
              <w:ind w:left="539"/>
              <w:spacing w:before="23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219" w:type="dxa"/>
            <w:vAlign w:val="top"/>
          </w:tcPr>
          <w:p>
            <w:pPr>
              <w:pStyle w:val="TableText"/>
              <w:ind w:left="255"/>
              <w:spacing w:before="220" w:line="202" w:lineRule="auto"/>
              <w:rPr>
                <w:sz w:val="20"/>
                <w:szCs w:val="20"/>
              </w:rPr>
            </w:pPr>
            <w:r>
              <w:rPr>
                <w:rFonts w:ascii="Times New Roman" w:hAnsi="Times New Roman" w:eastAsia="Times New Roman" w:cs="Times New Roman"/>
                <w:sz w:val="20"/>
                <w:szCs w:val="20"/>
                <w:spacing w:val="7"/>
              </w:rPr>
              <w:t>4</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7"/>
              </w:rPr>
              <w:t>/m</w:t>
            </w:r>
            <w:r>
              <w:rPr>
                <w:sz w:val="20"/>
                <w:szCs w:val="20"/>
                <w:spacing w:val="7"/>
              </w:rPr>
              <w:t>³</w:t>
            </w:r>
          </w:p>
        </w:tc>
        <w:tc>
          <w:tcPr>
            <w:tcW w:w="8877" w:type="dxa"/>
            <w:vAlign w:val="top"/>
            <w:tcBorders>
              <w:right w:val="single" w:color="000000" w:sz="10" w:space="0"/>
            </w:tcBorders>
          </w:tcPr>
          <w:p>
            <w:pPr>
              <w:pStyle w:val="TableText"/>
              <w:ind w:left="380"/>
              <w:spacing w:before="199" w:line="228" w:lineRule="auto"/>
              <w:rPr>
                <w:sz w:val="20"/>
                <w:szCs w:val="20"/>
              </w:rPr>
            </w:pPr>
            <w:r>
              <w:rPr>
                <w:sz w:val="20"/>
                <w:szCs w:val="20"/>
                <w:spacing w:val="9"/>
              </w:rPr>
              <w:t>《合成树脂工业污染物排放标准》（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9"/>
              </w:rPr>
              <w:t>31572-201</w:t>
            </w:r>
            <w:r>
              <w:rPr>
                <w:rFonts w:ascii="Times New Roman" w:hAnsi="Times New Roman" w:eastAsia="Times New Roman" w:cs="Times New Roman"/>
                <w:sz w:val="20"/>
                <w:szCs w:val="20"/>
                <w:spacing w:val="8"/>
              </w:rPr>
              <w:t>5</w:t>
            </w:r>
            <w:r>
              <w:rPr>
                <w:sz w:val="20"/>
                <w:szCs w:val="20"/>
                <w:spacing w:val="8"/>
              </w:rPr>
              <w:t>）中表</w:t>
            </w:r>
            <w:r>
              <w:rPr>
                <w:rFonts w:ascii="Times New Roman" w:hAnsi="Times New Roman" w:eastAsia="Times New Roman" w:cs="Times New Roman"/>
                <w:sz w:val="20"/>
                <w:szCs w:val="20"/>
                <w:spacing w:val="8"/>
              </w:rPr>
              <w:t>9</w:t>
            </w:r>
            <w:r>
              <w:rPr>
                <w:sz w:val="20"/>
                <w:szCs w:val="20"/>
                <w:spacing w:val="8"/>
              </w:rPr>
              <w:t>企业边界大气污染物浓度限值</w:t>
            </w:r>
          </w:p>
        </w:tc>
      </w:tr>
      <w:tr>
        <w:trPr>
          <w:trHeight w:val="548" w:hRule="atLeast"/>
        </w:trPr>
        <w:tc>
          <w:tcPr>
            <w:tcW w:w="1451" w:type="dxa"/>
            <w:vAlign w:val="top"/>
            <w:tcBorders>
              <w:left w:val="single" w:color="000000" w:sz="10" w:space="0"/>
              <w:bottom w:val="single" w:color="000000" w:sz="10" w:space="0"/>
            </w:tcBorders>
          </w:tcPr>
          <w:p>
            <w:pPr>
              <w:rPr>
                <w:rFonts w:ascii="Arial"/>
                <w:sz w:val="21"/>
              </w:rPr>
            </w:pPr>
            <w:r/>
          </w:p>
        </w:tc>
        <w:tc>
          <w:tcPr>
            <w:tcW w:w="1465" w:type="dxa"/>
            <w:vAlign w:val="top"/>
            <w:tcBorders>
              <w:bottom w:val="single" w:color="000000" w:sz="10" w:space="0"/>
            </w:tcBorders>
          </w:tcPr>
          <w:p>
            <w:pPr>
              <w:rPr>
                <w:rFonts w:ascii="Arial"/>
                <w:sz w:val="21"/>
              </w:rPr>
            </w:pPr>
            <w:r/>
          </w:p>
        </w:tc>
        <w:tc>
          <w:tcPr>
            <w:tcW w:w="1154" w:type="dxa"/>
            <w:vAlign w:val="top"/>
            <w:tcBorders>
              <w:bottom w:val="single" w:color="000000" w:sz="10" w:space="0"/>
            </w:tcBorders>
          </w:tcPr>
          <w:p>
            <w:pPr>
              <w:ind w:left="539"/>
              <w:spacing w:before="23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219" w:type="dxa"/>
            <w:vAlign w:val="top"/>
            <w:tcBorders>
              <w:bottom w:val="single" w:color="000000" w:sz="10" w:space="0"/>
            </w:tcBorders>
          </w:tcPr>
          <w:p>
            <w:pPr>
              <w:pStyle w:val="TableText"/>
              <w:ind w:left="260"/>
              <w:spacing w:before="227" w:line="202" w:lineRule="auto"/>
              <w:rPr>
                <w:sz w:val="20"/>
                <w:szCs w:val="20"/>
              </w:rPr>
            </w:pPr>
            <w:r>
              <w:rPr>
                <w:rFonts w:ascii="Times New Roman" w:hAnsi="Times New Roman" w:eastAsia="Times New Roman" w:cs="Times New Roman"/>
                <w:sz w:val="20"/>
                <w:szCs w:val="20"/>
                <w:spacing w:val="6"/>
              </w:rPr>
              <w:t>6</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6"/>
              </w:rPr>
              <w:t>/m</w:t>
            </w:r>
            <w:r>
              <w:rPr>
                <w:sz w:val="20"/>
                <w:szCs w:val="20"/>
                <w:spacing w:val="6"/>
              </w:rPr>
              <w:t>³</w:t>
            </w:r>
          </w:p>
        </w:tc>
        <w:tc>
          <w:tcPr>
            <w:tcW w:w="8877" w:type="dxa"/>
            <w:vAlign w:val="top"/>
            <w:tcBorders>
              <w:bottom w:val="single" w:color="000000" w:sz="10" w:space="0"/>
              <w:right w:val="single" w:color="000000" w:sz="10" w:space="0"/>
            </w:tcBorders>
          </w:tcPr>
          <w:p>
            <w:pPr>
              <w:pStyle w:val="TableText"/>
              <w:ind w:left="380"/>
              <w:spacing w:before="207" w:line="227" w:lineRule="auto"/>
              <w:rPr>
                <w:sz w:val="20"/>
                <w:szCs w:val="20"/>
              </w:rPr>
            </w:pPr>
            <w:r>
              <w:rPr>
                <w:sz w:val="20"/>
                <w:szCs w:val="20"/>
                <w:spacing w:val="8"/>
              </w:rPr>
              <w:t>厂区内执行《挥发性有机物无组织排放控制标准》（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8"/>
              </w:rPr>
              <w:t>37822-2019</w:t>
            </w:r>
            <w:r>
              <w:rPr>
                <w:sz w:val="20"/>
                <w:szCs w:val="20"/>
                <w:spacing w:val="8"/>
              </w:rPr>
              <w:t>）表</w:t>
            </w:r>
            <w:r>
              <w:rPr>
                <w:rFonts w:ascii="Times New Roman" w:hAnsi="Times New Roman" w:eastAsia="Times New Roman" w:cs="Times New Roman"/>
                <w:sz w:val="20"/>
                <w:szCs w:val="20"/>
                <w:spacing w:val="8"/>
              </w:rPr>
              <w:t>A.</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8"/>
              </w:rPr>
              <w:t>1</w:t>
            </w:r>
            <w:r>
              <w:rPr>
                <w:sz w:val="20"/>
                <w:szCs w:val="20"/>
                <w:spacing w:val="8"/>
              </w:rPr>
              <w:t>特别</w:t>
            </w:r>
            <w:r>
              <w:rPr>
                <w:sz w:val="20"/>
                <w:szCs w:val="20"/>
                <w:spacing w:val="7"/>
              </w:rPr>
              <w:t>排放限值</w:t>
            </w:r>
          </w:p>
        </w:tc>
      </w:tr>
    </w:tbl>
    <w:p>
      <w:pPr>
        <w:pStyle w:val="BodyText"/>
        <w:rPr/>
      </w:pPr>
      <w:r/>
    </w:p>
    <w:p>
      <w:pPr>
        <w:sectPr>
          <w:footerReference w:type="default" r:id="rId208"/>
          <w:pgSz w:w="16839" w:h="11906"/>
          <w:pgMar w:top="400" w:right="1328" w:bottom="1211" w:left="131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17"/>
        <w:gridCol w:w="7509"/>
      </w:tblGrid>
      <w:tr>
        <w:trPr>
          <w:trHeight w:val="13747" w:hRule="atLeast"/>
        </w:trPr>
        <w:tc>
          <w:tcPr>
            <w:tcW w:w="1017" w:type="dxa"/>
            <w:vAlign w:val="top"/>
          </w:tcPr>
          <w:p>
            <w:pPr>
              <w:pStyle w:val="TableText"/>
              <w:ind w:left="117" w:right="107"/>
              <w:spacing w:before="198" w:line="385" w:lineRule="auto"/>
              <w:jc w:val="both"/>
              <w:rPr/>
            </w:pPr>
            <w:r>
              <w:rPr>
                <w:spacing w:val="22"/>
              </w:rPr>
              <w:t>运营期</w:t>
            </w:r>
            <w:r>
              <w:rPr/>
              <w:t xml:space="preserve"> </w:t>
            </w:r>
            <w:r>
              <w:rPr>
                <w:spacing w:val="22"/>
              </w:rPr>
              <w:t>环境影</w:t>
            </w:r>
            <w:r>
              <w:rPr/>
              <w:t xml:space="preserve"> </w:t>
            </w:r>
            <w:r>
              <w:rPr>
                <w:spacing w:val="22"/>
              </w:rPr>
              <w:t>响和保</w:t>
            </w:r>
          </w:p>
          <w:p>
            <w:pPr>
              <w:pStyle w:val="TableText"/>
              <w:ind w:left="118"/>
              <w:spacing w:line="220" w:lineRule="auto"/>
              <w:rPr/>
            </w:pPr>
            <w:r>
              <w:rPr>
                <w:spacing w:val="-4"/>
              </w:rPr>
              <w:t>护措施</w:t>
            </w:r>
          </w:p>
        </w:tc>
        <w:tc>
          <w:tcPr>
            <w:tcW w:w="7509" w:type="dxa"/>
            <w:vAlign w:val="top"/>
          </w:tcPr>
          <w:p>
            <w:pPr>
              <w:pStyle w:val="TableText"/>
              <w:ind w:left="589"/>
              <w:spacing w:before="200" w:line="220" w:lineRule="auto"/>
              <w:outlineLvl w:val="2"/>
              <w:rPr/>
            </w:pPr>
            <w:hyperlink w:history="true" r:id="rId210">
              <w:r>
                <w:rPr>
                  <w:rFonts w:ascii="Times New Roman" w:hAnsi="Times New Roman" w:eastAsia="Times New Roman" w:cs="Times New Roman"/>
                  <w:b/>
                  <w:bCs/>
                  <w:spacing w:val="-1"/>
                </w:rPr>
                <w:t>4.2.1.3</w:t>
              </w:r>
            </w:hyperlink>
            <w:r>
              <w:rPr>
                <w:rFonts w:ascii="Times New Roman" w:hAnsi="Times New Roman" w:eastAsia="Times New Roman" w:cs="Times New Roman"/>
                <w:b/>
                <w:bCs/>
                <w:spacing w:val="-1"/>
              </w:rPr>
              <w:t xml:space="preserve">  </w:t>
            </w:r>
            <w:r>
              <w:rPr>
                <w14:textOutline w14:w="4358" w14:cap="sq" w14:cmpd="sng">
                  <w14:solidFill>
                    <w14:srgbClr w14:val="000000"/>
                  </w14:solidFill>
                  <w14:prstDash w14:val="solid"/>
                  <w14:bevel/>
                </w14:textOutline>
                <w:spacing w:val="-1"/>
              </w:rPr>
              <w:t>环境影响分析</w:t>
            </w:r>
          </w:p>
          <w:p>
            <w:pPr>
              <w:pStyle w:val="TableText"/>
              <w:ind w:left="112" w:right="45" w:firstLine="481"/>
              <w:spacing w:before="215" w:line="384" w:lineRule="auto"/>
              <w:jc w:val="both"/>
              <w:rPr/>
            </w:pPr>
            <w:r>
              <w:rPr>
                <w:spacing w:val="-3"/>
              </w:rPr>
              <w:t>本项目大气污染源主要是塑化挤出、吹胀牵</w:t>
            </w:r>
            <w:r>
              <w:rPr>
                <w:spacing w:val="-4"/>
              </w:rPr>
              <w:t>引及风环冷却环节等，</w:t>
            </w:r>
            <w:r>
              <w:rPr/>
              <w:t xml:space="preserve"> </w:t>
            </w:r>
            <w:r>
              <w:rPr>
                <w:spacing w:val="3"/>
              </w:rPr>
              <w:t>主要污染物为非甲烷总烃。通过主要产生废气机</w:t>
            </w:r>
            <w:r>
              <w:rPr>
                <w:spacing w:val="2"/>
              </w:rPr>
              <w:t>械顶部设置局部密闭</w:t>
            </w:r>
            <w:r>
              <w:rPr/>
              <w:t xml:space="preserve"> </w:t>
            </w:r>
            <w:r>
              <w:rPr>
                <w:spacing w:val="3"/>
              </w:rPr>
              <w:t>式集气罩，生产运营过程中废气经局部密闭式集气罩</w:t>
            </w:r>
            <w:r>
              <w:rPr>
                <w:spacing w:val="2"/>
              </w:rPr>
              <w:t>负压收集后排入</w:t>
            </w:r>
            <w:r>
              <w:rPr/>
              <w:t xml:space="preserve"> </w:t>
            </w:r>
            <w:r>
              <w:rPr>
                <w:spacing w:val="-2"/>
              </w:rPr>
              <w:t>挥发性有机废气处理装置处理，采取“活性炭吸附</w:t>
            </w:r>
            <w:r>
              <w:rPr>
                <w:rFonts w:ascii="Times New Roman" w:hAnsi="Times New Roman" w:eastAsia="Times New Roman" w:cs="Times New Roman"/>
                <w:spacing w:val="-2"/>
              </w:rPr>
              <w:t>+</w:t>
            </w:r>
            <w:r>
              <w:rPr>
                <w:spacing w:val="-2"/>
              </w:rPr>
              <w:t>直接催化燃烧法装</w:t>
            </w:r>
          </w:p>
          <w:p>
            <w:pPr>
              <w:pStyle w:val="TableText"/>
              <w:ind w:left="111"/>
              <w:spacing w:line="219" w:lineRule="auto"/>
              <w:rPr/>
            </w:pPr>
            <w:r>
              <w:rPr>
                <w:spacing w:val="-2"/>
              </w:rPr>
              <w:t>置</w:t>
            </w:r>
            <w:r>
              <w:rPr>
                <w:spacing w:val="-82"/>
              </w:rPr>
              <w:t xml:space="preserve"> </w:t>
            </w:r>
            <w:r>
              <w:rPr>
                <w:spacing w:val="-2"/>
              </w:rPr>
              <w:t>”处理工艺，经处理后由一根</w:t>
            </w:r>
            <w:r>
              <w:rPr>
                <w:rFonts w:ascii="Times New Roman" w:hAnsi="Times New Roman" w:eastAsia="Times New Roman" w:cs="Times New Roman"/>
                <w:spacing w:val="-2"/>
              </w:rPr>
              <w:t>15m</w:t>
            </w:r>
            <w:r>
              <w:rPr>
                <w:spacing w:val="-2"/>
              </w:rPr>
              <w:t>排气筒排放。</w:t>
            </w:r>
          </w:p>
          <w:p>
            <w:pPr>
              <w:pStyle w:val="TableText"/>
              <w:ind w:left="112" w:right="109" w:firstLine="480"/>
              <w:spacing w:before="216" w:line="384" w:lineRule="auto"/>
              <w:jc w:val="both"/>
              <w:rPr/>
            </w:pPr>
            <w:r>
              <w:rPr>
                <w:spacing w:val="3"/>
              </w:rPr>
              <w:t>本项目挥发性有机废气有组织排放浓度满足《合成树</w:t>
            </w:r>
            <w:r>
              <w:rPr>
                <w:spacing w:val="2"/>
              </w:rPr>
              <w:t>脂工业污染</w:t>
            </w:r>
            <w:r>
              <w:rPr/>
              <w:t xml:space="preserve"> </w:t>
            </w:r>
            <w:r>
              <w:rPr>
                <w:spacing w:val="-9"/>
              </w:rPr>
              <w:t>物排放标准》（</w:t>
            </w:r>
            <w:r>
              <w:rPr>
                <w:rFonts w:ascii="Times New Roman" w:hAnsi="Times New Roman" w:eastAsia="Times New Roman" w:cs="Times New Roman"/>
                <w:spacing w:val="-9"/>
              </w:rPr>
              <w:t>GB31572-2015</w:t>
            </w:r>
            <w:r>
              <w:rPr>
                <w:spacing w:val="-9"/>
              </w:rPr>
              <w:t>）中表</w:t>
            </w:r>
            <w:r>
              <w:rPr>
                <w:rFonts w:ascii="Times New Roman" w:hAnsi="Times New Roman" w:eastAsia="Times New Roman" w:cs="Times New Roman"/>
                <w:spacing w:val="-9"/>
              </w:rPr>
              <w:t>5</w:t>
            </w:r>
            <w:r>
              <w:rPr>
                <w:spacing w:val="-9"/>
              </w:rPr>
              <w:t>大气污染物特别排放限值要求（浓</w:t>
            </w:r>
          </w:p>
          <w:p>
            <w:pPr>
              <w:pStyle w:val="TableText"/>
              <w:ind w:left="112"/>
              <w:spacing w:line="212" w:lineRule="auto"/>
              <w:rPr/>
            </w:pPr>
            <w:r>
              <w:rPr>
                <w:spacing w:val="-3"/>
              </w:rPr>
              <w:t>度</w:t>
            </w:r>
            <w:r>
              <w:rPr>
                <w:rFonts w:ascii="Times New Roman" w:hAnsi="Times New Roman" w:eastAsia="Times New Roman" w:cs="Times New Roman"/>
                <w:spacing w:val="-3"/>
              </w:rPr>
              <w:t>60mg/m</w:t>
            </w:r>
            <w:r>
              <w:rPr>
                <w:spacing w:val="-3"/>
              </w:rPr>
              <w:t>³)</w:t>
            </w:r>
            <w:r>
              <w:rPr>
                <w:spacing w:val="19"/>
              </w:rPr>
              <w:t xml:space="preserve"> </w:t>
            </w:r>
            <w:r>
              <w:rPr>
                <w:spacing w:val="-3"/>
              </w:rPr>
              <w:t>。</w:t>
            </w:r>
          </w:p>
          <w:p>
            <w:pPr>
              <w:pStyle w:val="TableText"/>
              <w:ind w:left="109" w:right="1" w:firstLine="487"/>
              <w:spacing w:before="224" w:line="385" w:lineRule="auto"/>
              <w:jc w:val="both"/>
              <w:rPr/>
            </w:pPr>
            <w:r>
              <w:rPr>
                <w:spacing w:val="-2"/>
              </w:rPr>
              <w:t>项目区厂界非甲烷总烃废气执行《合成树脂工业污染物排放标准》</w:t>
            </w:r>
            <w:r>
              <w:rPr>
                <w:spacing w:val="3"/>
              </w:rPr>
              <w:t xml:space="preserve"> </w:t>
            </w:r>
            <w:r>
              <w:rPr/>
              <w:t>（</w:t>
            </w:r>
            <w:r>
              <w:rPr>
                <w:rFonts w:ascii="Times New Roman" w:hAnsi="Times New Roman" w:eastAsia="Times New Roman" w:cs="Times New Roman"/>
              </w:rPr>
              <w:t>GB31572-2015</w:t>
            </w:r>
            <w:r>
              <w:rPr/>
              <w:t>）中表</w:t>
            </w:r>
            <w:r>
              <w:rPr>
                <w:rFonts w:ascii="Times New Roman" w:hAnsi="Times New Roman" w:eastAsia="Times New Roman" w:cs="Times New Roman"/>
              </w:rPr>
              <w:t>9</w:t>
            </w:r>
            <w:r>
              <w:rPr/>
              <w:t>企业边界大气污染物浓度限值（浓度</w:t>
            </w:r>
            <w:r>
              <w:rPr>
                <w:rFonts w:ascii="Times New Roman" w:hAnsi="Times New Roman" w:eastAsia="Times New Roman" w:cs="Times New Roman"/>
              </w:rPr>
              <w:t>4.0mg/m</w:t>
            </w:r>
            <w:r>
              <w:rPr>
                <w:rFonts w:ascii="Times New Roman" w:hAnsi="Times New Roman" w:eastAsia="Times New Roman" w:cs="Times New Roman"/>
                <w:spacing w:val="3"/>
              </w:rPr>
              <w:t xml:space="preserve">   </w:t>
            </w:r>
            <w:r>
              <w:rPr>
                <w:spacing w:val="-9"/>
              </w:rPr>
              <w:t>³</w:t>
            </w:r>
            <w:r>
              <w:rPr>
                <w:spacing w:val="-86"/>
              </w:rPr>
              <w:t xml:space="preserve"> </w:t>
            </w:r>
            <w:r>
              <w:rPr>
                <w:spacing w:val="-9"/>
              </w:rPr>
              <w:t>); 厂区内执行《挥发性有机物无组织排放控制</w:t>
            </w:r>
            <w:r>
              <w:rPr>
                <w:spacing w:val="-10"/>
              </w:rPr>
              <w:t>标准》（</w:t>
            </w:r>
            <w:r>
              <w:rPr>
                <w:rFonts w:ascii="Times New Roman" w:hAnsi="Times New Roman" w:eastAsia="Times New Roman" w:cs="Times New Roman"/>
                <w:spacing w:val="-10"/>
              </w:rPr>
              <w:t>GB37822-2019</w:t>
            </w:r>
            <w:r>
              <w:rPr>
                <w:spacing w:val="-10"/>
              </w:rPr>
              <w:t>）</w:t>
            </w:r>
          </w:p>
          <w:p>
            <w:pPr>
              <w:pStyle w:val="TableText"/>
              <w:ind w:left="112"/>
              <w:spacing w:line="210" w:lineRule="auto"/>
              <w:rPr/>
            </w:pPr>
            <w:r>
              <w:rPr>
                <w:spacing w:val="-2"/>
              </w:rPr>
              <w:t>表</w:t>
            </w:r>
            <w:r>
              <w:rPr>
                <w:rFonts w:ascii="Times New Roman" w:hAnsi="Times New Roman" w:eastAsia="Times New Roman" w:cs="Times New Roman"/>
                <w:spacing w:val="-2"/>
              </w:rPr>
              <w:t>A.</w:t>
            </w:r>
            <w:r>
              <w:rPr>
                <w:rFonts w:ascii="Times New Roman" w:hAnsi="Times New Roman" w:eastAsia="Times New Roman" w:cs="Times New Roman"/>
                <w:spacing w:val="-19"/>
              </w:rPr>
              <w:t xml:space="preserve"> </w:t>
            </w:r>
            <w:r>
              <w:rPr>
                <w:rFonts w:ascii="Times New Roman" w:hAnsi="Times New Roman" w:eastAsia="Times New Roman" w:cs="Times New Roman"/>
                <w:spacing w:val="-2"/>
              </w:rPr>
              <w:t>1</w:t>
            </w:r>
            <w:r>
              <w:rPr>
                <w:spacing w:val="-2"/>
              </w:rPr>
              <w:t>特别排放限值（</w:t>
            </w:r>
            <w:r>
              <w:rPr>
                <w:rFonts w:ascii="Times New Roman" w:hAnsi="Times New Roman" w:eastAsia="Times New Roman" w:cs="Times New Roman"/>
                <w:spacing w:val="-2"/>
              </w:rPr>
              <w:t>1h</w:t>
            </w:r>
            <w:r>
              <w:rPr>
                <w:spacing w:val="-2"/>
              </w:rPr>
              <w:t>平均浓度</w:t>
            </w:r>
            <w:r>
              <w:rPr>
                <w:rFonts w:ascii="Times New Roman" w:hAnsi="Times New Roman" w:eastAsia="Times New Roman" w:cs="Times New Roman"/>
                <w:spacing w:val="-2"/>
              </w:rPr>
              <w:t>6mg/m</w:t>
            </w:r>
            <w:r>
              <w:rPr>
                <w:spacing w:val="-2"/>
              </w:rPr>
              <w:t>³) 。</w:t>
            </w:r>
          </w:p>
          <w:p>
            <w:pPr>
              <w:pStyle w:val="TableText"/>
              <w:ind w:left="589"/>
              <w:spacing w:before="226" w:line="220" w:lineRule="auto"/>
              <w:outlineLvl w:val="2"/>
              <w:rPr/>
            </w:pPr>
            <w:hyperlink w:history="true" r:id="rId211">
              <w:r>
                <w:rPr>
                  <w:rFonts w:ascii="Times New Roman" w:hAnsi="Times New Roman" w:eastAsia="Times New Roman" w:cs="Times New Roman"/>
                  <w:b/>
                  <w:bCs/>
                </w:rPr>
                <w:t>4.2.1.4</w:t>
              </w:r>
            </w:hyperlink>
            <w:r>
              <w:rPr>
                <w:rFonts w:ascii="Times New Roman" w:hAnsi="Times New Roman" w:eastAsia="Times New Roman" w:cs="Times New Roman"/>
                <w:b/>
                <w:bCs/>
              </w:rPr>
              <w:t xml:space="preserve">  </w:t>
            </w:r>
            <w:r>
              <w:rPr>
                <w14:textOutline w14:w="4358" w14:cap="sq" w14:cmpd="sng">
                  <w14:solidFill>
                    <w14:srgbClr w14:val="000000"/>
                  </w14:solidFill>
                  <w14:prstDash w14:val="solid"/>
                  <w14:bevel/>
                </w14:textOutline>
              </w:rPr>
              <w:t>运营期大气环境影响预测分析</w:t>
            </w:r>
          </w:p>
          <w:p>
            <w:pPr>
              <w:pStyle w:val="TableText"/>
              <w:ind w:left="132" w:right="106" w:firstLine="459"/>
              <w:spacing w:before="213" w:line="385" w:lineRule="auto"/>
              <w:jc w:val="both"/>
              <w:rPr/>
            </w:pPr>
            <w:r>
              <w:rPr>
                <w:spacing w:val="1"/>
              </w:rPr>
              <w:t>采用《环境影响评价技术导则 大气环境》（</w:t>
            </w:r>
            <w:r>
              <w:rPr>
                <w:rFonts w:ascii="Times New Roman" w:hAnsi="Times New Roman" w:eastAsia="Times New Roman" w:cs="Times New Roman"/>
              </w:rPr>
              <w:t>HJ</w:t>
            </w:r>
            <w:r>
              <w:rPr>
                <w:rFonts w:ascii="Times New Roman" w:hAnsi="Times New Roman" w:eastAsia="Times New Roman" w:cs="Times New Roman"/>
                <w:spacing w:val="1"/>
              </w:rPr>
              <w:t>2.2-2018</w:t>
            </w:r>
            <w:r>
              <w:rPr>
                <w:spacing w:val="1"/>
              </w:rPr>
              <w:t>）中推荐</w:t>
            </w:r>
            <w:r>
              <w:rPr>
                <w:spacing w:val="3"/>
              </w:rPr>
              <w:t xml:space="preserve"> </w:t>
            </w:r>
            <w:r>
              <w:rPr>
                <w:spacing w:val="-4"/>
              </w:rPr>
              <w:t>的</w:t>
            </w:r>
            <w:r>
              <w:rPr>
                <w:rFonts w:ascii="Times New Roman" w:hAnsi="Times New Roman" w:eastAsia="Times New Roman" w:cs="Times New Roman"/>
                <w:spacing w:val="-4"/>
              </w:rPr>
              <w:t>AERSCREEN</w:t>
            </w:r>
            <w:r>
              <w:rPr>
                <w:spacing w:val="-4"/>
              </w:rPr>
              <w:t>（不考虑地形）模型对正常工况和非正常工况下污染物</w:t>
            </w:r>
          </w:p>
          <w:p>
            <w:pPr>
              <w:pStyle w:val="TableText"/>
              <w:ind w:left="132"/>
              <w:spacing w:line="219" w:lineRule="auto"/>
              <w:rPr/>
            </w:pPr>
            <w:r>
              <w:rPr>
                <w:spacing w:val="-3"/>
              </w:rPr>
              <w:t>的环境影响进行计算。</w:t>
            </w:r>
          </w:p>
          <w:p>
            <w:pPr>
              <w:pStyle w:val="TableText"/>
              <w:ind w:left="611"/>
              <w:spacing w:before="214" w:line="218" w:lineRule="auto"/>
              <w:rPr/>
            </w:pPr>
            <w:r>
              <w:rPr>
                <w:rFonts w:ascii="Times New Roman" w:hAnsi="Times New Roman" w:eastAsia="Times New Roman" w:cs="Times New Roman"/>
                <w:spacing w:val="-3"/>
              </w:rPr>
              <w:t>1</w:t>
            </w:r>
            <w:r>
              <w:rPr>
                <w:spacing w:val="-3"/>
              </w:rPr>
              <w:t>）评价因子和评价标准筛选</w:t>
            </w:r>
          </w:p>
          <w:p>
            <w:pPr>
              <w:pStyle w:val="TableText"/>
              <w:ind w:left="593"/>
              <w:spacing w:before="219" w:line="499" w:lineRule="exact"/>
              <w:rPr/>
            </w:pPr>
            <w:r>
              <w:rPr>
                <w:spacing w:val="-1"/>
                <w:position w:val="19"/>
              </w:rPr>
              <w:t>本项目排放的废气污染物为非甲烷总烃。</w:t>
            </w:r>
          </w:p>
          <w:p>
            <w:pPr>
              <w:pStyle w:val="TableText"/>
              <w:ind w:left="588"/>
              <w:spacing w:line="219" w:lineRule="auto"/>
              <w:rPr/>
            </w:pPr>
            <w:r>
              <w:rPr>
                <w:rFonts w:ascii="Times New Roman" w:hAnsi="Times New Roman" w:eastAsia="Times New Roman" w:cs="Times New Roman"/>
                <w:spacing w:val="-1"/>
              </w:rPr>
              <w:t>2</w:t>
            </w:r>
            <w:r>
              <w:rPr>
                <w:spacing w:val="-1"/>
              </w:rPr>
              <w:t>）模型参数</w:t>
            </w:r>
          </w:p>
          <w:p>
            <w:pPr>
              <w:pStyle w:val="TableText"/>
              <w:ind w:left="592"/>
              <w:spacing w:before="214" w:line="502" w:lineRule="exact"/>
              <w:rPr/>
            </w:pPr>
            <w:r>
              <w:rPr>
                <w:position w:val="20"/>
              </w:rPr>
              <w:t>根据</w:t>
            </w:r>
            <w:r>
              <w:rPr>
                <w:rFonts w:ascii="Times New Roman" w:hAnsi="Times New Roman" w:eastAsia="Times New Roman" w:cs="Times New Roman"/>
                <w:position w:val="20"/>
              </w:rPr>
              <w:t>HJ2.2-2018</w:t>
            </w:r>
            <w:r>
              <w:rPr>
                <w:position w:val="20"/>
              </w:rPr>
              <w:t>附录</w:t>
            </w:r>
            <w:r>
              <w:rPr>
                <w:rFonts w:ascii="Times New Roman" w:hAnsi="Times New Roman" w:eastAsia="Times New Roman" w:cs="Times New Roman"/>
                <w:position w:val="20"/>
              </w:rPr>
              <w:t>B</w:t>
            </w:r>
            <w:r>
              <w:rPr>
                <w:position w:val="20"/>
              </w:rPr>
              <w:t>推荐模型参数及说</w:t>
            </w:r>
            <w:r>
              <w:rPr>
                <w:spacing w:val="-1"/>
                <w:position w:val="20"/>
              </w:rPr>
              <w:t>明，结合本项目所在区域</w:t>
            </w:r>
          </w:p>
          <w:p>
            <w:pPr>
              <w:pStyle w:val="TableText"/>
              <w:ind w:left="132"/>
              <w:spacing w:before="1" w:line="217" w:lineRule="auto"/>
              <w:rPr/>
            </w:pPr>
            <w:r>
              <w:rPr>
                <w:spacing w:val="-2"/>
              </w:rPr>
              <w:t>的近</w:t>
            </w:r>
            <w:r>
              <w:rPr>
                <w:rFonts w:ascii="Times New Roman" w:hAnsi="Times New Roman" w:eastAsia="Times New Roman" w:cs="Times New Roman"/>
                <w:spacing w:val="-2"/>
              </w:rPr>
              <w:t>20</w:t>
            </w:r>
            <w:r>
              <w:rPr>
                <w:spacing w:val="-2"/>
              </w:rPr>
              <w:t>年收集的资料。本项目估算模型参数见下表。</w:t>
            </w:r>
          </w:p>
          <w:p>
            <w:pPr>
              <w:pStyle w:val="TableText"/>
              <w:ind w:left="2183"/>
              <w:spacing w:before="137" w:line="218" w:lineRule="auto"/>
              <w:rPr/>
            </w:pPr>
            <w:r>
              <w:rPr>
                <w14:textOutline w14:w="4358" w14:cap="sq" w14:cmpd="sng">
                  <w14:solidFill>
                    <w14:srgbClr w14:val="000000"/>
                  </w14:solidFill>
                  <w14:prstDash w14:val="solid"/>
                  <w14:bevel/>
                </w14:textOutline>
              </w:rPr>
              <w:t>表</w:t>
            </w:r>
            <w:r>
              <w:rPr>
                <w:rFonts w:ascii="Times New Roman" w:hAnsi="Times New Roman" w:eastAsia="Times New Roman" w:cs="Times New Roman"/>
                <w:b/>
                <w:bCs/>
              </w:rPr>
              <w:t>4.2-6    </w:t>
            </w:r>
            <w:r>
              <w:rPr>
                <w14:textOutline w14:w="4358" w14:cap="sq" w14:cmpd="sng">
                  <w14:solidFill>
                    <w14:srgbClr w14:val="000000"/>
                  </w14:solidFill>
                  <w14:prstDash w14:val="solid"/>
                  <w14:bevel/>
                </w14:textOutline>
              </w:rPr>
              <w:t>估算模式预测参数表</w:t>
            </w:r>
          </w:p>
          <w:p>
            <w:pPr>
              <w:spacing w:line="17" w:lineRule="auto"/>
              <w:rPr>
                <w:rFonts w:ascii="Arial"/>
                <w:sz w:val="2"/>
              </w:rPr>
            </w:pPr>
            <w:r>
              <w:rPr>
                <w:rFonts w:ascii="Arial"/>
                <w:sz w:val="2"/>
              </w:rPr>
            </w:r>
          </w:p>
          <w:tbl>
            <w:tblPr>
              <w:tblStyle w:val="TableNormal"/>
              <w:tblW w:w="7291" w:type="dxa"/>
              <w:tblInd w:w="10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426"/>
              <w:gridCol w:w="2434"/>
              <w:gridCol w:w="2431"/>
            </w:tblGrid>
            <w:tr>
              <w:trPr>
                <w:trHeight w:val="329" w:hRule="atLeast"/>
              </w:trPr>
              <w:tc>
                <w:tcPr>
                  <w:tcW w:w="4860" w:type="dxa"/>
                  <w:vAlign w:val="top"/>
                  <w:gridSpan w:val="2"/>
                  <w:tcBorders>
                    <w:left w:val="nil"/>
                    <w:top w:val="single" w:color="000000" w:sz="10" w:space="0"/>
                  </w:tcBorders>
                </w:tcPr>
                <w:p>
                  <w:pPr>
                    <w:pStyle w:val="TableText"/>
                    <w:ind w:left="2229"/>
                    <w:spacing w:before="81" w:line="219" w:lineRule="auto"/>
                    <w:rPr>
                      <w:sz w:val="20"/>
                      <w:szCs w:val="20"/>
                    </w:rPr>
                  </w:pPr>
                  <w:r>
                    <w:rPr>
                      <w:sz w:val="20"/>
                      <w:szCs w:val="20"/>
                      <w:spacing w:val="3"/>
                    </w:rPr>
                    <w:t>参数</w:t>
                  </w:r>
                </w:p>
              </w:tc>
              <w:tc>
                <w:tcPr>
                  <w:tcW w:w="2431" w:type="dxa"/>
                  <w:vAlign w:val="top"/>
                  <w:tcBorders>
                    <w:right w:val="nil"/>
                    <w:top w:val="single" w:color="000000" w:sz="10" w:space="0"/>
                  </w:tcBorders>
                </w:tcPr>
                <w:p>
                  <w:pPr>
                    <w:pStyle w:val="TableText"/>
                    <w:ind w:left="1013"/>
                    <w:spacing w:before="81" w:line="219" w:lineRule="auto"/>
                    <w:rPr>
                      <w:sz w:val="20"/>
                      <w:szCs w:val="20"/>
                    </w:rPr>
                  </w:pPr>
                  <w:r>
                    <w:rPr>
                      <w:sz w:val="20"/>
                      <w:szCs w:val="20"/>
                      <w:spacing w:val="3"/>
                    </w:rPr>
                    <w:t>取值</w:t>
                  </w:r>
                </w:p>
              </w:tc>
            </w:tr>
            <w:tr>
              <w:trPr>
                <w:trHeight w:val="325" w:hRule="atLeast"/>
              </w:trPr>
              <w:tc>
                <w:tcPr>
                  <w:tcW w:w="2426" w:type="dxa"/>
                  <w:vAlign w:val="top"/>
                  <w:vMerge w:val="restart"/>
                  <w:tcBorders>
                    <w:left w:val="nil"/>
                    <w:bottom w:val="nil"/>
                  </w:tcBorders>
                </w:tcPr>
                <w:p>
                  <w:pPr>
                    <w:pStyle w:val="TableText"/>
                    <w:ind w:left="562"/>
                    <w:spacing w:before="241" w:line="227" w:lineRule="auto"/>
                    <w:rPr>
                      <w:sz w:val="20"/>
                      <w:szCs w:val="20"/>
                    </w:rPr>
                  </w:pPr>
                  <w:r>
                    <w:rPr>
                      <w:sz w:val="20"/>
                      <w:szCs w:val="20"/>
                      <w:spacing w:val="7"/>
                    </w:rPr>
                    <w:t>城市</w:t>
                  </w:r>
                  <w:r>
                    <w:rPr>
                      <w:rFonts w:ascii="Times New Roman" w:hAnsi="Times New Roman" w:eastAsia="Times New Roman" w:cs="Times New Roman"/>
                      <w:sz w:val="20"/>
                      <w:szCs w:val="20"/>
                      <w:spacing w:val="7"/>
                    </w:rPr>
                    <w:t>/</w:t>
                  </w:r>
                  <w:r>
                    <w:rPr>
                      <w:sz w:val="20"/>
                      <w:szCs w:val="20"/>
                      <w:spacing w:val="7"/>
                    </w:rPr>
                    <w:t>农村选项</w:t>
                  </w:r>
                </w:p>
              </w:tc>
              <w:tc>
                <w:tcPr>
                  <w:tcW w:w="2434" w:type="dxa"/>
                  <w:vAlign w:val="top"/>
                </w:tcPr>
                <w:p>
                  <w:pPr>
                    <w:pStyle w:val="TableText"/>
                    <w:ind w:left="773"/>
                    <w:spacing w:before="76" w:line="220" w:lineRule="auto"/>
                    <w:rPr>
                      <w:sz w:val="20"/>
                      <w:szCs w:val="20"/>
                    </w:rPr>
                  </w:pPr>
                  <w:r>
                    <w:rPr>
                      <w:sz w:val="20"/>
                      <w:szCs w:val="20"/>
                      <w:spacing w:val="6"/>
                    </w:rPr>
                    <w:t>城市</w:t>
                  </w:r>
                  <w:r>
                    <w:rPr>
                      <w:rFonts w:ascii="Times New Roman" w:hAnsi="Times New Roman" w:eastAsia="Times New Roman" w:cs="Times New Roman"/>
                      <w:sz w:val="20"/>
                      <w:szCs w:val="20"/>
                      <w:spacing w:val="6"/>
                    </w:rPr>
                    <w:t>/</w:t>
                  </w:r>
                  <w:r>
                    <w:rPr>
                      <w:sz w:val="20"/>
                      <w:szCs w:val="20"/>
                      <w:spacing w:val="6"/>
                    </w:rPr>
                    <w:t>农村</w:t>
                  </w:r>
                </w:p>
              </w:tc>
              <w:tc>
                <w:tcPr>
                  <w:tcW w:w="2431" w:type="dxa"/>
                  <w:vAlign w:val="top"/>
                  <w:tcBorders>
                    <w:right w:val="nil"/>
                  </w:tcBorders>
                </w:tcPr>
                <w:p>
                  <w:pPr>
                    <w:pStyle w:val="TableText"/>
                    <w:ind w:left="1011"/>
                    <w:spacing w:before="76" w:line="220" w:lineRule="auto"/>
                    <w:rPr>
                      <w:sz w:val="20"/>
                      <w:szCs w:val="20"/>
                    </w:rPr>
                  </w:pPr>
                  <w:r>
                    <w:rPr>
                      <w:sz w:val="20"/>
                      <w:szCs w:val="20"/>
                      <w:spacing w:val="4"/>
                    </w:rPr>
                    <w:t>农村</w:t>
                  </w:r>
                </w:p>
              </w:tc>
            </w:tr>
            <w:tr>
              <w:trPr>
                <w:trHeight w:val="325" w:hRule="atLeast"/>
              </w:trPr>
              <w:tc>
                <w:tcPr>
                  <w:tcW w:w="2426" w:type="dxa"/>
                  <w:vAlign w:val="top"/>
                  <w:vMerge w:val="continue"/>
                  <w:tcBorders>
                    <w:left w:val="nil"/>
                    <w:top w:val="nil"/>
                  </w:tcBorders>
                </w:tcPr>
                <w:p>
                  <w:pPr>
                    <w:rPr>
                      <w:rFonts w:ascii="Arial"/>
                      <w:sz w:val="21"/>
                    </w:rPr>
                  </w:pPr>
                  <w:r/>
                </w:p>
              </w:tc>
              <w:tc>
                <w:tcPr>
                  <w:tcW w:w="2434" w:type="dxa"/>
                  <w:vAlign w:val="top"/>
                </w:tcPr>
                <w:p>
                  <w:pPr>
                    <w:pStyle w:val="TableText"/>
                    <w:ind w:left="699"/>
                    <w:spacing w:before="77" w:line="219" w:lineRule="auto"/>
                    <w:rPr>
                      <w:sz w:val="20"/>
                      <w:szCs w:val="20"/>
                    </w:rPr>
                  </w:pPr>
                  <w:r>
                    <w:rPr>
                      <w:sz w:val="20"/>
                      <w:szCs w:val="20"/>
                      <w:spacing w:val="8"/>
                    </w:rPr>
                    <w:t>城市人口数</w:t>
                  </w:r>
                </w:p>
              </w:tc>
              <w:tc>
                <w:tcPr>
                  <w:tcW w:w="2431" w:type="dxa"/>
                  <w:vAlign w:val="top"/>
                  <w:tcBorders>
                    <w:right w:val="nil"/>
                  </w:tcBorders>
                </w:tcPr>
                <w:p>
                  <w:pPr>
                    <w:ind w:left="1186"/>
                    <w:spacing w:before="201" w:line="9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r>
            <w:tr>
              <w:trPr>
                <w:trHeight w:val="325" w:hRule="atLeast"/>
              </w:trPr>
              <w:tc>
                <w:tcPr>
                  <w:tcW w:w="4860" w:type="dxa"/>
                  <w:vAlign w:val="top"/>
                  <w:gridSpan w:val="2"/>
                  <w:tcBorders>
                    <w:left w:val="nil"/>
                  </w:tcBorders>
                </w:tcPr>
                <w:p>
                  <w:pPr>
                    <w:pStyle w:val="TableText"/>
                    <w:ind w:left="1702"/>
                    <w:spacing w:before="76" w:line="220" w:lineRule="auto"/>
                    <w:rPr>
                      <w:rFonts w:ascii="Times New Roman" w:hAnsi="Times New Roman" w:eastAsia="Times New Roman" w:cs="Times New Roman"/>
                      <w:sz w:val="20"/>
                      <w:szCs w:val="20"/>
                    </w:rPr>
                  </w:pPr>
                  <w:r>
                    <w:rPr>
                      <w:sz w:val="20"/>
                      <w:szCs w:val="20"/>
                      <w:spacing w:val="8"/>
                    </w:rPr>
                    <w:t>最高环境温度</w:t>
                  </w:r>
                  <w:r>
                    <w:rPr>
                      <w:rFonts w:ascii="Times New Roman" w:hAnsi="Times New Roman" w:eastAsia="Times New Roman" w:cs="Times New Roman"/>
                      <w:sz w:val="20"/>
                      <w:szCs w:val="20"/>
                      <w:spacing w:val="8"/>
                    </w:rPr>
                    <w:t>℃</w:t>
                  </w:r>
                </w:p>
              </w:tc>
              <w:tc>
                <w:tcPr>
                  <w:tcW w:w="2431" w:type="dxa"/>
                  <w:vAlign w:val="top"/>
                  <w:tcBorders>
                    <w:right w:val="nil"/>
                  </w:tcBorders>
                </w:tcPr>
                <w:p>
                  <w:pPr>
                    <w:ind w:left="1032"/>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41.5</w:t>
                  </w:r>
                </w:p>
              </w:tc>
            </w:tr>
            <w:tr>
              <w:trPr>
                <w:trHeight w:val="325" w:hRule="atLeast"/>
              </w:trPr>
              <w:tc>
                <w:tcPr>
                  <w:tcW w:w="4860" w:type="dxa"/>
                  <w:vAlign w:val="top"/>
                  <w:gridSpan w:val="2"/>
                  <w:tcBorders>
                    <w:left w:val="nil"/>
                  </w:tcBorders>
                </w:tcPr>
                <w:p>
                  <w:pPr>
                    <w:pStyle w:val="TableText"/>
                    <w:ind w:left="1702"/>
                    <w:spacing w:before="77" w:line="219" w:lineRule="auto"/>
                    <w:rPr>
                      <w:rFonts w:ascii="Times New Roman" w:hAnsi="Times New Roman" w:eastAsia="Times New Roman" w:cs="Times New Roman"/>
                      <w:sz w:val="20"/>
                      <w:szCs w:val="20"/>
                    </w:rPr>
                  </w:pPr>
                  <w:r>
                    <w:rPr>
                      <w:sz w:val="20"/>
                      <w:szCs w:val="20"/>
                      <w:spacing w:val="8"/>
                    </w:rPr>
                    <w:t>最低环境温度</w:t>
                  </w:r>
                  <w:r>
                    <w:rPr>
                      <w:rFonts w:ascii="Times New Roman" w:hAnsi="Times New Roman" w:eastAsia="Times New Roman" w:cs="Times New Roman"/>
                      <w:sz w:val="20"/>
                      <w:szCs w:val="20"/>
                      <w:spacing w:val="8"/>
                    </w:rPr>
                    <w:t>℃</w:t>
                  </w:r>
                </w:p>
              </w:tc>
              <w:tc>
                <w:tcPr>
                  <w:tcW w:w="2431" w:type="dxa"/>
                  <w:vAlign w:val="top"/>
                  <w:tcBorders>
                    <w:right w:val="nil"/>
                  </w:tcBorders>
                </w:tcPr>
                <w:p>
                  <w:pPr>
                    <w:ind w:left="1081"/>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-32</w:t>
                  </w:r>
                </w:p>
              </w:tc>
            </w:tr>
            <w:tr>
              <w:trPr>
                <w:trHeight w:val="325" w:hRule="atLeast"/>
              </w:trPr>
              <w:tc>
                <w:tcPr>
                  <w:tcW w:w="4860" w:type="dxa"/>
                  <w:vAlign w:val="top"/>
                  <w:gridSpan w:val="2"/>
                  <w:tcBorders>
                    <w:left w:val="nil"/>
                  </w:tcBorders>
                </w:tcPr>
                <w:p>
                  <w:pPr>
                    <w:pStyle w:val="TableText"/>
                    <w:ind w:left="1867"/>
                    <w:spacing w:before="76" w:line="220" w:lineRule="auto"/>
                    <w:rPr>
                      <w:rFonts w:ascii="Times New Roman" w:hAnsi="Times New Roman" w:eastAsia="Times New Roman" w:cs="Times New Roman"/>
                      <w:sz w:val="20"/>
                      <w:szCs w:val="20"/>
                    </w:rPr>
                  </w:pPr>
                  <w:r>
                    <w:rPr>
                      <w:sz w:val="20"/>
                      <w:szCs w:val="20"/>
                      <w:spacing w:val="6"/>
                    </w:rPr>
                    <w:t>平均风速</w:t>
                  </w:r>
                  <w:r>
                    <w:rPr>
                      <w:rFonts w:ascii="Times New Roman" w:hAnsi="Times New Roman" w:eastAsia="Times New Roman" w:cs="Times New Roman"/>
                      <w:sz w:val="20"/>
                      <w:szCs w:val="20"/>
                      <w:spacing w:val="6"/>
                    </w:rPr>
                    <w:t>m/s</w:t>
                  </w:r>
                </w:p>
              </w:tc>
              <w:tc>
                <w:tcPr>
                  <w:tcW w:w="2431" w:type="dxa"/>
                  <w:vAlign w:val="top"/>
                  <w:tcBorders>
                    <w:right w:val="nil"/>
                  </w:tcBorders>
                </w:tcPr>
                <w:p>
                  <w:pPr>
                    <w:ind w:left="1165"/>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trPr>
                <w:trHeight w:val="318" w:hRule="atLeast"/>
              </w:trPr>
              <w:tc>
                <w:tcPr>
                  <w:tcW w:w="4860" w:type="dxa"/>
                  <w:vAlign w:val="top"/>
                  <w:gridSpan w:val="2"/>
                  <w:tcBorders>
                    <w:left w:val="nil"/>
                    <w:bottom w:val="nil"/>
                  </w:tcBorders>
                </w:tcPr>
                <w:p>
                  <w:pPr>
                    <w:pStyle w:val="TableText"/>
                    <w:ind w:left="1808"/>
                    <w:spacing w:before="77" w:line="213" w:lineRule="auto"/>
                    <w:rPr>
                      <w:sz w:val="20"/>
                      <w:szCs w:val="20"/>
                    </w:rPr>
                  </w:pPr>
                  <w:r>
                    <w:rPr>
                      <w:sz w:val="20"/>
                      <w:szCs w:val="20"/>
                      <w:spacing w:val="8"/>
                    </w:rPr>
                    <w:t>土地利用类型</w:t>
                  </w:r>
                </w:p>
              </w:tc>
              <w:tc>
                <w:tcPr>
                  <w:tcW w:w="2431" w:type="dxa"/>
                  <w:vAlign w:val="top"/>
                  <w:tcBorders>
                    <w:bottom w:val="nil"/>
                    <w:right w:val="nil"/>
                  </w:tcBorders>
                </w:tcPr>
                <w:p>
                  <w:pPr>
                    <w:pStyle w:val="TableText"/>
                    <w:ind w:left="804"/>
                    <w:spacing w:before="77" w:line="213" w:lineRule="auto"/>
                    <w:rPr>
                      <w:sz w:val="20"/>
                      <w:szCs w:val="20"/>
                    </w:rPr>
                  </w:pPr>
                  <w:r>
                    <w:rPr>
                      <w:sz w:val="20"/>
                      <w:szCs w:val="20"/>
                      <w:spacing w:val="6"/>
                    </w:rPr>
                    <w:t>工业用地</w:t>
                  </w:r>
                </w:p>
              </w:tc>
            </w:tr>
          </w:tbl>
          <w:p>
            <w:pPr>
              <w:spacing w:line="42" w:lineRule="auto"/>
              <w:rPr>
                <w:rFonts w:ascii="Arial"/>
                <w:sz w:val="2"/>
              </w:rPr>
            </w:pPr>
            <w:r/>
          </w:p>
        </w:tc>
      </w:tr>
    </w:tbl>
    <w:p>
      <w:pPr>
        <w:pStyle w:val="BodyText"/>
        <w:rPr/>
      </w:pPr>
      <w:r/>
    </w:p>
    <w:p>
      <w:pPr>
        <w:sectPr>
          <w:footerReference w:type="default" r:id="rId209"/>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17"/>
        <w:gridCol w:w="7509"/>
      </w:tblGrid>
      <w:tr>
        <w:trPr>
          <w:trHeight w:val="13531" w:hRule="atLeast"/>
        </w:trPr>
        <w:tc>
          <w:tcPr>
            <w:tcW w:w="1017" w:type="dxa"/>
            <w:vAlign w:val="top"/>
          </w:tcPr>
          <w:p>
            <w:pPr>
              <w:rPr>
                <w:rFonts w:ascii="Arial"/>
                <w:sz w:val="21"/>
              </w:rPr>
            </w:pPr>
            <w:r/>
          </w:p>
        </w:tc>
        <w:tc>
          <w:tcPr>
            <w:tcW w:w="7509" w:type="dxa"/>
            <w:vAlign w:val="top"/>
          </w:tcPr>
          <w:p>
            <w:pPr>
              <w:spacing w:line="33" w:lineRule="exact"/>
              <w:rPr/>
            </w:pPr>
            <w:r/>
          </w:p>
          <w:tbl>
            <w:tblPr>
              <w:tblStyle w:val="TableNormal"/>
              <w:tblW w:w="7291" w:type="dxa"/>
              <w:tblInd w:w="10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861"/>
              <w:gridCol w:w="2430"/>
            </w:tblGrid>
            <w:tr>
              <w:trPr>
                <w:trHeight w:val="318" w:hRule="atLeast"/>
              </w:trPr>
              <w:tc>
                <w:tcPr>
                  <w:tcW w:w="4861" w:type="dxa"/>
                  <w:vAlign w:val="top"/>
                  <w:tcBorders>
                    <w:left w:val="nil"/>
                    <w:top w:val="nil"/>
                  </w:tcBorders>
                </w:tcPr>
                <w:p>
                  <w:pPr>
                    <w:pStyle w:val="TableText"/>
                    <w:ind w:left="1823"/>
                    <w:spacing w:before="78" w:line="212" w:lineRule="auto"/>
                    <w:rPr>
                      <w:sz w:val="20"/>
                      <w:szCs w:val="20"/>
                    </w:rPr>
                  </w:pPr>
                  <w:r>
                    <w:rPr>
                      <w:sz w:val="20"/>
                      <w:szCs w:val="20"/>
                      <w:spacing w:val="5"/>
                    </w:rPr>
                    <w:t>区域湿度条件</w:t>
                  </w:r>
                </w:p>
              </w:tc>
              <w:tc>
                <w:tcPr>
                  <w:tcW w:w="2430" w:type="dxa"/>
                  <w:vAlign w:val="top"/>
                  <w:tcBorders>
                    <w:right w:val="nil"/>
                    <w:top w:val="nil"/>
                  </w:tcBorders>
                </w:tcPr>
                <w:p>
                  <w:pPr>
                    <w:pStyle w:val="TableText"/>
                    <w:ind w:left="1009"/>
                    <w:spacing w:before="78" w:line="212" w:lineRule="auto"/>
                    <w:rPr>
                      <w:sz w:val="20"/>
                      <w:szCs w:val="20"/>
                    </w:rPr>
                  </w:pPr>
                  <w:r>
                    <w:rPr>
                      <w:sz w:val="20"/>
                      <w:szCs w:val="20"/>
                      <w:spacing w:val="5"/>
                    </w:rPr>
                    <w:t>干旱</w:t>
                  </w:r>
                </w:p>
              </w:tc>
            </w:tr>
            <w:tr>
              <w:trPr>
                <w:trHeight w:val="316" w:hRule="atLeast"/>
              </w:trPr>
              <w:tc>
                <w:tcPr>
                  <w:tcW w:w="4861" w:type="dxa"/>
                  <w:vAlign w:val="top"/>
                  <w:tcBorders>
                    <w:left w:val="nil"/>
                  </w:tcBorders>
                </w:tcPr>
                <w:p>
                  <w:pPr>
                    <w:pStyle w:val="TableText"/>
                    <w:ind w:left="2019"/>
                    <w:spacing w:before="83" w:line="205" w:lineRule="auto"/>
                    <w:rPr>
                      <w:sz w:val="20"/>
                      <w:szCs w:val="20"/>
                    </w:rPr>
                  </w:pPr>
                  <w:r>
                    <w:rPr>
                      <w:sz w:val="20"/>
                      <w:szCs w:val="20"/>
                      <w:spacing w:val="7"/>
                    </w:rPr>
                    <w:t>考虑地形</w:t>
                  </w:r>
                </w:p>
              </w:tc>
              <w:tc>
                <w:tcPr>
                  <w:tcW w:w="2430" w:type="dxa"/>
                  <w:vAlign w:val="top"/>
                  <w:tcBorders>
                    <w:right w:val="nil"/>
                  </w:tcBorders>
                </w:tcPr>
                <w:p>
                  <w:pPr>
                    <w:pStyle w:val="TableText"/>
                    <w:ind w:left="1122"/>
                    <w:spacing w:before="83" w:line="205" w:lineRule="auto"/>
                    <w:rPr>
                      <w:sz w:val="20"/>
                      <w:szCs w:val="20"/>
                    </w:rPr>
                  </w:pPr>
                  <w:r>
                    <w:rPr>
                      <w:sz w:val="20"/>
                      <w:szCs w:val="20"/>
                    </w:rPr>
                    <w:t>否</w:t>
                  </w:r>
                </w:p>
              </w:tc>
            </w:tr>
            <w:tr>
              <w:trPr>
                <w:trHeight w:val="340" w:hRule="atLeast"/>
              </w:trPr>
              <w:tc>
                <w:tcPr>
                  <w:tcW w:w="4861" w:type="dxa"/>
                  <w:vAlign w:val="top"/>
                  <w:tcBorders>
                    <w:left w:val="nil"/>
                    <w:bottom w:val="single" w:color="000000" w:sz="10" w:space="0"/>
                  </w:tcBorders>
                </w:tcPr>
                <w:p>
                  <w:pPr>
                    <w:pStyle w:val="TableText"/>
                    <w:ind w:left="2019"/>
                    <w:spacing w:before="93" w:line="218" w:lineRule="auto"/>
                    <w:rPr>
                      <w:sz w:val="20"/>
                      <w:szCs w:val="20"/>
                    </w:rPr>
                  </w:pPr>
                  <w:r>
                    <w:rPr>
                      <w:sz w:val="20"/>
                      <w:szCs w:val="20"/>
                      <w:spacing w:val="7"/>
                    </w:rPr>
                    <w:t>岸边熏烟</w:t>
                  </w:r>
                </w:p>
              </w:tc>
              <w:tc>
                <w:tcPr>
                  <w:tcW w:w="2430" w:type="dxa"/>
                  <w:vAlign w:val="top"/>
                  <w:tcBorders>
                    <w:right w:val="nil"/>
                    <w:bottom w:val="single" w:color="000000" w:sz="10" w:space="0"/>
                  </w:tcBorders>
                </w:tcPr>
                <w:p>
                  <w:pPr>
                    <w:pStyle w:val="TableText"/>
                    <w:ind w:left="907"/>
                    <w:spacing w:before="93" w:line="218" w:lineRule="auto"/>
                    <w:rPr>
                      <w:sz w:val="20"/>
                      <w:szCs w:val="20"/>
                    </w:rPr>
                  </w:pPr>
                  <w:r>
                    <w:rPr>
                      <w:sz w:val="20"/>
                      <w:szCs w:val="20"/>
                      <w:spacing w:val="5"/>
                    </w:rPr>
                    <w:t>不考虑</w:t>
                  </w:r>
                </w:p>
              </w:tc>
            </w:tr>
          </w:tbl>
          <w:p>
            <w:pPr>
              <w:pStyle w:val="TableText"/>
              <w:ind w:left="593"/>
              <w:spacing w:before="195" w:line="220" w:lineRule="auto"/>
              <w:rPr/>
            </w:pPr>
            <w:r>
              <w:rPr>
                <w:rFonts w:ascii="Times New Roman" w:hAnsi="Times New Roman" w:eastAsia="Times New Roman" w:cs="Times New Roman"/>
                <w:spacing w:val="-2"/>
              </w:rPr>
              <w:t>3</w:t>
            </w:r>
            <w:r>
              <w:rPr>
                <w:spacing w:val="-2"/>
              </w:rPr>
              <w:t>）预测结果</w:t>
            </w:r>
          </w:p>
          <w:p>
            <w:pPr>
              <w:pStyle w:val="TableText"/>
              <w:ind w:left="597"/>
              <w:spacing w:before="213" w:line="501" w:lineRule="exact"/>
              <w:rPr/>
            </w:pPr>
            <w:r>
              <w:rPr>
                <w:spacing w:val="1"/>
                <w:position w:val="20"/>
              </w:rPr>
              <w:t>正常工况污染物预测结果见表</w:t>
            </w:r>
            <w:r>
              <w:rPr>
                <w:rFonts w:ascii="Times New Roman" w:hAnsi="Times New Roman" w:eastAsia="Times New Roman" w:cs="Times New Roman"/>
                <w:spacing w:val="1"/>
                <w:position w:val="20"/>
              </w:rPr>
              <w:t>4.2-7</w:t>
            </w:r>
            <w:r>
              <w:rPr>
                <w:rFonts w:ascii="Times New Roman" w:hAnsi="Times New Roman" w:eastAsia="Times New Roman" w:cs="Times New Roman"/>
                <w:spacing w:val="-26"/>
                <w:position w:val="20"/>
              </w:rPr>
              <w:t xml:space="preserve"> </w:t>
            </w:r>
            <w:r>
              <w:rPr>
                <w:spacing w:val="1"/>
                <w:position w:val="20"/>
              </w:rPr>
              <w:t>，非正常工况</w:t>
            </w:r>
            <w:r>
              <w:rPr>
                <w:position w:val="20"/>
              </w:rPr>
              <w:t>污染物预测结果</w:t>
            </w:r>
          </w:p>
          <w:p>
            <w:pPr>
              <w:pStyle w:val="TableText"/>
              <w:ind w:left="116"/>
              <w:spacing w:line="219" w:lineRule="auto"/>
              <w:rPr/>
            </w:pPr>
            <w:r>
              <w:rPr>
                <w:spacing w:val="-2"/>
              </w:rPr>
              <w:t>见表</w:t>
            </w:r>
            <w:r>
              <w:rPr>
                <w:rFonts w:ascii="Times New Roman" w:hAnsi="Times New Roman" w:eastAsia="Times New Roman" w:cs="Times New Roman"/>
                <w:spacing w:val="-2"/>
              </w:rPr>
              <w:t>4.2-8</w:t>
            </w:r>
            <w:r>
              <w:rPr>
                <w:spacing w:val="-2"/>
              </w:rPr>
              <w:t>。</w:t>
            </w:r>
          </w:p>
          <w:p>
            <w:pPr>
              <w:pStyle w:val="TableText"/>
              <w:ind w:left="1340"/>
              <w:spacing w:before="135" w:line="219" w:lineRule="auto"/>
              <w:rPr/>
            </w:pPr>
            <w:r>
              <w:rPr>
                <w14:textOutline w14:w="4358" w14:cap="sq" w14:cmpd="sng">
                  <w14:solidFill>
                    <w14:srgbClr w14:val="000000"/>
                  </w14:solidFill>
                  <w14:prstDash w14:val="solid"/>
                  <w14:bevel/>
                </w14:textOutline>
              </w:rPr>
              <w:t>表</w:t>
            </w:r>
            <w:r>
              <w:rPr>
                <w:rFonts w:ascii="Times New Roman" w:hAnsi="Times New Roman" w:eastAsia="Times New Roman" w:cs="Times New Roman"/>
                <w:b/>
                <w:bCs/>
              </w:rPr>
              <w:t>4.2-7    </w:t>
            </w:r>
            <w:r>
              <w:rPr>
                <w14:textOutline w14:w="4358" w14:cap="sq" w14:cmpd="sng">
                  <w14:solidFill>
                    <w14:srgbClr w14:val="000000"/>
                  </w14:solidFill>
                  <w14:prstDash w14:val="solid"/>
                  <w14:bevel/>
                </w14:textOutline>
              </w:rPr>
              <w:t>正常工况排放污染物预测结果汇总表</w:t>
            </w:r>
          </w:p>
          <w:tbl>
            <w:tblPr>
              <w:tblStyle w:val="TableNormal"/>
              <w:tblW w:w="7286" w:type="dxa"/>
              <w:tblInd w:w="10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18"/>
              <w:gridCol w:w="1454"/>
              <w:gridCol w:w="1609"/>
              <w:gridCol w:w="1882"/>
              <w:gridCol w:w="1223"/>
            </w:tblGrid>
            <w:tr>
              <w:trPr>
                <w:trHeight w:val="721" w:hRule="atLeast"/>
              </w:trPr>
              <w:tc>
                <w:tcPr>
                  <w:tcW w:w="1118" w:type="dxa"/>
                  <w:vAlign w:val="top"/>
                  <w:tcBorders>
                    <w:top w:val="single" w:color="000000" w:sz="10" w:space="0"/>
                    <w:left w:val="nil"/>
                  </w:tcBorders>
                </w:tcPr>
                <w:p>
                  <w:pPr>
                    <w:pStyle w:val="TableText"/>
                    <w:ind w:left="147"/>
                    <w:spacing w:before="295" w:line="229" w:lineRule="auto"/>
                    <w:rPr>
                      <w:sz w:val="20"/>
                      <w:szCs w:val="20"/>
                    </w:rPr>
                  </w:pPr>
                  <w:r>
                    <w:rPr>
                      <w:sz w:val="20"/>
                      <w:szCs w:val="20"/>
                      <w:spacing w:val="7"/>
                    </w:rPr>
                    <w:t>排放方式</w:t>
                  </w:r>
                </w:p>
              </w:tc>
              <w:tc>
                <w:tcPr>
                  <w:tcW w:w="1454" w:type="dxa"/>
                  <w:vAlign w:val="top"/>
                  <w:tcBorders>
                    <w:top w:val="single" w:color="000000" w:sz="10" w:space="0"/>
                  </w:tcBorders>
                </w:tcPr>
                <w:p>
                  <w:pPr>
                    <w:pStyle w:val="TableText"/>
                    <w:ind w:left="420"/>
                    <w:spacing w:before="295" w:line="228" w:lineRule="auto"/>
                    <w:rPr>
                      <w:sz w:val="20"/>
                      <w:szCs w:val="20"/>
                    </w:rPr>
                  </w:pPr>
                  <w:r>
                    <w:rPr>
                      <w:sz w:val="20"/>
                      <w:szCs w:val="20"/>
                      <w:spacing w:val="6"/>
                    </w:rPr>
                    <w:t>污染物</w:t>
                  </w:r>
                </w:p>
              </w:tc>
              <w:tc>
                <w:tcPr>
                  <w:tcW w:w="1609" w:type="dxa"/>
                  <w:vAlign w:val="top"/>
                  <w:tcBorders>
                    <w:top w:val="single" w:color="000000" w:sz="10" w:space="0"/>
                  </w:tcBorders>
                </w:tcPr>
                <w:p>
                  <w:pPr>
                    <w:pStyle w:val="TableText"/>
                    <w:ind w:left="597" w:right="175" w:hanging="416"/>
                    <w:spacing w:before="115" w:line="275" w:lineRule="auto"/>
                    <w:rPr>
                      <w:sz w:val="20"/>
                      <w:szCs w:val="20"/>
                    </w:rPr>
                  </w:pPr>
                  <w:r>
                    <w:rPr>
                      <w:sz w:val="20"/>
                      <w:szCs w:val="20"/>
                      <w:spacing w:val="7"/>
                    </w:rPr>
                    <w:t>最大落地浓度</w:t>
                  </w:r>
                  <w:r>
                    <w:rPr>
                      <w:sz w:val="20"/>
                      <w:szCs w:val="20"/>
                      <w:spacing w:val="4"/>
                    </w:rPr>
                    <w:t xml:space="preserve"> </w:t>
                  </w:r>
                  <w:r>
                    <w:rPr>
                      <w:sz w:val="20"/>
                      <w:szCs w:val="20"/>
                      <w:spacing w:val="5"/>
                    </w:rPr>
                    <w:t>距离</w:t>
                  </w:r>
                </w:p>
              </w:tc>
              <w:tc>
                <w:tcPr>
                  <w:tcW w:w="1882" w:type="dxa"/>
                  <w:vAlign w:val="top"/>
                  <w:tcBorders>
                    <w:top w:val="single" w:color="000000" w:sz="10" w:space="0"/>
                  </w:tcBorders>
                </w:tcPr>
                <w:p>
                  <w:pPr>
                    <w:pStyle w:val="TableText"/>
                    <w:ind w:left="214"/>
                    <w:spacing w:before="115" w:line="380" w:lineRule="exact"/>
                    <w:rPr>
                      <w:sz w:val="20"/>
                      <w:szCs w:val="20"/>
                    </w:rPr>
                  </w:pPr>
                  <w:r>
                    <w:rPr>
                      <w:sz w:val="20"/>
                      <w:szCs w:val="20"/>
                      <w:spacing w:val="8"/>
                      <w:position w:val="13"/>
                    </w:rPr>
                    <w:t>最大落地浓度值</w:t>
                  </w:r>
                </w:p>
                <w:p>
                  <w:pPr>
                    <w:pStyle w:val="TableText"/>
                    <w:ind w:left="641"/>
                    <w:spacing w:line="198" w:lineRule="auto"/>
                    <w:rPr>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8"/>
                    </w:rPr>
                    <w:t>/m</w:t>
                  </w:r>
                  <w:r>
                    <w:rPr>
                      <w:sz w:val="20"/>
                      <w:szCs w:val="20"/>
                      <w:spacing w:val="8"/>
                    </w:rPr>
                    <w:t>³</w:t>
                  </w:r>
                </w:p>
              </w:tc>
              <w:tc>
                <w:tcPr>
                  <w:tcW w:w="1223" w:type="dxa"/>
                  <w:vAlign w:val="top"/>
                  <w:tcBorders>
                    <w:top w:val="single" w:color="000000" w:sz="10" w:space="0"/>
                    <w:right w:val="nil"/>
                  </w:tcBorders>
                </w:tcPr>
                <w:p>
                  <w:pPr>
                    <w:spacing w:line="271" w:lineRule="auto"/>
                    <w:rPr>
                      <w:rFonts w:ascii="Arial"/>
                      <w:sz w:val="21"/>
                    </w:rPr>
                  </w:pPr>
                  <w:r/>
                </w:p>
                <w:p>
                  <w:pPr>
                    <w:ind w:left="285"/>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Pmax</w:t>
                  </w:r>
                  <w:r>
                    <w:rPr>
                      <w:rFonts w:ascii="Times New Roman" w:hAnsi="Times New Roman" w:eastAsia="Times New Roman" w:cs="Times New Roman"/>
                      <w:sz w:val="20"/>
                      <w:szCs w:val="20"/>
                      <w:spacing w:val="25"/>
                    </w:rPr>
                    <w:t>%</w:t>
                  </w:r>
                </w:p>
              </w:tc>
            </w:tr>
            <w:tr>
              <w:trPr>
                <w:trHeight w:val="359" w:hRule="atLeast"/>
              </w:trPr>
              <w:tc>
                <w:tcPr>
                  <w:tcW w:w="1118" w:type="dxa"/>
                  <w:vAlign w:val="top"/>
                  <w:tcBorders>
                    <w:left w:val="nil"/>
                  </w:tcBorders>
                </w:tcPr>
                <w:p>
                  <w:pPr>
                    <w:pStyle w:val="TableText"/>
                    <w:ind w:left="253"/>
                    <w:spacing w:before="121" w:line="210" w:lineRule="auto"/>
                    <w:rPr>
                      <w:sz w:val="20"/>
                      <w:szCs w:val="20"/>
                    </w:rPr>
                  </w:pPr>
                  <w:r>
                    <w:rPr>
                      <w:sz w:val="20"/>
                      <w:szCs w:val="20"/>
                      <w:spacing w:val="6"/>
                    </w:rPr>
                    <w:t>有组织</w:t>
                  </w:r>
                </w:p>
              </w:tc>
              <w:tc>
                <w:tcPr>
                  <w:tcW w:w="1454" w:type="dxa"/>
                  <w:vAlign w:val="top"/>
                </w:tcPr>
                <w:p>
                  <w:pPr>
                    <w:pStyle w:val="TableText"/>
                    <w:ind w:left="210"/>
                    <w:spacing w:before="121" w:line="210" w:lineRule="auto"/>
                    <w:rPr>
                      <w:sz w:val="20"/>
                      <w:szCs w:val="20"/>
                    </w:rPr>
                  </w:pPr>
                  <w:r>
                    <w:rPr>
                      <w:sz w:val="20"/>
                      <w:szCs w:val="20"/>
                      <w:spacing w:val="7"/>
                    </w:rPr>
                    <w:t>非甲烷总烃</w:t>
                  </w:r>
                </w:p>
              </w:tc>
              <w:tc>
                <w:tcPr>
                  <w:tcW w:w="1609" w:type="dxa"/>
                  <w:vAlign w:val="top"/>
                </w:tcPr>
                <w:p>
                  <w:pPr>
                    <w:ind w:left="619"/>
                    <w:spacing w:before="1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23m</w:t>
                  </w:r>
                </w:p>
              </w:tc>
              <w:tc>
                <w:tcPr>
                  <w:tcW w:w="1882" w:type="dxa"/>
                  <w:vAlign w:val="top"/>
                </w:tcPr>
                <w:p>
                  <w:pPr>
                    <w:ind w:left="657"/>
                    <w:spacing w:before="1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0.0040</w:t>
                  </w:r>
                </w:p>
              </w:tc>
              <w:tc>
                <w:tcPr>
                  <w:tcW w:w="1223" w:type="dxa"/>
                  <w:vAlign w:val="top"/>
                  <w:tcBorders>
                    <w:right w:val="nil"/>
                  </w:tcBorders>
                </w:tcPr>
                <w:p>
                  <w:pPr>
                    <w:ind w:left="431"/>
                    <w:spacing w:before="1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0.20</w:t>
                  </w:r>
                </w:p>
              </w:tc>
            </w:tr>
            <w:tr>
              <w:trPr>
                <w:trHeight w:val="382" w:hRule="atLeast"/>
              </w:trPr>
              <w:tc>
                <w:tcPr>
                  <w:tcW w:w="1118" w:type="dxa"/>
                  <w:vAlign w:val="top"/>
                  <w:tcBorders>
                    <w:bottom w:val="single" w:color="000000" w:sz="10" w:space="0"/>
                    <w:left w:val="nil"/>
                  </w:tcBorders>
                </w:tcPr>
                <w:p>
                  <w:pPr>
                    <w:pStyle w:val="TableText"/>
                    <w:ind w:left="254"/>
                    <w:spacing w:before="127" w:line="226" w:lineRule="auto"/>
                    <w:rPr>
                      <w:sz w:val="20"/>
                      <w:szCs w:val="20"/>
                    </w:rPr>
                  </w:pPr>
                  <w:r>
                    <w:rPr>
                      <w:sz w:val="20"/>
                      <w:szCs w:val="20"/>
                      <w:spacing w:val="6"/>
                    </w:rPr>
                    <w:t>无组织</w:t>
                  </w:r>
                </w:p>
              </w:tc>
              <w:tc>
                <w:tcPr>
                  <w:tcW w:w="1454" w:type="dxa"/>
                  <w:vAlign w:val="top"/>
                  <w:tcBorders>
                    <w:bottom w:val="single" w:color="000000" w:sz="10" w:space="0"/>
                  </w:tcBorders>
                </w:tcPr>
                <w:p>
                  <w:pPr>
                    <w:pStyle w:val="TableText"/>
                    <w:ind w:left="210"/>
                    <w:spacing w:before="127" w:line="226" w:lineRule="auto"/>
                    <w:rPr>
                      <w:sz w:val="20"/>
                      <w:szCs w:val="20"/>
                    </w:rPr>
                  </w:pPr>
                  <w:r>
                    <w:rPr>
                      <w:sz w:val="20"/>
                      <w:szCs w:val="20"/>
                      <w:spacing w:val="7"/>
                    </w:rPr>
                    <w:t>非甲烷总烃</w:t>
                  </w:r>
                </w:p>
              </w:tc>
              <w:tc>
                <w:tcPr>
                  <w:tcW w:w="1609" w:type="dxa"/>
                  <w:vAlign w:val="top"/>
                  <w:tcBorders>
                    <w:bottom w:val="single" w:color="000000" w:sz="10" w:space="0"/>
                  </w:tcBorders>
                </w:tcPr>
                <w:p>
                  <w:pPr>
                    <w:ind w:left="624"/>
                    <w:spacing w:before="1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50m</w:t>
                  </w:r>
                </w:p>
              </w:tc>
              <w:tc>
                <w:tcPr>
                  <w:tcW w:w="1882" w:type="dxa"/>
                  <w:vAlign w:val="top"/>
                  <w:tcBorders>
                    <w:bottom w:val="single" w:color="000000" w:sz="10" w:space="0"/>
                  </w:tcBorders>
                </w:tcPr>
                <w:p>
                  <w:pPr>
                    <w:ind w:left="657"/>
                    <w:spacing w:before="1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0.0083</w:t>
                  </w:r>
                </w:p>
              </w:tc>
              <w:tc>
                <w:tcPr>
                  <w:tcW w:w="1223" w:type="dxa"/>
                  <w:vAlign w:val="top"/>
                  <w:tcBorders>
                    <w:bottom w:val="single" w:color="000000" w:sz="10" w:space="0"/>
                    <w:right w:val="nil"/>
                  </w:tcBorders>
                </w:tcPr>
                <w:p>
                  <w:pPr>
                    <w:ind w:left="431"/>
                    <w:spacing w:before="1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0.41</w:t>
                  </w:r>
                </w:p>
              </w:tc>
            </w:tr>
          </w:tbl>
          <w:p>
            <w:pPr>
              <w:pStyle w:val="TableText"/>
              <w:ind w:left="1340"/>
              <w:spacing w:before="115" w:line="220" w:lineRule="auto"/>
              <w:rPr/>
            </w:pPr>
            <w:r>
              <w:rPr>
                <w14:textOutline w14:w="4358" w14:cap="sq" w14:cmpd="sng">
                  <w14:solidFill>
                    <w14:srgbClr w14:val="000000"/>
                  </w14:solidFill>
                  <w14:prstDash w14:val="solid"/>
                  <w14:bevel/>
                </w14:textOutline>
              </w:rPr>
              <w:t>表</w:t>
            </w:r>
            <w:r>
              <w:rPr>
                <w:rFonts w:ascii="Times New Roman" w:hAnsi="Times New Roman" w:eastAsia="Times New Roman" w:cs="Times New Roman"/>
                <w:b/>
                <w:bCs/>
              </w:rPr>
              <w:t>4.2-8    </w:t>
            </w:r>
            <w:r>
              <w:rPr>
                <w14:textOutline w14:w="4358" w14:cap="sq" w14:cmpd="sng">
                  <w14:solidFill>
                    <w14:srgbClr w14:val="000000"/>
                  </w14:solidFill>
                  <w14:prstDash w14:val="solid"/>
                  <w14:bevel/>
                </w14:textOutline>
              </w:rPr>
              <w:t>正常工况排放污染物预测结果汇总表</w:t>
            </w:r>
          </w:p>
          <w:tbl>
            <w:tblPr>
              <w:tblStyle w:val="TableNormal"/>
              <w:tblW w:w="7285" w:type="dxa"/>
              <w:tblInd w:w="10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75"/>
              <w:gridCol w:w="1623"/>
              <w:gridCol w:w="1623"/>
              <w:gridCol w:w="2021"/>
              <w:gridCol w:w="843"/>
            </w:tblGrid>
            <w:tr>
              <w:trPr>
                <w:trHeight w:val="713" w:hRule="atLeast"/>
              </w:trPr>
              <w:tc>
                <w:tcPr>
                  <w:tcW w:w="1175" w:type="dxa"/>
                  <w:vAlign w:val="top"/>
                  <w:tcBorders>
                    <w:top w:val="single" w:color="000000" w:sz="10" w:space="0"/>
                    <w:left w:val="nil"/>
                  </w:tcBorders>
                </w:tcPr>
                <w:p>
                  <w:pPr>
                    <w:pStyle w:val="TableText"/>
                    <w:ind w:left="175"/>
                    <w:spacing w:before="293" w:line="229" w:lineRule="auto"/>
                    <w:rPr>
                      <w:sz w:val="20"/>
                      <w:szCs w:val="20"/>
                    </w:rPr>
                  </w:pPr>
                  <w:r>
                    <w:rPr>
                      <w:sz w:val="20"/>
                      <w:szCs w:val="20"/>
                      <w:spacing w:val="7"/>
                    </w:rPr>
                    <w:t>排放方式</w:t>
                  </w:r>
                </w:p>
              </w:tc>
              <w:tc>
                <w:tcPr>
                  <w:tcW w:w="1623" w:type="dxa"/>
                  <w:vAlign w:val="top"/>
                  <w:tcBorders>
                    <w:top w:val="single" w:color="000000" w:sz="10" w:space="0"/>
                  </w:tcBorders>
                </w:tcPr>
                <w:p>
                  <w:pPr>
                    <w:pStyle w:val="TableText"/>
                    <w:ind w:left="504"/>
                    <w:spacing w:before="294" w:line="228" w:lineRule="auto"/>
                    <w:rPr>
                      <w:sz w:val="20"/>
                      <w:szCs w:val="20"/>
                    </w:rPr>
                  </w:pPr>
                  <w:r>
                    <w:rPr>
                      <w:sz w:val="20"/>
                      <w:szCs w:val="20"/>
                      <w:spacing w:val="6"/>
                    </w:rPr>
                    <w:t>污染物</w:t>
                  </w:r>
                </w:p>
              </w:tc>
              <w:tc>
                <w:tcPr>
                  <w:tcW w:w="1623" w:type="dxa"/>
                  <w:vAlign w:val="top"/>
                  <w:tcBorders>
                    <w:top w:val="single" w:color="000000" w:sz="10" w:space="0"/>
                  </w:tcBorders>
                </w:tcPr>
                <w:p>
                  <w:pPr>
                    <w:pStyle w:val="TableText"/>
                    <w:ind w:left="606" w:right="180" w:hanging="416"/>
                    <w:spacing w:before="113" w:line="272" w:lineRule="auto"/>
                    <w:rPr>
                      <w:sz w:val="20"/>
                      <w:szCs w:val="20"/>
                    </w:rPr>
                  </w:pPr>
                  <w:r>
                    <w:rPr>
                      <w:sz w:val="20"/>
                      <w:szCs w:val="20"/>
                      <w:spacing w:val="7"/>
                    </w:rPr>
                    <w:t>最大落地浓度</w:t>
                  </w:r>
                  <w:r>
                    <w:rPr>
                      <w:sz w:val="20"/>
                      <w:szCs w:val="20"/>
                      <w:spacing w:val="4"/>
                    </w:rPr>
                    <w:t xml:space="preserve"> </w:t>
                  </w:r>
                  <w:r>
                    <w:rPr>
                      <w:sz w:val="20"/>
                      <w:szCs w:val="20"/>
                      <w:spacing w:val="5"/>
                    </w:rPr>
                    <w:t>距离</w:t>
                  </w:r>
                </w:p>
              </w:tc>
              <w:tc>
                <w:tcPr>
                  <w:tcW w:w="2021" w:type="dxa"/>
                  <w:vAlign w:val="top"/>
                  <w:tcBorders>
                    <w:top w:val="single" w:color="000000" w:sz="10" w:space="0"/>
                  </w:tcBorders>
                </w:tcPr>
                <w:p>
                  <w:pPr>
                    <w:pStyle w:val="TableText"/>
                    <w:ind w:left="283"/>
                    <w:spacing w:before="113" w:line="381" w:lineRule="exact"/>
                    <w:rPr>
                      <w:sz w:val="20"/>
                      <w:szCs w:val="20"/>
                    </w:rPr>
                  </w:pPr>
                  <w:r>
                    <w:rPr>
                      <w:sz w:val="20"/>
                      <w:szCs w:val="20"/>
                      <w:spacing w:val="8"/>
                      <w:position w:val="13"/>
                    </w:rPr>
                    <w:t>最大落地浓度值</w:t>
                  </w:r>
                </w:p>
                <w:p>
                  <w:pPr>
                    <w:pStyle w:val="TableText"/>
                    <w:ind w:left="713"/>
                    <w:spacing w:line="192" w:lineRule="auto"/>
                    <w:rPr>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8"/>
                    </w:rPr>
                    <w:t>/m</w:t>
                  </w:r>
                  <w:r>
                    <w:rPr>
                      <w:sz w:val="20"/>
                      <w:szCs w:val="20"/>
                      <w:spacing w:val="8"/>
                    </w:rPr>
                    <w:t>³</w:t>
                  </w:r>
                </w:p>
              </w:tc>
              <w:tc>
                <w:tcPr>
                  <w:tcW w:w="843" w:type="dxa"/>
                  <w:vAlign w:val="top"/>
                  <w:tcBorders>
                    <w:top w:val="single" w:color="000000" w:sz="10" w:space="0"/>
                    <w:right w:val="nil"/>
                  </w:tcBorders>
                </w:tcPr>
                <w:p>
                  <w:pPr>
                    <w:ind w:left="182"/>
                    <w:spacing w:before="152" w:line="35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position w:val="15"/>
                    </w:rPr>
                    <w:t>Pmax</w:t>
                  </w:r>
                </w:p>
                <w:p>
                  <w:pPr>
                    <w:ind w:left="340"/>
                    <w:spacing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rPr>
                <w:trHeight w:val="380" w:hRule="atLeast"/>
              </w:trPr>
              <w:tc>
                <w:tcPr>
                  <w:tcW w:w="1175" w:type="dxa"/>
                  <w:vAlign w:val="top"/>
                  <w:tcBorders>
                    <w:bottom w:val="single" w:color="000000" w:sz="10" w:space="0"/>
                    <w:left w:val="nil"/>
                  </w:tcBorders>
                </w:tcPr>
                <w:p>
                  <w:pPr>
                    <w:pStyle w:val="TableText"/>
                    <w:ind w:left="282"/>
                    <w:spacing w:before="125" w:line="226" w:lineRule="auto"/>
                    <w:rPr>
                      <w:sz w:val="20"/>
                      <w:szCs w:val="20"/>
                    </w:rPr>
                  </w:pPr>
                  <w:r>
                    <w:rPr>
                      <w:sz w:val="20"/>
                      <w:szCs w:val="20"/>
                      <w:spacing w:val="6"/>
                    </w:rPr>
                    <w:t>有组织</w:t>
                  </w:r>
                </w:p>
              </w:tc>
              <w:tc>
                <w:tcPr>
                  <w:tcW w:w="1623" w:type="dxa"/>
                  <w:vAlign w:val="top"/>
                  <w:tcBorders>
                    <w:bottom w:val="single" w:color="000000" w:sz="10" w:space="0"/>
                  </w:tcBorders>
                </w:tcPr>
                <w:p>
                  <w:pPr>
                    <w:pStyle w:val="TableText"/>
                    <w:ind w:left="295"/>
                    <w:spacing w:before="125" w:line="226" w:lineRule="auto"/>
                    <w:rPr>
                      <w:sz w:val="20"/>
                      <w:szCs w:val="20"/>
                    </w:rPr>
                  </w:pPr>
                  <w:r>
                    <w:rPr>
                      <w:sz w:val="20"/>
                      <w:szCs w:val="20"/>
                      <w:spacing w:val="7"/>
                    </w:rPr>
                    <w:t>非甲烷总烃</w:t>
                  </w:r>
                </w:p>
              </w:tc>
              <w:tc>
                <w:tcPr>
                  <w:tcW w:w="1623" w:type="dxa"/>
                  <w:vAlign w:val="top"/>
                  <w:tcBorders>
                    <w:bottom w:val="single" w:color="000000" w:sz="10" w:space="0"/>
                  </w:tcBorders>
                </w:tcPr>
                <w:p>
                  <w:pPr>
                    <w:ind w:left="628"/>
                    <w:spacing w:before="16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23m</w:t>
                  </w:r>
                </w:p>
              </w:tc>
              <w:tc>
                <w:tcPr>
                  <w:tcW w:w="2021" w:type="dxa"/>
                  <w:vAlign w:val="top"/>
                  <w:tcBorders>
                    <w:bottom w:val="single" w:color="000000" w:sz="10" w:space="0"/>
                  </w:tcBorders>
                </w:tcPr>
                <w:p>
                  <w:pPr>
                    <w:ind w:left="727"/>
                    <w:spacing w:before="16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0.0053</w:t>
                  </w:r>
                </w:p>
              </w:tc>
              <w:tc>
                <w:tcPr>
                  <w:tcW w:w="843" w:type="dxa"/>
                  <w:vAlign w:val="top"/>
                  <w:tcBorders>
                    <w:bottom w:val="single" w:color="000000" w:sz="10" w:space="0"/>
                    <w:right w:val="nil"/>
                  </w:tcBorders>
                </w:tcPr>
                <w:p>
                  <w:pPr>
                    <w:ind w:left="242"/>
                    <w:spacing w:before="16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0.27</w:t>
                  </w:r>
                </w:p>
              </w:tc>
            </w:tr>
          </w:tbl>
          <w:p>
            <w:pPr>
              <w:pStyle w:val="TableText"/>
              <w:ind w:left="587"/>
              <w:spacing w:before="197" w:line="220" w:lineRule="auto"/>
              <w:rPr/>
            </w:pPr>
            <w:r>
              <w:rPr>
                <w:rFonts w:ascii="Times New Roman" w:hAnsi="Times New Roman" w:eastAsia="Times New Roman" w:cs="Times New Roman"/>
                <w:spacing w:val="-1"/>
              </w:rPr>
              <w:t>4</w:t>
            </w:r>
            <w:r>
              <w:rPr>
                <w:spacing w:val="-1"/>
              </w:rPr>
              <w:t>）环境影响分析</w:t>
            </w:r>
          </w:p>
          <w:p>
            <w:pPr>
              <w:pStyle w:val="TableText"/>
              <w:ind w:left="113" w:right="106" w:firstLine="479"/>
              <w:spacing w:before="212" w:line="385" w:lineRule="auto"/>
              <w:rPr/>
            </w:pPr>
            <w:r>
              <w:rPr>
                <w:spacing w:val="3"/>
              </w:rPr>
              <w:t>根据估算结果显示，本项目大气污染物排放浓度满足《</w:t>
            </w:r>
            <w:r>
              <w:rPr>
                <w:spacing w:val="2"/>
              </w:rPr>
              <w:t>合成树脂</w:t>
            </w:r>
            <w:r>
              <w:rPr/>
              <w:t xml:space="preserve"> </w:t>
            </w:r>
            <w:r>
              <w:rPr>
                <w:spacing w:val="1"/>
              </w:rPr>
              <w:t>工业污染物排放标准》（</w:t>
            </w:r>
            <w:r>
              <w:rPr>
                <w:rFonts w:ascii="Times New Roman" w:hAnsi="Times New Roman" w:eastAsia="Times New Roman" w:cs="Times New Roman"/>
              </w:rPr>
              <w:t>GB</w:t>
            </w:r>
            <w:r>
              <w:rPr>
                <w:rFonts w:ascii="Times New Roman" w:hAnsi="Times New Roman" w:eastAsia="Times New Roman" w:cs="Times New Roman"/>
                <w:spacing w:val="1"/>
              </w:rPr>
              <w:t>31572-2015</w:t>
            </w:r>
            <w:r>
              <w:rPr>
                <w:spacing w:val="1"/>
              </w:rPr>
              <w:t>）中大气污</w:t>
            </w:r>
            <w:r>
              <w:rPr/>
              <w:t>染物特别排放限值 </w:t>
            </w:r>
            <w:r>
              <w:rPr>
                <w:spacing w:val="3"/>
              </w:rPr>
              <w:t>要求，对区域大气环境的环境影响较小，不会改变</w:t>
            </w:r>
            <w:r>
              <w:rPr>
                <w:spacing w:val="2"/>
              </w:rPr>
              <w:t>当地环境空气质量</w:t>
            </w:r>
          </w:p>
          <w:p>
            <w:pPr>
              <w:pStyle w:val="TableText"/>
              <w:ind w:left="116"/>
              <w:spacing w:line="220" w:lineRule="auto"/>
              <w:rPr/>
            </w:pPr>
            <w:r>
              <w:rPr>
                <w:spacing w:val="-5"/>
              </w:rPr>
              <w:t>级别。</w:t>
            </w:r>
          </w:p>
          <w:p>
            <w:pPr>
              <w:pStyle w:val="TableText"/>
              <w:ind w:left="589"/>
              <w:spacing w:before="213" w:line="220" w:lineRule="auto"/>
              <w:outlineLvl w:val="2"/>
              <w:rPr/>
            </w:pPr>
            <w:hyperlink w:history="true" r:id="rId81">
              <w:r>
                <w:rPr>
                  <w:rFonts w:ascii="Times New Roman" w:hAnsi="Times New Roman" w:eastAsia="Times New Roman" w:cs="Times New Roman"/>
                  <w:b/>
                  <w:bCs/>
                </w:rPr>
                <w:t>4.2.1.5</w:t>
              </w:r>
            </w:hyperlink>
            <w:r>
              <w:rPr>
                <w:rFonts w:ascii="Times New Roman" w:hAnsi="Times New Roman" w:eastAsia="Times New Roman" w:cs="Times New Roman"/>
                <w:b/>
                <w:bCs/>
              </w:rPr>
              <w:t xml:space="preserve">  </w:t>
            </w:r>
            <w:r>
              <w:rPr>
                <w14:textOutline w14:w="4358" w14:cap="sq" w14:cmpd="sng">
                  <w14:solidFill>
                    <w14:srgbClr w14:val="000000"/>
                  </w14:solidFill>
                  <w14:prstDash w14:val="solid"/>
                  <w14:bevel/>
                </w14:textOutline>
              </w:rPr>
              <w:t>废气治理设施合理可行性</w:t>
            </w:r>
          </w:p>
          <w:p>
            <w:pPr>
              <w:pStyle w:val="TableText"/>
              <w:ind w:left="604"/>
              <w:spacing w:before="216" w:line="219" w:lineRule="auto"/>
              <w:rPr/>
            </w:pPr>
            <w:r>
              <w:rPr>
                <w:spacing w:val="-2"/>
              </w:rPr>
              <w:t>（</w:t>
            </w:r>
            <w:r>
              <w:rPr>
                <w:rFonts w:ascii="Times New Roman" w:hAnsi="Times New Roman" w:eastAsia="Times New Roman" w:cs="Times New Roman"/>
                <w:spacing w:val="-2"/>
              </w:rPr>
              <w:t>1</w:t>
            </w:r>
            <w:r>
              <w:rPr>
                <w:spacing w:val="-2"/>
              </w:rPr>
              <w:t>）符合废气污染防治可行性技术</w:t>
            </w:r>
          </w:p>
          <w:p>
            <w:pPr>
              <w:pStyle w:val="TableText"/>
              <w:ind w:left="112" w:right="106" w:firstLine="480"/>
              <w:spacing w:before="217" w:line="384" w:lineRule="auto"/>
              <w:rPr/>
            </w:pPr>
            <w:r>
              <w:rPr>
                <w:spacing w:val="7"/>
              </w:rPr>
              <w:t>根据《排污许可证申请与核发技术规范 橡胶和塑料制品</w:t>
            </w:r>
            <w:r>
              <w:rPr>
                <w:spacing w:val="6"/>
              </w:rPr>
              <w:t>工业》</w:t>
            </w:r>
            <w:r>
              <w:rPr/>
              <w:t xml:space="preserve"> </w:t>
            </w:r>
            <w:r>
              <w:rPr>
                <w:spacing w:val="-2"/>
              </w:rPr>
              <w:t>（</w:t>
            </w:r>
            <w:r>
              <w:rPr>
                <w:rFonts w:ascii="Times New Roman" w:hAnsi="Times New Roman" w:eastAsia="Times New Roman" w:cs="Times New Roman"/>
                <w:spacing w:val="-2"/>
              </w:rPr>
              <w:t>HJ1122-2020</w:t>
            </w:r>
            <w:r>
              <w:rPr>
                <w:spacing w:val="-2"/>
              </w:rPr>
              <w:t>）中第二部分塑料制品工业附录</w:t>
            </w:r>
            <w:r>
              <w:rPr>
                <w:rFonts w:ascii="Times New Roman" w:hAnsi="Times New Roman" w:eastAsia="Times New Roman" w:cs="Times New Roman"/>
                <w:spacing w:val="-2"/>
              </w:rPr>
              <w:t>A</w:t>
            </w:r>
            <w:r>
              <w:rPr>
                <w:spacing w:val="-2"/>
              </w:rPr>
              <w:t>中表</w:t>
            </w:r>
            <w:r>
              <w:rPr>
                <w:rFonts w:ascii="Times New Roman" w:hAnsi="Times New Roman" w:eastAsia="Times New Roman" w:cs="Times New Roman"/>
                <w:spacing w:val="-2"/>
              </w:rPr>
              <w:t>A.2</w:t>
            </w:r>
            <w:r>
              <w:rPr>
                <w:spacing w:val="-2"/>
              </w:rPr>
              <w:t>塑料制品工业</w:t>
            </w:r>
            <w:r>
              <w:rPr>
                <w:spacing w:val="5"/>
              </w:rPr>
              <w:t xml:space="preserve"> </w:t>
            </w:r>
            <w:r>
              <w:rPr>
                <w:spacing w:val="3"/>
              </w:rPr>
              <w:t>排污单位废气污染防治可行性技术参考表，塑料薄膜</w:t>
            </w:r>
            <w:r>
              <w:rPr>
                <w:spacing w:val="2"/>
              </w:rPr>
              <w:t>制造类别污染防</w:t>
            </w:r>
            <w:r>
              <w:rPr/>
              <w:t xml:space="preserve"> </w:t>
            </w:r>
            <w:r>
              <w:rPr>
                <w:spacing w:val="3"/>
              </w:rPr>
              <w:t>治设施名称及工艺有：除尘、喷淋、吸附、热力燃烧</w:t>
            </w:r>
            <w:r>
              <w:rPr>
                <w:spacing w:val="2"/>
              </w:rPr>
              <w:t>、催化燃烧、低</w:t>
            </w:r>
          </w:p>
          <w:p>
            <w:pPr>
              <w:pStyle w:val="TableText"/>
              <w:ind w:left="114"/>
              <w:spacing w:line="218" w:lineRule="auto"/>
              <w:rPr/>
            </w:pPr>
            <w:r>
              <w:rPr>
                <w:spacing w:val="-1"/>
              </w:rPr>
              <w:t>温等离子体、</w:t>
            </w:r>
            <w:r>
              <w:rPr>
                <w:rFonts w:ascii="Times New Roman" w:hAnsi="Times New Roman" w:eastAsia="Times New Roman" w:cs="Times New Roman"/>
                <w:spacing w:val="-1"/>
              </w:rPr>
              <w:t>UV</w:t>
            </w:r>
            <w:r>
              <w:rPr>
                <w:spacing w:val="-1"/>
              </w:rPr>
              <w:t>光氧催化</w:t>
            </w:r>
            <w:r>
              <w:rPr>
                <w:rFonts w:ascii="Times New Roman" w:hAnsi="Times New Roman" w:eastAsia="Times New Roman" w:cs="Times New Roman"/>
                <w:spacing w:val="-1"/>
              </w:rPr>
              <w:t>/</w:t>
            </w:r>
            <w:r>
              <w:rPr>
                <w:spacing w:val="-1"/>
              </w:rPr>
              <w:t>光催化、生物法、以上组合技术。</w:t>
            </w:r>
          </w:p>
          <w:p>
            <w:pPr>
              <w:pStyle w:val="TableText"/>
              <w:ind w:left="116" w:right="106" w:firstLine="477"/>
              <w:spacing w:before="218" w:line="384" w:lineRule="auto"/>
              <w:rPr/>
            </w:pPr>
            <w:r>
              <w:rPr>
                <w:spacing w:val="-2"/>
              </w:rPr>
              <w:t>本项目有组织废气采用活性炭吸附</w:t>
            </w:r>
            <w:r>
              <w:rPr>
                <w:rFonts w:ascii="Times New Roman" w:hAnsi="Times New Roman" w:eastAsia="Times New Roman" w:cs="Times New Roman"/>
                <w:spacing w:val="-2"/>
              </w:rPr>
              <w:t>+</w:t>
            </w:r>
            <w:r>
              <w:rPr>
                <w:spacing w:val="-2"/>
              </w:rPr>
              <w:t>直接催化燃烧法装置处理，属</w:t>
            </w:r>
            <w:r>
              <w:rPr>
                <w:spacing w:val="4"/>
              </w:rPr>
              <w:t xml:space="preserve"> </w:t>
            </w:r>
            <w:r>
              <w:rPr>
                <w:spacing w:val="-1"/>
              </w:rPr>
              <w:t>于两级组合技术，属于《排污许可证申请与核发</w:t>
            </w:r>
            <w:r>
              <w:rPr>
                <w:spacing w:val="-2"/>
              </w:rPr>
              <w:t>技术规范 橡胶和塑料</w:t>
            </w:r>
          </w:p>
          <w:p>
            <w:pPr>
              <w:pStyle w:val="TableText"/>
              <w:ind w:left="113"/>
              <w:spacing w:line="219" w:lineRule="auto"/>
              <w:rPr/>
            </w:pPr>
            <w:r>
              <w:rPr>
                <w:spacing w:val="-1"/>
              </w:rPr>
              <w:t>制品工业》（</w:t>
            </w:r>
            <w:r>
              <w:rPr>
                <w:rFonts w:ascii="Times New Roman" w:hAnsi="Times New Roman" w:eastAsia="Times New Roman" w:cs="Times New Roman"/>
                <w:spacing w:val="-1"/>
              </w:rPr>
              <w:t>HJ1122-2020</w:t>
            </w:r>
            <w:r>
              <w:rPr>
                <w:spacing w:val="-1"/>
              </w:rPr>
              <w:t>）可行性技术。</w:t>
            </w:r>
          </w:p>
        </w:tc>
      </w:tr>
    </w:tbl>
    <w:p>
      <w:pPr>
        <w:pStyle w:val="BodyText"/>
        <w:rPr/>
      </w:pPr>
      <w:r/>
    </w:p>
    <w:p>
      <w:pPr>
        <w:sectPr>
          <w:footerReference w:type="default" r:id="rId212"/>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17"/>
        <w:gridCol w:w="7509"/>
      </w:tblGrid>
      <w:tr>
        <w:trPr>
          <w:trHeight w:val="13517" w:hRule="atLeast"/>
        </w:trPr>
        <w:tc>
          <w:tcPr>
            <w:tcW w:w="1017" w:type="dxa"/>
            <w:vAlign w:val="top"/>
          </w:tcPr>
          <w:p>
            <w:pPr>
              <w:rPr>
                <w:rFonts w:ascii="Arial"/>
                <w:sz w:val="21"/>
              </w:rPr>
            </w:pPr>
            <w:r/>
          </w:p>
        </w:tc>
        <w:tc>
          <w:tcPr>
            <w:tcW w:w="7509" w:type="dxa"/>
            <w:vAlign w:val="top"/>
          </w:tcPr>
          <w:p>
            <w:pPr>
              <w:pStyle w:val="TableText"/>
              <w:ind w:left="112" w:right="45" w:firstLine="480"/>
              <w:spacing w:before="202" w:line="384" w:lineRule="auto"/>
              <w:rPr/>
            </w:pPr>
            <w:r>
              <w:rPr>
                <w:spacing w:val="-2"/>
              </w:rPr>
              <w:t>本项目使用集气罩收集有机废气，经计算，废气产生量为</w:t>
            </w:r>
            <w:r>
              <w:rPr>
                <w:rFonts w:ascii="Times New Roman" w:hAnsi="Times New Roman" w:eastAsia="Times New Roman" w:cs="Times New Roman"/>
                <w:spacing w:val="-2"/>
              </w:rPr>
              <w:t>1t/a</w:t>
            </w:r>
            <w:r>
              <w:rPr>
                <w:rFonts w:ascii="Times New Roman" w:hAnsi="Times New Roman" w:eastAsia="Times New Roman" w:cs="Times New Roman"/>
                <w:spacing w:val="-34"/>
              </w:rPr>
              <w:t xml:space="preserve"> </w:t>
            </w:r>
            <w:r>
              <w:rPr>
                <w:spacing w:val="-3"/>
              </w:rPr>
              <w:t>，产</w:t>
            </w:r>
            <w:r>
              <w:rPr/>
              <w:t xml:space="preserve"> </w:t>
            </w:r>
            <w:r>
              <w:rPr>
                <w:spacing w:val="2"/>
              </w:rPr>
              <w:t>生浓度为</w:t>
            </w:r>
            <w:r>
              <w:rPr>
                <w:rFonts w:ascii="Times New Roman" w:hAnsi="Times New Roman" w:eastAsia="Times New Roman" w:cs="Times New Roman"/>
                <w:spacing w:val="2"/>
              </w:rPr>
              <w:t>31.57</w:t>
            </w:r>
            <w:r>
              <w:rPr>
                <w:rFonts w:ascii="Times New Roman" w:hAnsi="Times New Roman" w:eastAsia="Times New Roman" w:cs="Times New Roman"/>
              </w:rPr>
              <w:t>mg</w:t>
            </w:r>
            <w:r>
              <w:rPr>
                <w:rFonts w:ascii="Times New Roman" w:hAnsi="Times New Roman" w:eastAsia="Times New Roman" w:cs="Times New Roman"/>
                <w:spacing w:val="2"/>
              </w:rPr>
              <w:t>/m</w:t>
            </w:r>
            <w:r>
              <w:rPr>
                <w:spacing w:val="2"/>
              </w:rPr>
              <w:t>³，在未经处理情况下废气排放浓度可满足</w:t>
            </w:r>
            <w:r>
              <w:rPr>
                <w:spacing w:val="1"/>
              </w:rPr>
              <w:t>《合成</w:t>
            </w:r>
            <w:r>
              <w:rPr/>
              <w:t xml:space="preserve"> </w:t>
            </w:r>
            <w:r>
              <w:rPr>
                <w:spacing w:val="-2"/>
              </w:rPr>
              <w:t>树脂工业污染物排放标准》（</w:t>
            </w:r>
            <w:r>
              <w:rPr>
                <w:rFonts w:ascii="Times New Roman" w:hAnsi="Times New Roman" w:eastAsia="Times New Roman" w:cs="Times New Roman"/>
                <w:spacing w:val="-2"/>
              </w:rPr>
              <w:t>GB31572</w:t>
            </w:r>
            <w:r>
              <w:rPr>
                <w:rFonts w:ascii="Times New Roman" w:hAnsi="Times New Roman" w:eastAsia="Times New Roman" w:cs="Times New Roman"/>
                <w:spacing w:val="-3"/>
              </w:rPr>
              <w:t>-2015</w:t>
            </w:r>
            <w:r>
              <w:rPr>
                <w:spacing w:val="-3"/>
              </w:rPr>
              <w:t>）中表</w:t>
            </w:r>
            <w:r>
              <w:rPr>
                <w:rFonts w:ascii="Times New Roman" w:hAnsi="Times New Roman" w:eastAsia="Times New Roman" w:cs="Times New Roman"/>
                <w:spacing w:val="-3"/>
              </w:rPr>
              <w:t>5</w:t>
            </w:r>
            <w:r>
              <w:rPr>
                <w:spacing w:val="-3"/>
              </w:rPr>
              <w:t>大气污染物特别排</w:t>
            </w:r>
            <w:r>
              <w:rPr/>
              <w:t xml:space="preserve"> </w:t>
            </w:r>
            <w:r>
              <w:rPr>
                <w:spacing w:val="-5"/>
              </w:rPr>
              <w:t>放限值要求（浓度</w:t>
            </w:r>
            <w:r>
              <w:rPr>
                <w:rFonts w:ascii="Times New Roman" w:hAnsi="Times New Roman" w:eastAsia="Times New Roman" w:cs="Times New Roman"/>
                <w:spacing w:val="-5"/>
              </w:rPr>
              <w:t>60mg/m</w:t>
            </w:r>
            <w:r>
              <w:rPr>
                <w:spacing w:val="-5"/>
              </w:rPr>
              <w:t>³</w:t>
            </w:r>
            <w:r>
              <w:rPr>
                <w:spacing w:val="-62"/>
                <w:w w:val="98"/>
              </w:rPr>
              <w:t>），</w:t>
            </w:r>
            <w:r>
              <w:rPr>
                <w:spacing w:val="-5"/>
              </w:rPr>
              <w:t>为减少挥发性有机废气对周边环境影响，</w:t>
            </w:r>
          </w:p>
          <w:p>
            <w:pPr>
              <w:pStyle w:val="TableText"/>
              <w:ind w:left="112"/>
              <w:spacing w:line="218" w:lineRule="auto"/>
              <w:rPr/>
            </w:pPr>
            <w:r>
              <w:rPr>
                <w:spacing w:val="-1"/>
              </w:rPr>
              <w:t>采取了“活性炭吸附</w:t>
            </w:r>
            <w:r>
              <w:rPr>
                <w:rFonts w:ascii="Times New Roman" w:hAnsi="Times New Roman" w:eastAsia="Times New Roman" w:cs="Times New Roman"/>
                <w:spacing w:val="-1"/>
              </w:rPr>
              <w:t>+</w:t>
            </w:r>
            <w:r>
              <w:rPr>
                <w:spacing w:val="-1"/>
              </w:rPr>
              <w:t>直接催化燃烧法装置</w:t>
            </w:r>
            <w:r>
              <w:rPr>
                <w:rFonts w:ascii="Times New Roman" w:hAnsi="Times New Roman" w:eastAsia="Times New Roman" w:cs="Times New Roman"/>
                <w:spacing w:val="-1"/>
              </w:rPr>
              <w:t>+1</w:t>
            </w:r>
            <w:r>
              <w:rPr>
                <w:rFonts w:ascii="Times New Roman" w:hAnsi="Times New Roman" w:eastAsia="Times New Roman" w:cs="Times New Roman"/>
                <w:spacing w:val="-2"/>
              </w:rPr>
              <w:t>5m</w:t>
            </w:r>
            <w:r>
              <w:rPr>
                <w:spacing w:val="-2"/>
              </w:rPr>
              <w:t>排气筒</w:t>
            </w:r>
            <w:r>
              <w:rPr>
                <w:spacing w:val="-88"/>
              </w:rPr>
              <w:t xml:space="preserve"> </w:t>
            </w:r>
            <w:r>
              <w:rPr>
                <w:spacing w:val="-2"/>
              </w:rPr>
              <w:t>”处理措施。</w:t>
            </w:r>
          </w:p>
          <w:p>
            <w:pPr>
              <w:pStyle w:val="TableText"/>
              <w:ind w:left="604"/>
              <w:spacing w:before="214" w:line="219" w:lineRule="auto"/>
              <w:rPr/>
            </w:pPr>
            <w:r>
              <w:rPr>
                <w:spacing w:val="-2"/>
              </w:rPr>
              <w:t>（</w:t>
            </w:r>
            <w:r>
              <w:rPr>
                <w:rFonts w:ascii="Times New Roman" w:hAnsi="Times New Roman" w:eastAsia="Times New Roman" w:cs="Times New Roman"/>
                <w:spacing w:val="-2"/>
              </w:rPr>
              <w:t>2</w:t>
            </w:r>
            <w:r>
              <w:rPr>
                <w:spacing w:val="-2"/>
              </w:rPr>
              <w:t>）活性炭吸附</w:t>
            </w:r>
            <w:r>
              <w:rPr>
                <w:rFonts w:ascii="Times New Roman" w:hAnsi="Times New Roman" w:eastAsia="Times New Roman" w:cs="Times New Roman"/>
                <w:spacing w:val="-2"/>
              </w:rPr>
              <w:t>+</w:t>
            </w:r>
            <w:r>
              <w:rPr>
                <w:spacing w:val="-2"/>
              </w:rPr>
              <w:t>直接催化燃烧法装置优点</w:t>
            </w:r>
          </w:p>
          <w:p>
            <w:pPr>
              <w:pStyle w:val="TableText"/>
              <w:ind w:left="105" w:right="45" w:firstLine="487"/>
              <w:spacing w:before="208" w:line="385" w:lineRule="auto"/>
              <w:rPr/>
            </w:pPr>
            <w:r>
              <w:rPr/>
              <w:t>根据比选，“</w:t>
            </w:r>
            <w:r>
              <w:rPr>
                <w:spacing w:val="-72"/>
              </w:rPr>
              <w:t xml:space="preserve"> </w:t>
            </w:r>
            <w:r>
              <w:rPr/>
              <w:t>固定床吸附系统</w:t>
            </w:r>
            <w:r>
              <w:rPr>
                <w:spacing w:val="-85"/>
              </w:rPr>
              <w:t xml:space="preserve"> </w:t>
            </w:r>
            <w:r>
              <w:rPr/>
              <w:t>”技术适用于生产和使用溶剂型和 </w:t>
            </w:r>
            <w:r>
              <w:rPr>
                <w:spacing w:val="2"/>
              </w:rPr>
              <w:t>水性涂料的企业；“旋转式（转轮、转筒）吸附系统</w:t>
            </w:r>
            <w:r>
              <w:rPr>
                <w:spacing w:val="-85"/>
              </w:rPr>
              <w:t xml:space="preserve"> </w:t>
            </w:r>
            <w:r>
              <w:rPr>
                <w:spacing w:val="2"/>
              </w:rPr>
              <w:t>”技</w:t>
            </w:r>
            <w:r>
              <w:rPr>
                <w:spacing w:val="1"/>
              </w:rPr>
              <w:t>术适用于低</w:t>
            </w:r>
            <w:r>
              <w:rPr/>
              <w:t xml:space="preserve"> </w:t>
            </w:r>
            <w:r>
              <w:rPr>
                <w:spacing w:val="-3"/>
              </w:rPr>
              <w:t>浓度（≤</w:t>
            </w:r>
            <w:r>
              <w:rPr>
                <w:rFonts w:ascii="Times New Roman" w:hAnsi="Times New Roman" w:eastAsia="Times New Roman" w:cs="Times New Roman"/>
                <w:spacing w:val="-3"/>
              </w:rPr>
              <w:t>5000mg/m</w:t>
            </w:r>
            <w:r>
              <w:rPr>
                <w:spacing w:val="-3"/>
              </w:rPr>
              <w:t>³）、大风量（≤</w:t>
            </w:r>
            <w:r>
              <w:rPr>
                <w:rFonts w:ascii="Times New Roman" w:hAnsi="Times New Roman" w:eastAsia="Times New Roman" w:cs="Times New Roman"/>
                <w:spacing w:val="-3"/>
              </w:rPr>
              <w:t>100000m</w:t>
            </w:r>
            <w:r>
              <w:rPr>
                <w:spacing w:val="-3"/>
              </w:rPr>
              <w:t>³</w:t>
            </w:r>
            <w:r>
              <w:rPr>
                <w:rFonts w:ascii="Times New Roman" w:hAnsi="Times New Roman" w:eastAsia="Times New Roman" w:cs="Times New Roman"/>
                <w:spacing w:val="-3"/>
              </w:rPr>
              <w:t>/h</w:t>
            </w:r>
            <w:r>
              <w:rPr>
                <w:spacing w:val="-3"/>
              </w:rPr>
              <w:t>）的废气处理；</w:t>
            </w:r>
            <w:r>
              <w:rPr>
                <w:spacing w:val="-4"/>
              </w:rPr>
              <w:t>“直燃</w:t>
            </w:r>
            <w:r>
              <w:rPr/>
              <w:t xml:space="preserve"> </w:t>
            </w:r>
            <w:r>
              <w:rPr>
                <w:spacing w:val="-1"/>
              </w:rPr>
              <w:t>式废气燃烧装置（</w:t>
            </w:r>
            <w:r>
              <w:rPr>
                <w:rFonts w:ascii="Times New Roman" w:hAnsi="Times New Roman" w:eastAsia="Times New Roman" w:cs="Times New Roman"/>
                <w:spacing w:val="-1"/>
              </w:rPr>
              <w:t>TO</w:t>
            </w:r>
            <w:r>
              <w:rPr>
                <w:spacing w:val="-1"/>
              </w:rPr>
              <w:t>）</w:t>
            </w:r>
            <w:r>
              <w:rPr>
                <w:spacing w:val="-81"/>
              </w:rPr>
              <w:t xml:space="preserve"> </w:t>
            </w:r>
            <w:r>
              <w:rPr>
                <w:spacing w:val="-1"/>
              </w:rPr>
              <w:t>”技术适用于化工、工业涂装等行业中高浓度</w:t>
            </w:r>
            <w:r>
              <w:rPr/>
              <w:t xml:space="preserve"> </w:t>
            </w:r>
            <w:r>
              <w:rPr>
                <w:rFonts w:ascii="Times New Roman" w:hAnsi="Times New Roman" w:eastAsia="Times New Roman" w:cs="Times New Roman"/>
              </w:rPr>
              <w:t>VOCs</w:t>
            </w:r>
            <w:r>
              <w:rPr>
                <w:spacing w:val="2"/>
              </w:rPr>
              <w:t>的治理，对低浓度废气，燃料成本较高；“活性炭吸附</w:t>
            </w:r>
            <w:r>
              <w:rPr>
                <w:rFonts w:ascii="Times New Roman" w:hAnsi="Times New Roman" w:eastAsia="Times New Roman" w:cs="Times New Roman"/>
                <w:spacing w:val="2"/>
              </w:rPr>
              <w:t>+</w:t>
            </w:r>
            <w:r>
              <w:rPr>
                <w:spacing w:val="2"/>
              </w:rPr>
              <w:t>催化燃</w:t>
            </w:r>
            <w:r>
              <w:rPr>
                <w:spacing w:val="16"/>
              </w:rPr>
              <w:t xml:space="preserve"> </w:t>
            </w:r>
            <w:r>
              <w:rPr>
                <w:spacing w:val="1"/>
              </w:rPr>
              <w:t>烧装置（</w:t>
            </w:r>
            <w:r>
              <w:rPr>
                <w:rFonts w:ascii="Times New Roman" w:hAnsi="Times New Roman" w:eastAsia="Times New Roman" w:cs="Times New Roman"/>
              </w:rPr>
              <w:t>CO</w:t>
            </w:r>
            <w:r>
              <w:rPr>
                <w:spacing w:val="1"/>
              </w:rPr>
              <w:t>）</w:t>
            </w:r>
            <w:r>
              <w:rPr>
                <w:spacing w:val="-69"/>
              </w:rPr>
              <w:t xml:space="preserve"> </w:t>
            </w:r>
            <w:r>
              <w:rPr>
                <w:spacing w:val="1"/>
              </w:rPr>
              <w:t>”技术适用于中浓度（数千</w:t>
            </w:r>
            <w:r>
              <w:rPr>
                <w:rFonts w:ascii="Times New Roman" w:hAnsi="Times New Roman" w:eastAsia="Times New Roman" w:cs="Times New Roman"/>
              </w:rPr>
              <w:t>ppm</w:t>
            </w:r>
            <w:r>
              <w:rPr>
                <w:spacing w:val="1"/>
              </w:rPr>
              <w:t>范围 ）</w:t>
            </w:r>
            <w:r>
              <w:rPr>
                <w:rFonts w:ascii="Times New Roman" w:hAnsi="Times New Roman" w:eastAsia="Times New Roman" w:cs="Times New Roman"/>
              </w:rPr>
              <w:t>VOCs</w:t>
            </w:r>
            <w:r>
              <w:rPr>
                <w:spacing w:val="1"/>
              </w:rPr>
              <w:t>的治理，</w:t>
            </w:r>
            <w:r>
              <w:rPr/>
              <w:t xml:space="preserve"> </w:t>
            </w:r>
            <w:r>
              <w:rPr>
                <w:spacing w:val="3"/>
              </w:rPr>
              <w:t>催化剂易阻塞、烧结、中毒、破损及活性衰退；“蓄热热力燃</w:t>
            </w:r>
            <w:r>
              <w:rPr>
                <w:spacing w:val="2"/>
              </w:rPr>
              <w:t>烧装置</w:t>
            </w:r>
            <w:r>
              <w:rPr/>
              <w:t xml:space="preserve"> </w:t>
            </w:r>
            <w:r>
              <w:rPr>
                <w:spacing w:val="-13"/>
              </w:rPr>
              <w:t>（</w:t>
            </w:r>
            <w:r>
              <w:rPr>
                <w:rFonts w:ascii="Times New Roman" w:hAnsi="Times New Roman" w:eastAsia="Times New Roman" w:cs="Times New Roman"/>
                <w:spacing w:val="-13"/>
              </w:rPr>
              <w:t>RTO</w:t>
            </w:r>
            <w:r>
              <w:rPr>
                <w:spacing w:val="-13"/>
              </w:rPr>
              <w:t>）”技术适用于中高浓度、不具有回收价值</w:t>
            </w:r>
            <w:r>
              <w:rPr>
                <w:rFonts w:ascii="Times New Roman" w:hAnsi="Times New Roman" w:eastAsia="Times New Roman" w:cs="Times New Roman"/>
                <w:spacing w:val="-13"/>
              </w:rPr>
              <w:t>VOCs</w:t>
            </w:r>
            <w:r>
              <w:rPr>
                <w:spacing w:val="-13"/>
              </w:rPr>
              <w:t>的治理，低</w:t>
            </w:r>
            <w:r>
              <w:rPr>
                <w:spacing w:val="-45"/>
              </w:rPr>
              <w:t xml:space="preserve"> </w:t>
            </w:r>
            <w:r>
              <w:rPr>
                <w:rFonts w:ascii="Times New Roman" w:hAnsi="Times New Roman" w:eastAsia="Times New Roman" w:cs="Times New Roman"/>
                <w:spacing w:val="-13"/>
              </w:rPr>
              <w:t>VOCs</w:t>
            </w:r>
            <w:r>
              <w:rPr>
                <w:rFonts w:ascii="Times New Roman" w:hAnsi="Times New Roman" w:eastAsia="Times New Roman" w:cs="Times New Roman"/>
              </w:rPr>
              <w:t xml:space="preserve">  </w:t>
            </w:r>
            <w:r>
              <w:rPr>
                <w:spacing w:val="-1"/>
              </w:rPr>
              <w:t>浓度时燃料费用高；“蓄热活性炭吸附</w:t>
            </w:r>
            <w:r>
              <w:rPr>
                <w:rFonts w:ascii="Times New Roman" w:hAnsi="Times New Roman" w:eastAsia="Times New Roman" w:cs="Times New Roman"/>
                <w:spacing w:val="-1"/>
              </w:rPr>
              <w:t>+</w:t>
            </w:r>
            <w:r>
              <w:rPr>
                <w:spacing w:val="-1"/>
              </w:rPr>
              <w:t>催化燃烧装置装置（</w:t>
            </w:r>
            <w:r>
              <w:rPr>
                <w:rFonts w:ascii="Times New Roman" w:hAnsi="Times New Roman" w:eastAsia="Times New Roman" w:cs="Times New Roman"/>
                <w:spacing w:val="-1"/>
              </w:rPr>
              <w:t>RCO</w:t>
            </w:r>
            <w:r>
              <w:rPr>
                <w:spacing w:val="-1"/>
              </w:rPr>
              <w:t>）</w:t>
            </w:r>
            <w:r>
              <w:rPr>
                <w:spacing w:val="-85"/>
              </w:rPr>
              <w:t xml:space="preserve"> </w:t>
            </w:r>
            <w:r>
              <w:rPr>
                <w:spacing w:val="-1"/>
              </w:rPr>
              <w:t>”</w:t>
            </w:r>
            <w:r>
              <w:rPr/>
              <w:t xml:space="preserve"> </w:t>
            </w:r>
            <w:r>
              <w:rPr>
                <w:spacing w:val="2"/>
              </w:rPr>
              <w:t>技术适用于中高浓度废气治理；“管壳式冷凝器、板面式冷</w:t>
            </w:r>
            <w:r>
              <w:rPr>
                <w:spacing w:val="1"/>
              </w:rPr>
              <w:t>凝器</w:t>
            </w:r>
            <w:r>
              <w:rPr>
                <w:spacing w:val="-86"/>
              </w:rPr>
              <w:t xml:space="preserve"> </w:t>
            </w:r>
            <w:r>
              <w:rPr>
                <w:spacing w:val="1"/>
              </w:rPr>
              <w:t>”技</w:t>
            </w:r>
            <w:r>
              <w:rPr/>
              <w:t xml:space="preserve"> </w:t>
            </w:r>
            <w:r>
              <w:rPr>
                <w:spacing w:val="12"/>
              </w:rPr>
              <w:t>术适用于高浓度（≥</w:t>
            </w:r>
            <w:r>
              <w:rPr>
                <w:rFonts w:ascii="Times New Roman" w:hAnsi="Times New Roman" w:eastAsia="Times New Roman" w:cs="Times New Roman"/>
                <w:spacing w:val="12"/>
              </w:rPr>
              <w:t>10000</w:t>
            </w:r>
            <w:r>
              <w:rPr>
                <w:rFonts w:ascii="Times New Roman" w:hAnsi="Times New Roman" w:eastAsia="Times New Roman" w:cs="Times New Roman"/>
              </w:rPr>
              <w:t>mg</w:t>
            </w:r>
            <w:r>
              <w:rPr>
                <w:rFonts w:ascii="Times New Roman" w:hAnsi="Times New Roman" w:eastAsia="Times New Roman" w:cs="Times New Roman"/>
                <w:spacing w:val="12"/>
              </w:rPr>
              <w:t>/m</w:t>
            </w:r>
            <w:r>
              <w:rPr>
                <w:spacing w:val="12"/>
              </w:rPr>
              <w:t>³</w:t>
            </w:r>
            <w:r>
              <w:rPr>
                <w:spacing w:val="1"/>
              </w:rPr>
              <w:t>）</w:t>
            </w:r>
            <w:r>
              <w:rPr>
                <w:spacing w:val="-50"/>
              </w:rPr>
              <w:t xml:space="preserve"> </w:t>
            </w:r>
            <w:r>
              <w:rPr>
                <w:spacing w:val="1"/>
              </w:rPr>
              <w:t>，</w:t>
            </w:r>
            <w:r>
              <w:rPr>
                <w:spacing w:val="12"/>
              </w:rPr>
              <w:t>净化效率不高；</w:t>
            </w:r>
            <w:r>
              <w:rPr>
                <w:spacing w:val="-79"/>
              </w:rPr>
              <w:t xml:space="preserve"> </w:t>
            </w:r>
            <w:r>
              <w:rPr>
                <w:spacing w:val="12"/>
              </w:rPr>
              <w:t>“</w:t>
            </w:r>
            <w:r>
              <w:rPr>
                <w:spacing w:val="-88"/>
              </w:rPr>
              <w:t xml:space="preserve"> </w:t>
            </w:r>
            <w:r>
              <w:rPr>
                <w:spacing w:val="12"/>
              </w:rPr>
              <w:t>沸</w:t>
            </w:r>
            <w:r>
              <w:rPr>
                <w:spacing w:val="11"/>
              </w:rPr>
              <w:t>石浓缩</w:t>
            </w:r>
            <w:r>
              <w:rPr/>
              <w:t xml:space="preserve"> </w:t>
            </w:r>
            <w:r>
              <w:rPr>
                <w:spacing w:val="4"/>
              </w:rPr>
              <w:t>转</w:t>
            </w:r>
            <w:r>
              <w:rPr>
                <w:spacing w:val="-44"/>
              </w:rPr>
              <w:t xml:space="preserve"> </w:t>
            </w:r>
            <w:r>
              <w:rPr>
                <w:rFonts w:ascii="Times New Roman" w:hAnsi="Times New Roman" w:eastAsia="Times New Roman" w:cs="Times New Roman"/>
                <w:spacing w:val="4"/>
              </w:rPr>
              <w:t>+</w:t>
            </w:r>
            <w:r>
              <w:rPr>
                <w:rFonts w:ascii="Times New Roman" w:hAnsi="Times New Roman" w:eastAsia="Times New Roman" w:cs="Times New Roman"/>
              </w:rPr>
              <w:t>TO</w:t>
            </w:r>
            <w:r>
              <w:rPr>
                <w:rFonts w:ascii="Times New Roman" w:hAnsi="Times New Roman" w:eastAsia="Times New Roman" w:cs="Times New Roman"/>
                <w:spacing w:val="4"/>
              </w:rPr>
              <w:t>/ </w:t>
            </w:r>
            <w:r>
              <w:rPr>
                <w:rFonts w:ascii="Times New Roman" w:hAnsi="Times New Roman" w:eastAsia="Times New Roman" w:cs="Times New Roman"/>
              </w:rPr>
              <w:t>RTO</w:t>
            </w:r>
            <w:r>
              <w:rPr>
                <w:rFonts w:ascii="Times New Roman" w:hAnsi="Times New Roman" w:eastAsia="Times New Roman" w:cs="Times New Roman"/>
                <w:spacing w:val="-22"/>
              </w:rPr>
              <w:t xml:space="preserve"> </w:t>
            </w:r>
            <w:r>
              <w:rPr>
                <w:spacing w:val="4"/>
              </w:rPr>
              <w:t>”技术适用于如汽车制造行业企业等产生废气量大（≥</w:t>
            </w:r>
            <w:r>
              <w:rPr/>
              <w:t xml:space="preserve"> </w:t>
            </w:r>
            <w:r>
              <w:rPr>
                <w:rFonts w:ascii="Times New Roman" w:hAnsi="Times New Roman" w:eastAsia="Times New Roman" w:cs="Times New Roman"/>
                <w:spacing w:val="-6"/>
              </w:rPr>
              <w:t>100000m</w:t>
            </w:r>
            <w:r>
              <w:rPr>
                <w:spacing w:val="-6"/>
              </w:rPr>
              <w:t>³</w:t>
            </w:r>
            <w:r>
              <w:rPr>
                <w:rFonts w:ascii="Times New Roman" w:hAnsi="Times New Roman" w:eastAsia="Times New Roman" w:cs="Times New Roman"/>
                <w:spacing w:val="-6"/>
              </w:rPr>
              <w:t>/h</w:t>
            </w:r>
            <w:r>
              <w:rPr>
                <w:spacing w:val="-6"/>
              </w:rPr>
              <w:t>）且浓度低的企业；“活性炭</w:t>
            </w:r>
            <w:r>
              <w:rPr>
                <w:rFonts w:ascii="Times New Roman" w:hAnsi="Times New Roman" w:eastAsia="Times New Roman" w:cs="Times New Roman"/>
                <w:spacing w:val="-6"/>
              </w:rPr>
              <w:t>+ </w:t>
            </w:r>
            <w:r>
              <w:rPr>
                <w:rFonts w:ascii="Times New Roman" w:hAnsi="Times New Roman" w:eastAsia="Times New Roman" w:cs="Times New Roman"/>
                <w:spacing w:val="-7"/>
              </w:rPr>
              <w:t>CO</w:t>
            </w:r>
            <w:r>
              <w:rPr>
                <w:rFonts w:ascii="Times New Roman" w:hAnsi="Times New Roman" w:eastAsia="Times New Roman" w:cs="Times New Roman"/>
                <w:spacing w:val="-31"/>
              </w:rPr>
              <w:t xml:space="preserve"> </w:t>
            </w:r>
            <w:r>
              <w:rPr>
                <w:spacing w:val="-7"/>
              </w:rPr>
              <w:t>”技术适用于低浓度（≤</w:t>
            </w:r>
            <w:r>
              <w:rPr/>
              <w:t xml:space="preserve"> </w:t>
            </w:r>
            <w:r>
              <w:rPr>
                <w:rFonts w:ascii="Times New Roman" w:hAnsi="Times New Roman" w:eastAsia="Times New Roman" w:cs="Times New Roman"/>
                <w:spacing w:val="-8"/>
              </w:rPr>
              <w:t>1000mg/m</w:t>
            </w:r>
            <w:r>
              <w:rPr>
                <w:spacing w:val="-8"/>
              </w:rPr>
              <w:t>³）的废气处理，该技术采用电作为热源，一次性投资费用低，</w:t>
            </w:r>
          </w:p>
          <w:p>
            <w:pPr>
              <w:pStyle w:val="TableText"/>
              <w:ind w:left="122"/>
              <w:spacing w:before="1" w:line="219" w:lineRule="auto"/>
              <w:rPr/>
            </w:pPr>
            <w:r>
              <w:rPr>
                <w:spacing w:val="-2"/>
              </w:rPr>
              <w:t>能耗低，净化效率高。</w:t>
            </w:r>
          </w:p>
          <w:p>
            <w:pPr>
              <w:pStyle w:val="TableText"/>
              <w:ind w:left="112" w:right="106" w:firstLine="480"/>
              <w:spacing w:before="215" w:line="385" w:lineRule="auto"/>
              <w:rPr/>
            </w:pPr>
            <w:r>
              <w:rPr>
                <w:spacing w:val="3"/>
              </w:rPr>
              <w:t>根据本项目的生产工艺的特点，有机废气的产生浓度较低，温度</w:t>
            </w:r>
            <w:r>
              <w:rPr/>
              <w:t xml:space="preserve"> </w:t>
            </w:r>
            <w:r>
              <w:rPr>
                <w:spacing w:val="-1"/>
              </w:rPr>
              <w:t>不高，湿度小，不含颗粒状。结合本项目特点及常见</w:t>
            </w:r>
            <w:r>
              <w:rPr>
                <w:rFonts w:ascii="Times New Roman" w:hAnsi="Times New Roman" w:eastAsia="Times New Roman" w:cs="Times New Roman"/>
                <w:spacing w:val="-1"/>
              </w:rPr>
              <w:t>VOCs</w:t>
            </w:r>
            <w:r>
              <w:rPr>
                <w:spacing w:val="-1"/>
              </w:rPr>
              <w:t>控</w:t>
            </w:r>
            <w:r>
              <w:rPr>
                <w:spacing w:val="-2"/>
              </w:rPr>
              <w:t>制技术的</w:t>
            </w:r>
            <w:r>
              <w:rPr/>
              <w:t xml:space="preserve"> </w:t>
            </w:r>
            <w:r>
              <w:rPr>
                <w:spacing w:val="-4"/>
              </w:rPr>
              <w:t>优缺点，本项目采用</w:t>
            </w:r>
            <w:r>
              <w:rPr>
                <w:rFonts w:ascii="Times New Roman" w:hAnsi="Times New Roman" w:eastAsia="Times New Roman" w:cs="Times New Roman"/>
                <w:spacing w:val="-4"/>
              </w:rPr>
              <w:t>“</w:t>
            </w:r>
            <w:r>
              <w:rPr>
                <w:spacing w:val="-4"/>
              </w:rPr>
              <w:t>活性炭吸附</w:t>
            </w:r>
            <w:r>
              <w:rPr>
                <w:rFonts w:ascii="Times New Roman" w:hAnsi="Times New Roman" w:eastAsia="Times New Roman" w:cs="Times New Roman"/>
                <w:spacing w:val="-4"/>
              </w:rPr>
              <w:t>+</w:t>
            </w:r>
            <w:r>
              <w:rPr>
                <w:spacing w:val="-4"/>
              </w:rPr>
              <w:t>催化燃烧装置装置（</w:t>
            </w:r>
            <w:r>
              <w:rPr>
                <w:rFonts w:ascii="Times New Roman" w:hAnsi="Times New Roman" w:eastAsia="Times New Roman" w:cs="Times New Roman"/>
                <w:spacing w:val="-4"/>
              </w:rPr>
              <w:t>CO</w:t>
            </w:r>
            <w:r>
              <w:rPr>
                <w:spacing w:val="-4"/>
              </w:rPr>
              <w:t>）</w:t>
            </w:r>
            <w:r>
              <w:rPr>
                <w:rFonts w:ascii="Times New Roman" w:hAnsi="Times New Roman" w:eastAsia="Times New Roman" w:cs="Times New Roman"/>
                <w:spacing w:val="-4"/>
              </w:rPr>
              <w:t>”</w:t>
            </w:r>
            <w:r>
              <w:rPr>
                <w:spacing w:val="-4"/>
              </w:rPr>
              <w:t>处理有机</w:t>
            </w:r>
          </w:p>
          <w:p>
            <w:pPr>
              <w:pStyle w:val="TableText"/>
              <w:ind w:left="112"/>
              <w:spacing w:line="220" w:lineRule="auto"/>
              <w:rPr/>
            </w:pPr>
            <w:r>
              <w:rPr>
                <w:spacing w:val="-3"/>
              </w:rPr>
              <w:t>废气。</w:t>
            </w:r>
          </w:p>
          <w:p>
            <w:pPr>
              <w:pStyle w:val="TableText"/>
              <w:ind w:left="604"/>
              <w:spacing w:before="213" w:line="219" w:lineRule="auto"/>
              <w:rPr/>
            </w:pPr>
            <w:r>
              <w:rPr>
                <w:spacing w:val="-2"/>
              </w:rPr>
              <w:t>（</w:t>
            </w:r>
            <w:r>
              <w:rPr>
                <w:rFonts w:ascii="Times New Roman" w:hAnsi="Times New Roman" w:eastAsia="Times New Roman" w:cs="Times New Roman"/>
                <w:spacing w:val="-2"/>
              </w:rPr>
              <w:t>3</w:t>
            </w:r>
            <w:r>
              <w:rPr>
                <w:spacing w:val="-2"/>
              </w:rPr>
              <w:t>）废气治理措施原理及特点</w:t>
            </w:r>
          </w:p>
          <w:p>
            <w:pPr>
              <w:pStyle w:val="TableText"/>
              <w:ind w:left="585"/>
              <w:spacing w:before="214" w:line="220" w:lineRule="auto"/>
              <w:rPr/>
            </w:pPr>
            <w:r>
              <w:rPr>
                <w:rFonts w:ascii="Times New Roman" w:hAnsi="Times New Roman" w:eastAsia="Times New Roman" w:cs="Times New Roman"/>
                <w:spacing w:val="-5"/>
              </w:rPr>
              <w:t>A</w:t>
            </w:r>
            <w:r>
              <w:rPr>
                <w:rFonts w:ascii="Times New Roman" w:hAnsi="Times New Roman" w:eastAsia="Times New Roman" w:cs="Times New Roman"/>
                <w:spacing w:val="-34"/>
              </w:rPr>
              <w:t xml:space="preserve"> </w:t>
            </w:r>
            <w:r>
              <w:rPr>
                <w:spacing w:val="-5"/>
              </w:rPr>
              <w:t>、运行原理</w:t>
            </w:r>
          </w:p>
        </w:tc>
      </w:tr>
    </w:tbl>
    <w:p>
      <w:pPr>
        <w:pStyle w:val="BodyText"/>
        <w:rPr/>
      </w:pPr>
      <w:r/>
    </w:p>
    <w:p>
      <w:pPr>
        <w:sectPr>
          <w:footerReference w:type="default" r:id="rId109"/>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17"/>
        <w:gridCol w:w="7509"/>
      </w:tblGrid>
      <w:tr>
        <w:trPr>
          <w:trHeight w:val="13517" w:hRule="atLeast"/>
        </w:trPr>
        <w:tc>
          <w:tcPr>
            <w:tcW w:w="1017" w:type="dxa"/>
            <w:vAlign w:val="top"/>
          </w:tcPr>
          <w:p>
            <w:pPr>
              <w:rPr>
                <w:rFonts w:ascii="Arial"/>
                <w:sz w:val="21"/>
              </w:rPr>
            </w:pPr>
            <w:r/>
          </w:p>
        </w:tc>
        <w:tc>
          <w:tcPr>
            <w:tcW w:w="7509" w:type="dxa"/>
            <w:vAlign w:val="top"/>
          </w:tcPr>
          <w:p>
            <w:pPr>
              <w:pStyle w:val="TableText"/>
              <w:ind w:left="112" w:right="106" w:firstLine="481"/>
              <w:spacing w:before="197" w:line="385" w:lineRule="auto"/>
              <w:rPr/>
            </w:pPr>
            <w:r>
              <w:rPr>
                <w:spacing w:val="3"/>
              </w:rPr>
              <w:t>本项目采用活性炭吸附</w:t>
            </w:r>
            <w:r>
              <w:rPr>
                <w:rFonts w:ascii="Times New Roman" w:hAnsi="Times New Roman" w:eastAsia="Times New Roman" w:cs="Times New Roman"/>
                <w:spacing w:val="3"/>
              </w:rPr>
              <w:t>+</w:t>
            </w:r>
            <w:r>
              <w:rPr>
                <w:spacing w:val="3"/>
              </w:rPr>
              <w:t>催化燃烧装置（</w:t>
            </w:r>
            <w:r>
              <w:rPr>
                <w:rFonts w:ascii="Times New Roman" w:hAnsi="Times New Roman" w:eastAsia="Times New Roman" w:cs="Times New Roman"/>
              </w:rPr>
              <w:t>CO</w:t>
            </w:r>
            <w:r>
              <w:rPr>
                <w:spacing w:val="3"/>
              </w:rPr>
              <w:t>）装置处理挥发性有</w:t>
            </w:r>
            <w:r>
              <w:rPr>
                <w:spacing w:val="10"/>
              </w:rPr>
              <w:t xml:space="preserve"> </w:t>
            </w:r>
            <w:r>
              <w:rPr>
                <w:spacing w:val="3"/>
              </w:rPr>
              <w:t>机废气：根据活性炭吸附吸附效率高、催化燃烧装置具</w:t>
            </w:r>
            <w:r>
              <w:rPr>
                <w:spacing w:val="2"/>
              </w:rPr>
              <w:t>有节能效果的</w:t>
            </w:r>
            <w:r>
              <w:rPr/>
              <w:t xml:space="preserve"> </w:t>
            </w:r>
            <w:r>
              <w:rPr>
                <w:spacing w:val="3"/>
              </w:rPr>
              <w:t>原理，采用双气路连续工作，一个活性炭吸附</w:t>
            </w:r>
            <w:r>
              <w:rPr>
                <w:rFonts w:ascii="Times New Roman" w:hAnsi="Times New Roman" w:eastAsia="Times New Roman" w:cs="Times New Roman"/>
                <w:spacing w:val="3"/>
              </w:rPr>
              <w:t>+</w:t>
            </w:r>
            <w:r>
              <w:rPr>
                <w:spacing w:val="3"/>
              </w:rPr>
              <w:t>催化燃烧装置（</w:t>
            </w:r>
            <w:r>
              <w:rPr>
                <w:rFonts w:ascii="Times New Roman" w:hAnsi="Times New Roman" w:eastAsia="Times New Roman" w:cs="Times New Roman"/>
              </w:rPr>
              <w:t>CO</w:t>
            </w:r>
            <w:r>
              <w:rPr>
                <w:spacing w:val="3"/>
              </w:rPr>
              <w:t>）</w:t>
            </w:r>
            <w:r>
              <w:rPr>
                <w:spacing w:val="4"/>
              </w:rPr>
              <w:t xml:space="preserve"> </w:t>
            </w:r>
            <w:r>
              <w:rPr>
                <w:spacing w:val="3"/>
              </w:rPr>
              <w:t>室，两个吸附床交替使用。先将有机废气用活性炭吸</w:t>
            </w:r>
            <w:r>
              <w:rPr>
                <w:spacing w:val="2"/>
              </w:rPr>
              <w:t>附，当活性炭快</w:t>
            </w:r>
            <w:r>
              <w:rPr/>
              <w:t xml:space="preserve"> </w:t>
            </w:r>
            <w:r>
              <w:rPr>
                <w:spacing w:val="3"/>
              </w:rPr>
              <w:t>达到饱和时停止吸附，然后用热气流将有机物从活性</w:t>
            </w:r>
            <w:r>
              <w:rPr>
                <w:spacing w:val="2"/>
              </w:rPr>
              <w:t>炭上脱附下来使</w:t>
            </w:r>
            <w:r>
              <w:rPr/>
              <w:t xml:space="preserve"> </w:t>
            </w:r>
            <w:r>
              <w:rPr/>
              <w:t>活性炭再生；脱附下来的有机物被送往催化燃烧</w:t>
            </w:r>
            <w:r>
              <w:rPr>
                <w:spacing w:val="-1"/>
              </w:rPr>
              <w:t>装置（</w:t>
            </w:r>
            <w:r>
              <w:rPr>
                <w:rFonts w:ascii="Times New Roman" w:hAnsi="Times New Roman" w:eastAsia="Times New Roman" w:cs="Times New Roman"/>
                <w:spacing w:val="-1"/>
              </w:rPr>
              <w:t>CO</w:t>
            </w:r>
            <w:r>
              <w:rPr>
                <w:spacing w:val="-1"/>
              </w:rPr>
              <w:t>）成二氧化</w:t>
            </w:r>
          </w:p>
          <w:p>
            <w:pPr>
              <w:pStyle w:val="TableText"/>
              <w:ind w:left="112"/>
              <w:spacing w:line="219" w:lineRule="auto"/>
              <w:rPr/>
            </w:pPr>
            <w:r>
              <w:rPr>
                <w:spacing w:val="-2"/>
              </w:rPr>
              <w:t>碳及水蒸气排出。</w:t>
            </w:r>
          </w:p>
          <w:p>
            <w:pPr>
              <w:pStyle w:val="TableText"/>
              <w:ind w:left="112" w:right="106" w:firstLine="483"/>
              <w:spacing w:before="210" w:line="385" w:lineRule="auto"/>
              <w:rPr/>
            </w:pPr>
            <w:r>
              <w:rPr>
                <w:spacing w:val="3"/>
              </w:rPr>
              <w:t>活性炭是经过活化处理后的碳，其具备比表面积大，</w:t>
            </w:r>
            <w:r>
              <w:rPr>
                <w:spacing w:val="2"/>
              </w:rPr>
              <w:t>孔隙多的特</w:t>
            </w:r>
            <w:r>
              <w:rPr/>
              <w:t xml:space="preserve"> </w:t>
            </w:r>
            <w:r>
              <w:rPr>
                <w:spacing w:val="-3"/>
              </w:rPr>
              <w:t>点，使其具有较强吸附能力。颗粒碳比表面积一般可达</w:t>
            </w:r>
            <w:r>
              <w:rPr>
                <w:rFonts w:ascii="Times New Roman" w:hAnsi="Times New Roman" w:eastAsia="Times New Roman" w:cs="Times New Roman"/>
                <w:spacing w:val="-3"/>
              </w:rPr>
              <w:t>700-</w:t>
            </w:r>
            <w:r>
              <w:rPr>
                <w:rFonts w:ascii="Times New Roman" w:hAnsi="Times New Roman" w:eastAsia="Times New Roman" w:cs="Times New Roman"/>
                <w:spacing w:val="-16"/>
              </w:rPr>
              <w:t xml:space="preserve"> </w:t>
            </w:r>
            <w:r>
              <w:rPr>
                <w:rFonts w:ascii="Times New Roman" w:hAnsi="Times New Roman" w:eastAsia="Times New Roman" w:cs="Times New Roman"/>
                <w:spacing w:val="-3"/>
              </w:rPr>
              <w:t>1200</w:t>
            </w:r>
            <w:r>
              <w:rPr>
                <w:spacing w:val="-3"/>
              </w:rPr>
              <w:t>㎡</w:t>
            </w:r>
            <w:r>
              <w:rPr>
                <w:rFonts w:ascii="Times New Roman" w:hAnsi="Times New Roman" w:eastAsia="Times New Roman" w:cs="Times New Roman"/>
                <w:spacing w:val="-3"/>
              </w:rPr>
              <w:t>/g</w:t>
            </w:r>
            <w:r>
              <w:rPr>
                <w:spacing w:val="-3"/>
              </w:rPr>
              <w:t>，</w:t>
            </w:r>
            <w:r>
              <w:rPr/>
              <w:t xml:space="preserve"> </w:t>
            </w:r>
            <w:r>
              <w:rPr>
                <w:spacing w:val="1"/>
              </w:rPr>
              <w:t>其孔径大小范围在</w:t>
            </w:r>
            <w:r>
              <w:rPr>
                <w:rFonts w:ascii="Times New Roman" w:hAnsi="Times New Roman" w:eastAsia="Times New Roman" w:cs="Times New Roman"/>
                <w:spacing w:val="1"/>
              </w:rPr>
              <w:t>1.5</w:t>
            </w:r>
            <w:r>
              <w:rPr>
                <w:rFonts w:ascii="Times New Roman" w:hAnsi="Times New Roman" w:eastAsia="Times New Roman" w:cs="Times New Roman"/>
              </w:rPr>
              <w:t>nm</w:t>
            </w:r>
            <w:r>
              <w:rPr>
                <w:rFonts w:ascii="Times New Roman" w:hAnsi="Times New Roman" w:eastAsia="Times New Roman" w:cs="Times New Roman"/>
                <w:spacing w:val="1"/>
              </w:rPr>
              <w:t>-5</w:t>
            </w:r>
            <w:r>
              <w:rPr>
                <w:rFonts w:ascii="Times New Roman" w:hAnsi="Times New Roman" w:eastAsia="Times New Roman" w:cs="Times New Roman"/>
              </w:rPr>
              <w:t>um</w:t>
            </w:r>
            <w:r>
              <w:rPr>
                <w:spacing w:val="1"/>
              </w:rPr>
              <w:t>之间。其吸附方式主要通过</w:t>
            </w:r>
            <w:r>
              <w:rPr>
                <w:rFonts w:ascii="Times New Roman" w:hAnsi="Times New Roman" w:eastAsia="Times New Roman" w:cs="Times New Roman"/>
                <w:spacing w:val="1"/>
              </w:rPr>
              <w:t>2</w:t>
            </w:r>
            <w:r>
              <w:rPr>
                <w:spacing w:val="1"/>
              </w:rPr>
              <w:t>种途径：一</w:t>
            </w:r>
            <w:r>
              <w:rPr>
                <w:spacing w:val="18"/>
              </w:rPr>
              <w:t xml:space="preserve"> </w:t>
            </w:r>
            <w:r>
              <w:rPr>
                <w:spacing w:val="3"/>
              </w:rPr>
              <w:t>是活性炭与气体分子间的范德华力，当气体分子经过</w:t>
            </w:r>
            <w:r>
              <w:rPr>
                <w:spacing w:val="2"/>
              </w:rPr>
              <w:t>活性炭表面，范</w:t>
            </w:r>
            <w:r>
              <w:rPr/>
              <w:t xml:space="preserve"> </w:t>
            </w:r>
            <w:r>
              <w:rPr>
                <w:spacing w:val="3"/>
              </w:rPr>
              <w:t>德华力起主导作用时，气体分子先被吸附至活性炭外</w:t>
            </w:r>
            <w:r>
              <w:rPr>
                <w:spacing w:val="2"/>
              </w:rPr>
              <w:t>表面，小于活性</w:t>
            </w:r>
            <w:r>
              <w:rPr/>
              <w:t xml:space="preserve"> </w:t>
            </w:r>
            <w:r>
              <w:rPr>
                <w:spacing w:val="3"/>
              </w:rPr>
              <w:t>炭孔径的分子经内部扩散转移至内表面，从而达到吸</w:t>
            </w:r>
            <w:r>
              <w:rPr>
                <w:spacing w:val="2"/>
              </w:rPr>
              <w:t>附的效果，此为</w:t>
            </w:r>
            <w:r>
              <w:rPr/>
              <w:t xml:space="preserve"> </w:t>
            </w:r>
            <w:r>
              <w:rPr>
                <w:spacing w:val="3"/>
              </w:rPr>
              <w:t>物理吸附；二是吸附质与吸附剂表面原子间的化学键</w:t>
            </w:r>
            <w:r>
              <w:rPr>
                <w:spacing w:val="2"/>
              </w:rPr>
              <w:t>合成，此为化学</w:t>
            </w:r>
            <w:r>
              <w:rPr/>
              <w:t xml:space="preserve"> </w:t>
            </w:r>
            <w:r>
              <w:rPr>
                <w:spacing w:val="3"/>
              </w:rPr>
              <w:t>吸附。活性炭吸附一般适用于大风量、低浓度、低湿</w:t>
            </w:r>
            <w:r>
              <w:rPr>
                <w:spacing w:val="2"/>
              </w:rPr>
              <w:t>度、低含尘的有</w:t>
            </w:r>
          </w:p>
          <w:p>
            <w:pPr>
              <w:pStyle w:val="TableText"/>
              <w:ind w:left="112"/>
              <w:spacing w:line="218" w:lineRule="auto"/>
              <w:rPr/>
            </w:pPr>
            <w:r>
              <w:rPr>
                <w:spacing w:val="-3"/>
              </w:rPr>
              <w:t>机废气。</w:t>
            </w:r>
          </w:p>
          <w:p>
            <w:pPr>
              <w:pStyle w:val="TableText"/>
              <w:ind w:left="112" w:right="106" w:firstLine="495"/>
              <w:spacing w:before="217" w:line="384" w:lineRule="auto"/>
              <w:rPr/>
            </w:pPr>
            <w:r>
              <w:rPr>
                <w:spacing w:val="3"/>
              </w:rPr>
              <w:t>当有机废气的浓度达到</w:t>
            </w:r>
            <w:r>
              <w:rPr>
                <w:rFonts w:ascii="Times New Roman" w:hAnsi="Times New Roman" w:eastAsia="Times New Roman" w:cs="Times New Roman"/>
                <w:spacing w:val="3"/>
              </w:rPr>
              <w:t>2000</w:t>
            </w:r>
            <w:r>
              <w:rPr>
                <w:rFonts w:ascii="Times New Roman" w:hAnsi="Times New Roman" w:eastAsia="Times New Roman" w:cs="Times New Roman"/>
              </w:rPr>
              <w:t>PPm</w:t>
            </w:r>
            <w:r>
              <w:rPr>
                <w:spacing w:val="3"/>
              </w:rPr>
              <w:t>以上时，有机废气在催化床可维</w:t>
            </w:r>
            <w:r>
              <w:rPr>
                <w:spacing w:val="10"/>
              </w:rPr>
              <w:t xml:space="preserve"> </w:t>
            </w:r>
            <w:r>
              <w:rPr>
                <w:spacing w:val="3"/>
              </w:rPr>
              <w:t>持自燃，不用外加热。燃烧后的尾气一部分排入大气</w:t>
            </w:r>
            <w:r>
              <w:rPr>
                <w:spacing w:val="2"/>
              </w:rPr>
              <w:t>，大部分被送往</w:t>
            </w:r>
            <w:r>
              <w:rPr/>
              <w:t xml:space="preserve"> </w:t>
            </w:r>
            <w:r>
              <w:rPr>
                <w:spacing w:val="3"/>
              </w:rPr>
              <w:t>吸附床，用于活性炭再生。这样可满足燃烧和吸附所</w:t>
            </w:r>
            <w:r>
              <w:rPr>
                <w:spacing w:val="2"/>
              </w:rPr>
              <w:t>需的热能，达到</w:t>
            </w:r>
            <w:r>
              <w:rPr/>
              <w:t xml:space="preserve"> </w:t>
            </w:r>
            <w:r>
              <w:rPr>
                <w:spacing w:val="3"/>
              </w:rPr>
              <w:t>节能的目的。再生后的可进入下次吸附；在脱附时，</w:t>
            </w:r>
            <w:r>
              <w:rPr>
                <w:spacing w:val="2"/>
              </w:rPr>
              <w:t>净化操作可用另</w:t>
            </w:r>
          </w:p>
          <w:p>
            <w:pPr>
              <w:pStyle w:val="TableText"/>
              <w:ind w:left="116"/>
              <w:spacing w:before="1" w:line="218" w:lineRule="auto"/>
              <w:rPr/>
            </w:pPr>
            <w:r>
              <w:rPr>
                <w:spacing w:val="-1"/>
              </w:rPr>
              <w:t>一个吸附床进行，既适合于连续操作，也适合于间断操作。</w:t>
            </w:r>
          </w:p>
          <w:p>
            <w:pPr>
              <w:pStyle w:val="TableText"/>
              <w:ind w:left="596"/>
              <w:spacing w:before="217" w:line="456" w:lineRule="exact"/>
              <w:rPr/>
            </w:pPr>
            <w:r>
              <w:rPr>
                <w:spacing w:val="-4"/>
                <w:position w:val="16"/>
              </w:rPr>
              <w:t>活性炭吸附箱截面积为</w:t>
            </w:r>
            <w:r>
              <w:rPr>
                <w:rFonts w:ascii="Times New Roman" w:hAnsi="Times New Roman" w:eastAsia="Times New Roman" w:cs="Times New Roman"/>
                <w:spacing w:val="-4"/>
                <w:position w:val="16"/>
              </w:rPr>
              <w:t>4.84</w:t>
            </w:r>
            <w:r>
              <w:rPr>
                <w:spacing w:val="-4"/>
                <w:position w:val="16"/>
              </w:rPr>
              <w:t>㎡，装填高度</w:t>
            </w:r>
            <w:r>
              <w:rPr>
                <w:rFonts w:ascii="Times New Roman" w:hAnsi="Times New Roman" w:eastAsia="Times New Roman" w:cs="Times New Roman"/>
                <w:spacing w:val="-4"/>
                <w:position w:val="16"/>
              </w:rPr>
              <w:t>800mm</w:t>
            </w:r>
            <w:r>
              <w:rPr>
                <w:spacing w:val="-4"/>
                <w:position w:val="16"/>
              </w:rPr>
              <w:t>，单个活性炭吸附</w:t>
            </w:r>
          </w:p>
          <w:p>
            <w:pPr>
              <w:pStyle w:val="TableText"/>
              <w:ind w:left="114"/>
              <w:spacing w:line="323" w:lineRule="exact"/>
              <w:rPr/>
            </w:pPr>
            <w:r>
              <w:rPr>
                <w:spacing w:val="-1"/>
                <w:position w:val="1"/>
              </w:rPr>
              <w:t>箱活性炭装填量为</w:t>
            </w:r>
            <w:r>
              <w:rPr>
                <w:rFonts w:ascii="Times New Roman" w:hAnsi="Times New Roman" w:eastAsia="Times New Roman" w:cs="Times New Roman"/>
                <w:spacing w:val="-1"/>
                <w:position w:val="1"/>
              </w:rPr>
              <w:t>4.84×0.8=3.872m</w:t>
            </w:r>
            <w:r>
              <w:rPr>
                <w:spacing w:val="-1"/>
                <w:position w:val="1"/>
              </w:rPr>
              <w:t>³。</w:t>
            </w:r>
          </w:p>
          <w:p>
            <w:pPr>
              <w:pStyle w:val="TableText"/>
              <w:ind w:left="107" w:right="106" w:firstLine="491"/>
              <w:spacing w:before="218" w:line="374" w:lineRule="auto"/>
              <w:rPr/>
            </w:pPr>
            <w:r>
              <w:rPr/>
              <w:t>结合实验室测试和工程经验数据，蜂窝活性炭动态吸附</w:t>
            </w:r>
            <w:r>
              <w:rPr>
                <w:spacing w:val="-1"/>
              </w:rPr>
              <w:t>量按</w:t>
            </w:r>
            <w:r>
              <w:rPr>
                <w:rFonts w:ascii="Times New Roman" w:hAnsi="Times New Roman" w:eastAsia="Times New Roman" w:cs="Times New Roman"/>
                <w:spacing w:val="-1"/>
              </w:rPr>
              <w:t>4%</w:t>
            </w:r>
            <w:r>
              <w:rPr>
                <w:spacing w:val="-1"/>
              </w:rPr>
              <w:t>设</w:t>
            </w:r>
            <w:r>
              <w:rPr/>
              <w:t xml:space="preserve"> </w:t>
            </w:r>
            <w:r>
              <w:rPr>
                <w:spacing w:val="11"/>
              </w:rPr>
              <w:t>计</w:t>
            </w:r>
            <w:r>
              <w:rPr>
                <w:spacing w:val="-62"/>
              </w:rPr>
              <w:t xml:space="preserve"> </w:t>
            </w:r>
            <w:r>
              <w:rPr>
                <w:spacing w:val="11"/>
              </w:rPr>
              <w:t>，蜂窝活性炭密度</w:t>
            </w:r>
            <w:r>
              <w:rPr>
                <w:rFonts w:ascii="Times New Roman" w:hAnsi="Times New Roman" w:eastAsia="Times New Roman" w:cs="Times New Roman"/>
                <w:spacing w:val="11"/>
              </w:rPr>
              <w:t>450</w:t>
            </w:r>
            <w:r>
              <w:rPr>
                <w:rFonts w:ascii="Times New Roman" w:hAnsi="Times New Roman" w:eastAsia="Times New Roman" w:cs="Times New Roman"/>
              </w:rPr>
              <w:t>kg</w:t>
            </w:r>
            <w:r>
              <w:rPr>
                <w:rFonts w:ascii="Times New Roman" w:hAnsi="Times New Roman" w:eastAsia="Times New Roman" w:cs="Times New Roman"/>
                <w:spacing w:val="11"/>
              </w:rPr>
              <w:t>/m</w:t>
            </w:r>
            <w:r>
              <w:rPr>
                <w:rFonts w:ascii="Times New Roman" w:hAnsi="Times New Roman" w:eastAsia="Times New Roman" w:cs="Times New Roman"/>
                <w:spacing w:val="-30"/>
              </w:rPr>
              <w:t xml:space="preserve"> </w:t>
            </w:r>
            <w:r>
              <w:rPr>
                <w:spacing w:val="11"/>
              </w:rPr>
              <w:t>³</w:t>
            </w:r>
            <w:r>
              <w:rPr>
                <w:spacing w:val="-70"/>
              </w:rPr>
              <w:t xml:space="preserve"> </w:t>
            </w:r>
            <w:r>
              <w:rPr>
                <w:spacing w:val="11"/>
              </w:rPr>
              <w:t>,</w:t>
            </w:r>
            <w:r>
              <w:rPr>
                <w:spacing w:val="87"/>
              </w:rPr>
              <w:t xml:space="preserve"> </w:t>
            </w:r>
            <w:r>
              <w:rPr>
                <w:spacing w:val="11"/>
              </w:rPr>
              <w:t>单个活性炭吸附箱活性炭重量为</w:t>
            </w:r>
            <w:r>
              <w:rPr/>
              <w:t xml:space="preserve"> </w:t>
            </w:r>
            <w:r>
              <w:rPr>
                <w:rFonts w:ascii="Times New Roman" w:hAnsi="Times New Roman" w:eastAsia="Times New Roman" w:cs="Times New Roman"/>
                <w:spacing w:val="-2"/>
              </w:rPr>
              <w:t>450kg/m</w:t>
            </w:r>
            <w:r>
              <w:rPr>
                <w:spacing w:val="-2"/>
              </w:rPr>
              <w:t>³</w:t>
            </w:r>
            <w:r>
              <w:rPr>
                <w:rFonts w:ascii="Times New Roman" w:hAnsi="Times New Roman" w:eastAsia="Times New Roman" w:cs="Times New Roman"/>
                <w:spacing w:val="-2"/>
              </w:rPr>
              <w:t>×3.872m</w:t>
            </w:r>
            <w:r>
              <w:rPr>
                <w:spacing w:val="-2"/>
              </w:rPr>
              <w:t>³</w:t>
            </w:r>
            <w:r>
              <w:rPr>
                <w:rFonts w:ascii="Times New Roman" w:hAnsi="Times New Roman" w:eastAsia="Times New Roman" w:cs="Times New Roman"/>
                <w:spacing w:val="-2"/>
              </w:rPr>
              <w:t>=</w:t>
            </w:r>
            <w:r>
              <w:rPr>
                <w:rFonts w:ascii="Times New Roman" w:hAnsi="Times New Roman" w:eastAsia="Times New Roman" w:cs="Times New Roman"/>
                <w:spacing w:val="-26"/>
              </w:rPr>
              <w:t xml:space="preserve"> </w:t>
            </w:r>
            <w:r>
              <w:rPr>
                <w:rFonts w:ascii="Times New Roman" w:hAnsi="Times New Roman" w:eastAsia="Times New Roman" w:cs="Times New Roman"/>
                <w:spacing w:val="-2"/>
              </w:rPr>
              <w:t>1754.4kg</w:t>
            </w:r>
            <w:r>
              <w:rPr>
                <w:rFonts w:ascii="Times New Roman" w:hAnsi="Times New Roman" w:eastAsia="Times New Roman" w:cs="Times New Roman"/>
                <w:spacing w:val="-30"/>
              </w:rPr>
              <w:t xml:space="preserve"> </w:t>
            </w:r>
            <w:r>
              <w:rPr>
                <w:spacing w:val="-2"/>
              </w:rPr>
              <w:t>，达到动态吸附饱和，单个床体可以吸附</w:t>
            </w:r>
          </w:p>
          <w:p>
            <w:pPr>
              <w:pStyle w:val="TableText"/>
              <w:ind w:left="132"/>
              <w:spacing w:line="323" w:lineRule="exact"/>
              <w:rPr>
                <w:rFonts w:ascii="Times New Roman" w:hAnsi="Times New Roman" w:eastAsia="Times New Roman" w:cs="Times New Roman"/>
                <w:sz w:val="15"/>
                <w:szCs w:val="15"/>
              </w:rPr>
            </w:pPr>
            <w:r>
              <w:rPr>
                <w:spacing w:val="-4"/>
                <w:position w:val="2"/>
              </w:rPr>
              <w:t>的</w:t>
            </w:r>
            <w:r>
              <w:rPr>
                <w:rFonts w:ascii="Times New Roman" w:hAnsi="Times New Roman" w:eastAsia="Times New Roman" w:cs="Times New Roman"/>
                <w:spacing w:val="-4"/>
                <w:position w:val="2"/>
              </w:rPr>
              <w:t>VOCs</w:t>
            </w:r>
            <w:r>
              <w:rPr>
                <w:spacing w:val="-4"/>
                <w:position w:val="2"/>
              </w:rPr>
              <w:t>量为</w:t>
            </w:r>
            <w:r>
              <w:rPr>
                <w:rFonts w:ascii="Times New Roman" w:hAnsi="Times New Roman" w:eastAsia="Times New Roman" w:cs="Times New Roman"/>
                <w:spacing w:val="-4"/>
                <w:position w:val="2"/>
              </w:rPr>
              <w:t>=4%×</w:t>
            </w:r>
            <w:r>
              <w:rPr>
                <w:rFonts w:ascii="Times New Roman" w:hAnsi="Times New Roman" w:eastAsia="Times New Roman" w:cs="Times New Roman"/>
                <w:spacing w:val="-21"/>
                <w:position w:val="2"/>
              </w:rPr>
              <w:t xml:space="preserve"> </w:t>
            </w:r>
            <w:r>
              <w:rPr>
                <w:rFonts w:ascii="Times New Roman" w:hAnsi="Times New Roman" w:eastAsia="Times New Roman" w:cs="Times New Roman"/>
                <w:spacing w:val="-4"/>
                <w:position w:val="2"/>
              </w:rPr>
              <w:t>1742.4kg=70kg</w:t>
            </w:r>
            <w:r>
              <w:rPr>
                <w:spacing w:val="-4"/>
                <w:position w:val="2"/>
              </w:rPr>
              <w:t>。吸附达到动态吸附饱和时间</w:t>
            </w:r>
            <w:r>
              <w:rPr>
                <w:rFonts w:ascii="Times New Roman" w:hAnsi="Times New Roman" w:eastAsia="Times New Roman" w:cs="Times New Roman"/>
                <w:spacing w:val="-4"/>
                <w:position w:val="2"/>
              </w:rPr>
              <w:t>=70×</w:t>
            </w:r>
            <w:r>
              <w:rPr>
                <w:rFonts w:ascii="Times New Roman" w:hAnsi="Times New Roman" w:eastAsia="Times New Roman" w:cs="Times New Roman"/>
                <w:spacing w:val="-33"/>
                <w:position w:val="2"/>
              </w:rPr>
              <w:t xml:space="preserve"> </w:t>
            </w:r>
            <w:r>
              <w:rPr>
                <w:rFonts w:ascii="Times New Roman" w:hAnsi="Times New Roman" w:eastAsia="Times New Roman" w:cs="Times New Roman"/>
                <w:spacing w:val="-4"/>
                <w:position w:val="2"/>
              </w:rPr>
              <w:t>10</w:t>
            </w:r>
            <w:r>
              <w:rPr>
                <w:rFonts w:ascii="Times New Roman" w:hAnsi="Times New Roman" w:eastAsia="Times New Roman" w:cs="Times New Roman"/>
                <w:sz w:val="15"/>
                <w:szCs w:val="15"/>
                <w:spacing w:val="-4"/>
                <w:position w:val="9"/>
              </w:rPr>
              <w:t>6</w:t>
            </w:r>
          </w:p>
        </w:tc>
      </w:tr>
    </w:tbl>
    <w:p>
      <w:pPr>
        <w:pStyle w:val="BodyText"/>
        <w:rPr/>
      </w:pPr>
      <w:r/>
    </w:p>
    <w:p>
      <w:pPr>
        <w:sectPr>
          <w:footerReference w:type="default" r:id="rId213"/>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17"/>
        <w:gridCol w:w="7509"/>
      </w:tblGrid>
      <w:tr>
        <w:trPr>
          <w:trHeight w:val="13517" w:hRule="atLeast"/>
        </w:trPr>
        <w:tc>
          <w:tcPr>
            <w:tcW w:w="1017" w:type="dxa"/>
            <w:vAlign w:val="top"/>
          </w:tcPr>
          <w:p>
            <w:pPr>
              <w:rPr>
                <w:rFonts w:ascii="Arial"/>
                <w:sz w:val="21"/>
              </w:rPr>
            </w:pPr>
            <w:r/>
          </w:p>
        </w:tc>
        <w:tc>
          <w:tcPr>
            <w:tcW w:w="7509" w:type="dxa"/>
            <w:vAlign w:val="top"/>
          </w:tcPr>
          <w:p>
            <w:pPr>
              <w:pStyle w:val="TableText"/>
              <w:ind w:left="137"/>
              <w:spacing w:before="154" w:line="323" w:lineRule="exact"/>
              <w:rPr>
                <w:rFonts w:ascii="Times New Roman" w:hAnsi="Times New Roman" w:eastAsia="Times New Roman" w:cs="Times New Roman"/>
              </w:rPr>
            </w:pPr>
            <w:r>
              <w:rPr>
                <w:spacing w:val="-2"/>
                <w:position w:val="1"/>
              </w:rPr>
              <w:t>÷</w:t>
            </w:r>
            <w:r>
              <w:rPr>
                <w:rFonts w:ascii="Times New Roman" w:hAnsi="Times New Roman" w:eastAsia="Times New Roman" w:cs="Times New Roman"/>
                <w:spacing w:val="-2"/>
                <w:position w:val="1"/>
              </w:rPr>
              <w:t>20000m</w:t>
            </w:r>
            <w:r>
              <w:rPr>
                <w:spacing w:val="-2"/>
                <w:position w:val="1"/>
              </w:rPr>
              <w:t>³</w:t>
            </w:r>
            <w:r>
              <w:rPr>
                <w:rFonts w:ascii="Times New Roman" w:hAnsi="Times New Roman" w:eastAsia="Times New Roman" w:cs="Times New Roman"/>
                <w:spacing w:val="-2"/>
                <w:position w:val="1"/>
              </w:rPr>
              <w:t>/h×60=58.33h</w:t>
            </w:r>
          </w:p>
          <w:p>
            <w:pPr>
              <w:pStyle w:val="TableText"/>
              <w:ind w:left="114" w:right="60" w:firstLine="481"/>
              <w:spacing w:before="221" w:line="385" w:lineRule="auto"/>
              <w:rPr/>
            </w:pPr>
            <w:r>
              <w:rPr>
                <w:spacing w:val="-2"/>
              </w:rPr>
              <w:t>活性炭吸附床在吸附</w:t>
            </w:r>
            <w:r>
              <w:rPr>
                <w:rFonts w:ascii="Times New Roman" w:hAnsi="Times New Roman" w:eastAsia="Times New Roman" w:cs="Times New Roman"/>
                <w:spacing w:val="-2"/>
              </w:rPr>
              <w:t>58.33h</w:t>
            </w:r>
            <w:r>
              <w:rPr>
                <w:spacing w:val="-2"/>
              </w:rPr>
              <w:t>后即达到蜂窝活性炭的动态饱和时间。</w:t>
            </w:r>
            <w:r>
              <w:rPr>
                <w:spacing w:val="10"/>
              </w:rPr>
              <w:t xml:space="preserve"> </w:t>
            </w:r>
            <w:r>
              <w:rPr>
                <w:spacing w:val="5"/>
              </w:rPr>
              <w:t>蜂窝活性炭更换周期为</w:t>
            </w:r>
            <w:r>
              <w:rPr>
                <w:rFonts w:ascii="Times New Roman" w:hAnsi="Times New Roman" w:eastAsia="Times New Roman" w:cs="Times New Roman"/>
                <w:spacing w:val="5"/>
              </w:rPr>
              <w:t>2-2.5</w:t>
            </w:r>
            <w:r>
              <w:rPr>
                <w:spacing w:val="5"/>
              </w:rPr>
              <w:t>年，贵金属催化剂更换周期为</w:t>
            </w:r>
            <w:r>
              <w:rPr>
                <w:rFonts w:ascii="Times New Roman" w:hAnsi="Times New Roman" w:eastAsia="Times New Roman" w:cs="Times New Roman"/>
                <w:spacing w:val="5"/>
              </w:rPr>
              <w:t>2</w:t>
            </w:r>
            <w:r>
              <w:rPr>
                <w:spacing w:val="5"/>
              </w:rPr>
              <w:t>年左右或</w:t>
            </w:r>
          </w:p>
          <w:p>
            <w:pPr>
              <w:pStyle w:val="TableText"/>
              <w:ind w:left="118"/>
              <w:spacing w:line="221" w:lineRule="auto"/>
              <w:rPr/>
            </w:pPr>
            <w:r>
              <w:rPr>
                <w:rFonts w:ascii="Times New Roman" w:hAnsi="Times New Roman" w:eastAsia="Times New Roman" w:cs="Times New Roman"/>
                <w:spacing w:val="-3"/>
              </w:rPr>
              <w:t>8000</w:t>
            </w:r>
            <w:r>
              <w:rPr>
                <w:spacing w:val="-3"/>
              </w:rPr>
              <w:t>小时。</w:t>
            </w:r>
          </w:p>
          <w:p>
            <w:pPr>
              <w:pStyle w:val="TableText"/>
              <w:ind w:left="112" w:right="7" w:firstLine="490"/>
              <w:spacing w:before="206" w:line="385" w:lineRule="auto"/>
              <w:rPr/>
            </w:pPr>
            <w:r>
              <w:rPr/>
              <w:t>吸附</w:t>
            </w:r>
            <w:r>
              <w:rPr>
                <w:rFonts w:ascii="Times New Roman" w:hAnsi="Times New Roman" w:eastAsia="Times New Roman" w:cs="Times New Roman"/>
              </w:rPr>
              <w:t>-</w:t>
            </w:r>
            <w:r>
              <w:rPr/>
              <w:t>活性炭吸附</w:t>
            </w:r>
            <w:r>
              <w:rPr>
                <w:rFonts w:ascii="Times New Roman" w:hAnsi="Times New Roman" w:eastAsia="Times New Roman" w:cs="Times New Roman"/>
              </w:rPr>
              <w:t>+</w:t>
            </w:r>
            <w:r>
              <w:rPr/>
              <w:t>催化燃烧装置（</w:t>
            </w:r>
            <w:r>
              <w:rPr>
                <w:rFonts w:ascii="Times New Roman" w:hAnsi="Times New Roman" w:eastAsia="Times New Roman" w:cs="Times New Roman"/>
              </w:rPr>
              <w:t>CO</w:t>
            </w:r>
            <w:r>
              <w:rPr/>
              <w:t>）设备设计原理先进、用材 </w:t>
            </w:r>
            <w:r>
              <w:rPr>
                <w:spacing w:val="3"/>
              </w:rPr>
              <w:t>独特，性能稳定，结构简便，安全可靠，节能省</w:t>
            </w:r>
            <w:r>
              <w:rPr>
                <w:spacing w:val="2"/>
              </w:rPr>
              <w:t>力，无二次污染。设 </w:t>
            </w:r>
            <w:r>
              <w:rPr>
                <w:spacing w:val="3"/>
              </w:rPr>
              <w:t>备占地面积小，重量轻。吸附床采用抽屉式结构</w:t>
            </w:r>
            <w:r>
              <w:rPr>
                <w:spacing w:val="2"/>
              </w:rPr>
              <w:t>，装填方便，便于更 </w:t>
            </w:r>
            <w:r>
              <w:rPr>
                <w:spacing w:val="3"/>
              </w:rPr>
              <w:t>换。采用新型的活性炭吸附材料</w:t>
            </w:r>
            <w:r>
              <w:rPr>
                <w:rFonts w:ascii="Times New Roman" w:hAnsi="Times New Roman" w:eastAsia="Times New Roman" w:cs="Times New Roman"/>
                <w:spacing w:val="3"/>
              </w:rPr>
              <w:t>-</w:t>
            </w:r>
            <w:r>
              <w:rPr>
                <w:spacing w:val="3"/>
              </w:rPr>
              <w:t>蜂窝状块形活性炭，活性炭吸附</w:t>
            </w:r>
            <w:r>
              <w:rPr>
                <w:rFonts w:ascii="Times New Roman" w:hAnsi="Times New Roman" w:eastAsia="Times New Roman" w:cs="Times New Roman"/>
                <w:spacing w:val="3"/>
              </w:rPr>
              <w:t>+</w:t>
            </w:r>
            <w:r>
              <w:rPr>
                <w:spacing w:val="3"/>
              </w:rPr>
              <w:t>催 </w:t>
            </w:r>
            <w:r>
              <w:rPr>
                <w:spacing w:val="-5"/>
              </w:rPr>
              <w:t>化燃烧装置（</w:t>
            </w:r>
            <w:r>
              <w:rPr>
                <w:rFonts w:ascii="Times New Roman" w:hAnsi="Times New Roman" w:eastAsia="Times New Roman" w:cs="Times New Roman"/>
                <w:spacing w:val="-5"/>
              </w:rPr>
              <w:t>CO</w:t>
            </w:r>
            <w:r>
              <w:rPr>
                <w:spacing w:val="-5"/>
              </w:rPr>
              <w:t>）室采用蜂窝陶瓷状为载体的贵金属催化剂，阻力小，</w:t>
            </w:r>
            <w:r>
              <w:rPr>
                <w:spacing w:val="9"/>
              </w:rPr>
              <w:t xml:space="preserve"> </w:t>
            </w:r>
            <w:r>
              <w:rPr>
                <w:spacing w:val="3"/>
              </w:rPr>
              <w:t>活性高。当有机蒸气浓度达到</w:t>
            </w:r>
            <w:r>
              <w:rPr>
                <w:rFonts w:ascii="Times New Roman" w:hAnsi="Times New Roman" w:eastAsia="Times New Roman" w:cs="Times New Roman"/>
                <w:spacing w:val="3"/>
              </w:rPr>
              <w:t>2000</w:t>
            </w:r>
            <w:r>
              <w:rPr>
                <w:rFonts w:ascii="Times New Roman" w:hAnsi="Times New Roman" w:eastAsia="Times New Roman" w:cs="Times New Roman"/>
              </w:rPr>
              <w:t>PPm</w:t>
            </w:r>
            <w:r>
              <w:rPr>
                <w:spacing w:val="3"/>
              </w:rPr>
              <w:t>以上时，可维持自燃。耗电量 </w:t>
            </w:r>
            <w:r>
              <w:rPr>
                <w:spacing w:val="3"/>
              </w:rPr>
              <w:t>小，由于床层阻力小，用低压风机就可以工作，</w:t>
            </w:r>
            <w:r>
              <w:rPr>
                <w:spacing w:val="2"/>
              </w:rPr>
              <w:t>不但耗电少而且噪音 </w:t>
            </w:r>
            <w:r>
              <w:rPr>
                <w:spacing w:val="3"/>
              </w:rPr>
              <w:t>低。活性炭吸附</w:t>
            </w:r>
            <w:r>
              <w:rPr>
                <w:rFonts w:ascii="Times New Roman" w:hAnsi="Times New Roman" w:eastAsia="Times New Roman" w:cs="Times New Roman"/>
                <w:spacing w:val="3"/>
              </w:rPr>
              <w:t>+</w:t>
            </w:r>
            <w:r>
              <w:rPr>
                <w:spacing w:val="3"/>
              </w:rPr>
              <w:t>催化燃烧装置（</w:t>
            </w:r>
            <w:r>
              <w:rPr>
                <w:rFonts w:ascii="Times New Roman" w:hAnsi="Times New Roman" w:eastAsia="Times New Roman" w:cs="Times New Roman"/>
              </w:rPr>
              <w:t>CO</w:t>
            </w:r>
            <w:r>
              <w:rPr>
                <w:spacing w:val="3"/>
              </w:rPr>
              <w:t>）时，需电加热启动。有机物在</w:t>
            </w:r>
            <w:r>
              <w:rPr>
                <w:spacing w:val="2"/>
              </w:rPr>
              <w:t xml:space="preserve">  </w:t>
            </w:r>
            <w:r>
              <w:rPr>
                <w:spacing w:val="3"/>
              </w:rPr>
              <w:t>催化床活性炭吸附</w:t>
            </w:r>
            <w:r>
              <w:rPr>
                <w:rFonts w:ascii="Times New Roman" w:hAnsi="Times New Roman" w:eastAsia="Times New Roman" w:cs="Times New Roman"/>
                <w:spacing w:val="3"/>
              </w:rPr>
              <w:t>+</w:t>
            </w:r>
            <w:r>
              <w:rPr>
                <w:spacing w:val="3"/>
              </w:rPr>
              <w:t>催化燃烧装置（</w:t>
            </w:r>
            <w:r>
              <w:rPr>
                <w:rFonts w:ascii="Times New Roman" w:hAnsi="Times New Roman" w:eastAsia="Times New Roman" w:cs="Times New Roman"/>
              </w:rPr>
              <w:t>CO</w:t>
            </w:r>
            <w:r>
              <w:rPr>
                <w:spacing w:val="3"/>
              </w:rPr>
              <w:t>）开始后，其燃烧热可足以维</w:t>
            </w:r>
            <w:r>
              <w:rPr>
                <w:spacing w:val="2"/>
              </w:rPr>
              <w:t xml:space="preserve">  </w:t>
            </w:r>
            <w:r>
              <w:rPr>
                <w:spacing w:val="-1"/>
              </w:rPr>
              <w:t>持其反应所需的温度，此时电加热停止，启动电加热时间大约</w:t>
            </w:r>
            <w:r>
              <w:rPr>
                <w:spacing w:val="-2"/>
              </w:rPr>
              <w:t>为</w:t>
            </w:r>
            <w:r>
              <w:rPr>
                <w:rFonts w:ascii="Times New Roman" w:hAnsi="Times New Roman" w:eastAsia="Times New Roman" w:cs="Times New Roman"/>
                <w:spacing w:val="-2"/>
              </w:rPr>
              <w:t>1</w:t>
            </w:r>
            <w:r>
              <w:rPr>
                <w:spacing w:val="-2"/>
              </w:rPr>
              <w:t>小时 </w:t>
            </w:r>
            <w:r>
              <w:rPr>
                <w:spacing w:val="-9"/>
              </w:rPr>
              <w:t>左右。吸附有机物废气的活性炭床，用活性炭吸附</w:t>
            </w:r>
            <w:r>
              <w:rPr>
                <w:rFonts w:ascii="Times New Roman" w:hAnsi="Times New Roman" w:eastAsia="Times New Roman" w:cs="Times New Roman"/>
                <w:spacing w:val="-9"/>
              </w:rPr>
              <w:t>+</w:t>
            </w:r>
            <w:r>
              <w:rPr>
                <w:spacing w:val="-9"/>
              </w:rPr>
              <w:t>催化燃烧装置（</w:t>
            </w:r>
            <w:r>
              <w:rPr>
                <w:rFonts w:ascii="Times New Roman" w:hAnsi="Times New Roman" w:eastAsia="Times New Roman" w:cs="Times New Roman"/>
                <w:spacing w:val="-9"/>
              </w:rPr>
              <w:t>CO</w:t>
            </w:r>
            <w:r>
              <w:rPr>
                <w:spacing w:val="-9"/>
              </w:rPr>
              <w:t>）</w:t>
            </w:r>
          </w:p>
          <w:p>
            <w:pPr>
              <w:pStyle w:val="TableText"/>
              <w:ind w:left="111"/>
              <w:spacing w:before="1" w:line="218" w:lineRule="auto"/>
              <w:rPr/>
            </w:pPr>
            <w:r>
              <w:rPr>
                <w:spacing w:val="-1"/>
              </w:rPr>
              <w:t>进行废气脱附，不需外部能量，运行费用低，节能效果显著。</w:t>
            </w:r>
          </w:p>
          <w:p>
            <w:pPr>
              <w:pStyle w:val="TableText"/>
              <w:ind w:left="587"/>
              <w:spacing w:before="215" w:line="219" w:lineRule="auto"/>
              <w:rPr/>
            </w:pPr>
            <w:r>
              <w:rPr>
                <w:rFonts w:ascii="Times New Roman" w:hAnsi="Times New Roman" w:eastAsia="Times New Roman" w:cs="Times New Roman"/>
                <w:spacing w:val="-6"/>
              </w:rPr>
              <w:t>B</w:t>
            </w:r>
            <w:r>
              <w:rPr>
                <w:rFonts w:ascii="Times New Roman" w:hAnsi="Times New Roman" w:eastAsia="Times New Roman" w:cs="Times New Roman"/>
                <w:spacing w:val="-29"/>
              </w:rPr>
              <w:t xml:space="preserve"> </w:t>
            </w:r>
            <w:r>
              <w:rPr>
                <w:spacing w:val="-6"/>
              </w:rPr>
              <w:t>、技术特点</w:t>
            </w:r>
          </w:p>
          <w:p>
            <w:pPr>
              <w:pStyle w:val="TableText"/>
              <w:ind w:left="119" w:right="107" w:firstLine="473"/>
              <w:spacing w:before="214" w:line="385" w:lineRule="auto"/>
              <w:rPr/>
            </w:pPr>
            <w:r>
              <w:rPr>
                <w:spacing w:val="1"/>
              </w:rPr>
              <w:t>适应范围：适用于低浓度（≤</w:t>
            </w:r>
            <w:r>
              <w:rPr>
                <w:rFonts w:ascii="Times New Roman" w:hAnsi="Times New Roman" w:eastAsia="Times New Roman" w:cs="Times New Roman"/>
                <w:spacing w:val="1"/>
              </w:rPr>
              <w:t>1000-</w:t>
            </w:r>
            <w:r>
              <w:rPr>
                <w:rFonts w:ascii="Times New Roman" w:hAnsi="Times New Roman" w:eastAsia="Times New Roman" w:cs="Times New Roman"/>
              </w:rPr>
              <w:t>mg</w:t>
            </w:r>
            <w:r>
              <w:rPr>
                <w:rFonts w:ascii="Times New Roman" w:hAnsi="Times New Roman" w:eastAsia="Times New Roman" w:cs="Times New Roman"/>
                <w:spacing w:val="1"/>
              </w:rPr>
              <w:t>/m</w:t>
            </w:r>
            <w:r>
              <w:rPr>
                <w:spacing w:val="1"/>
              </w:rPr>
              <w:t>³）的废气处理；不适合</w:t>
            </w:r>
            <w:r>
              <w:rPr>
                <w:spacing w:val="9"/>
              </w:rPr>
              <w:t xml:space="preserve"> </w:t>
            </w:r>
            <w:r>
              <w:rPr>
                <w:spacing w:val="2"/>
              </w:rPr>
              <w:t>高浓度、含颗粒物状、湿度大的废气；不适合处理含高沸点物质、硫</w:t>
            </w:r>
          </w:p>
          <w:p>
            <w:pPr>
              <w:pStyle w:val="TableText"/>
              <w:ind w:left="113"/>
              <w:spacing w:line="219" w:lineRule="auto"/>
              <w:rPr/>
            </w:pPr>
            <w:r>
              <w:rPr>
                <w:spacing w:val="-1"/>
              </w:rPr>
              <w:t>化物、卤素、重金属、油雾、强酸或碱性的废气。</w:t>
            </w:r>
          </w:p>
          <w:p>
            <w:pPr>
              <w:pStyle w:val="TableText"/>
              <w:ind w:left="114" w:right="106" w:firstLine="484"/>
              <w:spacing w:before="214" w:line="385" w:lineRule="auto"/>
              <w:rPr/>
            </w:pPr>
            <w:r>
              <w:rPr>
                <w:spacing w:val="-2"/>
              </w:rPr>
              <w:t>高效去除率：能高效去除挥发性有机物（</w:t>
            </w:r>
            <w:r>
              <w:rPr>
                <w:rFonts w:ascii="Times New Roman" w:hAnsi="Times New Roman" w:eastAsia="Times New Roman" w:cs="Times New Roman"/>
                <w:spacing w:val="-2"/>
              </w:rPr>
              <w:t>VOCs</w:t>
            </w:r>
            <w:r>
              <w:rPr>
                <w:spacing w:val="-2"/>
              </w:rPr>
              <w:t>）及硫化氢、氨气</w:t>
            </w:r>
            <w:r>
              <w:rPr>
                <w:spacing w:val="16"/>
              </w:rPr>
              <w:t xml:space="preserve"> </w:t>
            </w:r>
            <w:r>
              <w:rPr>
                <w:spacing w:val="2"/>
              </w:rPr>
              <w:t>等无机物类污染物，采用“活性炭吸附</w:t>
            </w:r>
            <w:r>
              <w:rPr>
                <w:rFonts w:ascii="Times New Roman" w:hAnsi="Times New Roman" w:eastAsia="Times New Roman" w:cs="Times New Roman"/>
                <w:spacing w:val="2"/>
              </w:rPr>
              <w:t>+</w:t>
            </w:r>
            <w:r>
              <w:rPr>
                <w:spacing w:val="2"/>
              </w:rPr>
              <w:t>催化燃烧装置装置（</w:t>
            </w:r>
            <w:r>
              <w:rPr>
                <w:rFonts w:ascii="Times New Roman" w:hAnsi="Times New Roman" w:eastAsia="Times New Roman" w:cs="Times New Roman"/>
              </w:rPr>
              <w:t>CO</w:t>
            </w:r>
            <w:r>
              <w:rPr>
                <w:spacing w:val="1"/>
              </w:rPr>
              <w:t>）</w:t>
            </w:r>
            <w:r>
              <w:rPr>
                <w:spacing w:val="-84"/>
              </w:rPr>
              <w:t xml:space="preserve"> </w:t>
            </w:r>
            <w:r>
              <w:rPr>
                <w:spacing w:val="1"/>
              </w:rPr>
              <w:t>”</w:t>
            </w:r>
            <w:r>
              <w:rPr/>
              <w:t xml:space="preserve"> </w:t>
            </w:r>
            <w:r>
              <w:rPr>
                <w:spacing w:val="2"/>
              </w:rPr>
              <w:t>后熔融挤出生产工序有机废气排放浓度及速率可满足《合成树脂工业</w:t>
            </w:r>
            <w:r>
              <w:rPr>
                <w:spacing w:val="18"/>
              </w:rPr>
              <w:t xml:space="preserve"> </w:t>
            </w:r>
            <w:r>
              <w:rPr>
                <w:spacing w:val="2"/>
              </w:rPr>
              <w:t>污染物排放标准》（</w:t>
            </w:r>
            <w:r>
              <w:rPr>
                <w:rFonts w:ascii="Times New Roman" w:hAnsi="Times New Roman" w:eastAsia="Times New Roman" w:cs="Times New Roman"/>
              </w:rPr>
              <w:t>GB</w:t>
            </w:r>
            <w:r>
              <w:rPr>
                <w:rFonts w:ascii="Times New Roman" w:hAnsi="Times New Roman" w:eastAsia="Times New Roman" w:cs="Times New Roman"/>
                <w:spacing w:val="2"/>
              </w:rPr>
              <w:t xml:space="preserve"> 31572-2015</w:t>
            </w:r>
            <w:r>
              <w:rPr>
                <w:spacing w:val="2"/>
              </w:rPr>
              <w:t>）中表</w:t>
            </w:r>
            <w:r>
              <w:rPr>
                <w:rFonts w:ascii="Times New Roman" w:hAnsi="Times New Roman" w:eastAsia="Times New Roman" w:cs="Times New Roman"/>
                <w:spacing w:val="2"/>
              </w:rPr>
              <w:t>5</w:t>
            </w:r>
            <w:r>
              <w:rPr>
                <w:spacing w:val="2"/>
              </w:rPr>
              <w:t>大气污染物特别排放限值</w:t>
            </w:r>
          </w:p>
          <w:p>
            <w:pPr>
              <w:pStyle w:val="TableText"/>
              <w:ind w:left="135"/>
              <w:spacing w:line="210" w:lineRule="auto"/>
              <w:rPr/>
            </w:pPr>
            <w:r>
              <w:rPr>
                <w:spacing w:val="-3"/>
              </w:rPr>
              <w:t>中非甲烷总烃</w:t>
            </w:r>
            <w:r>
              <w:rPr>
                <w:rFonts w:ascii="Times New Roman" w:hAnsi="Times New Roman" w:eastAsia="Times New Roman" w:cs="Times New Roman"/>
                <w:spacing w:val="-3"/>
              </w:rPr>
              <w:t>60mg/m</w:t>
            </w:r>
            <w:r>
              <w:rPr>
                <w:spacing w:val="-3"/>
              </w:rPr>
              <w:t>³要求。</w:t>
            </w:r>
          </w:p>
          <w:p>
            <w:pPr>
              <w:pStyle w:val="TableText"/>
              <w:ind w:left="592"/>
              <w:spacing w:before="226" w:line="219" w:lineRule="auto"/>
              <w:rPr/>
            </w:pPr>
            <w:r>
              <w:rPr>
                <w:spacing w:val="-1"/>
              </w:rPr>
              <w:t>运行成本：一次性投资费用低；能耗低。</w:t>
            </w:r>
          </w:p>
          <w:p>
            <w:pPr>
              <w:pStyle w:val="TableText"/>
              <w:ind w:left="599"/>
              <w:spacing w:before="214" w:line="219" w:lineRule="auto"/>
              <w:rPr/>
            </w:pPr>
            <w:r>
              <w:rPr>
                <w:spacing w:val="-2"/>
              </w:rPr>
              <w:t>总之，活性炭吸附</w:t>
            </w:r>
            <w:r>
              <w:rPr>
                <w:rFonts w:ascii="Times New Roman" w:hAnsi="Times New Roman" w:eastAsia="Times New Roman" w:cs="Times New Roman"/>
                <w:spacing w:val="-2"/>
              </w:rPr>
              <w:t>+</w:t>
            </w:r>
            <w:r>
              <w:rPr>
                <w:spacing w:val="-2"/>
              </w:rPr>
              <w:t>直接催化燃烧法装置能有效去除挥发性有机废</w:t>
            </w:r>
          </w:p>
        </w:tc>
      </w:tr>
    </w:tbl>
    <w:p>
      <w:pPr>
        <w:pStyle w:val="BodyText"/>
        <w:rPr/>
      </w:pPr>
      <w:r/>
    </w:p>
    <w:p>
      <w:pPr>
        <w:sectPr>
          <w:footerReference w:type="default" r:id="rId214"/>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17"/>
        <w:gridCol w:w="806"/>
        <w:gridCol w:w="1553"/>
        <w:gridCol w:w="973"/>
        <w:gridCol w:w="1230"/>
        <w:gridCol w:w="2947"/>
      </w:tblGrid>
      <w:tr>
        <w:trPr>
          <w:trHeight w:val="5417" w:hRule="atLeast"/>
        </w:trPr>
        <w:tc>
          <w:tcPr>
            <w:tcW w:w="1017" w:type="dxa"/>
            <w:vAlign w:val="top"/>
            <w:vMerge w:val="restart"/>
            <w:tcBorders>
              <w:bottom w:val="nil"/>
            </w:tcBorders>
          </w:tcPr>
          <w:p>
            <w:pPr>
              <w:rPr>
                <w:rFonts w:ascii="Arial"/>
                <w:sz w:val="21"/>
              </w:rPr>
            </w:pPr>
            <w:r/>
          </w:p>
        </w:tc>
        <w:tc>
          <w:tcPr>
            <w:tcW w:w="7509" w:type="dxa"/>
            <w:vAlign w:val="top"/>
            <w:gridSpan w:val="5"/>
            <w:tcBorders>
              <w:bottom w:val="single" w:color="000000" w:sz="10" w:space="0"/>
            </w:tcBorders>
          </w:tcPr>
          <w:p>
            <w:pPr>
              <w:pStyle w:val="TableText"/>
              <w:ind w:left="113" w:right="1"/>
              <w:spacing w:before="198" w:line="385" w:lineRule="auto"/>
              <w:jc w:val="both"/>
              <w:rPr/>
            </w:pPr>
            <w:r>
              <w:rPr>
                <w:spacing w:val="-1"/>
              </w:rPr>
              <w:t>气（</w:t>
            </w:r>
            <w:r>
              <w:rPr>
                <w:rFonts w:ascii="Times New Roman" w:hAnsi="Times New Roman" w:eastAsia="Times New Roman" w:cs="Times New Roman"/>
                <w:spacing w:val="-1"/>
              </w:rPr>
              <w:t>VOCs</w:t>
            </w:r>
            <w:r>
              <w:rPr/>
              <w:t>），</w:t>
            </w:r>
            <w:r>
              <w:rPr>
                <w:spacing w:val="-1"/>
              </w:rPr>
              <w:t>处理后的有机废气排放达到《合成树</w:t>
            </w:r>
            <w:r>
              <w:rPr>
                <w:spacing w:val="-2"/>
              </w:rPr>
              <w:t>脂工业污染物排放</w:t>
            </w:r>
            <w:r>
              <w:rPr/>
              <w:t xml:space="preserve">  </w:t>
            </w:r>
            <w:r>
              <w:rPr>
                <w:spacing w:val="-2"/>
              </w:rPr>
              <w:t>标准》（</w:t>
            </w:r>
            <w:r>
              <w:rPr>
                <w:rFonts w:ascii="Times New Roman" w:hAnsi="Times New Roman" w:eastAsia="Times New Roman" w:cs="Times New Roman"/>
                <w:spacing w:val="-2"/>
              </w:rPr>
              <w:t>GB31572-2015</w:t>
            </w:r>
            <w:r>
              <w:rPr>
                <w:spacing w:val="-2"/>
              </w:rPr>
              <w:t>）中表</w:t>
            </w:r>
            <w:r>
              <w:rPr>
                <w:rFonts w:ascii="Times New Roman" w:hAnsi="Times New Roman" w:eastAsia="Times New Roman" w:cs="Times New Roman"/>
                <w:spacing w:val="-3"/>
              </w:rPr>
              <w:t>5</w:t>
            </w:r>
            <w:r>
              <w:rPr>
                <w:spacing w:val="-3"/>
              </w:rPr>
              <w:t>大气污染物特别排放限值。厂界废气执</w:t>
            </w:r>
            <w:r>
              <w:rPr/>
              <w:t xml:space="preserve">  </w:t>
            </w:r>
            <w:r>
              <w:rPr>
                <w:spacing w:val="-5"/>
              </w:rPr>
              <w:t>行表</w:t>
            </w:r>
            <w:r>
              <w:rPr>
                <w:rFonts w:ascii="Times New Roman" w:hAnsi="Times New Roman" w:eastAsia="Times New Roman" w:cs="Times New Roman"/>
                <w:spacing w:val="-5"/>
              </w:rPr>
              <w:t>9</w:t>
            </w:r>
            <w:r>
              <w:rPr>
                <w:spacing w:val="-5"/>
              </w:rPr>
              <w:t>废气排放标准。厂区内执行《挥发性</w:t>
            </w:r>
            <w:r>
              <w:rPr>
                <w:spacing w:val="-6"/>
              </w:rPr>
              <w:t>有机物无组织排放控制标准》</w:t>
            </w:r>
          </w:p>
          <w:p>
            <w:pPr>
              <w:pStyle w:val="TableText"/>
              <w:ind w:left="124"/>
              <w:spacing w:line="218" w:lineRule="auto"/>
              <w:rPr/>
            </w:pPr>
            <w:r>
              <w:rPr>
                <w:spacing w:val="-1"/>
              </w:rPr>
              <w:t>（</w:t>
            </w:r>
            <w:r>
              <w:rPr>
                <w:rFonts w:ascii="Times New Roman" w:hAnsi="Times New Roman" w:eastAsia="Times New Roman" w:cs="Times New Roman"/>
                <w:spacing w:val="-1"/>
              </w:rPr>
              <w:t>GB37822-2019</w:t>
            </w:r>
            <w:r>
              <w:rPr>
                <w:spacing w:val="-1"/>
              </w:rPr>
              <w:t>）相关要求。本项目处理工艺合理可行。</w:t>
            </w:r>
          </w:p>
          <w:p>
            <w:pPr>
              <w:pStyle w:val="TableText"/>
              <w:ind w:left="589"/>
              <w:spacing w:before="214" w:line="221" w:lineRule="auto"/>
              <w:outlineLvl w:val="2"/>
              <w:rPr/>
            </w:pPr>
            <w:hyperlink w:history="true" r:id="rId39">
              <w:r>
                <w:rPr>
                  <w:rFonts w:ascii="Times New Roman" w:hAnsi="Times New Roman" w:eastAsia="Times New Roman" w:cs="Times New Roman"/>
                  <w:b/>
                  <w:bCs/>
                  <w:spacing w:val="-1"/>
                </w:rPr>
                <w:t>4.2.1.6</w:t>
              </w:r>
            </w:hyperlink>
            <w:r>
              <w:rPr>
                <w:rFonts w:ascii="Times New Roman" w:hAnsi="Times New Roman" w:eastAsia="Times New Roman" w:cs="Times New Roman"/>
                <w:b/>
                <w:bCs/>
                <w:spacing w:val="-1"/>
              </w:rPr>
              <w:t xml:space="preserve">  </w:t>
            </w:r>
            <w:r>
              <w:rPr>
                <w14:textOutline w14:w="4358" w14:cap="sq" w14:cmpd="sng">
                  <w14:solidFill>
                    <w14:srgbClr w14:val="000000"/>
                  </w14:solidFill>
                  <w14:prstDash w14:val="solid"/>
                  <w14:bevel/>
                </w14:textOutline>
                <w:spacing w:val="-1"/>
              </w:rPr>
              <w:t>监测计划</w:t>
            </w:r>
          </w:p>
          <w:p>
            <w:pPr>
              <w:pStyle w:val="TableText"/>
              <w:ind w:left="112" w:right="26" w:firstLine="480"/>
              <w:spacing w:before="212" w:line="385" w:lineRule="auto"/>
              <w:jc w:val="both"/>
              <w:rPr/>
            </w:pPr>
            <w:r>
              <w:rPr>
                <w:spacing w:val="-3"/>
              </w:rPr>
              <w:t>本项目常规废气监测可委托监测，委托监测单位应具有相应资质。</w:t>
            </w:r>
            <w:r>
              <w:rPr>
                <w:spacing w:val="9"/>
              </w:rPr>
              <w:t xml:space="preserve"> </w:t>
            </w:r>
            <w:r>
              <w:rPr>
                <w:spacing w:val="-3"/>
              </w:rPr>
              <w:t>根据《排污许可证申领与核发技术规范 总则》（</w:t>
            </w:r>
            <w:r>
              <w:rPr>
                <w:rFonts w:ascii="Times New Roman" w:hAnsi="Times New Roman" w:eastAsia="Times New Roman" w:cs="Times New Roman"/>
                <w:spacing w:val="-3"/>
              </w:rPr>
              <w:t>HJ 942-2018</w:t>
            </w:r>
            <w:r>
              <w:rPr>
                <w:spacing w:val="-3"/>
              </w:rPr>
              <w:t>）、《排 </w:t>
            </w:r>
            <w:r>
              <w:rPr>
                <w:spacing w:val="2"/>
              </w:rPr>
              <w:t>污单位自行监测技术指南 橡胶和塑料制品》（</w:t>
            </w:r>
            <w:r>
              <w:rPr>
                <w:rFonts w:ascii="Times New Roman" w:hAnsi="Times New Roman" w:eastAsia="Times New Roman" w:cs="Times New Roman"/>
              </w:rPr>
              <w:t>HJ</w:t>
            </w:r>
            <w:r>
              <w:rPr>
                <w:rFonts w:ascii="Times New Roman" w:hAnsi="Times New Roman" w:eastAsia="Times New Roman" w:cs="Times New Roman"/>
                <w:spacing w:val="2"/>
              </w:rPr>
              <w:t>1207-2021</w:t>
            </w:r>
            <w:r>
              <w:rPr>
                <w:spacing w:val="2"/>
              </w:rPr>
              <w:t>）、《排 </w:t>
            </w:r>
            <w:r>
              <w:rPr>
                <w:spacing w:val="3"/>
              </w:rPr>
              <w:t>污许可证申领与核发技术规范 橡胶和塑料制品》（</w:t>
            </w:r>
            <w:r>
              <w:rPr>
                <w:rFonts w:ascii="Times New Roman" w:hAnsi="Times New Roman" w:eastAsia="Times New Roman" w:cs="Times New Roman"/>
              </w:rPr>
              <w:t>HJ</w:t>
            </w:r>
            <w:r>
              <w:rPr>
                <w:rFonts w:ascii="Times New Roman" w:hAnsi="Times New Roman" w:eastAsia="Times New Roman" w:cs="Times New Roman"/>
                <w:spacing w:val="3"/>
              </w:rPr>
              <w:t>1122-2020</w:t>
            </w:r>
            <w:r>
              <w:rPr>
                <w:spacing w:val="3"/>
              </w:rPr>
              <w:t>）和</w:t>
            </w:r>
          </w:p>
          <w:p>
            <w:pPr>
              <w:pStyle w:val="TableText"/>
              <w:ind w:left="118"/>
              <w:spacing w:line="218" w:lineRule="auto"/>
              <w:rPr/>
            </w:pPr>
            <w:r>
              <w:rPr>
                <w:spacing w:val="-1"/>
              </w:rPr>
              <w:t>《挥发性有机物无组织排放控制标准》（</w:t>
            </w:r>
            <w:r>
              <w:rPr>
                <w:rFonts w:ascii="Times New Roman" w:hAnsi="Times New Roman" w:eastAsia="Times New Roman" w:cs="Times New Roman"/>
                <w:spacing w:val="-1"/>
              </w:rPr>
              <w:t>GB37822-2019</w:t>
            </w:r>
            <w:r>
              <w:rPr>
                <w:spacing w:val="-1"/>
              </w:rPr>
              <w:t>）。</w:t>
            </w:r>
          </w:p>
          <w:p>
            <w:pPr>
              <w:pStyle w:val="TableText"/>
              <w:ind w:left="2303"/>
              <w:spacing w:before="137" w:line="219" w:lineRule="auto"/>
              <w:rPr/>
            </w:pPr>
            <w:r>
              <w:rPr>
                <w14:textOutline w14:w="4358" w14:cap="sq" w14:cmpd="sng">
                  <w14:solidFill>
                    <w14:srgbClr w14:val="000000"/>
                  </w14:solidFill>
                  <w14:prstDash w14:val="solid"/>
                  <w14:bevel/>
                </w14:textOutline>
              </w:rPr>
              <w:t>表</w:t>
            </w:r>
            <w:r>
              <w:rPr>
                <w:rFonts w:ascii="Times New Roman" w:hAnsi="Times New Roman" w:eastAsia="Times New Roman" w:cs="Times New Roman"/>
                <w:b/>
                <w:bCs/>
              </w:rPr>
              <w:t>4.2-9    </w:t>
            </w:r>
            <w:r>
              <w:rPr>
                <w14:textOutline w14:w="4358" w14:cap="sq" w14:cmpd="sng">
                  <w14:solidFill>
                    <w14:srgbClr w14:val="000000"/>
                  </w14:solidFill>
                  <w14:prstDash w14:val="solid"/>
                  <w14:bevel/>
                </w14:textOutline>
              </w:rPr>
              <w:t>环境监测计划内容</w:t>
            </w:r>
          </w:p>
        </w:tc>
      </w:tr>
      <w:tr>
        <w:trPr>
          <w:trHeight w:val="715" w:hRule="atLeast"/>
        </w:trPr>
        <w:tc>
          <w:tcPr>
            <w:tcW w:w="1017" w:type="dxa"/>
            <w:vAlign w:val="top"/>
            <w:vMerge w:val="continue"/>
            <w:tcBorders>
              <w:top w:val="nil"/>
              <w:bottom w:val="nil"/>
            </w:tcBorders>
          </w:tcPr>
          <w:p>
            <w:pPr>
              <w:rPr>
                <w:rFonts w:ascii="Arial"/>
                <w:sz w:val="21"/>
              </w:rPr>
            </w:pPr>
            <w:r/>
          </w:p>
        </w:tc>
        <w:tc>
          <w:tcPr>
            <w:tcW w:w="806" w:type="dxa"/>
            <w:vAlign w:val="top"/>
            <w:tcBorders>
              <w:top w:val="single" w:color="000000" w:sz="10" w:space="0"/>
            </w:tcBorders>
          </w:tcPr>
          <w:p>
            <w:pPr>
              <w:pStyle w:val="TableText"/>
              <w:ind w:left="250" w:right="140"/>
              <w:spacing w:before="100" w:line="279" w:lineRule="auto"/>
              <w:rPr>
                <w:sz w:val="20"/>
                <w:szCs w:val="20"/>
              </w:rPr>
            </w:pPr>
            <w:r>
              <w:rPr>
                <w:sz w:val="20"/>
                <w:szCs w:val="20"/>
                <w:spacing w:val="4"/>
              </w:rPr>
              <w:t>环境</w:t>
            </w:r>
            <w:r>
              <w:rPr>
                <w:sz w:val="20"/>
                <w:szCs w:val="20"/>
              </w:rPr>
              <w:t xml:space="preserve"> </w:t>
            </w:r>
            <w:r>
              <w:rPr>
                <w:sz w:val="20"/>
                <w:szCs w:val="20"/>
                <w:spacing w:val="4"/>
              </w:rPr>
              <w:t>要素</w:t>
            </w:r>
          </w:p>
        </w:tc>
        <w:tc>
          <w:tcPr>
            <w:tcW w:w="1553" w:type="dxa"/>
            <w:vAlign w:val="top"/>
            <w:tcBorders>
              <w:top w:val="single" w:color="000000" w:sz="10" w:space="0"/>
            </w:tcBorders>
          </w:tcPr>
          <w:p>
            <w:pPr>
              <w:pStyle w:val="TableText"/>
              <w:ind w:left="465"/>
              <w:spacing w:before="280" w:line="229" w:lineRule="auto"/>
              <w:rPr>
                <w:sz w:val="20"/>
                <w:szCs w:val="20"/>
              </w:rPr>
            </w:pPr>
            <w:r>
              <w:rPr>
                <w:sz w:val="20"/>
                <w:szCs w:val="20"/>
                <w:spacing w:val="6"/>
              </w:rPr>
              <w:t>监测点</w:t>
            </w:r>
          </w:p>
        </w:tc>
        <w:tc>
          <w:tcPr>
            <w:tcW w:w="973" w:type="dxa"/>
            <w:vAlign w:val="top"/>
            <w:tcBorders>
              <w:top w:val="single" w:color="000000" w:sz="10" w:space="0"/>
            </w:tcBorders>
          </w:tcPr>
          <w:p>
            <w:pPr>
              <w:pStyle w:val="TableText"/>
              <w:ind w:left="388" w:right="170" w:hanging="211"/>
              <w:spacing w:before="100" w:line="279" w:lineRule="auto"/>
              <w:rPr>
                <w:sz w:val="20"/>
                <w:szCs w:val="20"/>
              </w:rPr>
            </w:pPr>
            <w:r>
              <w:rPr>
                <w:sz w:val="20"/>
                <w:szCs w:val="20"/>
                <w:spacing w:val="6"/>
              </w:rPr>
              <w:t>监测因</w:t>
            </w:r>
            <w:r>
              <w:rPr>
                <w:sz w:val="20"/>
                <w:szCs w:val="20"/>
              </w:rPr>
              <w:t xml:space="preserve"> </w:t>
            </w:r>
            <w:r>
              <w:rPr>
                <w:sz w:val="20"/>
                <w:szCs w:val="20"/>
              </w:rPr>
              <w:t>子</w:t>
            </w:r>
          </w:p>
        </w:tc>
        <w:tc>
          <w:tcPr>
            <w:tcW w:w="1230" w:type="dxa"/>
            <w:vAlign w:val="top"/>
            <w:tcBorders>
              <w:top w:val="single" w:color="000000" w:sz="10" w:space="0"/>
            </w:tcBorders>
          </w:tcPr>
          <w:p>
            <w:pPr>
              <w:pStyle w:val="TableText"/>
              <w:ind w:left="200"/>
              <w:spacing w:before="280" w:line="228" w:lineRule="auto"/>
              <w:rPr>
                <w:sz w:val="20"/>
                <w:szCs w:val="20"/>
              </w:rPr>
            </w:pPr>
            <w:r>
              <w:rPr>
                <w:sz w:val="20"/>
                <w:szCs w:val="20"/>
                <w:spacing w:val="7"/>
              </w:rPr>
              <w:t>监测频次</w:t>
            </w:r>
          </w:p>
        </w:tc>
        <w:tc>
          <w:tcPr>
            <w:tcW w:w="2947" w:type="dxa"/>
            <w:vAlign w:val="top"/>
            <w:tcBorders>
              <w:top w:val="single" w:color="000000" w:sz="10" w:space="0"/>
            </w:tcBorders>
          </w:tcPr>
          <w:p>
            <w:pPr>
              <w:pStyle w:val="TableText"/>
              <w:ind w:left="1004"/>
              <w:spacing w:before="280" w:line="228" w:lineRule="auto"/>
              <w:rPr>
                <w:sz w:val="20"/>
                <w:szCs w:val="20"/>
              </w:rPr>
            </w:pPr>
            <w:r>
              <w:rPr>
                <w:sz w:val="20"/>
                <w:szCs w:val="20"/>
                <w:spacing w:val="7"/>
              </w:rPr>
              <w:t>执行标准</w:t>
            </w:r>
          </w:p>
        </w:tc>
      </w:tr>
      <w:tr>
        <w:trPr>
          <w:trHeight w:val="1085" w:hRule="atLeast"/>
        </w:trPr>
        <w:tc>
          <w:tcPr>
            <w:tcW w:w="1017" w:type="dxa"/>
            <w:vAlign w:val="top"/>
            <w:vMerge w:val="continue"/>
            <w:tcBorders>
              <w:top w:val="nil"/>
              <w:bottom w:val="nil"/>
            </w:tcBorders>
          </w:tcPr>
          <w:p>
            <w:pPr>
              <w:rPr>
                <w:rFonts w:ascii="Arial"/>
                <w:sz w:val="21"/>
              </w:rPr>
            </w:pPr>
            <w:r/>
          </w:p>
        </w:tc>
        <w:tc>
          <w:tcPr>
            <w:tcW w:w="806" w:type="dxa"/>
            <w:vAlign w:val="top"/>
          </w:tcPr>
          <w:p>
            <w:pPr>
              <w:pStyle w:val="TableText"/>
              <w:ind w:left="251"/>
              <w:spacing w:before="290" w:line="228" w:lineRule="auto"/>
              <w:rPr>
                <w:sz w:val="20"/>
                <w:szCs w:val="20"/>
              </w:rPr>
            </w:pPr>
            <w:r>
              <w:rPr>
                <w:sz w:val="20"/>
                <w:szCs w:val="20"/>
                <w:spacing w:val="4"/>
              </w:rPr>
              <w:t>有组</w:t>
            </w:r>
          </w:p>
          <w:p>
            <w:pPr>
              <w:pStyle w:val="TableText"/>
              <w:ind w:left="359"/>
              <w:spacing w:before="112" w:line="232" w:lineRule="auto"/>
              <w:rPr>
                <w:sz w:val="20"/>
                <w:szCs w:val="20"/>
              </w:rPr>
            </w:pPr>
            <w:r>
              <w:rPr>
                <w:sz w:val="20"/>
                <w:szCs w:val="20"/>
              </w:rPr>
              <w:t>织</w:t>
            </w:r>
          </w:p>
        </w:tc>
        <w:tc>
          <w:tcPr>
            <w:tcW w:w="1553" w:type="dxa"/>
            <w:vAlign w:val="top"/>
          </w:tcPr>
          <w:p>
            <w:pPr>
              <w:spacing w:line="403" w:lineRule="auto"/>
              <w:rPr>
                <w:rFonts w:ascii="Arial"/>
                <w:sz w:val="21"/>
              </w:rPr>
            </w:pPr>
            <w:r/>
          </w:p>
          <w:p>
            <w:pPr>
              <w:pStyle w:val="TableText"/>
              <w:ind w:left="464"/>
              <w:spacing w:before="65" w:line="229" w:lineRule="auto"/>
              <w:rPr>
                <w:sz w:val="20"/>
                <w:szCs w:val="20"/>
              </w:rPr>
            </w:pPr>
            <w:r>
              <w:rPr>
                <w:sz w:val="20"/>
                <w:szCs w:val="20"/>
                <w:spacing w:val="6"/>
              </w:rPr>
              <w:t>排放口</w:t>
            </w:r>
          </w:p>
        </w:tc>
        <w:tc>
          <w:tcPr>
            <w:tcW w:w="973" w:type="dxa"/>
            <w:vAlign w:val="top"/>
          </w:tcPr>
          <w:p>
            <w:pPr>
              <w:pStyle w:val="TableText"/>
              <w:ind w:left="180"/>
              <w:spacing w:before="290" w:line="228" w:lineRule="auto"/>
              <w:rPr>
                <w:sz w:val="20"/>
                <w:szCs w:val="20"/>
              </w:rPr>
            </w:pPr>
            <w:r>
              <w:rPr>
                <w:sz w:val="20"/>
                <w:szCs w:val="20"/>
                <w:spacing w:val="5"/>
              </w:rPr>
              <w:t>非甲烷</w:t>
            </w:r>
          </w:p>
          <w:p>
            <w:pPr>
              <w:pStyle w:val="TableText"/>
              <w:ind w:left="287"/>
              <w:spacing w:before="113" w:line="228" w:lineRule="auto"/>
              <w:rPr>
                <w:sz w:val="20"/>
                <w:szCs w:val="20"/>
              </w:rPr>
            </w:pPr>
            <w:r>
              <w:rPr>
                <w:sz w:val="20"/>
                <w:szCs w:val="20"/>
                <w:spacing w:val="2"/>
              </w:rPr>
              <w:t>总烃</w:t>
            </w:r>
          </w:p>
        </w:tc>
        <w:tc>
          <w:tcPr>
            <w:tcW w:w="1230" w:type="dxa"/>
            <w:vAlign w:val="top"/>
          </w:tcPr>
          <w:p>
            <w:pPr>
              <w:pStyle w:val="TableText"/>
              <w:ind w:left="136" w:right="162"/>
              <w:spacing w:before="290" w:line="280" w:lineRule="auto"/>
              <w:jc w:val="right"/>
              <w:rPr>
                <w:sz w:val="20"/>
                <w:szCs w:val="20"/>
              </w:rPr>
            </w:pPr>
            <w:r>
              <w:rPr>
                <w:rFonts w:ascii="Times New Roman" w:hAnsi="Times New Roman" w:eastAsia="Times New Roman" w:cs="Times New Roman"/>
                <w:sz w:val="20"/>
                <w:szCs w:val="20"/>
                <w:spacing w:val="-6"/>
              </w:rPr>
              <w:t>1</w:t>
            </w:r>
            <w:r>
              <w:rPr>
                <w:sz w:val="20"/>
                <w:szCs w:val="20"/>
                <w:spacing w:val="-6"/>
              </w:rPr>
              <w:t>次</w:t>
            </w:r>
            <w:r>
              <w:rPr>
                <w:rFonts w:ascii="Times New Roman" w:hAnsi="Times New Roman" w:eastAsia="Times New Roman" w:cs="Times New Roman"/>
                <w:sz w:val="20"/>
                <w:szCs w:val="20"/>
                <w:spacing w:val="-6"/>
              </w:rPr>
              <w:t>/</w:t>
            </w:r>
            <w:r>
              <w:rPr>
                <w:sz w:val="20"/>
                <w:szCs w:val="20"/>
                <w:spacing w:val="-6"/>
              </w:rPr>
              <w:t>半年，</w:t>
            </w:r>
            <w:r>
              <w:rPr>
                <w:sz w:val="20"/>
                <w:szCs w:val="20"/>
                <w:spacing w:val="4"/>
              </w:rPr>
              <w:t xml:space="preserve"> </w:t>
            </w:r>
            <w:r>
              <w:rPr>
                <w:sz w:val="20"/>
                <w:szCs w:val="20"/>
                <w:spacing w:val="6"/>
              </w:rPr>
              <w:t>每次</w:t>
            </w:r>
            <w:r>
              <w:rPr>
                <w:rFonts w:ascii="Times New Roman" w:hAnsi="Times New Roman" w:eastAsia="Times New Roman" w:cs="Times New Roman"/>
                <w:sz w:val="20"/>
                <w:szCs w:val="20"/>
                <w:spacing w:val="6"/>
              </w:rPr>
              <w:t>1</w:t>
            </w:r>
            <w:r>
              <w:rPr>
                <w:sz w:val="20"/>
                <w:szCs w:val="20"/>
                <w:spacing w:val="6"/>
              </w:rPr>
              <w:t>天</w:t>
            </w:r>
          </w:p>
        </w:tc>
        <w:tc>
          <w:tcPr>
            <w:tcW w:w="2947" w:type="dxa"/>
            <w:vAlign w:val="top"/>
          </w:tcPr>
          <w:p>
            <w:pPr>
              <w:pStyle w:val="TableText"/>
              <w:ind w:left="141" w:right="245" w:firstLine="28"/>
              <w:spacing w:before="111" w:line="280" w:lineRule="auto"/>
              <w:rPr>
                <w:sz w:val="20"/>
                <w:szCs w:val="20"/>
              </w:rPr>
            </w:pPr>
            <w:r>
              <w:rPr>
                <w:sz w:val="20"/>
                <w:szCs w:val="20"/>
                <w:spacing w:val="8"/>
              </w:rPr>
              <w:t>《合成树脂工业污染物排放</w:t>
            </w:r>
            <w:r>
              <w:rPr>
                <w:sz w:val="20"/>
                <w:szCs w:val="20"/>
                <w:spacing w:val="7"/>
              </w:rPr>
              <w:t xml:space="preserve"> </w:t>
            </w:r>
            <w:r>
              <w:rPr>
                <w:sz w:val="20"/>
                <w:szCs w:val="20"/>
                <w:spacing w:val="6"/>
              </w:rPr>
              <w:t>标准》（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31572-2015</w:t>
            </w:r>
            <w:r>
              <w:rPr>
                <w:sz w:val="20"/>
                <w:szCs w:val="20"/>
                <w:spacing w:val="6"/>
              </w:rPr>
              <w:t>）中</w:t>
            </w:r>
          </w:p>
          <w:p>
            <w:pPr>
              <w:pStyle w:val="TableText"/>
              <w:ind w:left="270"/>
              <w:spacing w:before="112" w:line="226" w:lineRule="auto"/>
              <w:rPr>
                <w:sz w:val="20"/>
                <w:szCs w:val="20"/>
              </w:rPr>
            </w:pPr>
            <w:r>
              <w:rPr>
                <w:sz w:val="20"/>
                <w:szCs w:val="20"/>
                <w:spacing w:val="8"/>
              </w:rPr>
              <w:t>大气污染物特别排放限值</w:t>
            </w:r>
          </w:p>
        </w:tc>
      </w:tr>
      <w:tr>
        <w:trPr>
          <w:trHeight w:val="1085" w:hRule="atLeast"/>
        </w:trPr>
        <w:tc>
          <w:tcPr>
            <w:tcW w:w="1017" w:type="dxa"/>
            <w:vAlign w:val="top"/>
            <w:vMerge w:val="continue"/>
            <w:tcBorders>
              <w:top w:val="nil"/>
              <w:bottom w:val="nil"/>
            </w:tcBorders>
          </w:tcPr>
          <w:p>
            <w:pPr>
              <w:rPr>
                <w:rFonts w:ascii="Arial"/>
                <w:sz w:val="21"/>
              </w:rPr>
            </w:pPr>
            <w:r/>
          </w:p>
        </w:tc>
        <w:tc>
          <w:tcPr>
            <w:tcW w:w="806" w:type="dxa"/>
            <w:vAlign w:val="top"/>
            <w:vMerge w:val="restart"/>
            <w:tcBorders>
              <w:bottom w:val="nil"/>
            </w:tcBorders>
          </w:tcPr>
          <w:p>
            <w:pPr>
              <w:spacing w:line="311" w:lineRule="auto"/>
              <w:rPr>
                <w:rFonts w:ascii="Arial"/>
                <w:sz w:val="21"/>
              </w:rPr>
            </w:pPr>
            <w:r/>
          </w:p>
          <w:p>
            <w:pPr>
              <w:spacing w:line="311" w:lineRule="auto"/>
              <w:rPr>
                <w:rFonts w:ascii="Arial"/>
                <w:sz w:val="21"/>
              </w:rPr>
            </w:pPr>
            <w:r/>
          </w:p>
          <w:p>
            <w:pPr>
              <w:pStyle w:val="TableText"/>
              <w:ind w:left="252"/>
              <w:spacing w:before="65" w:line="228" w:lineRule="auto"/>
              <w:rPr>
                <w:sz w:val="20"/>
                <w:szCs w:val="20"/>
              </w:rPr>
            </w:pPr>
            <w:r>
              <w:rPr>
                <w:sz w:val="20"/>
                <w:szCs w:val="20"/>
                <w:spacing w:val="3"/>
              </w:rPr>
              <w:t>无组</w:t>
            </w:r>
          </w:p>
          <w:p>
            <w:pPr>
              <w:pStyle w:val="TableText"/>
              <w:ind w:left="359"/>
              <w:spacing w:before="112" w:line="232" w:lineRule="auto"/>
              <w:rPr>
                <w:sz w:val="20"/>
                <w:szCs w:val="20"/>
              </w:rPr>
            </w:pPr>
            <w:r>
              <w:rPr>
                <w:sz w:val="20"/>
                <w:szCs w:val="20"/>
              </w:rPr>
              <w:t>织</w:t>
            </w:r>
          </w:p>
        </w:tc>
        <w:tc>
          <w:tcPr>
            <w:tcW w:w="1553" w:type="dxa"/>
            <w:vAlign w:val="top"/>
          </w:tcPr>
          <w:p>
            <w:pPr>
              <w:pStyle w:val="TableText"/>
              <w:ind w:left="112" w:right="107" w:firstLine="40"/>
              <w:spacing w:before="112" w:line="296" w:lineRule="auto"/>
              <w:jc w:val="both"/>
              <w:rPr>
                <w:sz w:val="20"/>
                <w:szCs w:val="20"/>
              </w:rPr>
            </w:pPr>
            <w:r>
              <w:rPr>
                <w:sz w:val="20"/>
                <w:szCs w:val="20"/>
                <w:spacing w:val="8"/>
              </w:rPr>
              <w:t>厂区边界（上</w:t>
            </w:r>
            <w:r>
              <w:rPr>
                <w:sz w:val="20"/>
                <w:szCs w:val="20"/>
              </w:rPr>
              <w:t xml:space="preserve"> </w:t>
            </w:r>
            <w:r>
              <w:rPr>
                <w:sz w:val="20"/>
                <w:szCs w:val="20"/>
                <w:spacing w:val="4"/>
              </w:rPr>
              <w:t>风向</w:t>
            </w:r>
            <w:r>
              <w:rPr>
                <w:rFonts w:ascii="Times New Roman" w:hAnsi="Times New Roman" w:eastAsia="Times New Roman" w:cs="Times New Roman"/>
                <w:sz w:val="20"/>
                <w:szCs w:val="20"/>
                <w:spacing w:val="4"/>
              </w:rPr>
              <w:t>1</w:t>
            </w:r>
            <w:r>
              <w:rPr>
                <w:sz w:val="20"/>
                <w:szCs w:val="20"/>
                <w:spacing w:val="4"/>
              </w:rPr>
              <w:t>个点，下</w:t>
            </w:r>
            <w:r>
              <w:rPr>
                <w:sz w:val="20"/>
                <w:szCs w:val="20"/>
              </w:rPr>
              <w:t xml:space="preserve"> </w:t>
            </w:r>
            <w:r>
              <w:rPr>
                <w:sz w:val="20"/>
                <w:szCs w:val="20"/>
                <w:spacing w:val="20"/>
              </w:rPr>
              <w:t>风向</w:t>
            </w:r>
            <w:r>
              <w:rPr>
                <w:rFonts w:ascii="Times New Roman" w:hAnsi="Times New Roman" w:eastAsia="Times New Roman" w:cs="Times New Roman"/>
                <w:sz w:val="20"/>
                <w:szCs w:val="20"/>
                <w:spacing w:val="20"/>
              </w:rPr>
              <w:t>3</w:t>
            </w:r>
            <w:r>
              <w:rPr>
                <w:sz w:val="20"/>
                <w:szCs w:val="20"/>
                <w:spacing w:val="20"/>
              </w:rPr>
              <w:t>个点）</w:t>
            </w:r>
          </w:p>
        </w:tc>
        <w:tc>
          <w:tcPr>
            <w:tcW w:w="973" w:type="dxa"/>
            <w:vAlign w:val="top"/>
            <w:vMerge w:val="restart"/>
            <w:tcBorders>
              <w:bottom w:val="nil"/>
            </w:tcBorders>
          </w:tcPr>
          <w:p>
            <w:pPr>
              <w:spacing w:line="311" w:lineRule="auto"/>
              <w:rPr>
                <w:rFonts w:ascii="Arial"/>
                <w:sz w:val="21"/>
              </w:rPr>
            </w:pPr>
            <w:r/>
          </w:p>
          <w:p>
            <w:pPr>
              <w:spacing w:line="311" w:lineRule="auto"/>
              <w:rPr>
                <w:rFonts w:ascii="Arial"/>
                <w:sz w:val="21"/>
              </w:rPr>
            </w:pPr>
            <w:r/>
          </w:p>
          <w:p>
            <w:pPr>
              <w:pStyle w:val="TableText"/>
              <w:ind w:left="180"/>
              <w:spacing w:before="65" w:line="228" w:lineRule="auto"/>
              <w:rPr>
                <w:sz w:val="20"/>
                <w:szCs w:val="20"/>
              </w:rPr>
            </w:pPr>
            <w:r>
              <w:rPr>
                <w:sz w:val="20"/>
                <w:szCs w:val="20"/>
                <w:spacing w:val="5"/>
              </w:rPr>
              <w:t>非甲烷</w:t>
            </w:r>
          </w:p>
          <w:p>
            <w:pPr>
              <w:pStyle w:val="TableText"/>
              <w:ind w:left="287"/>
              <w:spacing w:before="113" w:line="228" w:lineRule="auto"/>
              <w:rPr>
                <w:sz w:val="20"/>
                <w:szCs w:val="20"/>
              </w:rPr>
            </w:pPr>
            <w:r>
              <w:rPr>
                <w:sz w:val="20"/>
                <w:szCs w:val="20"/>
                <w:spacing w:val="2"/>
              </w:rPr>
              <w:t>总烃</w:t>
            </w:r>
          </w:p>
        </w:tc>
        <w:tc>
          <w:tcPr>
            <w:tcW w:w="1230" w:type="dxa"/>
            <w:vAlign w:val="top"/>
            <w:vMerge w:val="restart"/>
            <w:tcBorders>
              <w:bottom w:val="nil"/>
            </w:tcBorders>
          </w:tcPr>
          <w:p>
            <w:pPr>
              <w:spacing w:line="310" w:lineRule="auto"/>
              <w:rPr>
                <w:rFonts w:ascii="Arial"/>
                <w:sz w:val="21"/>
              </w:rPr>
            </w:pPr>
            <w:r/>
          </w:p>
          <w:p>
            <w:pPr>
              <w:spacing w:line="311" w:lineRule="auto"/>
              <w:rPr>
                <w:rFonts w:ascii="Arial"/>
                <w:sz w:val="21"/>
              </w:rPr>
            </w:pPr>
            <w:r/>
          </w:p>
          <w:p>
            <w:pPr>
              <w:pStyle w:val="TableText"/>
              <w:ind w:left="362" w:right="111" w:hanging="226"/>
              <w:spacing w:before="65" w:line="280" w:lineRule="auto"/>
              <w:rPr>
                <w:sz w:val="20"/>
                <w:szCs w:val="20"/>
              </w:rPr>
            </w:pPr>
            <w:r>
              <w:rPr>
                <w:rFonts w:ascii="Times New Roman" w:hAnsi="Times New Roman" w:eastAsia="Times New Roman" w:cs="Times New Roman"/>
                <w:sz w:val="20"/>
                <w:szCs w:val="20"/>
                <w:spacing w:val="3"/>
              </w:rPr>
              <w:t>1</w:t>
            </w:r>
            <w:r>
              <w:rPr>
                <w:sz w:val="20"/>
                <w:szCs w:val="20"/>
                <w:spacing w:val="3"/>
              </w:rPr>
              <w:t>次</w:t>
            </w:r>
            <w:r>
              <w:rPr>
                <w:rFonts w:ascii="Times New Roman" w:hAnsi="Times New Roman" w:eastAsia="Times New Roman" w:cs="Times New Roman"/>
                <w:sz w:val="20"/>
                <w:szCs w:val="20"/>
                <w:spacing w:val="3"/>
              </w:rPr>
              <w:t>/</w:t>
            </w:r>
            <w:r>
              <w:rPr>
                <w:sz w:val="20"/>
                <w:szCs w:val="20"/>
                <w:spacing w:val="3"/>
              </w:rPr>
              <w:t>年，每</w:t>
            </w:r>
            <w:r>
              <w:rPr>
                <w:sz w:val="20"/>
                <w:szCs w:val="20"/>
                <w:spacing w:val="1"/>
              </w:rPr>
              <w:t xml:space="preserve"> </w:t>
            </w:r>
            <w:r>
              <w:rPr>
                <w:sz w:val="20"/>
                <w:szCs w:val="20"/>
                <w:spacing w:val="4"/>
              </w:rPr>
              <w:t>次</w:t>
            </w:r>
            <w:r>
              <w:rPr>
                <w:rFonts w:ascii="Times New Roman" w:hAnsi="Times New Roman" w:eastAsia="Times New Roman" w:cs="Times New Roman"/>
                <w:sz w:val="20"/>
                <w:szCs w:val="20"/>
                <w:spacing w:val="4"/>
              </w:rPr>
              <w:t>1</w:t>
            </w:r>
            <w:r>
              <w:rPr>
                <w:sz w:val="20"/>
                <w:szCs w:val="20"/>
                <w:spacing w:val="4"/>
              </w:rPr>
              <w:t>天</w:t>
            </w:r>
          </w:p>
        </w:tc>
        <w:tc>
          <w:tcPr>
            <w:tcW w:w="2947" w:type="dxa"/>
            <w:vAlign w:val="top"/>
          </w:tcPr>
          <w:p>
            <w:pPr>
              <w:pStyle w:val="TableText"/>
              <w:ind w:left="141" w:right="245" w:firstLine="28"/>
              <w:spacing w:before="113" w:line="280" w:lineRule="auto"/>
              <w:rPr>
                <w:sz w:val="20"/>
                <w:szCs w:val="20"/>
              </w:rPr>
            </w:pPr>
            <w:r>
              <w:rPr>
                <w:sz w:val="20"/>
                <w:szCs w:val="20"/>
                <w:spacing w:val="8"/>
              </w:rPr>
              <w:t>《合成树脂工业污染物排放</w:t>
            </w:r>
            <w:r>
              <w:rPr>
                <w:sz w:val="20"/>
                <w:szCs w:val="20"/>
                <w:spacing w:val="7"/>
              </w:rPr>
              <w:t xml:space="preserve"> </w:t>
            </w:r>
            <w:r>
              <w:rPr>
                <w:sz w:val="20"/>
                <w:szCs w:val="20"/>
                <w:spacing w:val="6"/>
              </w:rPr>
              <w:t>标准》（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31572-2015</w:t>
            </w:r>
            <w:r>
              <w:rPr>
                <w:sz w:val="20"/>
                <w:szCs w:val="20"/>
                <w:spacing w:val="6"/>
              </w:rPr>
              <w:t>）排</w:t>
            </w:r>
          </w:p>
          <w:p>
            <w:pPr>
              <w:pStyle w:val="TableText"/>
              <w:ind w:left="899"/>
              <w:spacing w:before="112" w:line="224" w:lineRule="auto"/>
              <w:rPr>
                <w:sz w:val="20"/>
                <w:szCs w:val="20"/>
              </w:rPr>
            </w:pPr>
            <w:r>
              <w:rPr>
                <w:sz w:val="20"/>
                <w:szCs w:val="20"/>
                <w:spacing w:val="8"/>
              </w:rPr>
              <w:t>放限值要求</w:t>
            </w:r>
          </w:p>
        </w:tc>
      </w:tr>
      <w:tr>
        <w:trPr>
          <w:trHeight w:val="804" w:hRule="atLeast"/>
        </w:trPr>
        <w:tc>
          <w:tcPr>
            <w:tcW w:w="1017" w:type="dxa"/>
            <w:vAlign w:val="top"/>
            <w:vMerge w:val="continue"/>
            <w:tcBorders>
              <w:top w:val="nil"/>
              <w:bottom w:val="nil"/>
            </w:tcBorders>
          </w:tcPr>
          <w:p>
            <w:pPr>
              <w:rPr>
                <w:rFonts w:ascii="Arial"/>
                <w:sz w:val="21"/>
              </w:rPr>
            </w:pPr>
            <w:r/>
          </w:p>
        </w:tc>
        <w:tc>
          <w:tcPr>
            <w:tcW w:w="806" w:type="dxa"/>
            <w:vAlign w:val="top"/>
            <w:vMerge w:val="continue"/>
            <w:tcBorders>
              <w:bottom w:val="single" w:color="000000" w:sz="10" w:space="0"/>
              <w:top w:val="nil"/>
            </w:tcBorders>
          </w:tcPr>
          <w:p>
            <w:pPr>
              <w:rPr>
                <w:rFonts w:ascii="Arial"/>
                <w:sz w:val="21"/>
              </w:rPr>
            </w:pPr>
            <w:r/>
          </w:p>
        </w:tc>
        <w:tc>
          <w:tcPr>
            <w:tcW w:w="1553" w:type="dxa"/>
            <w:vAlign w:val="top"/>
            <w:tcBorders>
              <w:bottom w:val="single" w:color="000000" w:sz="10" w:space="0"/>
            </w:tcBorders>
          </w:tcPr>
          <w:p>
            <w:pPr>
              <w:pStyle w:val="TableText"/>
              <w:ind w:left="219" w:right="147" w:hanging="62"/>
              <w:spacing w:before="146" w:line="280" w:lineRule="auto"/>
              <w:rPr>
                <w:rFonts w:ascii="Times New Roman" w:hAnsi="Times New Roman" w:eastAsia="Times New Roman" w:cs="Times New Roman"/>
                <w:sz w:val="20"/>
                <w:szCs w:val="20"/>
              </w:rPr>
            </w:pPr>
            <w:r>
              <w:rPr>
                <w:sz w:val="20"/>
                <w:szCs w:val="20"/>
                <w:spacing w:val="7"/>
              </w:rPr>
              <w:t>下风向、厂房</w:t>
            </w:r>
            <w:r>
              <w:rPr>
                <w:sz w:val="20"/>
                <w:szCs w:val="20"/>
              </w:rPr>
              <w:t xml:space="preserve"> </w:t>
            </w:r>
            <w:r>
              <w:rPr>
                <w:sz w:val="20"/>
                <w:szCs w:val="20"/>
                <w:spacing w:val="3"/>
              </w:rPr>
              <w:t>门</w:t>
            </w:r>
            <w:r>
              <w:rPr>
                <w:rFonts w:ascii="Times New Roman" w:hAnsi="Times New Roman" w:eastAsia="Times New Roman" w:cs="Times New Roman"/>
                <w:sz w:val="20"/>
                <w:szCs w:val="20"/>
                <w:spacing w:val="3"/>
              </w:rPr>
              <w:t>/</w:t>
            </w:r>
            <w:r>
              <w:rPr>
                <w:sz w:val="20"/>
                <w:szCs w:val="20"/>
                <w:spacing w:val="3"/>
              </w:rPr>
              <w:t>窗口外</w:t>
            </w:r>
            <w:r>
              <w:rPr>
                <w:rFonts w:ascii="Times New Roman" w:hAnsi="Times New Roman" w:eastAsia="Times New Roman" w:cs="Times New Roman"/>
                <w:sz w:val="20"/>
                <w:szCs w:val="20"/>
                <w:spacing w:val="3"/>
              </w:rPr>
              <w:t>1m</w:t>
            </w:r>
          </w:p>
        </w:tc>
        <w:tc>
          <w:tcPr>
            <w:tcW w:w="973" w:type="dxa"/>
            <w:vAlign w:val="top"/>
            <w:vMerge w:val="continue"/>
            <w:tcBorders>
              <w:bottom w:val="single" w:color="000000" w:sz="10" w:space="0"/>
              <w:top w:val="nil"/>
            </w:tcBorders>
          </w:tcPr>
          <w:p>
            <w:pPr>
              <w:rPr>
                <w:rFonts w:ascii="Arial"/>
                <w:sz w:val="21"/>
              </w:rPr>
            </w:pPr>
            <w:r/>
          </w:p>
        </w:tc>
        <w:tc>
          <w:tcPr>
            <w:tcW w:w="1230" w:type="dxa"/>
            <w:vAlign w:val="top"/>
            <w:vMerge w:val="continue"/>
            <w:tcBorders>
              <w:bottom w:val="single" w:color="000000" w:sz="10" w:space="0"/>
              <w:top w:val="nil"/>
            </w:tcBorders>
          </w:tcPr>
          <w:p>
            <w:pPr>
              <w:rPr>
                <w:rFonts w:ascii="Arial"/>
                <w:sz w:val="21"/>
              </w:rPr>
            </w:pPr>
            <w:r/>
          </w:p>
        </w:tc>
        <w:tc>
          <w:tcPr>
            <w:tcW w:w="2947" w:type="dxa"/>
            <w:vAlign w:val="top"/>
            <w:tcBorders>
              <w:bottom w:val="single" w:color="000000" w:sz="10" w:space="0"/>
            </w:tcBorders>
          </w:tcPr>
          <w:p>
            <w:pPr>
              <w:pStyle w:val="TableText"/>
              <w:ind w:left="113" w:right="132" w:firstLine="56"/>
              <w:spacing w:before="146" w:line="280" w:lineRule="auto"/>
              <w:rPr>
                <w:sz w:val="20"/>
                <w:szCs w:val="20"/>
              </w:rPr>
            </w:pPr>
            <w:r>
              <w:rPr>
                <w:sz w:val="20"/>
                <w:szCs w:val="20"/>
                <w:spacing w:val="8"/>
              </w:rPr>
              <w:t>《挥发性有机物无组织排放</w:t>
            </w:r>
            <w:r>
              <w:rPr>
                <w:sz w:val="20"/>
                <w:szCs w:val="20"/>
                <w:spacing w:val="3"/>
              </w:rPr>
              <w:t xml:space="preserve">  </w:t>
            </w:r>
            <w:r>
              <w:rPr>
                <w:sz w:val="20"/>
                <w:szCs w:val="20"/>
                <w:spacing w:val="3"/>
              </w:rPr>
              <w:t>控制标准》（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3"/>
              </w:rPr>
              <w:t>37822-2019</w:t>
            </w:r>
            <w:r>
              <w:rPr>
                <w:sz w:val="20"/>
                <w:szCs w:val="20"/>
                <w:spacing w:val="3"/>
              </w:rPr>
              <w:t>）</w:t>
            </w:r>
          </w:p>
        </w:tc>
      </w:tr>
      <w:tr>
        <w:trPr>
          <w:trHeight w:val="4506" w:hRule="atLeast"/>
        </w:trPr>
        <w:tc>
          <w:tcPr>
            <w:tcW w:w="1017" w:type="dxa"/>
            <w:vAlign w:val="top"/>
            <w:vMerge w:val="continue"/>
            <w:tcBorders>
              <w:top w:val="nil"/>
            </w:tcBorders>
          </w:tcPr>
          <w:p>
            <w:pPr>
              <w:rPr>
                <w:rFonts w:ascii="Arial"/>
                <w:sz w:val="21"/>
              </w:rPr>
            </w:pPr>
            <w:r/>
          </w:p>
        </w:tc>
        <w:tc>
          <w:tcPr>
            <w:tcW w:w="7509" w:type="dxa"/>
            <w:vAlign w:val="top"/>
            <w:gridSpan w:val="5"/>
            <w:tcBorders>
              <w:top w:val="single" w:color="000000" w:sz="10" w:space="0"/>
            </w:tcBorders>
          </w:tcPr>
          <w:p>
            <w:pPr>
              <w:pStyle w:val="TableText"/>
              <w:ind w:left="589"/>
              <w:spacing w:before="187" w:line="220" w:lineRule="auto"/>
              <w:outlineLvl w:val="2"/>
              <w:rPr/>
            </w:pPr>
            <w:hyperlink w:history="true" r:id="rId216">
              <w:r>
                <w:rPr>
                  <w:rFonts w:ascii="Times New Roman" w:hAnsi="Times New Roman" w:eastAsia="Times New Roman" w:cs="Times New Roman"/>
                  <w:b/>
                  <w:bCs/>
                </w:rPr>
                <w:t>4.2.1.7</w:t>
              </w:r>
            </w:hyperlink>
            <w:r>
              <w:rPr>
                <w:rFonts w:ascii="Times New Roman" w:hAnsi="Times New Roman" w:eastAsia="Times New Roman" w:cs="Times New Roman"/>
                <w:b/>
                <w:bCs/>
              </w:rPr>
              <w:t xml:space="preserve">  </w:t>
            </w:r>
            <w:r>
              <w:rPr>
                <w14:textOutline w14:w="4358" w14:cap="sq" w14:cmpd="sng">
                  <w14:solidFill>
                    <w14:srgbClr w14:val="000000"/>
                  </w14:solidFill>
                  <w14:prstDash w14:val="solid"/>
                  <w14:bevel/>
                </w14:textOutline>
              </w:rPr>
              <w:t>营运期废气污染防治措施</w:t>
            </w:r>
          </w:p>
          <w:p>
            <w:pPr>
              <w:pStyle w:val="TableText"/>
              <w:ind w:left="593"/>
              <w:spacing w:before="215" w:line="220" w:lineRule="auto"/>
              <w:rPr/>
            </w:pPr>
            <w:r>
              <w:rPr>
                <w:spacing w:val="-1"/>
              </w:rPr>
              <w:t>有组织排放污染防治措施：</w:t>
            </w:r>
          </w:p>
          <w:p>
            <w:pPr>
              <w:pStyle w:val="TableText"/>
              <w:ind w:left="592"/>
              <w:spacing w:before="213" w:line="499" w:lineRule="exact"/>
              <w:rPr/>
            </w:pPr>
            <w:r>
              <w:rPr>
                <w:rFonts w:ascii="Times New Roman" w:hAnsi="Times New Roman" w:eastAsia="Times New Roman" w:cs="Times New Roman"/>
                <w:spacing w:val="-2"/>
                <w:position w:val="19"/>
              </w:rPr>
              <w:t>a</w:t>
            </w:r>
            <w:r>
              <w:rPr>
                <w:rFonts w:ascii="Times New Roman" w:hAnsi="Times New Roman" w:eastAsia="Times New Roman" w:cs="Times New Roman"/>
                <w:spacing w:val="-25"/>
                <w:position w:val="19"/>
              </w:rPr>
              <w:t xml:space="preserve"> </w:t>
            </w:r>
            <w:r>
              <w:rPr>
                <w:spacing w:val="-2"/>
                <w:position w:val="19"/>
              </w:rPr>
              <w:t>）污染防治设施应与其对应的生产工艺设备同步运转，保证在生</w:t>
            </w:r>
          </w:p>
          <w:p>
            <w:pPr>
              <w:pStyle w:val="TableText"/>
              <w:ind w:left="112"/>
              <w:spacing w:line="219" w:lineRule="auto"/>
              <w:rPr/>
            </w:pPr>
            <w:r>
              <w:rPr>
                <w:spacing w:val="-1"/>
              </w:rPr>
              <w:t>产工艺设备运行波动情况下仍能正常运转，实现达标排放。</w:t>
            </w:r>
          </w:p>
          <w:p>
            <w:pPr>
              <w:pStyle w:val="TableText"/>
              <w:ind w:left="583"/>
              <w:spacing w:before="216" w:line="499" w:lineRule="exact"/>
              <w:rPr/>
            </w:pPr>
            <w:r>
              <w:rPr>
                <w:rFonts w:ascii="Times New Roman" w:hAnsi="Times New Roman" w:eastAsia="Times New Roman" w:cs="Times New Roman"/>
                <w:spacing w:val="-1"/>
                <w:position w:val="19"/>
              </w:rPr>
              <w:t>b</w:t>
            </w:r>
            <w:r>
              <w:rPr>
                <w:spacing w:val="-1"/>
                <w:position w:val="19"/>
              </w:rPr>
              <w:t>）加强除尘设备巡检，消除设备隐患，保证设备正常运行，废气</w:t>
            </w:r>
          </w:p>
          <w:p>
            <w:pPr>
              <w:pStyle w:val="TableText"/>
              <w:ind w:left="117"/>
              <w:spacing w:before="1" w:line="219" w:lineRule="auto"/>
              <w:rPr/>
            </w:pPr>
            <w:r>
              <w:rPr>
                <w:spacing w:val="-1"/>
              </w:rPr>
              <w:t>处理装置定期维护检查，保证设备完整无破损。</w:t>
            </w:r>
          </w:p>
          <w:p>
            <w:pPr>
              <w:pStyle w:val="TableText"/>
              <w:ind w:left="594"/>
              <w:spacing w:before="214" w:line="220" w:lineRule="auto"/>
              <w:rPr/>
            </w:pPr>
            <w:r>
              <w:rPr>
                <w:spacing w:val="-1"/>
              </w:rPr>
              <w:t>无组织排放污染防治措施：</w:t>
            </w:r>
          </w:p>
          <w:p>
            <w:pPr>
              <w:pStyle w:val="TableText"/>
              <w:ind w:left="592"/>
              <w:spacing w:before="215" w:line="221" w:lineRule="auto"/>
              <w:rPr/>
            </w:pPr>
            <w:r>
              <w:rPr>
                <w:rFonts w:ascii="Times New Roman" w:hAnsi="Times New Roman" w:eastAsia="Times New Roman" w:cs="Times New Roman"/>
                <w:spacing w:val="-5"/>
              </w:rPr>
              <w:t>a</w:t>
            </w:r>
            <w:r>
              <w:rPr>
                <w:rFonts w:ascii="Times New Roman" w:hAnsi="Times New Roman" w:eastAsia="Times New Roman" w:cs="Times New Roman"/>
                <w:spacing w:val="-21"/>
              </w:rPr>
              <w:t xml:space="preserve"> </w:t>
            </w:r>
            <w:r>
              <w:rPr>
                <w:spacing w:val="-5"/>
              </w:rPr>
              <w:t>）设计、选型及施工</w:t>
            </w:r>
          </w:p>
          <w:p>
            <w:pPr>
              <w:pStyle w:val="TableText"/>
              <w:ind w:left="592"/>
              <w:spacing w:before="212" w:line="217" w:lineRule="auto"/>
              <w:rPr/>
            </w:pPr>
            <w:r>
              <w:rPr>
                <w:spacing w:val="3"/>
              </w:rPr>
              <w:t>①设计及设备、设施选择严格执行国家相关法规、设计标准、规</w:t>
            </w:r>
          </w:p>
        </w:tc>
      </w:tr>
    </w:tbl>
    <w:p>
      <w:pPr>
        <w:pStyle w:val="BodyText"/>
        <w:rPr/>
      </w:pPr>
      <w:r/>
    </w:p>
    <w:p>
      <w:pPr>
        <w:sectPr>
          <w:footerReference w:type="default" r:id="rId215"/>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17"/>
        <w:gridCol w:w="7509"/>
      </w:tblGrid>
      <w:tr>
        <w:trPr>
          <w:trHeight w:val="13517" w:hRule="atLeast"/>
        </w:trPr>
        <w:tc>
          <w:tcPr>
            <w:tcW w:w="1017" w:type="dxa"/>
            <w:vAlign w:val="top"/>
          </w:tcPr>
          <w:p>
            <w:pPr>
              <w:rPr>
                <w:rFonts w:ascii="Arial"/>
                <w:sz w:val="21"/>
              </w:rPr>
            </w:pPr>
            <w:r/>
          </w:p>
        </w:tc>
        <w:tc>
          <w:tcPr>
            <w:tcW w:w="7509" w:type="dxa"/>
            <w:vAlign w:val="top"/>
          </w:tcPr>
          <w:p>
            <w:pPr>
              <w:pStyle w:val="TableText"/>
              <w:ind w:left="118"/>
              <w:spacing w:before="199" w:line="224" w:lineRule="auto"/>
              <w:rPr/>
            </w:pPr>
            <w:r>
              <w:rPr>
                <w:spacing w:val="-8"/>
              </w:rPr>
              <w:t>范。</w:t>
            </w:r>
          </w:p>
          <w:p>
            <w:pPr>
              <w:pStyle w:val="TableText"/>
              <w:ind w:left="591"/>
              <w:spacing w:before="208" w:line="499" w:lineRule="exact"/>
              <w:rPr/>
            </w:pPr>
            <w:r>
              <w:rPr>
                <w:spacing w:val="3"/>
                <w:position w:val="19"/>
              </w:rPr>
              <w:t>②所有设备选材、选型设计时增大安全系数，确保设备安全、无</w:t>
            </w:r>
          </w:p>
          <w:p>
            <w:pPr>
              <w:pStyle w:val="TableText"/>
              <w:ind w:left="116"/>
              <w:spacing w:before="1" w:line="220" w:lineRule="auto"/>
              <w:rPr/>
            </w:pPr>
            <w:r>
              <w:rPr>
                <w:spacing w:val="-5"/>
              </w:rPr>
              <w:t>泄漏。</w:t>
            </w:r>
          </w:p>
          <w:p>
            <w:pPr>
              <w:pStyle w:val="TableText"/>
              <w:ind w:left="591"/>
              <w:spacing w:before="214" w:line="499" w:lineRule="exact"/>
              <w:rPr/>
            </w:pPr>
            <w:r>
              <w:rPr>
                <w:spacing w:val="3"/>
                <w:position w:val="19"/>
              </w:rPr>
              <w:t>③工艺物料输送泵均采用屏蔽泵，该类型的泵无动密封点，</w:t>
            </w:r>
            <w:r>
              <w:rPr>
                <w:spacing w:val="2"/>
                <w:position w:val="19"/>
              </w:rPr>
              <w:t>确保</w:t>
            </w:r>
          </w:p>
          <w:p>
            <w:pPr>
              <w:pStyle w:val="TableText"/>
              <w:ind w:left="112"/>
              <w:spacing w:line="220" w:lineRule="auto"/>
              <w:rPr/>
            </w:pPr>
            <w:r>
              <w:rPr>
                <w:spacing w:val="-2"/>
              </w:rPr>
              <w:t>运行中安全无泄漏。</w:t>
            </w:r>
          </w:p>
          <w:p>
            <w:pPr>
              <w:pStyle w:val="TableText"/>
              <w:ind w:left="583"/>
              <w:spacing w:before="213" w:line="219" w:lineRule="auto"/>
              <w:rPr/>
            </w:pPr>
            <w:r>
              <w:rPr>
                <w:rFonts w:ascii="Times New Roman" w:hAnsi="Times New Roman" w:eastAsia="Times New Roman" w:cs="Times New Roman"/>
              </w:rPr>
              <w:t>b</w:t>
            </w:r>
            <w:r>
              <w:rPr/>
              <w:t>）管理及维护</w:t>
            </w:r>
          </w:p>
          <w:p>
            <w:pPr>
              <w:pStyle w:val="TableText"/>
              <w:ind w:left="114" w:right="106" w:firstLine="477"/>
              <w:spacing w:before="217" w:line="384" w:lineRule="auto"/>
              <w:rPr/>
            </w:pPr>
            <w:r>
              <w:rPr>
                <w:spacing w:val="-1"/>
              </w:rPr>
              <w:t>① 制定全面的生产管理、安全生产、环保管理等</w:t>
            </w:r>
            <w:r>
              <w:rPr>
                <w:spacing w:val="-2"/>
              </w:rPr>
              <w:t>规章制度，严格</w:t>
            </w:r>
            <w:r>
              <w:rPr/>
              <w:t xml:space="preserve"> </w:t>
            </w:r>
            <w:r>
              <w:rPr>
                <w:spacing w:val="3"/>
              </w:rPr>
              <w:t>生产管理，按制度落实生产设施巡查、巡检，定</w:t>
            </w:r>
            <w:r>
              <w:rPr>
                <w:spacing w:val="2"/>
              </w:rPr>
              <w:t>期对设备、管道、阀</w:t>
            </w:r>
          </w:p>
          <w:p>
            <w:pPr>
              <w:pStyle w:val="TableText"/>
              <w:ind w:left="140"/>
              <w:spacing w:line="219" w:lineRule="auto"/>
              <w:rPr/>
            </w:pPr>
            <w:r>
              <w:rPr>
                <w:spacing w:val="-2"/>
              </w:rPr>
              <w:t>门、法兰、输送泵等进行维护，发现问题第一时间进行处理。</w:t>
            </w:r>
          </w:p>
          <w:p>
            <w:pPr>
              <w:pStyle w:val="TableText"/>
              <w:ind w:left="112" w:right="107" w:firstLine="479"/>
              <w:spacing w:before="219" w:line="384" w:lineRule="auto"/>
              <w:rPr/>
            </w:pPr>
            <w:r>
              <w:rPr>
                <w:spacing w:val="3"/>
              </w:rPr>
              <w:t>②加强岗位培训，落实安全生产责任制。公司领导把安全生产、</w:t>
            </w:r>
            <w:r>
              <w:rPr/>
              <w:t xml:space="preserve"> </w:t>
            </w:r>
            <w:r>
              <w:rPr>
                <w:spacing w:val="3"/>
              </w:rPr>
              <w:t>防范事故工作放在第一位，严格安全生产管理，经常</w:t>
            </w:r>
            <w:r>
              <w:rPr>
                <w:spacing w:val="2"/>
              </w:rPr>
              <w:t>检查安全生产措</w:t>
            </w:r>
            <w:r>
              <w:rPr/>
              <w:t xml:space="preserve"> </w:t>
            </w:r>
            <w:r>
              <w:rPr>
                <w:spacing w:val="3"/>
              </w:rPr>
              <w:t>施，发现问题及时解决，消除事故隐患；强化生产操</w:t>
            </w:r>
            <w:r>
              <w:rPr>
                <w:spacing w:val="2"/>
              </w:rPr>
              <w:t>作人员的安全培</w:t>
            </w:r>
            <w:r>
              <w:rPr/>
              <w:t xml:space="preserve"> </w:t>
            </w:r>
            <w:r>
              <w:rPr>
                <w:spacing w:val="3"/>
              </w:rPr>
              <w:t>训教育，增强全体职工的责任感；生产操作人员必须</w:t>
            </w:r>
            <w:r>
              <w:rPr>
                <w:spacing w:val="2"/>
              </w:rPr>
              <w:t>严格执行操作规</w:t>
            </w:r>
          </w:p>
          <w:p>
            <w:pPr>
              <w:pStyle w:val="TableText"/>
              <w:ind w:left="112"/>
              <w:spacing w:line="220" w:lineRule="auto"/>
              <w:rPr/>
            </w:pPr>
            <w:r>
              <w:rPr>
                <w:spacing w:val="-1"/>
              </w:rPr>
              <w:t>程，熟悉发生非正常排放时应急处理措施。</w:t>
            </w:r>
          </w:p>
          <w:p>
            <w:pPr>
              <w:pStyle w:val="TableText"/>
              <w:ind w:left="591"/>
              <w:spacing w:before="214" w:line="217" w:lineRule="auto"/>
              <w:rPr/>
            </w:pPr>
            <w:r>
              <w:rPr>
                <w:spacing w:val="-1"/>
              </w:rPr>
              <w:t>③加强设备管理，消除非正常排放隐患</w:t>
            </w:r>
          </w:p>
          <w:p>
            <w:pPr>
              <w:pStyle w:val="TableText"/>
              <w:ind w:left="112" w:right="106" w:firstLine="480"/>
              <w:spacing w:before="219" w:line="384" w:lineRule="auto"/>
              <w:rPr/>
            </w:pPr>
            <w:r>
              <w:rPr>
                <w:spacing w:val="3"/>
              </w:rPr>
              <w:t>加强管理和维护工作，确保生产系统、环保设施正常运行，易损</w:t>
            </w:r>
            <w:r>
              <w:rPr/>
              <w:t xml:space="preserve"> </w:t>
            </w:r>
            <w:r>
              <w:rPr>
                <w:spacing w:val="3"/>
              </w:rPr>
              <w:t>件在使用寿命期限内提前进行更换，充分估计非正常</w:t>
            </w:r>
            <w:r>
              <w:rPr>
                <w:spacing w:val="2"/>
              </w:rPr>
              <w:t>排放发生的可能</w:t>
            </w:r>
          </w:p>
          <w:p>
            <w:pPr>
              <w:pStyle w:val="TableText"/>
              <w:ind w:left="115"/>
              <w:spacing w:line="220" w:lineRule="auto"/>
              <w:rPr/>
            </w:pPr>
            <w:r>
              <w:rPr>
                <w:spacing w:val="-2"/>
              </w:rPr>
              <w:t>性，制定应急处理措施。</w:t>
            </w:r>
          </w:p>
          <w:p>
            <w:pPr>
              <w:pStyle w:val="TableText"/>
              <w:spacing w:before="216" w:line="217" w:lineRule="auto"/>
              <w:jc w:val="right"/>
              <w:rPr/>
            </w:pPr>
            <w:r>
              <w:rPr>
                <w:spacing w:val="-4"/>
              </w:rPr>
              <w:t>④在污染治理设施“三同时</w:t>
            </w:r>
            <w:r>
              <w:rPr>
                <w:spacing w:val="-79"/>
              </w:rPr>
              <w:t xml:space="preserve"> </w:t>
            </w:r>
            <w:r>
              <w:rPr>
                <w:spacing w:val="-4"/>
              </w:rPr>
              <w:t>”未落实前主体工程不允许投入生产。</w:t>
            </w:r>
          </w:p>
          <w:p>
            <w:pPr>
              <w:pStyle w:val="TableText"/>
              <w:ind w:left="122" w:right="107" w:firstLine="468"/>
              <w:spacing w:before="216" w:line="385" w:lineRule="auto"/>
              <w:rPr/>
            </w:pPr>
            <w:r>
              <w:rPr>
                <w:spacing w:val="3"/>
              </w:rPr>
              <w:t>⑤控制厂区中粉尘无组织排放。厂区道路应硬化，并采取洒水、</w:t>
            </w:r>
            <w:r>
              <w:rPr/>
              <w:t xml:space="preserve"> </w:t>
            </w:r>
            <w:r>
              <w:rPr>
                <w:spacing w:val="2"/>
              </w:rPr>
              <w:t>喷雾等降尘措施。入仓和投料设置在厂房内，及时收集车间内掉落粉</w:t>
            </w:r>
          </w:p>
          <w:p>
            <w:pPr>
              <w:pStyle w:val="TableText"/>
              <w:ind w:left="114"/>
              <w:spacing w:before="1" w:line="219" w:lineRule="auto"/>
              <w:rPr/>
            </w:pPr>
            <w:r>
              <w:rPr>
                <w:spacing w:val="-2"/>
              </w:rPr>
              <w:t>尘，加大车间通风量。</w:t>
            </w:r>
          </w:p>
          <w:p>
            <w:pPr>
              <w:pStyle w:val="TableText"/>
              <w:ind w:left="595"/>
              <w:spacing w:before="214" w:line="499" w:lineRule="exact"/>
              <w:rPr/>
            </w:pPr>
            <w:r>
              <w:rPr>
                <w:spacing w:val="3"/>
                <w:position w:val="19"/>
              </w:rPr>
              <w:t>综上所述，项目大气污染物治理措施从经济、技术角度可行，项</w:t>
            </w:r>
          </w:p>
          <w:p>
            <w:pPr>
              <w:pStyle w:val="TableText"/>
              <w:ind w:left="158"/>
              <w:spacing w:before="1" w:line="218" w:lineRule="auto"/>
              <w:rPr/>
            </w:pPr>
            <w:r>
              <w:rPr>
                <w:spacing w:val="-3"/>
              </w:rPr>
              <w:t>目大气污染物排放不会对周围环境造成影响。</w:t>
            </w:r>
          </w:p>
          <w:p>
            <w:pPr>
              <w:pStyle w:val="TableText"/>
              <w:ind w:left="589"/>
              <w:spacing w:before="218" w:line="219" w:lineRule="auto"/>
              <w:outlineLvl w:val="2"/>
              <w:rPr/>
            </w:pPr>
            <w:r>
              <w:rPr>
                <w:rFonts w:ascii="Times New Roman" w:hAnsi="Times New Roman" w:eastAsia="Times New Roman" w:cs="Times New Roman"/>
                <w:b/>
                <w:bCs/>
              </w:rPr>
              <w:t>4.2.2  </w:t>
            </w:r>
            <w:r>
              <w:rPr>
                <w14:textOutline w14:w="4358" w14:cap="sq" w14:cmpd="sng">
                  <w14:solidFill>
                    <w14:srgbClr w14:val="000000"/>
                  </w14:solidFill>
                  <w14:prstDash w14:val="solid"/>
                  <w14:bevel/>
                </w14:textOutline>
              </w:rPr>
              <w:t>运营期水环境影响分析</w:t>
            </w:r>
          </w:p>
          <w:p>
            <w:pPr>
              <w:pStyle w:val="TableText"/>
              <w:ind w:left="596"/>
              <w:spacing w:before="214" w:line="499" w:lineRule="exact"/>
              <w:rPr/>
            </w:pPr>
            <w:r>
              <w:rPr>
                <w:spacing w:val="3"/>
                <w:position w:val="19"/>
              </w:rPr>
              <w:t>项目运营期无生产废水产生，不新增工作人员，依托</w:t>
            </w:r>
            <w:r>
              <w:rPr>
                <w:spacing w:val="2"/>
                <w:position w:val="19"/>
              </w:rPr>
              <w:t>企业现有工</w:t>
            </w:r>
          </w:p>
          <w:p>
            <w:pPr>
              <w:pStyle w:val="TableText"/>
              <w:ind w:left="113"/>
              <w:spacing w:before="1" w:line="218" w:lineRule="auto"/>
              <w:rPr/>
            </w:pPr>
            <w:r>
              <w:rPr>
                <w:spacing w:val="-1"/>
              </w:rPr>
              <w:t>作人员分配。因此，本项目运营期无生产、生活废水排放。</w:t>
            </w:r>
          </w:p>
        </w:tc>
      </w:tr>
    </w:tbl>
    <w:p>
      <w:pPr>
        <w:pStyle w:val="BodyText"/>
        <w:rPr/>
      </w:pPr>
      <w:r/>
    </w:p>
    <w:p>
      <w:pPr>
        <w:sectPr>
          <w:footerReference w:type="default" r:id="rId217"/>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17"/>
        <w:gridCol w:w="7509"/>
      </w:tblGrid>
      <w:tr>
        <w:trPr>
          <w:trHeight w:val="13517" w:hRule="atLeast"/>
        </w:trPr>
        <w:tc>
          <w:tcPr>
            <w:tcW w:w="1017" w:type="dxa"/>
            <w:vAlign w:val="top"/>
          </w:tcPr>
          <w:p>
            <w:pPr>
              <w:rPr>
                <w:rFonts w:ascii="Arial"/>
                <w:sz w:val="21"/>
              </w:rPr>
            </w:pPr>
            <w:r/>
          </w:p>
        </w:tc>
        <w:tc>
          <w:tcPr>
            <w:tcW w:w="7509" w:type="dxa"/>
            <w:vAlign w:val="top"/>
          </w:tcPr>
          <w:p>
            <w:pPr>
              <w:pStyle w:val="TableText"/>
              <w:ind w:left="589"/>
              <w:spacing w:before="200" w:line="219" w:lineRule="auto"/>
              <w:outlineLvl w:val="2"/>
              <w:rPr/>
            </w:pPr>
            <w:r>
              <w:rPr>
                <w:rFonts w:ascii="Times New Roman" w:hAnsi="Times New Roman" w:eastAsia="Times New Roman" w:cs="Times New Roman"/>
                <w:b/>
                <w:bCs/>
              </w:rPr>
              <w:t>4.2.3  </w:t>
            </w:r>
            <w:r>
              <w:rPr>
                <w14:textOutline w14:w="4358" w14:cap="sq" w14:cmpd="sng">
                  <w14:solidFill>
                    <w14:srgbClr w14:val="000000"/>
                  </w14:solidFill>
                  <w14:prstDash w14:val="solid"/>
                  <w14:bevel/>
                </w14:textOutline>
              </w:rPr>
              <w:t>地下水环境环境影响分析</w:t>
            </w:r>
          </w:p>
          <w:p>
            <w:pPr>
              <w:pStyle w:val="TableText"/>
              <w:ind w:left="113" w:right="106" w:firstLine="482"/>
              <w:spacing w:before="216" w:line="384" w:lineRule="auto"/>
              <w:rPr/>
            </w:pPr>
            <w:r>
              <w:rPr>
                <w:spacing w:val="3"/>
              </w:rPr>
              <w:t>项目正常情况及事故情况下无废水直接排放，</w:t>
            </w:r>
            <w:r>
              <w:rPr>
                <w:spacing w:val="2"/>
              </w:rPr>
              <w:t>根据《环境影响评</w:t>
            </w:r>
            <w:r>
              <w:rPr/>
              <w:t xml:space="preserve"> </w:t>
            </w:r>
            <w:r>
              <w:rPr>
                <w:spacing w:val="-1"/>
              </w:rPr>
              <w:t>价技术导则 地下水环境》（</w:t>
            </w:r>
            <w:r>
              <w:rPr>
                <w:rFonts w:ascii="Times New Roman" w:hAnsi="Times New Roman" w:eastAsia="Times New Roman" w:cs="Times New Roman"/>
                <w:spacing w:val="-1"/>
              </w:rPr>
              <w:t>HJ610-2016</w:t>
            </w:r>
            <w:r>
              <w:rPr>
                <w:spacing w:val="-1"/>
              </w:rPr>
              <w:t>）文件，本项目包气带渗透系</w:t>
            </w:r>
            <w:r>
              <w:rPr>
                <w:spacing w:val="11"/>
              </w:rPr>
              <w:t xml:space="preserve"> </w:t>
            </w:r>
            <w:r>
              <w:rPr>
                <w:spacing w:val="1"/>
              </w:rPr>
              <w:t>数为</w:t>
            </w:r>
            <w:r>
              <w:rPr>
                <w:rFonts w:ascii="Times New Roman" w:hAnsi="Times New Roman" w:eastAsia="Times New Roman" w:cs="Times New Roman"/>
                <w:spacing w:val="1"/>
              </w:rPr>
              <w:t>2.89</w:t>
            </w:r>
            <w:r>
              <w:rPr>
                <w:spacing w:val="1"/>
              </w:rPr>
              <w:t>×</w:t>
            </w:r>
            <w:r>
              <w:rPr>
                <w:rFonts w:ascii="Times New Roman" w:hAnsi="Times New Roman" w:eastAsia="Times New Roman" w:cs="Times New Roman"/>
                <w:spacing w:val="1"/>
              </w:rPr>
              <w:t>10</w:t>
            </w:r>
            <w:r>
              <w:rPr>
                <w:rFonts w:ascii="Times New Roman" w:hAnsi="Times New Roman" w:eastAsia="Times New Roman" w:cs="Times New Roman"/>
                <w:sz w:val="15"/>
                <w:szCs w:val="15"/>
                <w:spacing w:val="1"/>
                <w:position w:val="7"/>
              </w:rPr>
              <w:t>-4</w:t>
            </w:r>
            <w:r>
              <w:rPr>
                <w:rFonts w:ascii="Times New Roman" w:hAnsi="Times New Roman" w:eastAsia="Times New Roman" w:cs="Times New Roman"/>
                <w:spacing w:val="1"/>
              </w:rPr>
              <w:t>~5.79</w:t>
            </w:r>
            <w:r>
              <w:rPr>
                <w:spacing w:val="1"/>
              </w:rPr>
              <w:t>×</w:t>
            </w:r>
            <w:r>
              <w:rPr>
                <w:rFonts w:ascii="Times New Roman" w:hAnsi="Times New Roman" w:eastAsia="Times New Roman" w:cs="Times New Roman"/>
                <w:spacing w:val="1"/>
              </w:rPr>
              <w:t>10</w:t>
            </w:r>
            <w:r>
              <w:rPr>
                <w:rFonts w:ascii="Times New Roman" w:hAnsi="Times New Roman" w:eastAsia="Times New Roman" w:cs="Times New Roman"/>
                <w:sz w:val="15"/>
                <w:szCs w:val="15"/>
                <w:spacing w:val="1"/>
                <w:position w:val="7"/>
              </w:rPr>
              <w:t>-4</w:t>
            </w:r>
            <w:r>
              <w:rPr>
                <w:rFonts w:ascii="Times New Roman" w:hAnsi="Times New Roman" w:eastAsia="Times New Roman" w:cs="Times New Roman"/>
              </w:rPr>
              <w:t>cm</w:t>
            </w:r>
            <w:r>
              <w:rPr>
                <w:rFonts w:ascii="Times New Roman" w:hAnsi="Times New Roman" w:eastAsia="Times New Roman" w:cs="Times New Roman"/>
                <w:spacing w:val="1"/>
              </w:rPr>
              <w:t>/s</w:t>
            </w:r>
            <w:r>
              <w:rPr>
                <w:rFonts w:ascii="Times New Roman" w:hAnsi="Times New Roman" w:eastAsia="Times New Roman" w:cs="Times New Roman"/>
                <w:spacing w:val="-11"/>
              </w:rPr>
              <w:t xml:space="preserve"> </w:t>
            </w:r>
            <w:r>
              <w:rPr>
                <w:spacing w:val="1"/>
              </w:rPr>
              <w:t>，天然包气带防污性能弱，污染控制难</w:t>
            </w:r>
            <w:r>
              <w:rPr/>
              <w:t xml:space="preserve"> </w:t>
            </w:r>
            <w:r>
              <w:rPr>
                <w:spacing w:val="3"/>
              </w:rPr>
              <w:t>易程度为易，不涉及重金属以及持久性有机物。根</w:t>
            </w:r>
            <w:r>
              <w:rPr>
                <w:spacing w:val="2"/>
              </w:rPr>
              <w:t>据项目特点，采取</w:t>
            </w:r>
          </w:p>
          <w:p>
            <w:pPr>
              <w:pStyle w:val="TableText"/>
              <w:ind w:left="112"/>
              <w:spacing w:line="220" w:lineRule="auto"/>
              <w:rPr/>
            </w:pPr>
            <w:r>
              <w:rPr>
                <w:spacing w:val="-1"/>
              </w:rPr>
              <w:t>相应的分区防渗措施。</w:t>
            </w:r>
          </w:p>
          <w:p>
            <w:pPr>
              <w:pStyle w:val="TableText"/>
              <w:ind w:left="112" w:right="26" w:firstLine="484"/>
              <w:spacing w:before="217" w:line="384" w:lineRule="auto"/>
              <w:rPr/>
            </w:pPr>
            <w:r>
              <w:rPr>
                <w:spacing w:val="3"/>
              </w:rPr>
              <w:t>项目废气治理过程产生的废催化剂、废活性炭；空压</w:t>
            </w:r>
            <w:r>
              <w:rPr>
                <w:spacing w:val="2"/>
              </w:rPr>
              <w:t>机更换的废</w:t>
            </w:r>
            <w:r>
              <w:rPr/>
              <w:t xml:space="preserve"> </w:t>
            </w:r>
            <w:r>
              <w:rPr>
                <w:spacing w:val="-2"/>
              </w:rPr>
              <w:t>机油属于危险废物，危险废物依托企业已建一</w:t>
            </w:r>
            <w:r>
              <w:rPr>
                <w:spacing w:val="-3"/>
              </w:rPr>
              <w:t>座</w:t>
            </w:r>
            <w:r>
              <w:rPr>
                <w:rFonts w:ascii="Times New Roman" w:hAnsi="Times New Roman" w:eastAsia="Times New Roman" w:cs="Times New Roman"/>
                <w:spacing w:val="-3"/>
              </w:rPr>
              <w:t>15</w:t>
            </w:r>
            <w:r>
              <w:rPr>
                <w:spacing w:val="-3"/>
              </w:rPr>
              <w:t>㎡危废暂存间暂存。</w:t>
            </w:r>
            <w:r>
              <w:rPr/>
              <w:t xml:space="preserve"> </w:t>
            </w:r>
            <w:r>
              <w:rPr>
                <w:spacing w:val="-2"/>
              </w:rPr>
              <w:t>企业现有危险废物占地面积为</w:t>
            </w:r>
            <w:r>
              <w:rPr>
                <w:rFonts w:ascii="Times New Roman" w:hAnsi="Times New Roman" w:eastAsia="Times New Roman" w:cs="Times New Roman"/>
                <w:spacing w:val="-2"/>
              </w:rPr>
              <w:t>5</w:t>
            </w:r>
            <w:r>
              <w:rPr>
                <w:spacing w:val="-2"/>
              </w:rPr>
              <w:t>㎡</w:t>
            </w:r>
            <w:r>
              <w:rPr>
                <w:spacing w:val="-68"/>
              </w:rPr>
              <w:t xml:space="preserve"> </w:t>
            </w:r>
            <w:r>
              <w:rPr>
                <w:spacing w:val="-2"/>
              </w:rPr>
              <w:t>，任有剩余暂存空间供本项目使用；</w:t>
            </w:r>
            <w:r>
              <w:rPr/>
              <w:t xml:space="preserve"> </w:t>
            </w:r>
            <w:r>
              <w:rPr>
                <w:spacing w:val="-1"/>
              </w:rPr>
              <w:t>企业现有危废暂存内容为废</w:t>
            </w:r>
            <w:r>
              <w:rPr>
                <w:rFonts w:ascii="Times New Roman" w:hAnsi="Times New Roman" w:eastAsia="Times New Roman" w:cs="Times New Roman"/>
                <w:spacing w:val="-1"/>
              </w:rPr>
              <w:t>UV</w:t>
            </w:r>
            <w:r>
              <w:rPr>
                <w:spacing w:val="-1"/>
              </w:rPr>
              <w:t>光氧灯管、废机</w:t>
            </w:r>
            <w:r>
              <w:rPr>
                <w:spacing w:val="-2"/>
              </w:rPr>
              <w:t>油，与本项目危险废物 </w:t>
            </w:r>
            <w:r>
              <w:rPr>
                <w:spacing w:val="3"/>
              </w:rPr>
              <w:t>种类相容，综合分析得出，本项目依托企业现有危废</w:t>
            </w:r>
            <w:r>
              <w:rPr>
                <w:spacing w:val="2"/>
              </w:rPr>
              <w:t>间可行。危险废</w:t>
            </w:r>
          </w:p>
          <w:p>
            <w:pPr>
              <w:pStyle w:val="TableText"/>
              <w:ind w:left="112"/>
              <w:spacing w:line="218" w:lineRule="auto"/>
              <w:rPr/>
            </w:pPr>
            <w:r>
              <w:rPr>
                <w:spacing w:val="-1"/>
              </w:rPr>
              <w:t>物暂存间内已按照重点防渗要求进行了建设，本项目无需整改。</w:t>
            </w:r>
          </w:p>
          <w:p>
            <w:pPr>
              <w:pStyle w:val="TableText"/>
              <w:ind w:left="113" w:right="106" w:firstLine="480"/>
              <w:spacing w:before="218" w:line="384" w:lineRule="auto"/>
              <w:rPr/>
            </w:pPr>
            <w:r>
              <w:rPr>
                <w:spacing w:val="2"/>
              </w:rPr>
              <w:t>生产工段采取一般防渗措施。一般防渗区：采用</w:t>
            </w:r>
            <w:r>
              <w:rPr>
                <w:rFonts w:ascii="Times New Roman" w:hAnsi="Times New Roman" w:eastAsia="Times New Roman" w:cs="Times New Roman"/>
                <w:spacing w:val="2"/>
              </w:rPr>
              <w:t>100</w:t>
            </w:r>
            <w:r>
              <w:rPr>
                <w:rFonts w:ascii="Times New Roman" w:hAnsi="Times New Roman" w:eastAsia="Times New Roman" w:cs="Times New Roman"/>
              </w:rPr>
              <w:t>mm</w:t>
            </w:r>
            <w:r>
              <w:rPr>
                <w:spacing w:val="2"/>
              </w:rPr>
              <w:t>厚的混凝</w:t>
            </w:r>
            <w:r>
              <w:rPr>
                <w:spacing w:val="11"/>
              </w:rPr>
              <w:t xml:space="preserve"> </w:t>
            </w:r>
            <w:r>
              <w:rPr>
                <w:spacing w:val="3"/>
              </w:rPr>
              <w:t>土进行防渗处理。要求防渗技术要求为：等效黏土</w:t>
            </w:r>
            <w:r>
              <w:rPr>
                <w:spacing w:val="2"/>
              </w:rPr>
              <w:t>防渗层</w:t>
            </w:r>
            <w:r>
              <w:rPr>
                <w:rFonts w:ascii="Times New Roman" w:hAnsi="Times New Roman" w:eastAsia="Times New Roman" w:cs="Times New Roman"/>
              </w:rPr>
              <w:t>Mb</w:t>
            </w:r>
            <w:r>
              <w:rPr>
                <w:rFonts w:ascii="Times New Roman" w:hAnsi="Times New Roman" w:eastAsia="Times New Roman" w:cs="Times New Roman"/>
                <w:spacing w:val="2"/>
              </w:rPr>
              <w:t>≥1.5m</w:t>
            </w:r>
            <w:r>
              <w:rPr>
                <w:spacing w:val="2"/>
              </w:rPr>
              <w:t>，</w:t>
            </w:r>
          </w:p>
          <w:p>
            <w:pPr>
              <w:pStyle w:val="TableText"/>
              <w:ind w:left="107"/>
              <w:spacing w:line="219" w:lineRule="auto"/>
              <w:rPr/>
            </w:pPr>
            <w:r>
              <w:rPr>
                <w:rFonts w:ascii="Times New Roman" w:hAnsi="Times New Roman" w:eastAsia="Times New Roman" w:cs="Times New Roman"/>
                <w:spacing w:val="-1"/>
              </w:rPr>
              <w:t>K≤1×</w:t>
            </w:r>
            <w:r>
              <w:rPr>
                <w:rFonts w:ascii="Times New Roman" w:hAnsi="Times New Roman" w:eastAsia="Times New Roman" w:cs="Times New Roman"/>
                <w:spacing w:val="-33"/>
              </w:rPr>
              <w:t xml:space="preserve"> </w:t>
            </w:r>
            <w:r>
              <w:rPr>
                <w:rFonts w:ascii="Times New Roman" w:hAnsi="Times New Roman" w:eastAsia="Times New Roman" w:cs="Times New Roman"/>
                <w:spacing w:val="-1"/>
              </w:rPr>
              <w:t>10</w:t>
            </w:r>
            <w:r>
              <w:rPr>
                <w:rFonts w:ascii="Times New Roman" w:hAnsi="Times New Roman" w:eastAsia="Times New Roman" w:cs="Times New Roman"/>
                <w:sz w:val="15"/>
                <w:szCs w:val="15"/>
                <w:spacing w:val="-1"/>
                <w:position w:val="7"/>
              </w:rPr>
              <w:t>-7</w:t>
            </w:r>
            <w:r>
              <w:rPr>
                <w:rFonts w:ascii="Times New Roman" w:hAnsi="Times New Roman" w:eastAsia="Times New Roman" w:cs="Times New Roman"/>
                <w:spacing w:val="-1"/>
              </w:rPr>
              <w:t>cm/s</w:t>
            </w:r>
            <w:r>
              <w:rPr>
                <w:spacing w:val="-1"/>
              </w:rPr>
              <w:t>；或参照</w:t>
            </w:r>
            <w:r>
              <w:rPr>
                <w:rFonts w:ascii="Times New Roman" w:hAnsi="Times New Roman" w:eastAsia="Times New Roman" w:cs="Times New Roman"/>
                <w:spacing w:val="-1"/>
              </w:rPr>
              <w:t>GB16889</w:t>
            </w:r>
            <w:r>
              <w:rPr>
                <w:spacing w:val="-2"/>
              </w:rPr>
              <w:t>执行。</w:t>
            </w:r>
          </w:p>
          <w:p>
            <w:pPr>
              <w:pStyle w:val="TableText"/>
              <w:ind w:left="595"/>
              <w:spacing w:before="217" w:line="499" w:lineRule="exact"/>
              <w:rPr/>
            </w:pPr>
            <w:r>
              <w:rPr>
                <w:spacing w:val="3"/>
                <w:position w:val="19"/>
              </w:rPr>
              <w:t>综上所述，本项目采取防治措施和防渗漏措施情况下，</w:t>
            </w:r>
            <w:r>
              <w:rPr>
                <w:spacing w:val="2"/>
                <w:position w:val="19"/>
              </w:rPr>
              <w:t>项目建设</w:t>
            </w:r>
          </w:p>
          <w:p>
            <w:pPr>
              <w:pStyle w:val="TableText"/>
              <w:ind w:left="116"/>
              <w:spacing w:before="1" w:line="218" w:lineRule="auto"/>
              <w:rPr/>
            </w:pPr>
            <w:r>
              <w:rPr>
                <w:spacing w:val="-1"/>
              </w:rPr>
              <w:t>不会对该地区地下水环境产生明显污染影响。</w:t>
            </w:r>
          </w:p>
          <w:p>
            <w:pPr>
              <w:pStyle w:val="TableText"/>
              <w:ind w:left="589"/>
              <w:spacing w:before="215" w:line="220" w:lineRule="auto"/>
              <w:outlineLvl w:val="2"/>
              <w:rPr/>
            </w:pPr>
            <w:r>
              <w:rPr>
                <w:rFonts w:ascii="Times New Roman" w:hAnsi="Times New Roman" w:eastAsia="Times New Roman" w:cs="Times New Roman"/>
                <w:b/>
                <w:bCs/>
              </w:rPr>
              <w:t>4.2.4  </w:t>
            </w:r>
            <w:r>
              <w:rPr>
                <w14:textOutline w14:w="4358" w14:cap="sq" w14:cmpd="sng">
                  <w14:solidFill>
                    <w14:srgbClr w14:val="000000"/>
                  </w14:solidFill>
                  <w14:prstDash w14:val="solid"/>
                  <w14:bevel/>
                </w14:textOutline>
              </w:rPr>
              <w:t>运营期固废环境影响分析</w:t>
            </w:r>
          </w:p>
          <w:p>
            <w:pPr>
              <w:pStyle w:val="TableText"/>
              <w:ind w:left="589"/>
              <w:spacing w:before="216" w:line="219" w:lineRule="auto"/>
              <w:outlineLvl w:val="2"/>
              <w:rPr/>
            </w:pPr>
            <w:hyperlink w:history="true" r:id="rId219">
              <w:r>
                <w:rPr>
                  <w:rFonts w:ascii="Times New Roman" w:hAnsi="Times New Roman" w:eastAsia="Times New Roman" w:cs="Times New Roman"/>
                  <w:b/>
                  <w:bCs/>
                  <w:spacing w:val="-1"/>
                </w:rPr>
                <w:t>4.2.4.1</w:t>
              </w:r>
            </w:hyperlink>
            <w:r>
              <w:rPr>
                <w14:textOutline w14:w="4358" w14:cap="sq" w14:cmpd="sng">
                  <w14:solidFill>
                    <w14:srgbClr w14:val="000000"/>
                  </w14:solidFill>
                  <w14:prstDash w14:val="solid"/>
                  <w14:bevel/>
                </w14:textOutline>
                <w:spacing w:val="-1"/>
              </w:rPr>
              <w:t>固废产生情况</w:t>
            </w:r>
          </w:p>
          <w:p>
            <w:pPr>
              <w:pStyle w:val="TableText"/>
              <w:ind w:left="593"/>
              <w:spacing w:before="214" w:line="499" w:lineRule="exact"/>
              <w:rPr/>
            </w:pPr>
            <w:r>
              <w:rPr>
                <w:spacing w:val="3"/>
                <w:position w:val="19"/>
              </w:rPr>
              <w:t>本项目营运期固废主要为废包装袋、不合格品、废催</w:t>
            </w:r>
            <w:r>
              <w:rPr>
                <w:spacing w:val="2"/>
                <w:position w:val="19"/>
              </w:rPr>
              <w:t>化剂、废活</w:t>
            </w:r>
          </w:p>
          <w:p>
            <w:pPr>
              <w:pStyle w:val="TableText"/>
              <w:ind w:left="115"/>
              <w:spacing w:before="1" w:line="218" w:lineRule="auto"/>
              <w:rPr/>
            </w:pPr>
            <w:r>
              <w:rPr>
                <w:spacing w:val="-2"/>
              </w:rPr>
              <w:t>性炭、废机油。</w:t>
            </w:r>
          </w:p>
          <w:p>
            <w:pPr>
              <w:pStyle w:val="TableText"/>
              <w:ind w:left="604"/>
              <w:spacing w:before="217" w:line="220" w:lineRule="auto"/>
              <w:rPr/>
            </w:pPr>
            <w:r>
              <w:rPr>
                <w:spacing w:val="-3"/>
              </w:rPr>
              <w:t>（</w:t>
            </w:r>
            <w:r>
              <w:rPr>
                <w:rFonts w:ascii="Times New Roman" w:hAnsi="Times New Roman" w:eastAsia="Times New Roman" w:cs="Times New Roman"/>
                <w:spacing w:val="-3"/>
              </w:rPr>
              <w:t>1</w:t>
            </w:r>
            <w:r>
              <w:rPr>
                <w:spacing w:val="-3"/>
              </w:rPr>
              <w:t>）一般固废</w:t>
            </w:r>
          </w:p>
          <w:p>
            <w:pPr>
              <w:pStyle w:val="TableText"/>
              <w:ind w:left="596"/>
              <w:spacing w:before="214" w:line="219" w:lineRule="auto"/>
              <w:rPr/>
            </w:pPr>
            <w:r>
              <w:rPr>
                <w:spacing w:val="-1"/>
              </w:rPr>
              <w:t>项目营运期产生的一般固废主要为废包装袋、不合格品。</w:t>
            </w:r>
          </w:p>
          <w:p>
            <w:pPr>
              <w:pStyle w:val="TableText"/>
              <w:ind w:left="113" w:right="107" w:firstLine="478"/>
              <w:spacing w:before="214" w:line="385" w:lineRule="auto"/>
              <w:rPr/>
            </w:pPr>
            <w:r>
              <w:rPr>
                <w:spacing w:val="3"/>
              </w:rPr>
              <w:t>①废弃包装物：废弃包装物主要来自生产原料聚乙烯颗粒</w:t>
            </w:r>
            <w:r>
              <w:rPr>
                <w:spacing w:val="2"/>
              </w:rPr>
              <w:t>、抗老</w:t>
            </w:r>
            <w:r>
              <w:rPr/>
              <w:t xml:space="preserve"> </w:t>
            </w:r>
            <w:r>
              <w:rPr>
                <w:spacing w:val="3"/>
              </w:rPr>
              <w:t>化剂使用后产生的废弃包装袋，以及项目包装过程</w:t>
            </w:r>
            <w:r>
              <w:rPr>
                <w:spacing w:val="2"/>
              </w:rPr>
              <w:t>中产生的废弃包装</w:t>
            </w:r>
          </w:p>
          <w:p>
            <w:pPr>
              <w:pStyle w:val="TableText"/>
              <w:ind w:left="112"/>
              <w:spacing w:line="219" w:lineRule="auto"/>
              <w:rPr/>
            </w:pPr>
            <w:r>
              <w:rPr>
                <w:spacing w:val="-2"/>
              </w:rPr>
              <w:t>袋，年产生量为</w:t>
            </w:r>
            <w:r>
              <w:rPr>
                <w:rFonts w:ascii="Times New Roman" w:hAnsi="Times New Roman" w:eastAsia="Times New Roman" w:cs="Times New Roman"/>
                <w:spacing w:val="-2"/>
              </w:rPr>
              <w:t>1.54t/a</w:t>
            </w:r>
            <w:r>
              <w:rPr>
                <w:rFonts w:ascii="Times New Roman" w:hAnsi="Times New Roman" w:eastAsia="Times New Roman" w:cs="Times New Roman"/>
                <w:spacing w:val="-19"/>
              </w:rPr>
              <w:t xml:space="preserve"> </w:t>
            </w:r>
            <w:r>
              <w:rPr>
                <w:spacing w:val="-2"/>
              </w:rPr>
              <w:t>，定期外售至废品回收站。</w:t>
            </w:r>
          </w:p>
          <w:p>
            <w:pPr>
              <w:pStyle w:val="TableText"/>
              <w:ind w:left="591"/>
              <w:spacing w:before="214" w:line="217" w:lineRule="auto"/>
              <w:rPr/>
            </w:pPr>
            <w:r>
              <w:rPr>
                <w:spacing w:val="-1"/>
              </w:rPr>
              <w:t>②不合格产品：项目生产过程中不合格产品产生率为</w:t>
            </w:r>
            <w:r>
              <w:rPr>
                <w:rFonts w:ascii="Times New Roman" w:hAnsi="Times New Roman" w:eastAsia="Times New Roman" w:cs="Times New Roman"/>
                <w:spacing w:val="-1"/>
              </w:rPr>
              <w:t>2%</w:t>
            </w:r>
            <w:r>
              <w:rPr>
                <w:rFonts w:ascii="Times New Roman" w:hAnsi="Times New Roman" w:eastAsia="Times New Roman" w:cs="Times New Roman"/>
                <w:spacing w:val="-26"/>
              </w:rPr>
              <w:t xml:space="preserve"> </w:t>
            </w:r>
            <w:r>
              <w:rPr>
                <w:spacing w:val="-1"/>
              </w:rPr>
              <w:t>，项目生</w:t>
            </w:r>
          </w:p>
        </w:tc>
      </w:tr>
    </w:tbl>
    <w:p>
      <w:pPr>
        <w:pStyle w:val="BodyText"/>
        <w:rPr/>
      </w:pPr>
      <w:r/>
    </w:p>
    <w:p>
      <w:pPr>
        <w:sectPr>
          <w:footerReference w:type="default" r:id="rId218"/>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17"/>
        <w:gridCol w:w="7509"/>
      </w:tblGrid>
      <w:tr>
        <w:trPr>
          <w:trHeight w:val="13517" w:hRule="atLeast"/>
        </w:trPr>
        <w:tc>
          <w:tcPr>
            <w:tcW w:w="1017" w:type="dxa"/>
            <w:vAlign w:val="top"/>
          </w:tcPr>
          <w:p>
            <w:pPr>
              <w:rPr>
                <w:rFonts w:ascii="Arial"/>
                <w:sz w:val="21"/>
              </w:rPr>
            </w:pPr>
            <w:r/>
          </w:p>
        </w:tc>
        <w:tc>
          <w:tcPr>
            <w:tcW w:w="7509" w:type="dxa"/>
            <w:vAlign w:val="top"/>
          </w:tcPr>
          <w:p>
            <w:pPr>
              <w:pStyle w:val="TableText"/>
              <w:ind w:left="112"/>
              <w:spacing w:before="200" w:line="499" w:lineRule="exact"/>
              <w:rPr/>
            </w:pPr>
            <w:r>
              <w:rPr>
                <w:spacing w:val="-2"/>
                <w:position w:val="19"/>
              </w:rPr>
              <w:t>产规模为</w:t>
            </w:r>
            <w:r>
              <w:rPr>
                <w:rFonts w:ascii="Times New Roman" w:hAnsi="Times New Roman" w:eastAsia="Times New Roman" w:cs="Times New Roman"/>
                <w:spacing w:val="-2"/>
                <w:position w:val="19"/>
              </w:rPr>
              <w:t>500t/a</w:t>
            </w:r>
            <w:r>
              <w:rPr>
                <w:rFonts w:ascii="Times New Roman" w:hAnsi="Times New Roman" w:eastAsia="Times New Roman" w:cs="Times New Roman"/>
                <w:spacing w:val="-31"/>
                <w:position w:val="19"/>
              </w:rPr>
              <w:t xml:space="preserve"> </w:t>
            </w:r>
            <w:r>
              <w:rPr>
                <w:spacing w:val="-2"/>
                <w:position w:val="19"/>
              </w:rPr>
              <w:t>，不合格产品产生量为</w:t>
            </w:r>
            <w:r>
              <w:rPr>
                <w:rFonts w:ascii="Times New Roman" w:hAnsi="Times New Roman" w:eastAsia="Times New Roman" w:cs="Times New Roman"/>
                <w:spacing w:val="-2"/>
                <w:position w:val="19"/>
              </w:rPr>
              <w:t>10t/a</w:t>
            </w:r>
            <w:r>
              <w:rPr>
                <w:rFonts w:ascii="Times New Roman" w:hAnsi="Times New Roman" w:eastAsia="Times New Roman" w:cs="Times New Roman"/>
                <w:spacing w:val="-32"/>
                <w:position w:val="19"/>
              </w:rPr>
              <w:t xml:space="preserve"> </w:t>
            </w:r>
            <w:r>
              <w:rPr>
                <w:spacing w:val="-2"/>
                <w:position w:val="19"/>
              </w:rPr>
              <w:t>，作原料回用生产。</w:t>
            </w:r>
          </w:p>
          <w:p>
            <w:pPr>
              <w:pStyle w:val="TableText"/>
              <w:ind w:left="593"/>
              <w:spacing w:line="218" w:lineRule="auto"/>
              <w:rPr/>
            </w:pPr>
            <w:r>
              <w:rPr>
                <w:spacing w:val="-2"/>
              </w:rPr>
              <w:t>本项目一般固废排放情况一览表见表</w:t>
            </w:r>
            <w:r>
              <w:rPr>
                <w:rFonts w:ascii="Times New Roman" w:hAnsi="Times New Roman" w:eastAsia="Times New Roman" w:cs="Times New Roman"/>
                <w:spacing w:val="-2"/>
              </w:rPr>
              <w:t>4.2-</w:t>
            </w:r>
            <w:r>
              <w:rPr>
                <w:rFonts w:ascii="Times New Roman" w:hAnsi="Times New Roman" w:eastAsia="Times New Roman" w:cs="Times New Roman"/>
                <w:spacing w:val="-27"/>
              </w:rPr>
              <w:t xml:space="preserve"> </w:t>
            </w:r>
            <w:r>
              <w:rPr>
                <w:rFonts w:ascii="Times New Roman" w:hAnsi="Times New Roman" w:eastAsia="Times New Roman" w:cs="Times New Roman"/>
                <w:spacing w:val="-2"/>
              </w:rPr>
              <w:t>10</w:t>
            </w:r>
            <w:r>
              <w:rPr>
                <w:spacing w:val="-2"/>
              </w:rPr>
              <w:t>。</w:t>
            </w:r>
          </w:p>
          <w:p>
            <w:pPr>
              <w:pStyle w:val="TableText"/>
              <w:ind w:left="604"/>
              <w:spacing w:before="215" w:line="220" w:lineRule="auto"/>
              <w:rPr/>
            </w:pPr>
            <w:r>
              <w:rPr>
                <w:spacing w:val="-3"/>
              </w:rPr>
              <w:t>（</w:t>
            </w:r>
            <w:r>
              <w:rPr>
                <w:rFonts w:ascii="Times New Roman" w:hAnsi="Times New Roman" w:eastAsia="Times New Roman" w:cs="Times New Roman"/>
                <w:spacing w:val="-3"/>
              </w:rPr>
              <w:t>2</w:t>
            </w:r>
            <w:r>
              <w:rPr>
                <w:spacing w:val="-3"/>
              </w:rPr>
              <w:t>）危险废物</w:t>
            </w:r>
          </w:p>
          <w:p>
            <w:pPr>
              <w:pStyle w:val="TableText"/>
              <w:ind w:left="592"/>
              <w:spacing w:before="215" w:line="217" w:lineRule="auto"/>
              <w:rPr/>
            </w:pPr>
            <w:r>
              <w:rPr>
                <w:spacing w:val="-1"/>
              </w:rPr>
              <w:t>①废气治理装置产生危险废物</w:t>
            </w:r>
          </w:p>
          <w:p>
            <w:pPr>
              <w:pStyle w:val="TableText"/>
              <w:ind w:left="114" w:right="107" w:firstLine="479"/>
              <w:spacing w:before="215" w:line="385" w:lineRule="auto"/>
              <w:rPr/>
            </w:pPr>
            <w:r>
              <w:rPr>
                <w:spacing w:val="3"/>
              </w:rPr>
              <w:t>本项目有机废气处理装置产生的废催化剂、废活性炭</w:t>
            </w:r>
            <w:r>
              <w:rPr>
                <w:spacing w:val="2"/>
              </w:rPr>
              <w:t>和空压机更</w:t>
            </w:r>
            <w:r>
              <w:rPr/>
              <w:t xml:space="preserve"> </w:t>
            </w:r>
            <w:r>
              <w:rPr>
                <w:spacing w:val="2"/>
              </w:rPr>
              <w:t>换的废机油属于危险废物。建设单位依托企业已建一座</w:t>
            </w:r>
            <w:r>
              <w:rPr>
                <w:rFonts w:ascii="Times New Roman" w:hAnsi="Times New Roman" w:eastAsia="Times New Roman" w:cs="Times New Roman"/>
                <w:spacing w:val="2"/>
              </w:rPr>
              <w:t>15</w:t>
            </w:r>
            <w:r>
              <w:rPr>
                <w:spacing w:val="2"/>
              </w:rPr>
              <w:t>㎡危废暂存</w:t>
            </w:r>
            <w:r>
              <w:rPr>
                <w:spacing w:val="16"/>
              </w:rPr>
              <w:t xml:space="preserve"> </w:t>
            </w:r>
            <w:r>
              <w:rPr>
                <w:spacing w:val="3"/>
              </w:rPr>
              <w:t>间，危险废物用密闭容器收集后，置于危废暂存</w:t>
            </w:r>
            <w:r>
              <w:rPr>
                <w:spacing w:val="2"/>
              </w:rPr>
              <w:t>间内，定期交由有资</w:t>
            </w:r>
          </w:p>
          <w:p>
            <w:pPr>
              <w:pStyle w:val="TableText"/>
              <w:ind w:left="113"/>
              <w:spacing w:line="220" w:lineRule="auto"/>
              <w:rPr/>
            </w:pPr>
            <w:r>
              <w:rPr>
                <w:spacing w:val="-2"/>
              </w:rPr>
              <w:t>质单位处置。</w:t>
            </w:r>
          </w:p>
          <w:p>
            <w:pPr>
              <w:pStyle w:val="TableText"/>
              <w:ind w:left="112" w:right="106" w:firstLine="480"/>
              <w:spacing w:before="214" w:line="368" w:lineRule="auto"/>
              <w:rPr/>
            </w:pPr>
            <w:r>
              <w:rPr>
                <w:spacing w:val="3"/>
              </w:rPr>
              <w:t>本项目有机废气处理采用活性炭吸附</w:t>
            </w:r>
            <w:r>
              <w:rPr>
                <w:rFonts w:ascii="Times New Roman" w:hAnsi="Times New Roman" w:eastAsia="Times New Roman" w:cs="Times New Roman"/>
                <w:spacing w:val="3"/>
              </w:rPr>
              <w:t>+</w:t>
            </w:r>
            <w:r>
              <w:rPr>
                <w:spacing w:val="3"/>
              </w:rPr>
              <w:t>直接催化燃烧装置（</w:t>
            </w:r>
            <w:r>
              <w:rPr>
                <w:rFonts w:ascii="Times New Roman" w:hAnsi="Times New Roman" w:eastAsia="Times New Roman" w:cs="Times New Roman"/>
              </w:rPr>
              <w:t>CO</w:t>
            </w:r>
            <w:r>
              <w:rPr>
                <w:spacing w:val="3"/>
              </w:rPr>
              <w:t>）</w:t>
            </w:r>
            <w:r>
              <w:rPr>
                <w:spacing w:val="8"/>
              </w:rPr>
              <w:t xml:space="preserve"> </w:t>
            </w:r>
            <w:r>
              <w:rPr>
                <w:spacing w:val="-3"/>
              </w:rPr>
              <w:t>装置，活性炭吸附箱截面积为</w:t>
            </w:r>
            <w:r>
              <w:rPr>
                <w:rFonts w:ascii="Times New Roman" w:hAnsi="Times New Roman" w:eastAsia="Times New Roman" w:cs="Times New Roman"/>
                <w:spacing w:val="-3"/>
              </w:rPr>
              <w:t>4.84</w:t>
            </w:r>
            <w:r>
              <w:rPr>
                <w:spacing w:val="-3"/>
              </w:rPr>
              <w:t>㎡，装填高度</w:t>
            </w:r>
            <w:r>
              <w:rPr>
                <w:rFonts w:ascii="Times New Roman" w:hAnsi="Times New Roman" w:eastAsia="Times New Roman" w:cs="Times New Roman"/>
                <w:spacing w:val="-3"/>
              </w:rPr>
              <w:t>800mm</w:t>
            </w:r>
            <w:r>
              <w:rPr>
                <w:spacing w:val="-3"/>
              </w:rPr>
              <w:t>，</w:t>
            </w:r>
            <w:r>
              <w:rPr>
                <w:spacing w:val="-4"/>
              </w:rPr>
              <w:t>单个活性炭吸</w:t>
            </w:r>
          </w:p>
          <w:p>
            <w:pPr>
              <w:pStyle w:val="TableText"/>
              <w:ind w:left="131"/>
              <w:spacing w:line="323" w:lineRule="exact"/>
              <w:rPr/>
            </w:pPr>
            <w:r>
              <w:rPr>
                <w:spacing w:val="-1"/>
                <w:position w:val="1"/>
              </w:rPr>
              <w:t>附箱活性炭装填量为</w:t>
            </w:r>
            <w:r>
              <w:rPr>
                <w:rFonts w:ascii="Times New Roman" w:hAnsi="Times New Roman" w:eastAsia="Times New Roman" w:cs="Times New Roman"/>
                <w:spacing w:val="-1"/>
                <w:position w:val="1"/>
              </w:rPr>
              <w:t>4.84×0.8=3.8</w:t>
            </w:r>
            <w:r>
              <w:rPr>
                <w:rFonts w:ascii="Times New Roman" w:hAnsi="Times New Roman" w:eastAsia="Times New Roman" w:cs="Times New Roman"/>
                <w:spacing w:val="-2"/>
                <w:position w:val="1"/>
              </w:rPr>
              <w:t>72m</w:t>
            </w:r>
            <w:r>
              <w:rPr>
                <w:spacing w:val="-2"/>
                <w:position w:val="1"/>
              </w:rPr>
              <w:t>³。</w:t>
            </w:r>
          </w:p>
          <w:p>
            <w:pPr>
              <w:pStyle w:val="TableText"/>
              <w:ind w:left="107" w:right="106" w:firstLine="491"/>
              <w:spacing w:before="220" w:line="376" w:lineRule="auto"/>
              <w:rPr>
                <w:rFonts w:ascii="Times New Roman" w:hAnsi="Times New Roman" w:eastAsia="Times New Roman" w:cs="Times New Roman"/>
                <w:sz w:val="15"/>
                <w:szCs w:val="15"/>
              </w:rPr>
            </w:pPr>
            <w:r>
              <w:rPr/>
              <w:t>结合实验室测试和工程经验数据，蜂窝活性炭动态吸附</w:t>
            </w:r>
            <w:r>
              <w:rPr>
                <w:spacing w:val="-1"/>
              </w:rPr>
              <w:t>量按</w:t>
            </w:r>
            <w:r>
              <w:rPr>
                <w:rFonts w:ascii="Times New Roman" w:hAnsi="Times New Roman" w:eastAsia="Times New Roman" w:cs="Times New Roman"/>
                <w:spacing w:val="-1"/>
              </w:rPr>
              <w:t>4%</w:t>
            </w:r>
            <w:r>
              <w:rPr>
                <w:spacing w:val="-1"/>
              </w:rPr>
              <w:t>设</w:t>
            </w:r>
            <w:r>
              <w:rPr/>
              <w:t xml:space="preserve"> </w:t>
            </w:r>
            <w:r>
              <w:rPr>
                <w:spacing w:val="11"/>
              </w:rPr>
              <w:t>计</w:t>
            </w:r>
            <w:r>
              <w:rPr>
                <w:spacing w:val="-62"/>
              </w:rPr>
              <w:t xml:space="preserve"> </w:t>
            </w:r>
            <w:r>
              <w:rPr>
                <w:spacing w:val="11"/>
              </w:rPr>
              <w:t>，蜂窝活性炭密度</w:t>
            </w:r>
            <w:r>
              <w:rPr>
                <w:rFonts w:ascii="Times New Roman" w:hAnsi="Times New Roman" w:eastAsia="Times New Roman" w:cs="Times New Roman"/>
                <w:spacing w:val="11"/>
              </w:rPr>
              <w:t>450</w:t>
            </w:r>
            <w:r>
              <w:rPr>
                <w:rFonts w:ascii="Times New Roman" w:hAnsi="Times New Roman" w:eastAsia="Times New Roman" w:cs="Times New Roman"/>
              </w:rPr>
              <w:t>kg</w:t>
            </w:r>
            <w:r>
              <w:rPr>
                <w:rFonts w:ascii="Times New Roman" w:hAnsi="Times New Roman" w:eastAsia="Times New Roman" w:cs="Times New Roman"/>
                <w:spacing w:val="11"/>
              </w:rPr>
              <w:t>/m</w:t>
            </w:r>
            <w:r>
              <w:rPr>
                <w:rFonts w:ascii="Times New Roman" w:hAnsi="Times New Roman" w:eastAsia="Times New Roman" w:cs="Times New Roman"/>
                <w:spacing w:val="-30"/>
              </w:rPr>
              <w:t xml:space="preserve"> </w:t>
            </w:r>
            <w:r>
              <w:rPr>
                <w:spacing w:val="11"/>
              </w:rPr>
              <w:t>³</w:t>
            </w:r>
            <w:r>
              <w:rPr>
                <w:spacing w:val="-70"/>
              </w:rPr>
              <w:t xml:space="preserve"> </w:t>
            </w:r>
            <w:r>
              <w:rPr>
                <w:spacing w:val="11"/>
              </w:rPr>
              <w:t>,</w:t>
            </w:r>
            <w:r>
              <w:rPr>
                <w:spacing w:val="87"/>
              </w:rPr>
              <w:t xml:space="preserve"> </w:t>
            </w:r>
            <w:r>
              <w:rPr>
                <w:spacing w:val="11"/>
              </w:rPr>
              <w:t>单个活性炭吸附箱活性炭重量为</w:t>
            </w:r>
            <w:r>
              <w:rPr/>
              <w:t xml:space="preserve"> </w:t>
            </w:r>
            <w:r>
              <w:rPr>
                <w:rFonts w:ascii="Times New Roman" w:hAnsi="Times New Roman" w:eastAsia="Times New Roman" w:cs="Times New Roman"/>
                <w:spacing w:val="-2"/>
              </w:rPr>
              <w:t>450kg/m</w:t>
            </w:r>
            <w:r>
              <w:rPr>
                <w:spacing w:val="-2"/>
              </w:rPr>
              <w:t>³</w:t>
            </w:r>
            <w:r>
              <w:rPr>
                <w:rFonts w:ascii="Times New Roman" w:hAnsi="Times New Roman" w:eastAsia="Times New Roman" w:cs="Times New Roman"/>
                <w:spacing w:val="-2"/>
              </w:rPr>
              <w:t>×3.872m</w:t>
            </w:r>
            <w:r>
              <w:rPr>
                <w:spacing w:val="-2"/>
              </w:rPr>
              <w:t>³</w:t>
            </w:r>
            <w:r>
              <w:rPr>
                <w:rFonts w:ascii="Times New Roman" w:hAnsi="Times New Roman" w:eastAsia="Times New Roman" w:cs="Times New Roman"/>
                <w:spacing w:val="-2"/>
              </w:rPr>
              <w:t>=</w:t>
            </w:r>
            <w:r>
              <w:rPr>
                <w:rFonts w:ascii="Times New Roman" w:hAnsi="Times New Roman" w:eastAsia="Times New Roman" w:cs="Times New Roman"/>
                <w:spacing w:val="-26"/>
              </w:rPr>
              <w:t xml:space="preserve"> </w:t>
            </w:r>
            <w:r>
              <w:rPr>
                <w:rFonts w:ascii="Times New Roman" w:hAnsi="Times New Roman" w:eastAsia="Times New Roman" w:cs="Times New Roman"/>
                <w:spacing w:val="-2"/>
              </w:rPr>
              <w:t>1754.4kg</w:t>
            </w:r>
            <w:r>
              <w:rPr>
                <w:rFonts w:ascii="Times New Roman" w:hAnsi="Times New Roman" w:eastAsia="Times New Roman" w:cs="Times New Roman"/>
                <w:spacing w:val="-30"/>
              </w:rPr>
              <w:t xml:space="preserve"> </w:t>
            </w:r>
            <w:r>
              <w:rPr>
                <w:spacing w:val="-2"/>
              </w:rPr>
              <w:t>，达到动态吸附饱和，单个床体可以吸附</w:t>
            </w:r>
            <w:r>
              <w:rPr/>
              <w:t xml:space="preserve"> </w:t>
            </w:r>
            <w:r>
              <w:rPr>
                <w:spacing w:val="-3"/>
              </w:rPr>
              <w:t>的</w:t>
            </w:r>
            <w:r>
              <w:rPr>
                <w:rFonts w:ascii="Times New Roman" w:hAnsi="Times New Roman" w:eastAsia="Times New Roman" w:cs="Times New Roman"/>
                <w:spacing w:val="-3"/>
              </w:rPr>
              <w:t>VOCs</w:t>
            </w:r>
            <w:r>
              <w:rPr>
                <w:spacing w:val="-3"/>
              </w:rPr>
              <w:t>量为</w:t>
            </w:r>
            <w:r>
              <w:rPr>
                <w:rFonts w:ascii="Times New Roman" w:hAnsi="Times New Roman" w:eastAsia="Times New Roman" w:cs="Times New Roman"/>
                <w:spacing w:val="-3"/>
              </w:rPr>
              <w:t>=4%×</w:t>
            </w:r>
            <w:r>
              <w:rPr>
                <w:rFonts w:ascii="Times New Roman" w:hAnsi="Times New Roman" w:eastAsia="Times New Roman" w:cs="Times New Roman"/>
                <w:spacing w:val="-33"/>
              </w:rPr>
              <w:t xml:space="preserve"> </w:t>
            </w:r>
            <w:r>
              <w:rPr>
                <w:rFonts w:ascii="Times New Roman" w:hAnsi="Times New Roman" w:eastAsia="Times New Roman" w:cs="Times New Roman"/>
                <w:spacing w:val="-3"/>
              </w:rPr>
              <w:t>1742.4kg=70kg</w:t>
            </w:r>
            <w:r>
              <w:rPr>
                <w:spacing w:val="-3"/>
              </w:rPr>
              <w:t>。吸附达到动态吸附饱和时间</w:t>
            </w:r>
            <w:r>
              <w:rPr>
                <w:rFonts w:ascii="Times New Roman" w:hAnsi="Times New Roman" w:eastAsia="Times New Roman" w:cs="Times New Roman"/>
                <w:spacing w:val="-4"/>
              </w:rPr>
              <w:t>=70×</w:t>
            </w:r>
            <w:r>
              <w:rPr>
                <w:rFonts w:ascii="Times New Roman" w:hAnsi="Times New Roman" w:eastAsia="Times New Roman" w:cs="Times New Roman"/>
                <w:spacing w:val="-33"/>
              </w:rPr>
              <w:t xml:space="preserve"> </w:t>
            </w:r>
            <w:r>
              <w:rPr>
                <w:rFonts w:ascii="Times New Roman" w:hAnsi="Times New Roman" w:eastAsia="Times New Roman" w:cs="Times New Roman"/>
                <w:spacing w:val="-4"/>
              </w:rPr>
              <w:t>10</w:t>
            </w:r>
            <w:r>
              <w:rPr>
                <w:rFonts w:ascii="Times New Roman" w:hAnsi="Times New Roman" w:eastAsia="Times New Roman" w:cs="Times New Roman"/>
                <w:sz w:val="15"/>
                <w:szCs w:val="15"/>
                <w:spacing w:val="-4"/>
                <w:position w:val="7"/>
              </w:rPr>
              <w:t>6</w:t>
            </w:r>
          </w:p>
          <w:p>
            <w:pPr>
              <w:pStyle w:val="TableText"/>
              <w:ind w:left="137"/>
              <w:spacing w:line="323" w:lineRule="exact"/>
              <w:rPr/>
            </w:pPr>
            <w:r>
              <w:rPr>
                <w:spacing w:val="-2"/>
                <w:position w:val="1"/>
              </w:rPr>
              <w:t>÷</w:t>
            </w:r>
            <w:r>
              <w:rPr>
                <w:rFonts w:ascii="Times New Roman" w:hAnsi="Times New Roman" w:eastAsia="Times New Roman" w:cs="Times New Roman"/>
                <w:spacing w:val="-2"/>
                <w:position w:val="1"/>
              </w:rPr>
              <w:t>20000m</w:t>
            </w:r>
            <w:r>
              <w:rPr>
                <w:spacing w:val="-2"/>
                <w:position w:val="1"/>
              </w:rPr>
              <w:t>³</w:t>
            </w:r>
            <w:r>
              <w:rPr>
                <w:rFonts w:ascii="Times New Roman" w:hAnsi="Times New Roman" w:eastAsia="Times New Roman" w:cs="Times New Roman"/>
                <w:spacing w:val="-2"/>
                <w:position w:val="1"/>
              </w:rPr>
              <w:t>/h×60=58.33h</w:t>
            </w:r>
            <w:r>
              <w:rPr>
                <w:spacing w:val="-2"/>
                <w:position w:val="1"/>
              </w:rPr>
              <w:t>。</w:t>
            </w:r>
          </w:p>
          <w:p>
            <w:pPr>
              <w:pStyle w:val="TableText"/>
              <w:ind w:left="114" w:right="60" w:firstLine="481"/>
              <w:spacing w:before="222" w:line="385" w:lineRule="auto"/>
              <w:rPr/>
            </w:pPr>
            <w:r>
              <w:rPr>
                <w:spacing w:val="-2"/>
              </w:rPr>
              <w:t>活性炭吸附床在吸附</w:t>
            </w:r>
            <w:r>
              <w:rPr>
                <w:rFonts w:ascii="Times New Roman" w:hAnsi="Times New Roman" w:eastAsia="Times New Roman" w:cs="Times New Roman"/>
                <w:spacing w:val="-2"/>
              </w:rPr>
              <w:t>58.33h</w:t>
            </w:r>
            <w:r>
              <w:rPr>
                <w:spacing w:val="-2"/>
              </w:rPr>
              <w:t>后即达到蜂窝活性炭的动态饱和时间。</w:t>
            </w:r>
            <w:r>
              <w:rPr>
                <w:spacing w:val="10"/>
              </w:rPr>
              <w:t xml:space="preserve"> </w:t>
            </w:r>
            <w:r>
              <w:rPr>
                <w:spacing w:val="5"/>
              </w:rPr>
              <w:t>蜂窝活性炭更换周期为</w:t>
            </w:r>
            <w:r>
              <w:rPr>
                <w:rFonts w:ascii="Times New Roman" w:hAnsi="Times New Roman" w:eastAsia="Times New Roman" w:cs="Times New Roman"/>
                <w:spacing w:val="5"/>
              </w:rPr>
              <w:t>2-2.5</w:t>
            </w:r>
            <w:r>
              <w:rPr>
                <w:spacing w:val="5"/>
              </w:rPr>
              <w:t>年，贵金属催化剂更换周期为</w:t>
            </w:r>
            <w:r>
              <w:rPr>
                <w:rFonts w:ascii="Times New Roman" w:hAnsi="Times New Roman" w:eastAsia="Times New Roman" w:cs="Times New Roman"/>
                <w:spacing w:val="5"/>
              </w:rPr>
              <w:t>2</w:t>
            </w:r>
            <w:r>
              <w:rPr>
                <w:spacing w:val="5"/>
              </w:rPr>
              <w:t>年左右或</w:t>
            </w:r>
          </w:p>
          <w:p>
            <w:pPr>
              <w:pStyle w:val="TableText"/>
              <w:ind w:left="118"/>
              <w:spacing w:line="221" w:lineRule="auto"/>
              <w:rPr/>
            </w:pPr>
            <w:r>
              <w:rPr>
                <w:rFonts w:ascii="Times New Roman" w:hAnsi="Times New Roman" w:eastAsia="Times New Roman" w:cs="Times New Roman"/>
                <w:spacing w:val="-3"/>
              </w:rPr>
              <w:t>8000</w:t>
            </w:r>
            <w:r>
              <w:rPr>
                <w:spacing w:val="-3"/>
              </w:rPr>
              <w:t>小时。</w:t>
            </w:r>
          </w:p>
          <w:p>
            <w:pPr>
              <w:pStyle w:val="TableText"/>
              <w:ind w:left="112" w:right="109" w:firstLine="484"/>
              <w:spacing w:before="211" w:line="385" w:lineRule="auto"/>
              <w:rPr/>
            </w:pPr>
            <w:r>
              <w:rPr>
                <w:spacing w:val="1"/>
              </w:rPr>
              <w:t>非甲烷总烃废气处理量为</w:t>
            </w:r>
            <w:r>
              <w:rPr>
                <w:rFonts w:ascii="Times New Roman" w:hAnsi="Times New Roman" w:eastAsia="Times New Roman" w:cs="Times New Roman"/>
                <w:spacing w:val="1"/>
              </w:rPr>
              <w:t>0.85t/a</w:t>
            </w:r>
            <w:r>
              <w:rPr>
                <w:rFonts w:ascii="Times New Roman" w:hAnsi="Times New Roman" w:eastAsia="Times New Roman" w:cs="Times New Roman"/>
                <w:spacing w:val="-17"/>
              </w:rPr>
              <w:t xml:space="preserve"> </w:t>
            </w:r>
            <w:r>
              <w:rPr>
                <w:spacing w:val="1"/>
              </w:rPr>
              <w:t>，活性炭产生量为废气的</w:t>
            </w:r>
            <w:r>
              <w:rPr>
                <w:rFonts w:ascii="Times New Roman" w:hAnsi="Times New Roman" w:eastAsia="Times New Roman" w:cs="Times New Roman"/>
                <w:spacing w:val="1"/>
              </w:rPr>
              <w:t>1.2</w:t>
            </w:r>
            <w:r>
              <w:rPr>
                <w:spacing w:val="1"/>
              </w:rPr>
              <w:t>倍，</w:t>
            </w:r>
            <w:r>
              <w:rPr/>
              <w:t xml:space="preserve"> </w:t>
            </w:r>
            <w:r>
              <w:rPr/>
              <w:t>废活性炭产生量为</w:t>
            </w:r>
            <w:r>
              <w:rPr>
                <w:rFonts w:ascii="Times New Roman" w:hAnsi="Times New Roman" w:eastAsia="Times New Roman" w:cs="Times New Roman"/>
              </w:rPr>
              <w:t>1.02t/2a</w:t>
            </w:r>
            <w:r>
              <w:rPr>
                <w:rFonts w:ascii="Times New Roman" w:hAnsi="Times New Roman" w:eastAsia="Times New Roman" w:cs="Times New Roman"/>
                <w:spacing w:val="-28"/>
              </w:rPr>
              <w:t xml:space="preserve"> </w:t>
            </w:r>
            <w:r>
              <w:rPr/>
              <w:t>。催化剂、活性炭</w:t>
            </w:r>
            <w:r>
              <w:rPr>
                <w:spacing w:val="-1"/>
              </w:rPr>
              <w:t>每两年更换一次。催化剂</w:t>
            </w:r>
          </w:p>
          <w:p>
            <w:pPr>
              <w:pStyle w:val="TableText"/>
              <w:ind w:left="114"/>
              <w:spacing w:before="1" w:line="218" w:lineRule="auto"/>
              <w:rPr/>
            </w:pPr>
            <w:r>
              <w:rPr>
                <w:spacing w:val="-1"/>
              </w:rPr>
              <w:t>主要为贵金属铂、钯，废催化剂产生量为</w:t>
            </w:r>
            <w:r>
              <w:rPr>
                <w:rFonts w:ascii="Times New Roman" w:hAnsi="Times New Roman" w:eastAsia="Times New Roman" w:cs="Times New Roman"/>
                <w:spacing w:val="-1"/>
              </w:rPr>
              <w:t>1t/2a</w:t>
            </w:r>
            <w:r>
              <w:rPr>
                <w:spacing w:val="-1"/>
              </w:rPr>
              <w:t>。</w:t>
            </w:r>
          </w:p>
          <w:p>
            <w:pPr>
              <w:pStyle w:val="TableText"/>
              <w:ind w:left="115" w:right="106" w:firstLine="479"/>
              <w:spacing w:before="215" w:line="385" w:lineRule="auto"/>
              <w:rPr/>
            </w:pPr>
            <w:r>
              <w:rPr>
                <w:spacing w:val="-2"/>
              </w:rPr>
              <w:t>蜂窝活性炭更换周期为</w:t>
            </w:r>
            <w:r>
              <w:rPr>
                <w:rFonts w:ascii="Times New Roman" w:hAnsi="Times New Roman" w:eastAsia="Times New Roman" w:cs="Times New Roman"/>
                <w:spacing w:val="-2"/>
              </w:rPr>
              <w:t>2-2.5</w:t>
            </w:r>
            <w:r>
              <w:rPr>
                <w:spacing w:val="-2"/>
              </w:rPr>
              <w:t>年，贵金属催化剂更换周期为</w:t>
            </w:r>
            <w:r>
              <w:rPr>
                <w:rFonts w:ascii="Times New Roman" w:hAnsi="Times New Roman" w:eastAsia="Times New Roman" w:cs="Times New Roman"/>
                <w:spacing w:val="-2"/>
              </w:rPr>
              <w:t>2</w:t>
            </w:r>
            <w:r>
              <w:rPr>
                <w:spacing w:val="-2"/>
              </w:rPr>
              <w:t>年左右</w:t>
            </w:r>
            <w:r>
              <w:rPr>
                <w:spacing w:val="5"/>
              </w:rPr>
              <w:t xml:space="preserve"> </w:t>
            </w:r>
            <w:r>
              <w:rPr>
                <w:spacing w:val="-1"/>
              </w:rPr>
              <w:t>或</w:t>
            </w:r>
            <w:r>
              <w:rPr>
                <w:rFonts w:ascii="Times New Roman" w:hAnsi="Times New Roman" w:eastAsia="Times New Roman" w:cs="Times New Roman"/>
                <w:spacing w:val="-1"/>
              </w:rPr>
              <w:t>8000</w:t>
            </w:r>
            <w:r>
              <w:rPr>
                <w:spacing w:val="-1"/>
              </w:rPr>
              <w:t>小时。本项目按照</w:t>
            </w:r>
            <w:r>
              <w:rPr>
                <w:rFonts w:ascii="Times New Roman" w:hAnsi="Times New Roman" w:eastAsia="Times New Roman" w:cs="Times New Roman"/>
                <w:spacing w:val="-1"/>
              </w:rPr>
              <w:t>2</w:t>
            </w:r>
            <w:r>
              <w:rPr>
                <w:spacing w:val="-1"/>
              </w:rPr>
              <w:t>年更换一次进行计算。废活性炭排放量为</w:t>
            </w:r>
          </w:p>
          <w:p>
            <w:pPr>
              <w:pStyle w:val="TableText"/>
              <w:ind w:left="112"/>
              <w:spacing w:before="1" w:line="218" w:lineRule="auto"/>
              <w:rPr/>
            </w:pPr>
            <w:r>
              <w:rPr>
                <w:rFonts w:ascii="Times New Roman" w:hAnsi="Times New Roman" w:eastAsia="Times New Roman" w:cs="Times New Roman"/>
                <w:spacing w:val="-2"/>
              </w:rPr>
              <w:t>0.51t/a</w:t>
            </w:r>
            <w:r>
              <w:rPr>
                <w:rFonts w:ascii="Times New Roman" w:hAnsi="Times New Roman" w:eastAsia="Times New Roman" w:cs="Times New Roman"/>
                <w:spacing w:val="-23"/>
              </w:rPr>
              <w:t xml:space="preserve"> </w:t>
            </w:r>
            <w:r>
              <w:rPr>
                <w:spacing w:val="-2"/>
              </w:rPr>
              <w:t>。废催化剂产生量为</w:t>
            </w:r>
            <w:r>
              <w:rPr>
                <w:rFonts w:ascii="Times New Roman" w:hAnsi="Times New Roman" w:eastAsia="Times New Roman" w:cs="Times New Roman"/>
                <w:spacing w:val="-2"/>
              </w:rPr>
              <w:t>0.5t/a</w:t>
            </w:r>
            <w:r>
              <w:rPr>
                <w:spacing w:val="-2"/>
              </w:rPr>
              <w:t>。</w:t>
            </w:r>
          </w:p>
          <w:p>
            <w:pPr>
              <w:pStyle w:val="TableText"/>
              <w:ind w:right="39"/>
              <w:spacing w:before="215" w:line="499" w:lineRule="exact"/>
              <w:jc w:val="right"/>
              <w:rPr/>
            </w:pPr>
            <w:r>
              <w:rPr>
                <w:spacing w:val="-1"/>
                <w:position w:val="19"/>
              </w:rPr>
              <w:t>根据《国家危险废物名录》（</w:t>
            </w:r>
            <w:r>
              <w:rPr>
                <w:rFonts w:ascii="Times New Roman" w:hAnsi="Times New Roman" w:eastAsia="Times New Roman" w:cs="Times New Roman"/>
                <w:spacing w:val="-1"/>
                <w:position w:val="19"/>
              </w:rPr>
              <w:t>2021</w:t>
            </w:r>
            <w:r>
              <w:rPr>
                <w:spacing w:val="-1"/>
                <w:position w:val="19"/>
              </w:rPr>
              <w:t>年版</w:t>
            </w:r>
            <w:r>
              <w:rPr>
                <w:spacing w:val="10"/>
                <w:position w:val="19"/>
              </w:rPr>
              <w:t>），</w:t>
            </w:r>
            <w:r>
              <w:rPr>
                <w:spacing w:val="-1"/>
                <w:position w:val="19"/>
              </w:rPr>
              <w:t>废催化剂属于</w:t>
            </w:r>
            <w:r>
              <w:rPr>
                <w:rFonts w:ascii="Times New Roman" w:hAnsi="Times New Roman" w:eastAsia="Times New Roman" w:cs="Times New Roman"/>
                <w:spacing w:val="-1"/>
                <w:position w:val="19"/>
              </w:rPr>
              <w:t>HW46</w:t>
            </w:r>
            <w:r>
              <w:rPr>
                <w:spacing w:val="-1"/>
                <w:position w:val="19"/>
              </w:rPr>
              <w:t>，</w:t>
            </w:r>
          </w:p>
          <w:p>
            <w:pPr>
              <w:pStyle w:val="TableText"/>
              <w:spacing w:line="219" w:lineRule="auto"/>
              <w:jc w:val="right"/>
              <w:rPr/>
            </w:pPr>
            <w:r>
              <w:rPr>
                <w:spacing w:val="-3"/>
              </w:rPr>
              <w:t>废物代码为</w:t>
            </w:r>
            <w:r>
              <w:rPr>
                <w:rFonts w:ascii="Times New Roman" w:hAnsi="Times New Roman" w:eastAsia="Times New Roman" w:cs="Times New Roman"/>
                <w:spacing w:val="-3"/>
              </w:rPr>
              <w:t>900-037-46</w:t>
            </w:r>
            <w:r>
              <w:rPr>
                <w:rFonts w:ascii="Times New Roman" w:hAnsi="Times New Roman" w:eastAsia="Times New Roman" w:cs="Times New Roman"/>
                <w:spacing w:val="-31"/>
              </w:rPr>
              <w:t xml:space="preserve"> </w:t>
            </w:r>
            <w:r>
              <w:rPr>
                <w:spacing w:val="-3"/>
              </w:rPr>
              <w:t>，废活性炭属于</w:t>
            </w:r>
            <w:r>
              <w:rPr>
                <w:rFonts w:ascii="Times New Roman" w:hAnsi="Times New Roman" w:eastAsia="Times New Roman" w:cs="Times New Roman"/>
                <w:spacing w:val="-3"/>
              </w:rPr>
              <w:t>HW49</w:t>
            </w:r>
            <w:r>
              <w:rPr>
                <w:rFonts w:ascii="Times New Roman" w:hAnsi="Times New Roman" w:eastAsia="Times New Roman" w:cs="Times New Roman"/>
                <w:spacing w:val="-31"/>
              </w:rPr>
              <w:t xml:space="preserve"> </w:t>
            </w:r>
            <w:r>
              <w:rPr>
                <w:spacing w:val="-3"/>
              </w:rPr>
              <w:t>，废物代码为</w:t>
            </w:r>
            <w:r>
              <w:rPr>
                <w:rFonts w:ascii="Times New Roman" w:hAnsi="Times New Roman" w:eastAsia="Times New Roman" w:cs="Times New Roman"/>
                <w:spacing w:val="-3"/>
              </w:rPr>
              <w:t>900-03</w:t>
            </w:r>
            <w:r>
              <w:rPr>
                <w:rFonts w:ascii="Times New Roman" w:hAnsi="Times New Roman" w:eastAsia="Times New Roman" w:cs="Times New Roman"/>
                <w:spacing w:val="-4"/>
              </w:rPr>
              <w:t>7-46</w:t>
            </w:r>
            <w:r>
              <w:rPr>
                <w:spacing w:val="-4"/>
              </w:rPr>
              <w:t>。</w:t>
            </w:r>
          </w:p>
        </w:tc>
      </w:tr>
    </w:tbl>
    <w:p>
      <w:pPr>
        <w:pStyle w:val="BodyText"/>
        <w:rPr/>
      </w:pPr>
      <w:r/>
    </w:p>
    <w:p>
      <w:pPr>
        <w:sectPr>
          <w:footerReference w:type="default" r:id="rId220"/>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17"/>
        <w:gridCol w:w="783"/>
        <w:gridCol w:w="644"/>
        <w:gridCol w:w="681"/>
        <w:gridCol w:w="164"/>
        <w:gridCol w:w="354"/>
        <w:gridCol w:w="641"/>
        <w:gridCol w:w="396"/>
        <w:gridCol w:w="340"/>
        <w:gridCol w:w="328"/>
        <w:gridCol w:w="708"/>
        <w:gridCol w:w="462"/>
        <w:gridCol w:w="179"/>
        <w:gridCol w:w="640"/>
        <w:gridCol w:w="449"/>
        <w:gridCol w:w="740"/>
      </w:tblGrid>
      <w:tr>
        <w:trPr>
          <w:trHeight w:val="6917" w:hRule="atLeast"/>
        </w:trPr>
        <w:tc>
          <w:tcPr>
            <w:tcW w:w="1017" w:type="dxa"/>
            <w:vAlign w:val="top"/>
            <w:vMerge w:val="restart"/>
            <w:tcBorders>
              <w:bottom w:val="nil"/>
            </w:tcBorders>
          </w:tcPr>
          <w:p>
            <w:pPr>
              <w:rPr>
                <w:rFonts w:ascii="Arial"/>
                <w:sz w:val="21"/>
              </w:rPr>
            </w:pPr>
            <w:r/>
          </w:p>
        </w:tc>
        <w:tc>
          <w:tcPr>
            <w:tcW w:w="7509" w:type="dxa"/>
            <w:vAlign w:val="top"/>
            <w:gridSpan w:val="15"/>
            <w:tcBorders>
              <w:bottom w:val="single" w:color="000000" w:sz="10" w:space="0"/>
            </w:tcBorders>
          </w:tcPr>
          <w:p>
            <w:pPr>
              <w:pStyle w:val="TableText"/>
              <w:ind w:left="115"/>
              <w:spacing w:before="200" w:line="499" w:lineRule="exact"/>
              <w:rPr/>
            </w:pPr>
            <w:r>
              <w:rPr>
                <w:spacing w:val="2"/>
                <w:position w:val="19"/>
              </w:rPr>
              <w:t>厂区已建一座</w:t>
            </w:r>
            <w:r>
              <w:rPr>
                <w:rFonts w:ascii="Times New Roman" w:hAnsi="Times New Roman" w:eastAsia="Times New Roman" w:cs="Times New Roman"/>
                <w:spacing w:val="2"/>
                <w:position w:val="19"/>
              </w:rPr>
              <w:t>15</w:t>
            </w:r>
            <w:r>
              <w:rPr>
                <w:spacing w:val="2"/>
                <w:position w:val="19"/>
              </w:rPr>
              <w:t>㎡危险废物暂存间，危险废物集中收集后，在危废间</w:t>
            </w:r>
          </w:p>
          <w:p>
            <w:pPr>
              <w:pStyle w:val="TableText"/>
              <w:ind w:left="142"/>
              <w:spacing w:line="219" w:lineRule="auto"/>
              <w:rPr/>
            </w:pPr>
            <w:r>
              <w:rPr>
                <w:spacing w:val="-3"/>
              </w:rPr>
              <w:t>内暂存，委托有资质单位收运处置。</w:t>
            </w:r>
          </w:p>
          <w:p>
            <w:pPr>
              <w:pStyle w:val="TableText"/>
              <w:ind w:left="592"/>
              <w:spacing w:before="214" w:line="501" w:lineRule="exact"/>
              <w:rPr/>
            </w:pPr>
            <w:r>
              <w:rPr>
                <w:spacing w:val="3"/>
                <w:position w:val="20"/>
              </w:rPr>
              <w:t>废活性炭随吸附时间延长，吸附效率会逐渐降低，为保证废气稳</w:t>
            </w:r>
          </w:p>
          <w:p>
            <w:pPr>
              <w:pStyle w:val="TableText"/>
              <w:ind w:left="118"/>
              <w:spacing w:line="219" w:lineRule="auto"/>
              <w:rPr/>
            </w:pPr>
            <w:r>
              <w:rPr>
                <w:spacing w:val="-1"/>
              </w:rPr>
              <w:t>定达标排放，设置专人定期进行监督检查，定期更换废活性炭。</w:t>
            </w:r>
          </w:p>
          <w:p>
            <w:pPr>
              <w:pStyle w:val="TableText"/>
              <w:ind w:left="591"/>
              <w:spacing w:before="214" w:line="217" w:lineRule="auto"/>
              <w:rPr/>
            </w:pPr>
            <w:r>
              <w:rPr>
                <w:spacing w:val="-1"/>
              </w:rPr>
              <w:t>②机械维修产生废机油</w:t>
            </w:r>
          </w:p>
          <w:p>
            <w:pPr>
              <w:pStyle w:val="TableText"/>
              <w:ind w:left="112" w:right="106" w:firstLine="481"/>
              <w:spacing w:before="216" w:line="385" w:lineRule="auto"/>
              <w:rPr/>
            </w:pPr>
            <w:r>
              <w:rPr>
                <w:spacing w:val="-1"/>
              </w:rPr>
              <w:t>本项目运营过程中使用</w:t>
            </w:r>
            <w:r>
              <w:rPr>
                <w:rFonts w:ascii="Times New Roman" w:hAnsi="Times New Roman" w:eastAsia="Times New Roman" w:cs="Times New Roman"/>
                <w:spacing w:val="-1"/>
              </w:rPr>
              <w:t>2</w:t>
            </w:r>
            <w:r>
              <w:rPr>
                <w:spacing w:val="-1"/>
              </w:rPr>
              <w:t>台空压机，空压机需</w:t>
            </w:r>
            <w:r>
              <w:rPr>
                <w:spacing w:val="-2"/>
              </w:rPr>
              <w:t>定期更换机油，废机</w:t>
            </w:r>
            <w:r>
              <w:rPr/>
              <w:t xml:space="preserve"> </w:t>
            </w:r>
            <w:r>
              <w:rPr>
                <w:spacing w:val="2"/>
              </w:rPr>
              <w:t>油产生量约为</w:t>
            </w:r>
            <w:r>
              <w:rPr>
                <w:rFonts w:ascii="Times New Roman" w:hAnsi="Times New Roman" w:eastAsia="Times New Roman" w:cs="Times New Roman"/>
                <w:spacing w:val="2"/>
              </w:rPr>
              <w:t>0.5t/a</w:t>
            </w:r>
            <w:r>
              <w:rPr>
                <w:rFonts w:ascii="Times New Roman" w:hAnsi="Times New Roman" w:eastAsia="Times New Roman" w:cs="Times New Roman"/>
                <w:spacing w:val="-24"/>
              </w:rPr>
              <w:t xml:space="preserve"> </w:t>
            </w:r>
            <w:r>
              <w:rPr>
                <w:spacing w:val="2"/>
              </w:rPr>
              <w:t>，根据《国家危险废物名录》，属名录中</w:t>
            </w:r>
            <w:r>
              <w:rPr>
                <w:rFonts w:ascii="Times New Roman" w:hAnsi="Times New Roman" w:eastAsia="Times New Roman" w:cs="Times New Roman"/>
              </w:rPr>
              <w:t>HW</w:t>
            </w:r>
            <w:r>
              <w:rPr>
                <w:rFonts w:ascii="Times New Roman" w:hAnsi="Times New Roman" w:eastAsia="Times New Roman" w:cs="Times New Roman"/>
                <w:spacing w:val="2"/>
              </w:rPr>
              <w:t>08</w:t>
            </w:r>
            <w:r>
              <w:rPr>
                <w:spacing w:val="2"/>
              </w:rPr>
              <w:t>废</w:t>
            </w:r>
            <w:r>
              <w:rPr/>
              <w:t xml:space="preserve"> </w:t>
            </w:r>
            <w:r>
              <w:rPr>
                <w:spacing w:val="11"/>
              </w:rPr>
              <w:t>矿物油与含矿物油废物，行业来源为非特定行业，废物代码分别为</w:t>
            </w:r>
            <w:r>
              <w:rPr>
                <w:spacing w:val="5"/>
              </w:rPr>
              <w:t xml:space="preserve"> </w:t>
            </w:r>
            <w:r>
              <w:rPr>
                <w:rFonts w:ascii="Times New Roman" w:hAnsi="Times New Roman" w:eastAsia="Times New Roman" w:cs="Times New Roman"/>
                <w:spacing w:val="-2"/>
              </w:rPr>
              <w:t>900-214-08</w:t>
            </w:r>
            <w:r>
              <w:rPr>
                <w:spacing w:val="-2"/>
              </w:rPr>
              <w:t>，属车辆、机械维修和拆解过程中产生的废发动机</w:t>
            </w:r>
            <w:r>
              <w:rPr>
                <w:spacing w:val="-3"/>
              </w:rPr>
              <w:t>油、制动</w:t>
            </w:r>
          </w:p>
          <w:p>
            <w:pPr>
              <w:pStyle w:val="TableText"/>
              <w:ind w:left="112"/>
              <w:spacing w:before="1" w:line="219" w:lineRule="auto"/>
              <w:rPr/>
            </w:pPr>
            <w:r>
              <w:rPr>
                <w:spacing w:val="-3"/>
              </w:rPr>
              <w:t>器油、</w:t>
            </w:r>
            <w:r>
              <w:rPr>
                <w:spacing w:val="-71"/>
              </w:rPr>
              <w:t xml:space="preserve"> </w:t>
            </w:r>
            <w:r>
              <w:rPr>
                <w:spacing w:val="-3"/>
              </w:rPr>
              <w:t>自动变速器油、齿轮油等废润滑油，危险特性</w:t>
            </w:r>
            <w:r>
              <w:rPr>
                <w:spacing w:val="-4"/>
              </w:rPr>
              <w:t>为</w:t>
            </w:r>
            <w:r>
              <w:rPr>
                <w:rFonts w:ascii="Times New Roman" w:hAnsi="Times New Roman" w:eastAsia="Times New Roman" w:cs="Times New Roman"/>
                <w:spacing w:val="-4"/>
              </w:rPr>
              <w:t>T</w:t>
            </w:r>
            <w:r>
              <w:rPr>
                <w:rFonts w:ascii="Times New Roman" w:hAnsi="Times New Roman" w:eastAsia="Times New Roman" w:cs="Times New Roman"/>
                <w:spacing w:val="-31"/>
              </w:rPr>
              <w:t xml:space="preserve"> </w:t>
            </w:r>
            <w:r>
              <w:rPr>
                <w:spacing w:val="-4"/>
              </w:rPr>
              <w:t>，</w:t>
            </w:r>
            <w:r>
              <w:rPr>
                <w:rFonts w:ascii="Times New Roman" w:hAnsi="Times New Roman" w:eastAsia="Times New Roman" w:cs="Times New Roman"/>
                <w:spacing w:val="-4"/>
              </w:rPr>
              <w:t>I</w:t>
            </w:r>
            <w:r>
              <w:rPr>
                <w:spacing w:val="-4"/>
              </w:rPr>
              <w:t>。</w:t>
            </w:r>
          </w:p>
          <w:p>
            <w:pPr>
              <w:pStyle w:val="TableText"/>
              <w:ind w:left="592"/>
              <w:spacing w:before="214" w:line="499" w:lineRule="exact"/>
              <w:rPr/>
            </w:pPr>
            <w:r>
              <w:rPr>
                <w:spacing w:val="-1"/>
                <w:position w:val="19"/>
              </w:rPr>
              <w:t>废催化剂、废活性炭、废机油属于危险废物，在厂区危废暂存间</w:t>
            </w:r>
          </w:p>
          <w:p>
            <w:pPr>
              <w:pStyle w:val="TableText"/>
              <w:ind w:left="126"/>
              <w:spacing w:line="219" w:lineRule="auto"/>
              <w:rPr/>
            </w:pPr>
            <w:r>
              <w:rPr>
                <w:spacing w:val="-2"/>
              </w:rPr>
              <w:t>临时贮存，委托有资质单位定期收运处置。</w:t>
            </w:r>
          </w:p>
          <w:p>
            <w:pPr>
              <w:pStyle w:val="TableText"/>
              <w:ind w:left="593"/>
              <w:spacing w:before="216" w:line="219" w:lineRule="auto"/>
              <w:rPr/>
            </w:pPr>
            <w:r>
              <w:rPr>
                <w:spacing w:val="-2"/>
              </w:rPr>
              <w:t>本项目危险废物排放情况一览表见表</w:t>
            </w:r>
            <w:r>
              <w:rPr>
                <w:rFonts w:ascii="Times New Roman" w:hAnsi="Times New Roman" w:eastAsia="Times New Roman" w:cs="Times New Roman"/>
                <w:spacing w:val="-2"/>
              </w:rPr>
              <w:t>4.2-</w:t>
            </w:r>
            <w:r>
              <w:rPr>
                <w:rFonts w:ascii="Times New Roman" w:hAnsi="Times New Roman" w:eastAsia="Times New Roman" w:cs="Times New Roman"/>
                <w:spacing w:val="-27"/>
              </w:rPr>
              <w:t xml:space="preserve"> </w:t>
            </w:r>
            <w:r>
              <w:rPr>
                <w:rFonts w:ascii="Times New Roman" w:hAnsi="Times New Roman" w:eastAsia="Times New Roman" w:cs="Times New Roman"/>
                <w:spacing w:val="-2"/>
              </w:rPr>
              <w:t>11</w:t>
            </w:r>
            <w:r>
              <w:rPr>
                <w:spacing w:val="-2"/>
              </w:rPr>
              <w:t>。</w:t>
            </w:r>
          </w:p>
          <w:p>
            <w:pPr>
              <w:pStyle w:val="TableText"/>
              <w:ind w:left="2183"/>
              <w:spacing w:before="136" w:line="220" w:lineRule="auto"/>
              <w:rPr/>
            </w:pPr>
            <w:r>
              <w:rPr>
                <w14:textOutline w14:w="4358" w14:cap="sq" w14:cmpd="sng">
                  <w14:solidFill>
                    <w14:srgbClr w14:val="000000"/>
                  </w14:solidFill>
                  <w14:prstDash w14:val="solid"/>
                  <w14:bevel/>
                </w14:textOutline>
                <w:spacing w:val="-2"/>
              </w:rPr>
              <w:t>表</w:t>
            </w:r>
            <w:r>
              <w:rPr>
                <w:rFonts w:ascii="Times New Roman" w:hAnsi="Times New Roman" w:eastAsia="Times New Roman" w:cs="Times New Roman"/>
                <w:b/>
                <w:bCs/>
                <w:spacing w:val="-2"/>
              </w:rPr>
              <w:t>4.2-10</w:t>
            </w:r>
            <w:r>
              <w:rPr>
                <w:rFonts w:ascii="Times New Roman" w:hAnsi="Times New Roman" w:eastAsia="Times New Roman" w:cs="Times New Roman"/>
                <w:b/>
                <w:bCs/>
                <w:spacing w:val="16"/>
              </w:rPr>
              <w:t xml:space="preserve">  </w:t>
            </w:r>
            <w:r>
              <w:rPr>
                <w14:textOutline w14:w="4358" w14:cap="sq" w14:cmpd="sng">
                  <w14:solidFill>
                    <w14:srgbClr w14:val="000000"/>
                  </w14:solidFill>
                  <w14:prstDash w14:val="solid"/>
                  <w14:bevel/>
                </w14:textOutline>
                <w:spacing w:val="-2"/>
              </w:rPr>
              <w:t>固废排放情况一览表</w:t>
            </w:r>
          </w:p>
        </w:tc>
      </w:tr>
      <w:tr>
        <w:trPr>
          <w:trHeight w:val="355" w:hRule="atLeast"/>
        </w:trPr>
        <w:tc>
          <w:tcPr>
            <w:tcW w:w="1017" w:type="dxa"/>
            <w:vAlign w:val="top"/>
            <w:vMerge w:val="continue"/>
            <w:tcBorders>
              <w:top w:val="nil"/>
              <w:bottom w:val="nil"/>
            </w:tcBorders>
          </w:tcPr>
          <w:p>
            <w:pPr>
              <w:rPr>
                <w:rFonts w:ascii="Arial"/>
                <w:sz w:val="21"/>
              </w:rPr>
            </w:pPr>
            <w:r/>
          </w:p>
        </w:tc>
        <w:tc>
          <w:tcPr>
            <w:tcW w:w="1427" w:type="dxa"/>
            <w:vAlign w:val="top"/>
            <w:gridSpan w:val="2"/>
            <w:tcBorders>
              <w:top w:val="single" w:color="000000" w:sz="10" w:space="0"/>
            </w:tcBorders>
          </w:tcPr>
          <w:p>
            <w:pPr>
              <w:pStyle w:val="TableText"/>
              <w:ind w:left="560"/>
              <w:spacing w:before="101" w:line="225" w:lineRule="auto"/>
              <w:rPr>
                <w:sz w:val="20"/>
                <w:szCs w:val="20"/>
              </w:rPr>
            </w:pPr>
            <w:r>
              <w:rPr>
                <w:sz w:val="20"/>
                <w:szCs w:val="20"/>
                <w:spacing w:val="3"/>
              </w:rPr>
              <w:t>名称</w:t>
            </w:r>
          </w:p>
        </w:tc>
        <w:tc>
          <w:tcPr>
            <w:tcW w:w="845" w:type="dxa"/>
            <w:vAlign w:val="top"/>
            <w:gridSpan w:val="2"/>
            <w:tcBorders>
              <w:top w:val="single" w:color="000000" w:sz="10" w:space="0"/>
            </w:tcBorders>
          </w:tcPr>
          <w:p>
            <w:pPr>
              <w:pStyle w:val="TableText"/>
              <w:ind w:left="100"/>
              <w:spacing w:before="101" w:line="225" w:lineRule="auto"/>
              <w:rPr>
                <w:sz w:val="20"/>
                <w:szCs w:val="20"/>
              </w:rPr>
            </w:pPr>
            <w:r>
              <w:rPr>
                <w:sz w:val="20"/>
                <w:szCs w:val="20"/>
                <w:spacing w:val="6"/>
              </w:rPr>
              <w:t>排放量</w:t>
            </w:r>
          </w:p>
        </w:tc>
        <w:tc>
          <w:tcPr>
            <w:tcW w:w="1731" w:type="dxa"/>
            <w:vAlign w:val="top"/>
            <w:gridSpan w:val="4"/>
            <w:tcBorders>
              <w:top w:val="single" w:color="000000" w:sz="10" w:space="0"/>
            </w:tcBorders>
          </w:tcPr>
          <w:p>
            <w:pPr>
              <w:pStyle w:val="TableText"/>
              <w:ind w:left="438"/>
              <w:spacing w:before="101" w:line="225" w:lineRule="auto"/>
              <w:rPr>
                <w:sz w:val="20"/>
                <w:szCs w:val="20"/>
              </w:rPr>
            </w:pPr>
            <w:r>
              <w:rPr>
                <w:sz w:val="20"/>
                <w:szCs w:val="20"/>
                <w:spacing w:val="7"/>
              </w:rPr>
              <w:t>排放方式</w:t>
            </w:r>
          </w:p>
        </w:tc>
        <w:tc>
          <w:tcPr>
            <w:tcW w:w="1498" w:type="dxa"/>
            <w:vAlign w:val="top"/>
            <w:gridSpan w:val="3"/>
            <w:tcBorders>
              <w:top w:val="single" w:color="000000" w:sz="10" w:space="0"/>
            </w:tcBorders>
          </w:tcPr>
          <w:p>
            <w:pPr>
              <w:pStyle w:val="TableText"/>
              <w:ind w:left="129"/>
              <w:spacing w:before="101" w:line="225" w:lineRule="auto"/>
              <w:rPr>
                <w:sz w:val="20"/>
                <w:szCs w:val="20"/>
              </w:rPr>
            </w:pPr>
            <w:r>
              <w:rPr>
                <w:sz w:val="20"/>
                <w:szCs w:val="20"/>
                <w:spacing w:val="5"/>
              </w:rPr>
              <w:t>固废分类代码</w:t>
            </w:r>
          </w:p>
        </w:tc>
        <w:tc>
          <w:tcPr>
            <w:tcW w:w="1268" w:type="dxa"/>
            <w:vAlign w:val="top"/>
            <w:gridSpan w:val="3"/>
            <w:tcBorders>
              <w:top w:val="single" w:color="000000" w:sz="10" w:space="0"/>
            </w:tcBorders>
          </w:tcPr>
          <w:p>
            <w:pPr>
              <w:pStyle w:val="TableText"/>
              <w:ind w:left="227"/>
              <w:spacing w:before="101" w:line="225" w:lineRule="auto"/>
              <w:rPr>
                <w:sz w:val="20"/>
                <w:szCs w:val="20"/>
              </w:rPr>
            </w:pPr>
            <w:r>
              <w:rPr>
                <w:sz w:val="20"/>
                <w:szCs w:val="20"/>
                <w:spacing w:val="2"/>
              </w:rPr>
              <w:t>固废名称</w:t>
            </w:r>
          </w:p>
        </w:tc>
        <w:tc>
          <w:tcPr>
            <w:tcW w:w="740" w:type="dxa"/>
            <w:vAlign w:val="top"/>
            <w:tcBorders>
              <w:top w:val="single" w:color="000000" w:sz="10" w:space="0"/>
            </w:tcBorders>
          </w:tcPr>
          <w:p>
            <w:pPr>
              <w:pStyle w:val="TableText"/>
              <w:ind w:left="108"/>
              <w:spacing w:before="101" w:line="225" w:lineRule="auto"/>
              <w:rPr>
                <w:sz w:val="20"/>
                <w:szCs w:val="20"/>
              </w:rPr>
            </w:pPr>
            <w:r>
              <w:rPr>
                <w:sz w:val="20"/>
                <w:szCs w:val="20"/>
                <w:spacing w:val="3"/>
              </w:rPr>
              <w:t>备注</w:t>
            </w:r>
          </w:p>
        </w:tc>
      </w:tr>
      <w:tr>
        <w:trPr>
          <w:trHeight w:val="365" w:hRule="atLeast"/>
        </w:trPr>
        <w:tc>
          <w:tcPr>
            <w:tcW w:w="1017" w:type="dxa"/>
            <w:vAlign w:val="top"/>
            <w:vMerge w:val="continue"/>
            <w:tcBorders>
              <w:top w:val="nil"/>
              <w:bottom w:val="nil"/>
            </w:tcBorders>
          </w:tcPr>
          <w:p>
            <w:pPr>
              <w:rPr>
                <w:rFonts w:ascii="Arial"/>
                <w:sz w:val="21"/>
              </w:rPr>
            </w:pPr>
            <w:r/>
          </w:p>
        </w:tc>
        <w:tc>
          <w:tcPr>
            <w:tcW w:w="1427" w:type="dxa"/>
            <w:vAlign w:val="top"/>
            <w:gridSpan w:val="2"/>
          </w:tcPr>
          <w:p>
            <w:pPr>
              <w:pStyle w:val="TableText"/>
              <w:ind w:left="242"/>
              <w:spacing w:before="110" w:line="226" w:lineRule="auto"/>
              <w:rPr>
                <w:sz w:val="20"/>
                <w:szCs w:val="20"/>
              </w:rPr>
            </w:pPr>
            <w:r>
              <w:rPr>
                <w:sz w:val="20"/>
                <w:szCs w:val="20"/>
                <w:spacing w:val="8"/>
              </w:rPr>
              <w:t>废弃包装物</w:t>
            </w:r>
          </w:p>
        </w:tc>
        <w:tc>
          <w:tcPr>
            <w:tcW w:w="845" w:type="dxa"/>
            <w:vAlign w:val="top"/>
            <w:gridSpan w:val="2"/>
          </w:tcPr>
          <w:p>
            <w:pPr>
              <w:ind w:left="143"/>
              <w:spacing w:before="14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1.54t/a</w:t>
            </w:r>
          </w:p>
        </w:tc>
        <w:tc>
          <w:tcPr>
            <w:tcW w:w="1731" w:type="dxa"/>
            <w:vAlign w:val="top"/>
            <w:gridSpan w:val="4"/>
          </w:tcPr>
          <w:p>
            <w:pPr>
              <w:pStyle w:val="TableText"/>
              <w:ind w:left="128"/>
              <w:spacing w:before="110" w:line="226" w:lineRule="auto"/>
              <w:rPr>
                <w:sz w:val="20"/>
                <w:szCs w:val="20"/>
              </w:rPr>
            </w:pPr>
            <w:r>
              <w:rPr>
                <w:sz w:val="20"/>
                <w:szCs w:val="20"/>
                <w:spacing w:val="8"/>
              </w:rPr>
              <w:t>外售废品回收站</w:t>
            </w:r>
          </w:p>
        </w:tc>
        <w:tc>
          <w:tcPr>
            <w:tcW w:w="1498" w:type="dxa"/>
            <w:vAlign w:val="top"/>
            <w:gridSpan w:val="3"/>
          </w:tcPr>
          <w:p>
            <w:pPr>
              <w:ind w:left="249"/>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292-001-07</w:t>
            </w:r>
          </w:p>
        </w:tc>
        <w:tc>
          <w:tcPr>
            <w:tcW w:w="1268" w:type="dxa"/>
            <w:vAlign w:val="top"/>
            <w:gridSpan w:val="3"/>
          </w:tcPr>
          <w:p>
            <w:pPr>
              <w:pStyle w:val="TableText"/>
              <w:ind w:left="103"/>
              <w:spacing w:before="110" w:line="226" w:lineRule="auto"/>
              <w:rPr>
                <w:sz w:val="20"/>
                <w:szCs w:val="20"/>
              </w:rPr>
            </w:pPr>
            <w:r>
              <w:rPr>
                <w:sz w:val="20"/>
                <w:szCs w:val="20"/>
                <w:spacing w:val="8"/>
              </w:rPr>
              <w:t>废复合包装</w:t>
            </w:r>
          </w:p>
        </w:tc>
        <w:tc>
          <w:tcPr>
            <w:tcW w:w="740" w:type="dxa"/>
            <w:vAlign w:val="top"/>
          </w:tcPr>
          <w:p>
            <w:pPr>
              <w:ind w:left="278"/>
              <w:spacing w:before="14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74" w:hRule="atLeast"/>
        </w:trPr>
        <w:tc>
          <w:tcPr>
            <w:tcW w:w="1017" w:type="dxa"/>
            <w:vAlign w:val="top"/>
            <w:vMerge w:val="continue"/>
            <w:tcBorders>
              <w:top w:val="nil"/>
              <w:bottom w:val="nil"/>
            </w:tcBorders>
          </w:tcPr>
          <w:p>
            <w:pPr>
              <w:rPr>
                <w:rFonts w:ascii="Arial"/>
                <w:sz w:val="21"/>
              </w:rPr>
            </w:pPr>
            <w:r/>
          </w:p>
        </w:tc>
        <w:tc>
          <w:tcPr>
            <w:tcW w:w="1427" w:type="dxa"/>
            <w:vAlign w:val="top"/>
            <w:gridSpan w:val="2"/>
            <w:tcBorders>
              <w:bottom w:val="single" w:color="000000" w:sz="10" w:space="0"/>
            </w:tcBorders>
          </w:tcPr>
          <w:p>
            <w:pPr>
              <w:pStyle w:val="TableText"/>
              <w:ind w:left="247"/>
              <w:spacing w:before="112" w:line="228" w:lineRule="auto"/>
              <w:rPr>
                <w:sz w:val="20"/>
                <w:szCs w:val="20"/>
              </w:rPr>
            </w:pPr>
            <w:r>
              <w:rPr>
                <w:sz w:val="20"/>
                <w:szCs w:val="20"/>
                <w:spacing w:val="7"/>
              </w:rPr>
              <w:t>不合格产品</w:t>
            </w:r>
          </w:p>
        </w:tc>
        <w:tc>
          <w:tcPr>
            <w:tcW w:w="845" w:type="dxa"/>
            <w:vAlign w:val="top"/>
            <w:gridSpan w:val="2"/>
            <w:tcBorders>
              <w:bottom w:val="single" w:color="000000" w:sz="10" w:space="0"/>
            </w:tcBorders>
          </w:tcPr>
          <w:p>
            <w:pPr>
              <w:ind w:left="222"/>
              <w:spacing w:before="14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10t/a</w:t>
            </w:r>
          </w:p>
        </w:tc>
        <w:tc>
          <w:tcPr>
            <w:tcW w:w="1731" w:type="dxa"/>
            <w:vAlign w:val="top"/>
            <w:gridSpan w:val="4"/>
            <w:tcBorders>
              <w:bottom w:val="single" w:color="000000" w:sz="10" w:space="0"/>
            </w:tcBorders>
          </w:tcPr>
          <w:p>
            <w:pPr>
              <w:pStyle w:val="TableText"/>
              <w:ind w:left="459"/>
              <w:spacing w:before="112" w:line="228" w:lineRule="auto"/>
              <w:rPr>
                <w:sz w:val="20"/>
                <w:szCs w:val="20"/>
              </w:rPr>
            </w:pPr>
            <w:r>
              <w:rPr>
                <w:sz w:val="20"/>
                <w:szCs w:val="20"/>
                <w:spacing w:val="2"/>
              </w:rPr>
              <w:t>回用生产</w:t>
            </w:r>
          </w:p>
        </w:tc>
        <w:tc>
          <w:tcPr>
            <w:tcW w:w="1498" w:type="dxa"/>
            <w:vAlign w:val="top"/>
            <w:gridSpan w:val="3"/>
            <w:tcBorders>
              <w:bottom w:val="single" w:color="000000" w:sz="10" w:space="0"/>
            </w:tcBorders>
          </w:tcPr>
          <w:p>
            <w:pPr>
              <w:ind w:left="249"/>
              <w:spacing w:before="1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292-001-99</w:t>
            </w:r>
          </w:p>
        </w:tc>
        <w:tc>
          <w:tcPr>
            <w:tcW w:w="1268" w:type="dxa"/>
            <w:vAlign w:val="top"/>
            <w:gridSpan w:val="3"/>
            <w:tcBorders>
              <w:bottom w:val="single" w:color="000000" w:sz="10" w:space="0"/>
            </w:tcBorders>
          </w:tcPr>
          <w:p>
            <w:pPr>
              <w:pStyle w:val="TableText"/>
              <w:ind w:left="210"/>
              <w:spacing w:before="112" w:line="228" w:lineRule="auto"/>
              <w:rPr>
                <w:sz w:val="20"/>
                <w:szCs w:val="20"/>
              </w:rPr>
            </w:pPr>
            <w:r>
              <w:rPr>
                <w:sz w:val="20"/>
                <w:szCs w:val="20"/>
                <w:spacing w:val="7"/>
              </w:rPr>
              <w:t>其他废物</w:t>
            </w:r>
          </w:p>
        </w:tc>
        <w:tc>
          <w:tcPr>
            <w:tcW w:w="740" w:type="dxa"/>
            <w:vAlign w:val="top"/>
            <w:tcBorders>
              <w:bottom w:val="single" w:color="000000" w:sz="10" w:space="0"/>
            </w:tcBorders>
          </w:tcPr>
          <w:p>
            <w:pPr>
              <w:ind w:left="278"/>
              <w:spacing w:before="14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405" w:hRule="atLeast"/>
        </w:trPr>
        <w:tc>
          <w:tcPr>
            <w:tcW w:w="1017" w:type="dxa"/>
            <w:vAlign w:val="top"/>
            <w:vMerge w:val="continue"/>
            <w:tcBorders>
              <w:top w:val="nil"/>
              <w:bottom w:val="nil"/>
            </w:tcBorders>
          </w:tcPr>
          <w:p>
            <w:pPr>
              <w:rPr>
                <w:rFonts w:ascii="Arial"/>
                <w:sz w:val="21"/>
              </w:rPr>
            </w:pPr>
            <w:r/>
          </w:p>
        </w:tc>
        <w:tc>
          <w:tcPr>
            <w:tcW w:w="7509" w:type="dxa"/>
            <w:vAlign w:val="top"/>
            <w:gridSpan w:val="15"/>
            <w:tcBorders>
              <w:bottom w:val="single" w:color="000000" w:sz="10" w:space="0"/>
              <w:top w:val="single" w:color="000000" w:sz="10" w:space="0"/>
            </w:tcBorders>
          </w:tcPr>
          <w:p>
            <w:pPr>
              <w:pStyle w:val="TableText"/>
              <w:ind w:left="1580"/>
              <w:spacing w:before="108" w:line="219" w:lineRule="auto"/>
              <w:rPr/>
            </w:pPr>
            <w:r>
              <w:rPr>
                <w14:textOutline w14:w="4358" w14:cap="sq" w14:cmpd="sng">
                  <w14:solidFill>
                    <w14:srgbClr w14:val="000000"/>
                  </w14:solidFill>
                  <w14:prstDash w14:val="solid"/>
                  <w14:bevel/>
                </w14:textOutline>
              </w:rPr>
              <w:t>表</w:t>
            </w:r>
            <w:r>
              <w:rPr>
                <w:rFonts w:ascii="Times New Roman" w:hAnsi="Times New Roman" w:eastAsia="Times New Roman" w:cs="Times New Roman"/>
                <w:b/>
                <w:bCs/>
              </w:rPr>
              <w:t>4.2-11  </w:t>
            </w:r>
            <w:r>
              <w:rPr>
                <w14:textOutline w14:w="4358" w14:cap="sq" w14:cmpd="sng">
                  <w14:solidFill>
                    <w14:srgbClr w14:val="000000"/>
                  </w14:solidFill>
                  <w14:prstDash w14:val="solid"/>
                  <w14:bevel/>
                </w14:textOutline>
              </w:rPr>
              <w:t>本项目危险废物排放情况一览表</w:t>
            </w:r>
          </w:p>
        </w:tc>
      </w:tr>
      <w:tr>
        <w:trPr>
          <w:trHeight w:val="1435" w:hRule="atLeast"/>
        </w:trPr>
        <w:tc>
          <w:tcPr>
            <w:tcW w:w="1017" w:type="dxa"/>
            <w:vAlign w:val="top"/>
            <w:vMerge w:val="continue"/>
            <w:tcBorders>
              <w:top w:val="nil"/>
              <w:bottom w:val="nil"/>
            </w:tcBorders>
          </w:tcPr>
          <w:p>
            <w:pPr>
              <w:rPr>
                <w:rFonts w:ascii="Arial"/>
                <w:sz w:val="21"/>
              </w:rPr>
            </w:pPr>
            <w:r/>
          </w:p>
        </w:tc>
        <w:tc>
          <w:tcPr>
            <w:tcW w:w="783" w:type="dxa"/>
            <w:vAlign w:val="top"/>
            <w:tcBorders>
              <w:top w:val="single" w:color="000000" w:sz="10" w:space="0"/>
            </w:tcBorders>
          </w:tcPr>
          <w:p>
            <w:pPr>
              <w:pStyle w:val="TableText"/>
              <w:ind w:left="238" w:right="129" w:firstLine="3"/>
              <w:spacing w:before="102" w:line="298" w:lineRule="auto"/>
              <w:jc w:val="both"/>
              <w:rPr>
                <w:sz w:val="20"/>
                <w:szCs w:val="20"/>
              </w:rPr>
            </w:pPr>
            <w:r>
              <w:rPr>
                <w:sz w:val="20"/>
                <w:szCs w:val="20"/>
                <w:spacing w:val="3"/>
              </w:rPr>
              <w:t>危险</w:t>
            </w:r>
            <w:r>
              <w:rPr>
                <w:sz w:val="20"/>
                <w:szCs w:val="20"/>
              </w:rPr>
              <w:t xml:space="preserve"> </w:t>
            </w:r>
            <w:r>
              <w:rPr>
                <w:sz w:val="20"/>
                <w:szCs w:val="20"/>
                <w:spacing w:val="5"/>
              </w:rPr>
              <w:t>废物</w:t>
            </w:r>
            <w:r>
              <w:rPr>
                <w:sz w:val="20"/>
                <w:szCs w:val="20"/>
              </w:rPr>
              <w:t xml:space="preserve"> </w:t>
            </w:r>
            <w:r>
              <w:rPr>
                <w:sz w:val="20"/>
                <w:szCs w:val="20"/>
                <w:spacing w:val="5"/>
              </w:rPr>
              <w:t>名称</w:t>
            </w:r>
          </w:p>
        </w:tc>
        <w:tc>
          <w:tcPr>
            <w:tcW w:w="644" w:type="dxa"/>
            <w:vAlign w:val="top"/>
            <w:tcBorders>
              <w:top w:val="single" w:color="000000" w:sz="10" w:space="0"/>
            </w:tcBorders>
          </w:tcPr>
          <w:p>
            <w:pPr>
              <w:pStyle w:val="TableText"/>
              <w:ind w:left="119" w:right="108" w:firstLine="3"/>
              <w:spacing w:before="103" w:line="297" w:lineRule="auto"/>
              <w:jc w:val="both"/>
              <w:rPr>
                <w:sz w:val="20"/>
                <w:szCs w:val="20"/>
              </w:rPr>
            </w:pPr>
            <w:r>
              <w:rPr>
                <w:sz w:val="20"/>
                <w:szCs w:val="20"/>
                <w:spacing w:val="3"/>
              </w:rPr>
              <w:t>危险</w:t>
            </w:r>
            <w:r>
              <w:rPr>
                <w:sz w:val="20"/>
                <w:szCs w:val="20"/>
              </w:rPr>
              <w:t xml:space="preserve"> </w:t>
            </w:r>
            <w:r>
              <w:rPr>
                <w:sz w:val="20"/>
                <w:szCs w:val="20"/>
                <w:spacing w:val="5"/>
              </w:rPr>
              <w:t>废物</w:t>
            </w:r>
            <w:r>
              <w:rPr>
                <w:sz w:val="20"/>
                <w:szCs w:val="20"/>
              </w:rPr>
              <w:t xml:space="preserve"> </w:t>
            </w:r>
            <w:r>
              <w:rPr>
                <w:sz w:val="20"/>
                <w:szCs w:val="20"/>
                <w:spacing w:val="5"/>
              </w:rPr>
              <w:t>类别</w:t>
            </w:r>
          </w:p>
        </w:tc>
        <w:tc>
          <w:tcPr>
            <w:tcW w:w="681" w:type="dxa"/>
            <w:vAlign w:val="top"/>
            <w:tcBorders>
              <w:top w:val="single" w:color="000000" w:sz="10" w:space="0"/>
            </w:tcBorders>
          </w:tcPr>
          <w:p>
            <w:pPr>
              <w:pStyle w:val="TableText"/>
              <w:ind w:left="145" w:right="120" w:firstLine="3"/>
              <w:spacing w:before="103" w:line="297" w:lineRule="auto"/>
              <w:jc w:val="both"/>
              <w:rPr>
                <w:sz w:val="20"/>
                <w:szCs w:val="20"/>
              </w:rPr>
            </w:pPr>
            <w:r>
              <w:rPr>
                <w:sz w:val="20"/>
                <w:szCs w:val="20"/>
                <w:spacing w:val="3"/>
              </w:rPr>
              <w:t>危险</w:t>
            </w:r>
            <w:r>
              <w:rPr>
                <w:sz w:val="20"/>
                <w:szCs w:val="20"/>
              </w:rPr>
              <w:t xml:space="preserve"> </w:t>
            </w:r>
            <w:r>
              <w:rPr>
                <w:sz w:val="20"/>
                <w:szCs w:val="20"/>
                <w:spacing w:val="5"/>
              </w:rPr>
              <w:t>废物</w:t>
            </w:r>
            <w:r>
              <w:rPr>
                <w:sz w:val="20"/>
                <w:szCs w:val="20"/>
              </w:rPr>
              <w:t xml:space="preserve"> </w:t>
            </w:r>
            <w:r>
              <w:rPr>
                <w:sz w:val="20"/>
                <w:szCs w:val="20"/>
                <w:spacing w:val="5"/>
              </w:rPr>
              <w:t>代码</w:t>
            </w:r>
          </w:p>
        </w:tc>
        <w:tc>
          <w:tcPr>
            <w:tcW w:w="518" w:type="dxa"/>
            <w:vAlign w:val="top"/>
            <w:gridSpan w:val="2"/>
            <w:textDirection w:val="tbRlV"/>
            <w:tcBorders>
              <w:top w:val="single" w:color="000000" w:sz="10" w:space="0"/>
            </w:tcBorders>
          </w:tcPr>
          <w:p>
            <w:pPr>
              <w:pStyle w:val="TableText"/>
              <w:ind w:left="101"/>
              <w:spacing w:before="140" w:line="216" w:lineRule="auto"/>
              <w:rPr>
                <w:sz w:val="20"/>
                <w:szCs w:val="20"/>
              </w:rPr>
            </w:pPr>
            <w:r>
              <w:rPr>
                <w:sz w:val="20"/>
                <w:szCs w:val="20"/>
                <w:spacing w:val="8"/>
              </w:rPr>
              <w:t>产</w:t>
            </w:r>
            <w:r>
              <w:rPr>
                <w:sz w:val="20"/>
                <w:szCs w:val="20"/>
                <w:spacing w:val="52"/>
              </w:rPr>
              <w:t xml:space="preserve"> </w:t>
            </w:r>
            <w:r>
              <w:rPr>
                <w:sz w:val="20"/>
                <w:szCs w:val="20"/>
                <w:spacing w:val="8"/>
              </w:rPr>
              <w:t>生</w:t>
            </w:r>
            <w:r>
              <w:rPr>
                <w:sz w:val="20"/>
                <w:szCs w:val="20"/>
                <w:spacing w:val="51"/>
              </w:rPr>
              <w:t xml:space="preserve"> </w:t>
            </w:r>
            <w:r>
              <w:rPr>
                <w:sz w:val="20"/>
                <w:szCs w:val="20"/>
                <w:spacing w:val="8"/>
              </w:rPr>
              <w:t>量</w:t>
            </w:r>
          </w:p>
        </w:tc>
        <w:tc>
          <w:tcPr>
            <w:tcW w:w="641" w:type="dxa"/>
            <w:vAlign w:val="top"/>
            <w:tcBorders>
              <w:top w:val="single" w:color="000000" w:sz="10" w:space="0"/>
            </w:tcBorders>
          </w:tcPr>
          <w:p>
            <w:pPr>
              <w:pStyle w:val="TableText"/>
              <w:ind w:left="125"/>
              <w:spacing w:before="101" w:line="228" w:lineRule="auto"/>
              <w:rPr>
                <w:sz w:val="20"/>
                <w:szCs w:val="20"/>
              </w:rPr>
            </w:pPr>
            <w:r>
              <w:rPr>
                <w:sz w:val="20"/>
                <w:szCs w:val="20"/>
                <w:spacing w:val="4"/>
              </w:rPr>
              <w:t>产生</w:t>
            </w:r>
          </w:p>
          <w:p>
            <w:pPr>
              <w:pStyle w:val="TableText"/>
              <w:ind w:left="128"/>
              <w:spacing w:before="113" w:line="229" w:lineRule="auto"/>
              <w:rPr>
                <w:sz w:val="20"/>
                <w:szCs w:val="20"/>
              </w:rPr>
            </w:pPr>
            <w:r>
              <w:rPr>
                <w:sz w:val="20"/>
                <w:szCs w:val="20"/>
                <w:spacing w:val="3"/>
              </w:rPr>
              <w:t>工序</w:t>
            </w:r>
          </w:p>
          <w:p>
            <w:pPr>
              <w:pStyle w:val="TableText"/>
              <w:ind w:left="124"/>
              <w:spacing w:before="112" w:line="228" w:lineRule="auto"/>
              <w:rPr>
                <w:sz w:val="20"/>
                <w:szCs w:val="20"/>
              </w:rPr>
            </w:pPr>
            <w:r>
              <w:rPr>
                <w:sz w:val="20"/>
                <w:szCs w:val="20"/>
                <w:spacing w:val="5"/>
              </w:rPr>
              <w:t>及装</w:t>
            </w:r>
          </w:p>
          <w:p>
            <w:pPr>
              <w:pStyle w:val="TableText"/>
              <w:ind w:left="229"/>
              <w:spacing w:before="113" w:line="224" w:lineRule="auto"/>
              <w:rPr>
                <w:sz w:val="20"/>
                <w:szCs w:val="20"/>
              </w:rPr>
            </w:pPr>
            <w:r>
              <w:rPr>
                <w:sz w:val="20"/>
                <w:szCs w:val="20"/>
                <w:spacing w:val="2"/>
              </w:rPr>
              <w:t>置</w:t>
            </w:r>
          </w:p>
        </w:tc>
        <w:tc>
          <w:tcPr>
            <w:tcW w:w="396" w:type="dxa"/>
            <w:vAlign w:val="top"/>
            <w:textDirection w:val="tbRlV"/>
            <w:tcBorders>
              <w:top w:val="single" w:color="000000" w:sz="10" w:space="0"/>
            </w:tcBorders>
          </w:tcPr>
          <w:p>
            <w:pPr>
              <w:pStyle w:val="TableText"/>
              <w:ind w:left="101"/>
              <w:spacing w:before="66" w:line="218" w:lineRule="auto"/>
              <w:rPr>
                <w:sz w:val="20"/>
                <w:szCs w:val="20"/>
              </w:rPr>
            </w:pPr>
            <w:r>
              <w:rPr>
                <w:sz w:val="20"/>
                <w:szCs w:val="20"/>
                <w:spacing w:val="8"/>
              </w:rPr>
              <w:t>形</w:t>
            </w:r>
            <w:r>
              <w:rPr>
                <w:sz w:val="20"/>
                <w:szCs w:val="20"/>
                <w:spacing w:val="51"/>
              </w:rPr>
              <w:t xml:space="preserve"> </w:t>
            </w:r>
            <w:r>
              <w:rPr>
                <w:sz w:val="20"/>
                <w:szCs w:val="20"/>
                <w:spacing w:val="8"/>
              </w:rPr>
              <w:t>态</w:t>
            </w:r>
          </w:p>
        </w:tc>
        <w:tc>
          <w:tcPr>
            <w:tcW w:w="668" w:type="dxa"/>
            <w:vAlign w:val="top"/>
            <w:gridSpan w:val="2"/>
            <w:tcBorders>
              <w:top w:val="single" w:color="000000" w:sz="10" w:space="0"/>
            </w:tcBorders>
          </w:tcPr>
          <w:p>
            <w:pPr>
              <w:pStyle w:val="TableText"/>
              <w:ind w:left="141" w:right="113"/>
              <w:spacing w:before="102" w:line="280" w:lineRule="auto"/>
              <w:rPr>
                <w:sz w:val="20"/>
                <w:szCs w:val="20"/>
              </w:rPr>
            </w:pPr>
            <w:r>
              <w:rPr>
                <w:sz w:val="20"/>
                <w:szCs w:val="20"/>
                <w:spacing w:val="3"/>
              </w:rPr>
              <w:t>主要</w:t>
            </w:r>
            <w:r>
              <w:rPr>
                <w:sz w:val="20"/>
                <w:szCs w:val="20"/>
              </w:rPr>
              <w:t xml:space="preserve"> </w:t>
            </w:r>
            <w:r>
              <w:rPr>
                <w:sz w:val="20"/>
                <w:szCs w:val="20"/>
                <w:spacing w:val="3"/>
              </w:rPr>
              <w:t>成分</w:t>
            </w:r>
          </w:p>
        </w:tc>
        <w:tc>
          <w:tcPr>
            <w:tcW w:w="708" w:type="dxa"/>
            <w:vAlign w:val="top"/>
            <w:tcBorders>
              <w:top w:val="single" w:color="000000" w:sz="10" w:space="0"/>
            </w:tcBorders>
          </w:tcPr>
          <w:p>
            <w:pPr>
              <w:pStyle w:val="TableText"/>
              <w:ind w:left="161" w:right="132"/>
              <w:spacing w:before="102" w:line="280" w:lineRule="auto"/>
              <w:rPr>
                <w:sz w:val="20"/>
                <w:szCs w:val="20"/>
              </w:rPr>
            </w:pPr>
            <w:r>
              <w:rPr>
                <w:sz w:val="20"/>
                <w:szCs w:val="20"/>
                <w:spacing w:val="4"/>
              </w:rPr>
              <w:t>有害</w:t>
            </w:r>
            <w:r>
              <w:rPr>
                <w:sz w:val="20"/>
                <w:szCs w:val="20"/>
              </w:rPr>
              <w:t xml:space="preserve"> </w:t>
            </w:r>
            <w:r>
              <w:rPr>
                <w:sz w:val="20"/>
                <w:szCs w:val="20"/>
                <w:spacing w:val="3"/>
              </w:rPr>
              <w:t>成分</w:t>
            </w:r>
          </w:p>
        </w:tc>
        <w:tc>
          <w:tcPr>
            <w:tcW w:w="641" w:type="dxa"/>
            <w:vAlign w:val="top"/>
            <w:gridSpan w:val="2"/>
            <w:tcBorders>
              <w:top w:val="single" w:color="000000" w:sz="10" w:space="0"/>
            </w:tcBorders>
          </w:tcPr>
          <w:p>
            <w:pPr>
              <w:pStyle w:val="TableText"/>
              <w:ind w:left="127" w:right="99"/>
              <w:spacing w:before="102" w:line="280" w:lineRule="auto"/>
              <w:rPr>
                <w:sz w:val="20"/>
                <w:szCs w:val="20"/>
              </w:rPr>
            </w:pPr>
            <w:r>
              <w:rPr>
                <w:sz w:val="20"/>
                <w:szCs w:val="20"/>
                <w:spacing w:val="4"/>
              </w:rPr>
              <w:t>产废</w:t>
            </w:r>
            <w:r>
              <w:rPr>
                <w:sz w:val="20"/>
                <w:szCs w:val="20"/>
              </w:rPr>
              <w:t xml:space="preserve"> </w:t>
            </w:r>
            <w:r>
              <w:rPr>
                <w:sz w:val="20"/>
                <w:szCs w:val="20"/>
                <w:spacing w:val="4"/>
              </w:rPr>
              <w:t>周期</w:t>
            </w:r>
          </w:p>
        </w:tc>
        <w:tc>
          <w:tcPr>
            <w:tcW w:w="640" w:type="dxa"/>
            <w:vAlign w:val="top"/>
            <w:tcBorders>
              <w:top w:val="single" w:color="000000" w:sz="10" w:space="0"/>
            </w:tcBorders>
          </w:tcPr>
          <w:p>
            <w:pPr>
              <w:pStyle w:val="TableText"/>
              <w:ind w:left="126" w:right="98" w:firstLine="2"/>
              <w:spacing w:before="101" w:line="280" w:lineRule="auto"/>
              <w:rPr>
                <w:sz w:val="20"/>
                <w:szCs w:val="20"/>
              </w:rPr>
            </w:pPr>
            <w:r>
              <w:rPr>
                <w:sz w:val="20"/>
                <w:szCs w:val="20"/>
                <w:spacing w:val="3"/>
              </w:rPr>
              <w:t>危险</w:t>
            </w:r>
            <w:r>
              <w:rPr>
                <w:sz w:val="20"/>
                <w:szCs w:val="20"/>
              </w:rPr>
              <w:t xml:space="preserve"> </w:t>
            </w:r>
            <w:r>
              <w:rPr>
                <w:sz w:val="20"/>
                <w:szCs w:val="20"/>
                <w:spacing w:val="4"/>
              </w:rPr>
              <w:t>特性</w:t>
            </w:r>
          </w:p>
        </w:tc>
        <w:tc>
          <w:tcPr>
            <w:tcW w:w="1189" w:type="dxa"/>
            <w:vAlign w:val="top"/>
            <w:gridSpan w:val="2"/>
            <w:tcBorders>
              <w:top w:val="single" w:color="000000" w:sz="10" w:space="0"/>
            </w:tcBorders>
          </w:tcPr>
          <w:p>
            <w:pPr>
              <w:pStyle w:val="TableText"/>
              <w:ind w:left="338" w:right="226" w:hanging="209"/>
              <w:spacing w:before="102" w:line="280" w:lineRule="auto"/>
              <w:rPr>
                <w:sz w:val="20"/>
                <w:szCs w:val="20"/>
              </w:rPr>
            </w:pPr>
            <w:r>
              <w:rPr>
                <w:sz w:val="20"/>
                <w:szCs w:val="20"/>
                <w:spacing w:val="6"/>
              </w:rPr>
              <w:t>污染防治</w:t>
            </w:r>
            <w:r>
              <w:rPr>
                <w:sz w:val="20"/>
                <w:szCs w:val="20"/>
                <w:spacing w:val="2"/>
              </w:rPr>
              <w:t xml:space="preserve"> </w:t>
            </w:r>
            <w:r>
              <w:rPr>
                <w:sz w:val="20"/>
                <w:szCs w:val="20"/>
                <w:spacing w:val="4"/>
              </w:rPr>
              <w:t>措施</w:t>
            </w:r>
          </w:p>
        </w:tc>
      </w:tr>
      <w:tr>
        <w:trPr>
          <w:trHeight w:val="1084" w:hRule="atLeast"/>
        </w:trPr>
        <w:tc>
          <w:tcPr>
            <w:tcW w:w="1017" w:type="dxa"/>
            <w:vAlign w:val="top"/>
            <w:vMerge w:val="continue"/>
            <w:tcBorders>
              <w:top w:val="nil"/>
              <w:bottom w:val="nil"/>
            </w:tcBorders>
          </w:tcPr>
          <w:p>
            <w:pPr>
              <w:rPr>
                <w:rFonts w:ascii="Arial"/>
                <w:sz w:val="21"/>
              </w:rPr>
            </w:pPr>
            <w:r/>
          </w:p>
        </w:tc>
        <w:tc>
          <w:tcPr>
            <w:tcW w:w="783" w:type="dxa"/>
            <w:vAlign w:val="top"/>
            <w:vMerge w:val="restart"/>
            <w:tcBorders>
              <w:bottom w:val="nil"/>
            </w:tcBorders>
          </w:tcPr>
          <w:p>
            <w:pPr>
              <w:pStyle w:val="TableText"/>
              <w:ind w:left="239" w:right="129" w:hanging="1"/>
              <w:spacing w:before="110" w:line="280" w:lineRule="auto"/>
              <w:rPr>
                <w:sz w:val="20"/>
                <w:szCs w:val="20"/>
              </w:rPr>
            </w:pPr>
            <w:r>
              <w:rPr>
                <w:sz w:val="20"/>
                <w:szCs w:val="20"/>
                <w:spacing w:val="5"/>
              </w:rPr>
              <w:t>废催</w:t>
            </w:r>
            <w:r>
              <w:rPr>
                <w:sz w:val="20"/>
                <w:szCs w:val="20"/>
              </w:rPr>
              <w:t xml:space="preserve"> </w:t>
            </w:r>
            <w:r>
              <w:rPr>
                <w:sz w:val="20"/>
                <w:szCs w:val="20"/>
                <w:spacing w:val="4"/>
              </w:rPr>
              <w:t>化剂</w:t>
            </w:r>
          </w:p>
          <w:p>
            <w:pPr>
              <w:spacing w:line="417" w:lineRule="auto"/>
              <w:rPr>
                <w:rFonts w:ascii="Arial"/>
                <w:sz w:val="21"/>
              </w:rPr>
            </w:pPr>
            <w:r/>
          </w:p>
          <w:p>
            <w:pPr>
              <w:pStyle w:val="TableText"/>
              <w:ind w:left="241" w:right="129" w:hanging="3"/>
              <w:spacing w:before="65" w:line="281" w:lineRule="auto"/>
              <w:rPr>
                <w:sz w:val="20"/>
                <w:szCs w:val="20"/>
              </w:rPr>
            </w:pPr>
            <w:r>
              <w:rPr>
                <w:sz w:val="20"/>
                <w:szCs w:val="20"/>
                <w:spacing w:val="5"/>
              </w:rPr>
              <w:t>废活</w:t>
            </w:r>
            <w:r>
              <w:rPr>
                <w:sz w:val="20"/>
                <w:szCs w:val="20"/>
              </w:rPr>
              <w:t xml:space="preserve"> </w:t>
            </w:r>
            <w:r>
              <w:rPr>
                <w:sz w:val="20"/>
                <w:szCs w:val="20"/>
                <w:spacing w:val="3"/>
              </w:rPr>
              <w:t>性炭</w:t>
            </w:r>
          </w:p>
          <w:p>
            <w:pPr>
              <w:spacing w:line="413" w:lineRule="auto"/>
              <w:rPr>
                <w:rFonts w:ascii="Arial"/>
                <w:sz w:val="21"/>
              </w:rPr>
            </w:pPr>
            <w:r/>
          </w:p>
          <w:p>
            <w:pPr>
              <w:pStyle w:val="TableText"/>
              <w:ind w:left="238"/>
              <w:spacing w:before="65" w:line="227" w:lineRule="auto"/>
              <w:rPr>
                <w:sz w:val="20"/>
                <w:szCs w:val="20"/>
              </w:rPr>
            </w:pPr>
            <w:r>
              <w:rPr>
                <w:sz w:val="20"/>
                <w:szCs w:val="20"/>
                <w:spacing w:val="5"/>
              </w:rPr>
              <w:t>废机</w:t>
            </w:r>
          </w:p>
          <w:p>
            <w:pPr>
              <w:pStyle w:val="TableText"/>
              <w:ind w:left="347"/>
              <w:spacing w:before="114" w:line="232" w:lineRule="auto"/>
              <w:rPr>
                <w:sz w:val="20"/>
                <w:szCs w:val="20"/>
              </w:rPr>
            </w:pPr>
            <w:r>
              <w:rPr>
                <w:sz w:val="20"/>
                <w:szCs w:val="20"/>
              </w:rPr>
              <w:t>油</w:t>
            </w:r>
          </w:p>
        </w:tc>
        <w:tc>
          <w:tcPr>
            <w:tcW w:w="644" w:type="dxa"/>
            <w:vAlign w:val="top"/>
          </w:tcPr>
          <w:p>
            <w:pPr>
              <w:ind w:left="152"/>
              <w:spacing w:before="150" w:line="35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position w:val="15"/>
              </w:rPr>
              <w:t>HW</w:t>
            </w:r>
          </w:p>
          <w:p>
            <w:pPr>
              <w:ind w:left="221"/>
              <w:spacing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46</w:t>
            </w:r>
          </w:p>
        </w:tc>
        <w:tc>
          <w:tcPr>
            <w:tcW w:w="681" w:type="dxa"/>
            <w:vAlign w:val="top"/>
          </w:tcPr>
          <w:p>
            <w:pPr>
              <w:ind w:left="163"/>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900-</w:t>
            </w:r>
          </w:p>
          <w:p>
            <w:pPr>
              <w:ind w:left="162"/>
              <w:spacing w:before="1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037-</w:t>
            </w:r>
          </w:p>
          <w:p>
            <w:pPr>
              <w:ind w:left="247"/>
              <w:spacing w:before="1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46</w:t>
            </w:r>
          </w:p>
        </w:tc>
        <w:tc>
          <w:tcPr>
            <w:tcW w:w="518" w:type="dxa"/>
            <w:vAlign w:val="top"/>
            <w:gridSpan w:val="2"/>
          </w:tcPr>
          <w:p>
            <w:pPr>
              <w:ind w:left="141"/>
              <w:spacing w:before="147" w:line="356"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position w:val="15"/>
              </w:rPr>
              <w:t>0.5</w:t>
            </w:r>
          </w:p>
          <w:p>
            <w:pPr>
              <w:ind w:left="164"/>
              <w:spacing w:line="19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t/a</w:t>
            </w:r>
          </w:p>
        </w:tc>
        <w:tc>
          <w:tcPr>
            <w:tcW w:w="641" w:type="dxa"/>
            <w:vAlign w:val="top"/>
          </w:tcPr>
          <w:p>
            <w:pPr>
              <w:pStyle w:val="TableText"/>
              <w:ind w:left="129" w:right="100" w:hanging="5"/>
              <w:spacing w:before="112" w:line="282" w:lineRule="auto"/>
              <w:rPr>
                <w:sz w:val="20"/>
                <w:szCs w:val="20"/>
              </w:rPr>
            </w:pPr>
            <w:r>
              <w:rPr>
                <w:sz w:val="20"/>
                <w:szCs w:val="20"/>
                <w:spacing w:val="5"/>
              </w:rPr>
              <w:t>废气</w:t>
            </w:r>
            <w:r>
              <w:rPr>
                <w:sz w:val="20"/>
                <w:szCs w:val="20"/>
              </w:rPr>
              <w:t xml:space="preserve"> </w:t>
            </w:r>
            <w:r>
              <w:rPr>
                <w:sz w:val="20"/>
                <w:szCs w:val="20"/>
                <w:spacing w:val="2"/>
              </w:rPr>
              <w:t>治理</w:t>
            </w:r>
          </w:p>
        </w:tc>
        <w:tc>
          <w:tcPr>
            <w:tcW w:w="396" w:type="dxa"/>
            <w:vAlign w:val="top"/>
            <w:textDirection w:val="tbRlV"/>
          </w:tcPr>
          <w:p>
            <w:pPr>
              <w:pStyle w:val="TableText"/>
              <w:ind w:left="111"/>
              <w:spacing w:before="67" w:line="216" w:lineRule="auto"/>
              <w:rPr>
                <w:sz w:val="20"/>
                <w:szCs w:val="20"/>
              </w:rPr>
            </w:pPr>
            <w:r>
              <w:rPr>
                <w:sz w:val="20"/>
                <w:szCs w:val="20"/>
                <w:spacing w:val="8"/>
              </w:rPr>
              <w:t>固</w:t>
            </w:r>
            <w:r>
              <w:rPr>
                <w:sz w:val="20"/>
                <w:szCs w:val="20"/>
                <w:spacing w:val="51"/>
              </w:rPr>
              <w:t xml:space="preserve"> </w:t>
            </w:r>
            <w:r>
              <w:rPr>
                <w:sz w:val="20"/>
                <w:szCs w:val="20"/>
                <w:spacing w:val="8"/>
              </w:rPr>
              <w:t>态</w:t>
            </w:r>
          </w:p>
        </w:tc>
        <w:tc>
          <w:tcPr>
            <w:tcW w:w="668" w:type="dxa"/>
            <w:vAlign w:val="top"/>
            <w:gridSpan w:val="2"/>
          </w:tcPr>
          <w:p>
            <w:pPr>
              <w:pStyle w:val="TableText"/>
              <w:ind w:left="140" w:right="113" w:hanging="1"/>
              <w:spacing w:before="110" w:line="280" w:lineRule="auto"/>
              <w:rPr>
                <w:sz w:val="20"/>
                <w:szCs w:val="20"/>
              </w:rPr>
            </w:pPr>
            <w:r>
              <w:rPr>
                <w:sz w:val="20"/>
                <w:szCs w:val="20"/>
                <w:spacing w:val="5"/>
              </w:rPr>
              <w:t>废催</w:t>
            </w:r>
            <w:r>
              <w:rPr>
                <w:sz w:val="20"/>
                <w:szCs w:val="20"/>
              </w:rPr>
              <w:t xml:space="preserve"> </w:t>
            </w:r>
            <w:r>
              <w:rPr>
                <w:sz w:val="20"/>
                <w:szCs w:val="20"/>
                <w:spacing w:val="4"/>
              </w:rPr>
              <w:t>化剂</w:t>
            </w:r>
          </w:p>
        </w:tc>
        <w:tc>
          <w:tcPr>
            <w:tcW w:w="708" w:type="dxa"/>
            <w:vAlign w:val="top"/>
          </w:tcPr>
          <w:p>
            <w:pPr>
              <w:pStyle w:val="TableText"/>
              <w:ind w:left="160" w:right="132" w:hanging="1"/>
              <w:spacing w:before="110" w:line="280" w:lineRule="auto"/>
              <w:rPr>
                <w:sz w:val="20"/>
                <w:szCs w:val="20"/>
              </w:rPr>
            </w:pPr>
            <w:r>
              <w:rPr>
                <w:sz w:val="20"/>
                <w:szCs w:val="20"/>
                <w:spacing w:val="5"/>
              </w:rPr>
              <w:t>废催</w:t>
            </w:r>
            <w:r>
              <w:rPr>
                <w:sz w:val="20"/>
                <w:szCs w:val="20"/>
              </w:rPr>
              <w:t xml:space="preserve"> </w:t>
            </w:r>
            <w:r>
              <w:rPr>
                <w:sz w:val="20"/>
                <w:szCs w:val="20"/>
                <w:spacing w:val="4"/>
              </w:rPr>
              <w:t>化剂</w:t>
            </w:r>
          </w:p>
        </w:tc>
        <w:tc>
          <w:tcPr>
            <w:tcW w:w="641" w:type="dxa"/>
            <w:vAlign w:val="top"/>
            <w:gridSpan w:val="2"/>
          </w:tcPr>
          <w:p>
            <w:pPr>
              <w:ind w:left="233"/>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2a</w:t>
            </w:r>
          </w:p>
        </w:tc>
        <w:tc>
          <w:tcPr>
            <w:tcW w:w="640" w:type="dxa"/>
            <w:vAlign w:val="top"/>
          </w:tcPr>
          <w:p>
            <w:pPr>
              <w:pStyle w:val="TableText"/>
              <w:ind w:left="129"/>
              <w:spacing w:before="151" w:line="18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T</w:t>
            </w:r>
            <w:r>
              <w:rPr>
                <w:rFonts w:ascii="Times New Roman" w:hAnsi="Times New Roman" w:eastAsia="Times New Roman" w:cs="Times New Roman"/>
                <w:sz w:val="20"/>
                <w:szCs w:val="20"/>
                <w:spacing w:val="-21"/>
              </w:rPr>
              <w:t xml:space="preserve"> </w:t>
            </w:r>
            <w:r>
              <w:rPr>
                <w:sz w:val="20"/>
                <w:szCs w:val="20"/>
                <w:spacing w:val="-5"/>
              </w:rPr>
              <w:t>，</w:t>
            </w:r>
            <w:r>
              <w:rPr>
                <w:rFonts w:ascii="Times New Roman" w:hAnsi="Times New Roman" w:eastAsia="Times New Roman" w:cs="Times New Roman"/>
                <w:sz w:val="20"/>
                <w:szCs w:val="20"/>
                <w:spacing w:val="-5"/>
              </w:rPr>
              <w:t>I</w:t>
            </w:r>
          </w:p>
        </w:tc>
        <w:tc>
          <w:tcPr>
            <w:tcW w:w="1189" w:type="dxa"/>
            <w:vAlign w:val="top"/>
            <w:gridSpan w:val="2"/>
            <w:vMerge w:val="restart"/>
            <w:tcBorders>
              <w:bottom w:val="nil"/>
            </w:tcBorders>
          </w:tcPr>
          <w:p>
            <w:pPr>
              <w:pStyle w:val="TableText"/>
              <w:ind w:left="127" w:right="226"/>
              <w:spacing w:before="108" w:line="312" w:lineRule="auto"/>
              <w:rPr>
                <w:sz w:val="20"/>
                <w:szCs w:val="20"/>
              </w:rPr>
            </w:pPr>
            <w:r>
              <w:rPr>
                <w:sz w:val="20"/>
                <w:szCs w:val="20"/>
                <w:spacing w:val="7"/>
              </w:rPr>
              <w:t>集中收，</w:t>
            </w:r>
            <w:r>
              <w:rPr>
                <w:sz w:val="20"/>
                <w:szCs w:val="20"/>
              </w:rPr>
              <w:t xml:space="preserve"> </w:t>
            </w:r>
            <w:r>
              <w:rPr>
                <w:sz w:val="20"/>
                <w:szCs w:val="20"/>
                <w:spacing w:val="7"/>
              </w:rPr>
              <w:t>暂存危废</w:t>
            </w:r>
            <w:r>
              <w:rPr>
                <w:sz w:val="20"/>
                <w:szCs w:val="20"/>
              </w:rPr>
              <w:t xml:space="preserve"> </w:t>
            </w:r>
            <w:r>
              <w:rPr>
                <w:sz w:val="20"/>
                <w:szCs w:val="20"/>
                <w:spacing w:val="7"/>
              </w:rPr>
              <w:t>间，委托</w:t>
            </w:r>
            <w:r>
              <w:rPr>
                <w:sz w:val="20"/>
                <w:szCs w:val="20"/>
              </w:rPr>
              <w:t xml:space="preserve"> </w:t>
            </w:r>
            <w:r>
              <w:rPr>
                <w:sz w:val="20"/>
                <w:szCs w:val="20"/>
                <w:spacing w:val="7"/>
              </w:rPr>
              <w:t>有资质单</w:t>
            </w:r>
            <w:r>
              <w:rPr>
                <w:sz w:val="20"/>
                <w:szCs w:val="20"/>
              </w:rPr>
              <w:t xml:space="preserve"> </w:t>
            </w:r>
            <w:r>
              <w:rPr>
                <w:sz w:val="20"/>
                <w:szCs w:val="20"/>
                <w:spacing w:val="7"/>
              </w:rPr>
              <w:t>位进行处</w:t>
            </w:r>
          </w:p>
          <w:p>
            <w:pPr>
              <w:pStyle w:val="TableText"/>
              <w:ind w:left="440"/>
              <w:spacing w:before="113" w:line="233" w:lineRule="auto"/>
              <w:rPr>
                <w:sz w:val="20"/>
                <w:szCs w:val="20"/>
              </w:rPr>
            </w:pPr>
            <w:r>
              <w:rPr>
                <w:sz w:val="20"/>
                <w:szCs w:val="20"/>
                <w:spacing w:val="2"/>
              </w:rPr>
              <w:t>置</w:t>
            </w:r>
          </w:p>
        </w:tc>
      </w:tr>
      <w:tr>
        <w:trPr>
          <w:trHeight w:val="1085" w:hRule="atLeast"/>
        </w:trPr>
        <w:tc>
          <w:tcPr>
            <w:tcW w:w="1017" w:type="dxa"/>
            <w:vAlign w:val="top"/>
            <w:vMerge w:val="continue"/>
            <w:tcBorders>
              <w:top w:val="nil"/>
              <w:bottom w:val="nil"/>
            </w:tcBorders>
          </w:tcPr>
          <w:p>
            <w:pPr>
              <w:rPr>
                <w:rFonts w:ascii="Arial"/>
                <w:sz w:val="21"/>
              </w:rPr>
            </w:pPr>
            <w:r/>
          </w:p>
        </w:tc>
        <w:tc>
          <w:tcPr>
            <w:tcW w:w="783" w:type="dxa"/>
            <w:vAlign w:val="top"/>
            <w:vMerge w:val="continue"/>
            <w:tcBorders>
              <w:bottom w:val="nil"/>
              <w:top w:val="nil"/>
            </w:tcBorders>
          </w:tcPr>
          <w:p>
            <w:pPr>
              <w:rPr>
                <w:rFonts w:ascii="Arial"/>
                <w:sz w:val="21"/>
              </w:rPr>
            </w:pPr>
            <w:r/>
          </w:p>
        </w:tc>
        <w:tc>
          <w:tcPr>
            <w:tcW w:w="644" w:type="dxa"/>
            <w:vAlign w:val="top"/>
          </w:tcPr>
          <w:p>
            <w:pPr>
              <w:ind w:left="152"/>
              <w:spacing w:before="153" w:line="35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position w:val="15"/>
              </w:rPr>
              <w:t>HW</w:t>
            </w:r>
          </w:p>
          <w:p>
            <w:pPr>
              <w:ind w:left="221"/>
              <w:spacing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49</w:t>
            </w:r>
          </w:p>
        </w:tc>
        <w:tc>
          <w:tcPr>
            <w:tcW w:w="681" w:type="dxa"/>
            <w:vAlign w:val="top"/>
          </w:tcPr>
          <w:p>
            <w:pPr>
              <w:ind w:left="163"/>
              <w:spacing w:before="15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900-</w:t>
            </w:r>
          </w:p>
          <w:p>
            <w:pPr>
              <w:ind w:left="162"/>
              <w:spacing w:before="1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039-</w:t>
            </w:r>
          </w:p>
          <w:p>
            <w:pPr>
              <w:ind w:left="247"/>
              <w:spacing w:before="1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49</w:t>
            </w:r>
          </w:p>
        </w:tc>
        <w:tc>
          <w:tcPr>
            <w:tcW w:w="518" w:type="dxa"/>
            <w:vAlign w:val="top"/>
            <w:gridSpan w:val="2"/>
          </w:tcPr>
          <w:p>
            <w:pPr>
              <w:ind w:left="141"/>
              <w:spacing w:before="15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p>
            <w:pPr>
              <w:ind w:left="180"/>
              <w:spacing w:before="16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1t/</w:t>
            </w:r>
          </w:p>
          <w:p>
            <w:pPr>
              <w:ind w:left="227"/>
              <w:spacing w:before="219" w:line="140"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rPr>
              <w:t>a</w:t>
            </w:r>
          </w:p>
        </w:tc>
        <w:tc>
          <w:tcPr>
            <w:tcW w:w="641" w:type="dxa"/>
            <w:vAlign w:val="top"/>
          </w:tcPr>
          <w:p>
            <w:pPr>
              <w:pStyle w:val="TableText"/>
              <w:ind w:left="129" w:right="100" w:hanging="5"/>
              <w:spacing w:before="115" w:line="282" w:lineRule="auto"/>
              <w:rPr>
                <w:sz w:val="20"/>
                <w:szCs w:val="20"/>
              </w:rPr>
            </w:pPr>
            <w:r>
              <w:rPr>
                <w:sz w:val="20"/>
                <w:szCs w:val="20"/>
                <w:spacing w:val="5"/>
              </w:rPr>
              <w:t>废气</w:t>
            </w:r>
            <w:r>
              <w:rPr>
                <w:sz w:val="20"/>
                <w:szCs w:val="20"/>
              </w:rPr>
              <w:t xml:space="preserve"> </w:t>
            </w:r>
            <w:r>
              <w:rPr>
                <w:sz w:val="20"/>
                <w:szCs w:val="20"/>
                <w:spacing w:val="2"/>
              </w:rPr>
              <w:t>治理</w:t>
            </w:r>
          </w:p>
        </w:tc>
        <w:tc>
          <w:tcPr>
            <w:tcW w:w="396" w:type="dxa"/>
            <w:vAlign w:val="top"/>
            <w:textDirection w:val="tbRlV"/>
          </w:tcPr>
          <w:p>
            <w:pPr>
              <w:pStyle w:val="TableText"/>
              <w:ind w:left="114"/>
              <w:spacing w:before="67" w:line="216" w:lineRule="auto"/>
              <w:rPr>
                <w:sz w:val="20"/>
                <w:szCs w:val="20"/>
              </w:rPr>
            </w:pPr>
            <w:r>
              <w:rPr>
                <w:sz w:val="20"/>
                <w:szCs w:val="20"/>
                <w:spacing w:val="8"/>
              </w:rPr>
              <w:t>固</w:t>
            </w:r>
            <w:r>
              <w:rPr>
                <w:sz w:val="20"/>
                <w:szCs w:val="20"/>
                <w:spacing w:val="51"/>
              </w:rPr>
              <w:t xml:space="preserve"> </w:t>
            </w:r>
            <w:r>
              <w:rPr>
                <w:sz w:val="20"/>
                <w:szCs w:val="20"/>
                <w:spacing w:val="8"/>
              </w:rPr>
              <w:t>态</w:t>
            </w:r>
          </w:p>
        </w:tc>
        <w:tc>
          <w:tcPr>
            <w:tcW w:w="668" w:type="dxa"/>
            <w:vAlign w:val="top"/>
            <w:gridSpan w:val="2"/>
          </w:tcPr>
          <w:p>
            <w:pPr>
              <w:pStyle w:val="TableText"/>
              <w:ind w:left="142" w:right="113" w:hanging="3"/>
              <w:spacing w:before="113" w:line="281" w:lineRule="auto"/>
              <w:rPr>
                <w:sz w:val="20"/>
                <w:szCs w:val="20"/>
              </w:rPr>
            </w:pPr>
            <w:r>
              <w:rPr>
                <w:sz w:val="20"/>
                <w:szCs w:val="20"/>
                <w:spacing w:val="5"/>
              </w:rPr>
              <w:t>废活</w:t>
            </w:r>
            <w:r>
              <w:rPr>
                <w:sz w:val="20"/>
                <w:szCs w:val="20"/>
              </w:rPr>
              <w:t xml:space="preserve"> </w:t>
            </w:r>
            <w:r>
              <w:rPr>
                <w:sz w:val="20"/>
                <w:szCs w:val="20"/>
                <w:spacing w:val="3"/>
              </w:rPr>
              <w:t>性炭</w:t>
            </w:r>
          </w:p>
        </w:tc>
        <w:tc>
          <w:tcPr>
            <w:tcW w:w="708" w:type="dxa"/>
            <w:vAlign w:val="top"/>
          </w:tcPr>
          <w:p>
            <w:pPr>
              <w:pStyle w:val="TableText"/>
              <w:ind w:left="162" w:right="132" w:hanging="3"/>
              <w:spacing w:before="113" w:line="281" w:lineRule="auto"/>
              <w:rPr>
                <w:sz w:val="20"/>
                <w:szCs w:val="20"/>
              </w:rPr>
            </w:pPr>
            <w:r>
              <w:rPr>
                <w:sz w:val="20"/>
                <w:szCs w:val="20"/>
                <w:spacing w:val="5"/>
              </w:rPr>
              <w:t>废活</w:t>
            </w:r>
            <w:r>
              <w:rPr>
                <w:sz w:val="20"/>
                <w:szCs w:val="20"/>
              </w:rPr>
              <w:t xml:space="preserve"> </w:t>
            </w:r>
            <w:r>
              <w:rPr>
                <w:sz w:val="20"/>
                <w:szCs w:val="20"/>
                <w:spacing w:val="3"/>
              </w:rPr>
              <w:t>性炭</w:t>
            </w:r>
          </w:p>
        </w:tc>
        <w:tc>
          <w:tcPr>
            <w:tcW w:w="641" w:type="dxa"/>
            <w:vAlign w:val="top"/>
            <w:gridSpan w:val="2"/>
          </w:tcPr>
          <w:p>
            <w:pPr>
              <w:ind w:left="233"/>
              <w:spacing w:before="15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2a</w:t>
            </w:r>
          </w:p>
        </w:tc>
        <w:tc>
          <w:tcPr>
            <w:tcW w:w="640" w:type="dxa"/>
            <w:vAlign w:val="top"/>
          </w:tcPr>
          <w:p>
            <w:pPr>
              <w:pStyle w:val="TableText"/>
              <w:ind w:left="129"/>
              <w:spacing w:before="154" w:line="18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T</w:t>
            </w:r>
            <w:r>
              <w:rPr>
                <w:rFonts w:ascii="Times New Roman" w:hAnsi="Times New Roman" w:eastAsia="Times New Roman" w:cs="Times New Roman"/>
                <w:sz w:val="20"/>
                <w:szCs w:val="20"/>
                <w:spacing w:val="-21"/>
              </w:rPr>
              <w:t xml:space="preserve"> </w:t>
            </w:r>
            <w:r>
              <w:rPr>
                <w:sz w:val="20"/>
                <w:szCs w:val="20"/>
                <w:spacing w:val="-5"/>
              </w:rPr>
              <w:t>，</w:t>
            </w:r>
            <w:r>
              <w:rPr>
                <w:rFonts w:ascii="Times New Roman" w:hAnsi="Times New Roman" w:eastAsia="Times New Roman" w:cs="Times New Roman"/>
                <w:sz w:val="20"/>
                <w:szCs w:val="20"/>
                <w:spacing w:val="-5"/>
              </w:rPr>
              <w:t>I</w:t>
            </w:r>
          </w:p>
        </w:tc>
        <w:tc>
          <w:tcPr>
            <w:tcW w:w="1189" w:type="dxa"/>
            <w:vAlign w:val="top"/>
            <w:gridSpan w:val="2"/>
            <w:vMerge w:val="continue"/>
            <w:tcBorders>
              <w:bottom w:val="nil"/>
              <w:top w:val="nil"/>
            </w:tcBorders>
          </w:tcPr>
          <w:p>
            <w:pPr>
              <w:rPr>
                <w:rFonts w:ascii="Arial"/>
                <w:sz w:val="21"/>
              </w:rPr>
            </w:pPr>
            <w:r/>
          </w:p>
        </w:tc>
      </w:tr>
      <w:tr>
        <w:trPr>
          <w:trHeight w:val="1094" w:hRule="atLeast"/>
        </w:trPr>
        <w:tc>
          <w:tcPr>
            <w:tcW w:w="1017" w:type="dxa"/>
            <w:vAlign w:val="top"/>
            <w:vMerge w:val="continue"/>
            <w:tcBorders>
              <w:top w:val="nil"/>
              <w:bottom w:val="nil"/>
            </w:tcBorders>
          </w:tcPr>
          <w:p>
            <w:pPr>
              <w:rPr>
                <w:rFonts w:ascii="Arial"/>
                <w:sz w:val="21"/>
              </w:rPr>
            </w:pPr>
            <w:r/>
          </w:p>
        </w:tc>
        <w:tc>
          <w:tcPr>
            <w:tcW w:w="783" w:type="dxa"/>
            <w:vAlign w:val="top"/>
            <w:vMerge w:val="continue"/>
            <w:tcBorders>
              <w:bottom w:val="single" w:color="000000" w:sz="10" w:space="0"/>
              <w:top w:val="nil"/>
            </w:tcBorders>
          </w:tcPr>
          <w:p>
            <w:pPr>
              <w:rPr>
                <w:rFonts w:ascii="Arial"/>
                <w:sz w:val="21"/>
              </w:rPr>
            </w:pPr>
            <w:r/>
          </w:p>
        </w:tc>
        <w:tc>
          <w:tcPr>
            <w:tcW w:w="644" w:type="dxa"/>
            <w:vAlign w:val="top"/>
            <w:tcBorders>
              <w:bottom w:val="single" w:color="000000" w:sz="10" w:space="0"/>
            </w:tcBorders>
          </w:tcPr>
          <w:p>
            <w:pPr>
              <w:ind w:left="152"/>
              <w:spacing w:before="15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HW</w:t>
            </w:r>
          </w:p>
          <w:p>
            <w:pPr>
              <w:ind w:left="225"/>
              <w:spacing w:before="1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08</w:t>
            </w:r>
          </w:p>
        </w:tc>
        <w:tc>
          <w:tcPr>
            <w:tcW w:w="681" w:type="dxa"/>
            <w:vAlign w:val="top"/>
            <w:tcBorders>
              <w:bottom w:val="single" w:color="000000" w:sz="10" w:space="0"/>
            </w:tcBorders>
          </w:tcPr>
          <w:p>
            <w:pPr>
              <w:ind w:left="163"/>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900-</w:t>
            </w:r>
          </w:p>
          <w:p>
            <w:pPr>
              <w:ind w:left="159"/>
              <w:spacing w:before="1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214-</w:t>
            </w:r>
          </w:p>
          <w:p>
            <w:pPr>
              <w:ind w:left="251"/>
              <w:spacing w:before="1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08</w:t>
            </w:r>
          </w:p>
        </w:tc>
        <w:tc>
          <w:tcPr>
            <w:tcW w:w="518" w:type="dxa"/>
            <w:vAlign w:val="top"/>
            <w:gridSpan w:val="2"/>
            <w:tcBorders>
              <w:bottom w:val="single" w:color="000000" w:sz="10" w:space="0"/>
            </w:tcBorders>
          </w:tcPr>
          <w:p>
            <w:pPr>
              <w:ind w:left="141"/>
              <w:spacing w:before="150" w:line="356"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position w:val="15"/>
              </w:rPr>
              <w:t>0.5</w:t>
            </w:r>
          </w:p>
          <w:p>
            <w:pPr>
              <w:ind w:left="164"/>
              <w:spacing w:line="19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t/a</w:t>
            </w:r>
          </w:p>
        </w:tc>
        <w:tc>
          <w:tcPr>
            <w:tcW w:w="641" w:type="dxa"/>
            <w:vAlign w:val="top"/>
            <w:tcBorders>
              <w:bottom w:val="single" w:color="000000" w:sz="10" w:space="0"/>
            </w:tcBorders>
          </w:tcPr>
          <w:p>
            <w:pPr>
              <w:pStyle w:val="TableText"/>
              <w:ind w:left="128" w:right="100" w:hanging="4"/>
              <w:spacing w:before="114" w:line="280" w:lineRule="auto"/>
              <w:rPr>
                <w:sz w:val="20"/>
                <w:szCs w:val="20"/>
              </w:rPr>
            </w:pPr>
            <w:r>
              <w:rPr>
                <w:sz w:val="20"/>
                <w:szCs w:val="20"/>
                <w:spacing w:val="5"/>
              </w:rPr>
              <w:t>机械</w:t>
            </w:r>
            <w:r>
              <w:rPr>
                <w:sz w:val="20"/>
                <w:szCs w:val="20"/>
              </w:rPr>
              <w:t xml:space="preserve"> </w:t>
            </w:r>
            <w:r>
              <w:rPr>
                <w:sz w:val="20"/>
                <w:szCs w:val="20"/>
                <w:spacing w:val="3"/>
              </w:rPr>
              <w:t>维修</w:t>
            </w:r>
          </w:p>
        </w:tc>
        <w:tc>
          <w:tcPr>
            <w:tcW w:w="396" w:type="dxa"/>
            <w:vAlign w:val="top"/>
            <w:textDirection w:val="tbRlV"/>
            <w:tcBorders>
              <w:bottom w:val="single" w:color="000000" w:sz="10" w:space="0"/>
            </w:tcBorders>
          </w:tcPr>
          <w:p>
            <w:pPr>
              <w:pStyle w:val="TableText"/>
              <w:ind w:left="114"/>
              <w:spacing w:before="67" w:line="216" w:lineRule="auto"/>
              <w:rPr>
                <w:sz w:val="20"/>
                <w:szCs w:val="20"/>
              </w:rPr>
            </w:pPr>
            <w:r>
              <w:rPr>
                <w:sz w:val="20"/>
                <w:szCs w:val="20"/>
                <w:spacing w:val="8"/>
              </w:rPr>
              <w:t>液</w:t>
            </w:r>
            <w:r>
              <w:rPr>
                <w:sz w:val="20"/>
                <w:szCs w:val="20"/>
                <w:spacing w:val="51"/>
              </w:rPr>
              <w:t xml:space="preserve"> </w:t>
            </w:r>
            <w:r>
              <w:rPr>
                <w:sz w:val="20"/>
                <w:szCs w:val="20"/>
                <w:spacing w:val="8"/>
              </w:rPr>
              <w:t>态</w:t>
            </w:r>
          </w:p>
        </w:tc>
        <w:tc>
          <w:tcPr>
            <w:tcW w:w="668" w:type="dxa"/>
            <w:vAlign w:val="top"/>
            <w:gridSpan w:val="2"/>
            <w:tcBorders>
              <w:bottom w:val="single" w:color="000000" w:sz="10" w:space="0"/>
            </w:tcBorders>
          </w:tcPr>
          <w:p>
            <w:pPr>
              <w:pStyle w:val="TableText"/>
              <w:ind w:left="139"/>
              <w:spacing w:before="113" w:line="227" w:lineRule="auto"/>
              <w:rPr>
                <w:sz w:val="20"/>
                <w:szCs w:val="20"/>
              </w:rPr>
            </w:pPr>
            <w:r>
              <w:rPr>
                <w:sz w:val="20"/>
                <w:szCs w:val="20"/>
                <w:spacing w:val="5"/>
              </w:rPr>
              <w:t>机油</w:t>
            </w:r>
          </w:p>
        </w:tc>
        <w:tc>
          <w:tcPr>
            <w:tcW w:w="708" w:type="dxa"/>
            <w:vAlign w:val="top"/>
            <w:tcBorders>
              <w:bottom w:val="single" w:color="000000" w:sz="10" w:space="0"/>
            </w:tcBorders>
          </w:tcPr>
          <w:p>
            <w:pPr>
              <w:pStyle w:val="TableText"/>
              <w:ind w:left="159" w:right="132"/>
              <w:spacing w:before="113" w:line="281" w:lineRule="auto"/>
              <w:rPr>
                <w:sz w:val="20"/>
                <w:szCs w:val="20"/>
              </w:rPr>
            </w:pPr>
            <w:r>
              <w:rPr>
                <w:sz w:val="20"/>
                <w:szCs w:val="20"/>
                <w:spacing w:val="5"/>
              </w:rPr>
              <w:t>废矿</w:t>
            </w:r>
            <w:r>
              <w:rPr>
                <w:sz w:val="20"/>
                <w:szCs w:val="20"/>
              </w:rPr>
              <w:t xml:space="preserve"> </w:t>
            </w:r>
            <w:r>
              <w:rPr>
                <w:sz w:val="20"/>
                <w:szCs w:val="20"/>
                <w:spacing w:val="4"/>
              </w:rPr>
              <w:t>物油</w:t>
            </w:r>
          </w:p>
        </w:tc>
        <w:tc>
          <w:tcPr>
            <w:tcW w:w="641" w:type="dxa"/>
            <w:vAlign w:val="top"/>
            <w:gridSpan w:val="2"/>
            <w:tcBorders>
              <w:bottom w:val="single" w:color="000000" w:sz="10" w:space="0"/>
            </w:tcBorders>
          </w:tcPr>
          <w:p>
            <w:pPr>
              <w:ind w:left="176"/>
              <w:spacing w:before="14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26d</w:t>
            </w:r>
          </w:p>
        </w:tc>
        <w:tc>
          <w:tcPr>
            <w:tcW w:w="640" w:type="dxa"/>
            <w:vAlign w:val="top"/>
            <w:tcBorders>
              <w:bottom w:val="single" w:color="000000" w:sz="10" w:space="0"/>
            </w:tcBorders>
          </w:tcPr>
          <w:p>
            <w:pPr>
              <w:pStyle w:val="TableText"/>
              <w:ind w:left="129"/>
              <w:spacing w:before="153" w:line="18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T</w:t>
            </w:r>
            <w:r>
              <w:rPr>
                <w:rFonts w:ascii="Times New Roman" w:hAnsi="Times New Roman" w:eastAsia="Times New Roman" w:cs="Times New Roman"/>
                <w:sz w:val="20"/>
                <w:szCs w:val="20"/>
                <w:spacing w:val="-21"/>
              </w:rPr>
              <w:t xml:space="preserve"> </w:t>
            </w:r>
            <w:r>
              <w:rPr>
                <w:sz w:val="20"/>
                <w:szCs w:val="20"/>
                <w:spacing w:val="-5"/>
              </w:rPr>
              <w:t>，</w:t>
            </w:r>
            <w:r>
              <w:rPr>
                <w:rFonts w:ascii="Times New Roman" w:hAnsi="Times New Roman" w:eastAsia="Times New Roman" w:cs="Times New Roman"/>
                <w:sz w:val="20"/>
                <w:szCs w:val="20"/>
                <w:spacing w:val="-5"/>
              </w:rPr>
              <w:t>I</w:t>
            </w:r>
          </w:p>
        </w:tc>
        <w:tc>
          <w:tcPr>
            <w:tcW w:w="1189" w:type="dxa"/>
            <w:vAlign w:val="top"/>
            <w:gridSpan w:val="2"/>
            <w:vMerge w:val="continue"/>
            <w:tcBorders>
              <w:bottom w:val="single" w:color="000000" w:sz="10" w:space="0"/>
              <w:top w:val="nil"/>
            </w:tcBorders>
          </w:tcPr>
          <w:p>
            <w:pPr>
              <w:rPr>
                <w:rFonts w:ascii="Arial"/>
                <w:sz w:val="21"/>
              </w:rPr>
            </w:pPr>
            <w:r/>
          </w:p>
        </w:tc>
      </w:tr>
      <w:tr>
        <w:trPr>
          <w:trHeight w:val="508" w:hRule="atLeast"/>
        </w:trPr>
        <w:tc>
          <w:tcPr>
            <w:tcW w:w="1017" w:type="dxa"/>
            <w:vAlign w:val="top"/>
            <w:vMerge w:val="continue"/>
            <w:tcBorders>
              <w:top w:val="nil"/>
            </w:tcBorders>
          </w:tcPr>
          <w:p>
            <w:pPr>
              <w:rPr>
                <w:rFonts w:ascii="Arial"/>
                <w:sz w:val="21"/>
              </w:rPr>
            </w:pPr>
            <w:r/>
          </w:p>
        </w:tc>
        <w:tc>
          <w:tcPr>
            <w:tcW w:w="7509" w:type="dxa"/>
            <w:vAlign w:val="top"/>
            <w:gridSpan w:val="15"/>
            <w:tcBorders>
              <w:top w:val="single" w:color="000000" w:sz="10" w:space="0"/>
            </w:tcBorders>
          </w:tcPr>
          <w:p>
            <w:pPr>
              <w:pStyle w:val="TableText"/>
              <w:ind w:left="589"/>
              <w:spacing w:before="190" w:line="220" w:lineRule="auto"/>
              <w:outlineLvl w:val="2"/>
              <w:rPr/>
            </w:pPr>
            <w:hyperlink w:history="true" r:id="rId222">
              <w:r>
                <w:rPr>
                  <w:rFonts w:ascii="Times New Roman" w:hAnsi="Times New Roman" w:eastAsia="Times New Roman" w:cs="Times New Roman"/>
                  <w:b/>
                  <w:bCs/>
                </w:rPr>
                <w:t>4.2.4.2</w:t>
              </w:r>
            </w:hyperlink>
            <w:r>
              <w:rPr>
                <w:rFonts w:ascii="Times New Roman" w:hAnsi="Times New Roman" w:eastAsia="Times New Roman" w:cs="Times New Roman"/>
                <w:b/>
                <w:bCs/>
              </w:rPr>
              <w:t xml:space="preserve">  </w:t>
            </w:r>
            <w:r>
              <w:rPr>
                <w14:textOutline w14:w="4358" w14:cap="sq" w14:cmpd="sng">
                  <w14:solidFill>
                    <w14:srgbClr w14:val="000000"/>
                  </w14:solidFill>
                  <w14:prstDash w14:val="solid"/>
                  <w14:bevel/>
                </w14:textOutline>
              </w:rPr>
              <w:t>营运期固废防治措施</w:t>
            </w:r>
          </w:p>
        </w:tc>
      </w:tr>
    </w:tbl>
    <w:p>
      <w:pPr>
        <w:pStyle w:val="BodyText"/>
        <w:rPr/>
      </w:pPr>
      <w:r/>
    </w:p>
    <w:p>
      <w:pPr>
        <w:sectPr>
          <w:footerReference w:type="default" r:id="rId221"/>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17"/>
        <w:gridCol w:w="7509"/>
      </w:tblGrid>
      <w:tr>
        <w:trPr>
          <w:trHeight w:val="13577" w:hRule="atLeast"/>
        </w:trPr>
        <w:tc>
          <w:tcPr>
            <w:tcW w:w="1017" w:type="dxa"/>
            <w:vAlign w:val="top"/>
          </w:tcPr>
          <w:p>
            <w:pPr>
              <w:rPr>
                <w:rFonts w:ascii="Arial"/>
                <w:sz w:val="21"/>
              </w:rPr>
            </w:pPr>
            <w:r/>
          </w:p>
        </w:tc>
        <w:tc>
          <w:tcPr>
            <w:tcW w:w="7509" w:type="dxa"/>
            <w:vAlign w:val="top"/>
          </w:tcPr>
          <w:p>
            <w:pPr>
              <w:pStyle w:val="TableText"/>
              <w:ind w:left="595"/>
              <w:spacing w:before="200" w:line="499" w:lineRule="exact"/>
              <w:rPr/>
            </w:pPr>
            <w:r>
              <w:rPr>
                <w:spacing w:val="3"/>
                <w:position w:val="19"/>
              </w:rPr>
              <w:t>各类固废分类收集，不得相互混合。建设单位须建立统</w:t>
            </w:r>
            <w:r>
              <w:rPr>
                <w:spacing w:val="2"/>
                <w:position w:val="19"/>
              </w:rPr>
              <w:t>一的固废</w:t>
            </w:r>
          </w:p>
          <w:p>
            <w:pPr>
              <w:pStyle w:val="TableText"/>
              <w:ind w:left="115"/>
              <w:spacing w:line="219" w:lineRule="auto"/>
              <w:rPr/>
            </w:pPr>
            <w:r>
              <w:rPr>
                <w:spacing w:val="-1"/>
              </w:rPr>
              <w:t>分类收集制度，工业固体废物与危险废物不得混合。</w:t>
            </w:r>
          </w:p>
          <w:p>
            <w:pPr>
              <w:pStyle w:val="TableText"/>
              <w:ind w:left="596"/>
              <w:spacing w:before="214" w:line="501" w:lineRule="exact"/>
              <w:rPr/>
            </w:pPr>
            <w:r>
              <w:rPr>
                <w:spacing w:val="3"/>
                <w:position w:val="19"/>
              </w:rPr>
              <w:t>企业在项目建成后切实落实上述固废的处置措施，做</w:t>
            </w:r>
            <w:r>
              <w:rPr>
                <w:spacing w:val="2"/>
                <w:position w:val="19"/>
              </w:rPr>
              <w:t>到及时安全</w:t>
            </w:r>
          </w:p>
          <w:p>
            <w:pPr>
              <w:pStyle w:val="TableText"/>
              <w:ind w:left="117"/>
              <w:spacing w:line="218" w:lineRule="auto"/>
              <w:rPr/>
            </w:pPr>
            <w:r>
              <w:rPr>
                <w:spacing w:val="-1"/>
              </w:rPr>
              <w:t>处置与清运，本项目产生固废对环境的影响在可以接受的范围。</w:t>
            </w:r>
          </w:p>
          <w:p>
            <w:pPr>
              <w:pStyle w:val="TableText"/>
              <w:ind w:left="589"/>
              <w:spacing w:before="215" w:line="219" w:lineRule="auto"/>
              <w:outlineLvl w:val="2"/>
              <w:rPr/>
            </w:pPr>
            <w:hyperlink w:history="true" r:id="rId224">
              <w:r>
                <w:rPr>
                  <w:rFonts w:ascii="Times New Roman" w:hAnsi="Times New Roman" w:eastAsia="Times New Roman" w:cs="Times New Roman"/>
                  <w:b/>
                  <w:bCs/>
                  <w:spacing w:val="-1"/>
                </w:rPr>
                <w:t>4.2.4.3</w:t>
              </w:r>
            </w:hyperlink>
            <w:r>
              <w:rPr>
                <w14:textOutline w14:w="4358" w14:cap="sq" w14:cmpd="sng">
                  <w14:solidFill>
                    <w14:srgbClr w14:val="000000"/>
                  </w14:solidFill>
                  <w14:prstDash w14:val="solid"/>
                  <w14:bevel/>
                </w14:textOutline>
                <w:spacing w:val="-1"/>
              </w:rPr>
              <w:t>环境管理要求</w:t>
            </w:r>
          </w:p>
          <w:p>
            <w:pPr>
              <w:pStyle w:val="TableText"/>
              <w:ind w:left="604"/>
              <w:spacing w:before="214" w:line="221" w:lineRule="auto"/>
              <w:rPr/>
            </w:pPr>
            <w:r>
              <w:rPr>
                <w:spacing w:val="-3"/>
              </w:rPr>
              <w:t>（</w:t>
            </w:r>
            <w:r>
              <w:rPr>
                <w:rFonts w:ascii="Times New Roman" w:hAnsi="Times New Roman" w:eastAsia="Times New Roman" w:cs="Times New Roman"/>
                <w:spacing w:val="-3"/>
              </w:rPr>
              <w:t>1</w:t>
            </w:r>
            <w:r>
              <w:rPr>
                <w:spacing w:val="-3"/>
              </w:rPr>
              <w:t>）一般要求</w:t>
            </w:r>
          </w:p>
          <w:p>
            <w:pPr>
              <w:pStyle w:val="TableText"/>
              <w:ind w:left="613"/>
              <w:spacing w:before="224" w:line="218" w:lineRule="auto"/>
              <w:rPr/>
            </w:pPr>
            <w:r>
              <w:rPr>
                <w:spacing w:val="-1"/>
              </w:rPr>
              <w:t>固体废物污染防治法规定</w:t>
            </w:r>
            <w:r>
              <w:rPr>
                <w:rFonts w:ascii="Times New Roman" w:hAnsi="Times New Roman" w:eastAsia="Times New Roman" w:cs="Times New Roman"/>
                <w:spacing w:val="-1"/>
              </w:rPr>
              <w:t>“</w:t>
            </w:r>
            <w:r>
              <w:rPr>
                <w:spacing w:val="-1"/>
              </w:rPr>
              <w:t>建设项目的环境影响评价文</w:t>
            </w:r>
            <w:r>
              <w:rPr>
                <w:spacing w:val="-2"/>
              </w:rPr>
              <w:t>件确定需</w:t>
            </w:r>
          </w:p>
          <w:p>
            <w:pPr>
              <w:pStyle w:val="TableText"/>
              <w:ind w:left="112" w:right="26" w:firstLine="1"/>
              <w:spacing w:before="198" w:line="369" w:lineRule="auto"/>
              <w:rPr/>
            </w:pPr>
            <w:r>
              <w:rPr>
                <w:spacing w:val="-3"/>
              </w:rPr>
              <w:t>要配套建设的固体废物污染环境防治设施，必须与主体工程同时设计、</w:t>
            </w:r>
            <w:r>
              <w:rPr>
                <w:spacing w:val="15"/>
              </w:rPr>
              <w:t xml:space="preserve"> </w:t>
            </w:r>
            <w:r>
              <w:rPr/>
              <w:t>同时施工、同时投入使用。固体废物污染环境</w:t>
            </w:r>
            <w:r>
              <w:rPr>
                <w:spacing w:val="-1"/>
              </w:rPr>
              <w:t>防治设施必须经原审批</w:t>
            </w:r>
            <w:r>
              <w:rPr/>
              <w:t xml:space="preserve">  </w:t>
            </w:r>
            <w:r>
              <w:rPr/>
              <w:t>环境影响评价文件的环境保护行政主管部门验</w:t>
            </w:r>
            <w:r>
              <w:rPr>
                <w:spacing w:val="-1"/>
              </w:rPr>
              <w:t>收合格后，该建设项目</w:t>
            </w:r>
            <w:r>
              <w:rPr/>
              <w:t xml:space="preserve">  </w:t>
            </w:r>
            <w:r>
              <w:rPr/>
              <w:t>方可投入生产或者使用。对固体废物污染环境</w:t>
            </w:r>
            <w:r>
              <w:rPr>
                <w:spacing w:val="-1"/>
              </w:rPr>
              <w:t>防治设施的验收应当与</w:t>
            </w:r>
            <w:r>
              <w:rPr/>
              <w:t xml:space="preserve">  </w:t>
            </w:r>
            <w:r>
              <w:rPr>
                <w:spacing w:val="-2"/>
              </w:rPr>
              <w:t>对主体工程的验收同时进行</w:t>
            </w:r>
            <w:r>
              <w:rPr>
                <w:rFonts w:ascii="Times New Roman" w:hAnsi="Times New Roman" w:eastAsia="Times New Roman" w:cs="Times New Roman"/>
                <w:spacing w:val="-2"/>
              </w:rPr>
              <w:t>”</w:t>
            </w:r>
            <w:r>
              <w:rPr>
                <w:rFonts w:ascii="Times New Roman" w:hAnsi="Times New Roman" w:eastAsia="Times New Roman" w:cs="Times New Roman"/>
                <w:spacing w:val="-21"/>
              </w:rPr>
              <w:t xml:space="preserve"> </w:t>
            </w:r>
            <w:r>
              <w:rPr>
                <w:spacing w:val="-2"/>
              </w:rPr>
              <w:t>。根据这些规定，本项目固体废物污染环</w:t>
            </w:r>
          </w:p>
          <w:p>
            <w:pPr>
              <w:pStyle w:val="TableText"/>
              <w:ind w:left="113"/>
              <w:spacing w:before="1" w:line="219" w:lineRule="auto"/>
              <w:rPr/>
            </w:pPr>
            <w:r>
              <w:rPr>
                <w:spacing w:val="-1"/>
              </w:rPr>
              <w:t>境防治设施必须做到“三同时</w:t>
            </w:r>
            <w:r>
              <w:rPr>
                <w:spacing w:val="-84"/>
              </w:rPr>
              <w:t xml:space="preserve"> </w:t>
            </w:r>
            <w:r>
              <w:rPr>
                <w:spacing w:val="-1"/>
              </w:rPr>
              <w:t>”。</w:t>
            </w:r>
          </w:p>
          <w:p>
            <w:pPr>
              <w:pStyle w:val="TableText"/>
              <w:ind w:left="595"/>
              <w:spacing w:before="195" w:line="480" w:lineRule="exact"/>
              <w:rPr/>
            </w:pPr>
            <w:r>
              <w:rPr>
                <w:spacing w:val="-1"/>
                <w:position w:val="18"/>
              </w:rPr>
              <w:t>为了进一步降低固体废物的影响，建议建设单位在实践中逐步确</w:t>
            </w:r>
          </w:p>
          <w:p>
            <w:pPr>
              <w:pStyle w:val="TableText"/>
              <w:ind w:left="118"/>
              <w:spacing w:line="219" w:lineRule="auto"/>
              <w:rPr/>
            </w:pPr>
            <w:r>
              <w:rPr>
                <w:spacing w:val="-1"/>
              </w:rPr>
              <w:t>定新的废物管理模式，对所有固体废物进行监控管理。</w:t>
            </w:r>
          </w:p>
          <w:p>
            <w:pPr>
              <w:pStyle w:val="TableText"/>
              <w:ind w:left="592"/>
              <w:spacing w:before="195" w:line="217" w:lineRule="auto"/>
              <w:rPr/>
            </w:pPr>
            <w:r>
              <w:rPr>
                <w:spacing w:val="-2"/>
              </w:rPr>
              <w:t>①全过程管理</w:t>
            </w:r>
          </w:p>
          <w:p>
            <w:pPr>
              <w:pStyle w:val="TableText"/>
              <w:ind w:left="114" w:right="26" w:firstLine="495"/>
              <w:spacing w:before="198" w:line="369" w:lineRule="auto"/>
              <w:rPr/>
            </w:pPr>
            <w:r>
              <w:rPr>
                <w:spacing w:val="-3"/>
              </w:rPr>
              <w:t>即对废物从</w:t>
            </w:r>
            <w:r>
              <w:rPr>
                <w:rFonts w:ascii="Times New Roman" w:hAnsi="Times New Roman" w:eastAsia="Times New Roman" w:cs="Times New Roman"/>
                <w:spacing w:val="-3"/>
              </w:rPr>
              <w:t>“</w:t>
            </w:r>
            <w:r>
              <w:rPr>
                <w:rFonts w:ascii="Times New Roman" w:hAnsi="Times New Roman" w:eastAsia="Times New Roman" w:cs="Times New Roman"/>
                <w:spacing w:val="-31"/>
              </w:rPr>
              <w:t xml:space="preserve"> </w:t>
            </w:r>
            <w:r>
              <w:rPr>
                <w:spacing w:val="-3"/>
              </w:rPr>
              <w:t>出生</w:t>
            </w:r>
            <w:r>
              <w:rPr>
                <w:rFonts w:ascii="Times New Roman" w:hAnsi="Times New Roman" w:eastAsia="Times New Roman" w:cs="Times New Roman"/>
                <w:spacing w:val="-3"/>
              </w:rPr>
              <w:t>”</w:t>
            </w:r>
            <w:r>
              <w:rPr>
                <w:spacing w:val="-3"/>
              </w:rPr>
              <w:t>那一时刻起对废物的产生、收集</w:t>
            </w:r>
            <w:r>
              <w:rPr>
                <w:spacing w:val="-4"/>
              </w:rPr>
              <w:t>、运输、贮存、</w:t>
            </w:r>
            <w:r>
              <w:rPr/>
              <w:t xml:space="preserve"> </w:t>
            </w:r>
            <w:r>
              <w:rPr>
                <w:spacing w:val="-1"/>
              </w:rPr>
              <w:t>再循环、再利用、加工处理直至最终处置实行全过程管理，以实现废</w:t>
            </w:r>
          </w:p>
          <w:p>
            <w:pPr>
              <w:pStyle w:val="TableText"/>
              <w:ind w:left="112"/>
              <w:spacing w:before="1" w:line="220" w:lineRule="auto"/>
              <w:rPr/>
            </w:pPr>
            <w:r>
              <w:rPr>
                <w:spacing w:val="-1"/>
              </w:rPr>
              <w:t>物减量化、资源化和无害化。</w:t>
            </w:r>
          </w:p>
          <w:p>
            <w:pPr>
              <w:pStyle w:val="TableText"/>
              <w:ind w:left="591"/>
              <w:spacing w:before="194" w:line="217" w:lineRule="auto"/>
              <w:rPr/>
            </w:pPr>
            <w:r>
              <w:rPr>
                <w:spacing w:val="-1"/>
              </w:rPr>
              <w:t>②对排放废物进行审计</w:t>
            </w:r>
          </w:p>
          <w:p>
            <w:pPr>
              <w:pStyle w:val="TableText"/>
              <w:ind w:left="113" w:right="200" w:firstLine="478"/>
              <w:spacing w:before="198" w:line="369" w:lineRule="auto"/>
              <w:rPr/>
            </w:pPr>
            <w:r>
              <w:rPr>
                <w:spacing w:val="-1"/>
              </w:rPr>
              <w:t>废物审计制度是对废物从产生、处理到处置排放实行全过程监督</w:t>
            </w:r>
            <w:r>
              <w:rPr>
                <w:spacing w:val="18"/>
              </w:rPr>
              <w:t xml:space="preserve"> </w:t>
            </w:r>
            <w:r>
              <w:rPr>
                <w:spacing w:val="-1"/>
              </w:rPr>
              <w:t>的有效手段。其主要内容有：废物合理的产生量；废物流向和分配及</w:t>
            </w:r>
            <w:r>
              <w:rPr>
                <w:spacing w:val="18"/>
              </w:rPr>
              <w:t xml:space="preserve"> </w:t>
            </w:r>
            <w:r>
              <w:rPr>
                <w:spacing w:val="-1"/>
              </w:rPr>
              <w:t>监测记录；废物处理和转化；废物有效排放和废物总量衡算；废物从</w:t>
            </w:r>
          </w:p>
          <w:p>
            <w:pPr>
              <w:pStyle w:val="TableText"/>
              <w:ind w:left="112"/>
              <w:spacing w:before="1" w:line="217" w:lineRule="auto"/>
              <w:rPr/>
            </w:pPr>
            <w:r>
              <w:rPr>
                <w:spacing w:val="-1"/>
              </w:rPr>
              <w:t>产生到处理的全过程评估。</w:t>
            </w:r>
          </w:p>
          <w:p>
            <w:pPr>
              <w:pStyle w:val="TableText"/>
              <w:ind w:left="604"/>
              <w:spacing w:before="198" w:line="219" w:lineRule="auto"/>
              <w:rPr/>
            </w:pPr>
            <w:r>
              <w:rPr>
                <w:spacing w:val="-2"/>
              </w:rPr>
              <w:t>（</w:t>
            </w:r>
            <w:r>
              <w:rPr>
                <w:rFonts w:ascii="Times New Roman" w:hAnsi="Times New Roman" w:eastAsia="Times New Roman" w:cs="Times New Roman"/>
                <w:spacing w:val="-2"/>
              </w:rPr>
              <w:t>2</w:t>
            </w:r>
            <w:r>
              <w:rPr>
                <w:spacing w:val="-2"/>
              </w:rPr>
              <w:t>）危险废物管理要求</w:t>
            </w:r>
          </w:p>
          <w:p>
            <w:pPr>
              <w:pStyle w:val="TableText"/>
              <w:ind w:left="112" w:right="200" w:firstLine="483"/>
              <w:spacing w:before="195" w:line="369" w:lineRule="auto"/>
              <w:rPr/>
            </w:pPr>
            <w:r>
              <w:rPr>
                <w:spacing w:val="-1"/>
              </w:rPr>
              <w:t>危险废物管理包括危险废物贮存措施、危险废物转运措施、危险</w:t>
            </w:r>
            <w:r>
              <w:rPr>
                <w:spacing w:val="14"/>
              </w:rPr>
              <w:t xml:space="preserve"> </w:t>
            </w:r>
            <w:r>
              <w:rPr/>
              <w:t>废物安全处置措施等环节。本次环评要求严格</w:t>
            </w:r>
            <w:r>
              <w:rPr>
                <w:spacing w:val="-1"/>
              </w:rPr>
              <w:t>按照《危险废物贮存污</w:t>
            </w:r>
          </w:p>
          <w:p>
            <w:pPr>
              <w:pStyle w:val="TableText"/>
              <w:ind w:left="116"/>
              <w:spacing w:line="213" w:lineRule="auto"/>
              <w:rPr/>
            </w:pPr>
            <w:r>
              <w:rPr>
                <w:spacing w:val="-2"/>
              </w:rPr>
              <w:t>染控制标准》（</w:t>
            </w:r>
            <w:r>
              <w:rPr>
                <w:rFonts w:ascii="Times New Roman" w:hAnsi="Times New Roman" w:eastAsia="Times New Roman" w:cs="Times New Roman"/>
                <w:spacing w:val="-2"/>
              </w:rPr>
              <w:t>GB</w:t>
            </w:r>
            <w:r>
              <w:rPr>
                <w:rFonts w:ascii="Times New Roman" w:hAnsi="Times New Roman" w:eastAsia="Times New Roman" w:cs="Times New Roman"/>
                <w:spacing w:val="40"/>
              </w:rPr>
              <w:t xml:space="preserve"> </w:t>
            </w:r>
            <w:r>
              <w:rPr>
                <w:rFonts w:ascii="Times New Roman" w:hAnsi="Times New Roman" w:eastAsia="Times New Roman" w:cs="Times New Roman"/>
                <w:spacing w:val="-2"/>
              </w:rPr>
              <w:t>18597-2023</w:t>
            </w:r>
            <w:r>
              <w:rPr>
                <w:spacing w:val="-2"/>
              </w:rPr>
              <w:t>）、《危险废物收集 贮存 运输技术规</w:t>
            </w:r>
          </w:p>
        </w:tc>
      </w:tr>
    </w:tbl>
    <w:p>
      <w:pPr>
        <w:pStyle w:val="BodyText"/>
        <w:rPr/>
      </w:pPr>
      <w:r/>
    </w:p>
    <w:p>
      <w:pPr>
        <w:sectPr>
          <w:footerReference w:type="default" r:id="rId223"/>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17"/>
        <w:gridCol w:w="7509"/>
      </w:tblGrid>
      <w:tr>
        <w:trPr>
          <w:trHeight w:val="13417" w:hRule="atLeast"/>
        </w:trPr>
        <w:tc>
          <w:tcPr>
            <w:tcW w:w="1017" w:type="dxa"/>
            <w:vAlign w:val="top"/>
          </w:tcPr>
          <w:p>
            <w:pPr>
              <w:rPr>
                <w:rFonts w:ascii="Arial"/>
                <w:sz w:val="21"/>
              </w:rPr>
            </w:pPr>
            <w:r/>
          </w:p>
        </w:tc>
        <w:tc>
          <w:tcPr>
            <w:tcW w:w="7509" w:type="dxa"/>
            <w:vAlign w:val="top"/>
          </w:tcPr>
          <w:p>
            <w:pPr>
              <w:pStyle w:val="TableText"/>
              <w:ind w:left="115" w:right="106" w:firstLine="2"/>
              <w:spacing w:before="211" w:line="369" w:lineRule="auto"/>
              <w:jc w:val="both"/>
              <w:rPr/>
            </w:pPr>
            <w:r>
              <w:rPr>
                <w:spacing w:val="-1"/>
              </w:rPr>
              <w:t>范》（</w:t>
            </w:r>
            <w:r>
              <w:rPr>
                <w:rFonts w:ascii="Times New Roman" w:hAnsi="Times New Roman" w:eastAsia="Times New Roman" w:cs="Times New Roman"/>
                <w:spacing w:val="-1"/>
              </w:rPr>
              <w:t>HJ2025-2012</w:t>
            </w:r>
            <w:r>
              <w:rPr>
                <w:spacing w:val="-1"/>
              </w:rPr>
              <w:t>）和《危险废物转移管理办法》（生态环境部 公</w:t>
            </w:r>
            <w:r>
              <w:rPr>
                <w:spacing w:val="9"/>
              </w:rPr>
              <w:t xml:space="preserve">  </w:t>
            </w:r>
            <w:r>
              <w:rPr>
                <w:spacing w:val="-2"/>
              </w:rPr>
              <w:t>安部 交通运输部 部令第</w:t>
            </w:r>
            <w:r>
              <w:rPr>
                <w:spacing w:val="-51"/>
              </w:rPr>
              <w:t xml:space="preserve"> </w:t>
            </w:r>
            <w:r>
              <w:rPr>
                <w:rFonts w:ascii="Times New Roman" w:hAnsi="Times New Roman" w:eastAsia="Times New Roman" w:cs="Times New Roman"/>
                <w:spacing w:val="-2"/>
              </w:rPr>
              <w:t>23</w:t>
            </w:r>
            <w:r>
              <w:rPr>
                <w:rFonts w:ascii="Times New Roman" w:hAnsi="Times New Roman" w:eastAsia="Times New Roman" w:cs="Times New Roman"/>
                <w:spacing w:val="15"/>
              </w:rPr>
              <w:t xml:space="preserve"> </w:t>
            </w:r>
            <w:r>
              <w:rPr>
                <w:spacing w:val="-2"/>
              </w:rPr>
              <w:t>号）相关要求对其进行贮存、转移及制度</w:t>
            </w:r>
            <w:r>
              <w:rPr/>
              <w:t xml:space="preserve"> </w:t>
            </w:r>
            <w:r>
              <w:rPr>
                <w:spacing w:val="-1"/>
              </w:rPr>
              <w:t>性管理。根据国家产生危险废物的单位应当以控制危险废物的环境风 </w:t>
            </w:r>
            <w:r>
              <w:rPr>
                <w:spacing w:val="-1"/>
              </w:rPr>
              <w:t>险为目标，企业应制定危险废物管理计划和应急预案并报所在地县级</w:t>
            </w:r>
          </w:p>
          <w:p>
            <w:pPr>
              <w:pStyle w:val="TableText"/>
              <w:ind w:left="140"/>
              <w:spacing w:line="219" w:lineRule="auto"/>
              <w:rPr/>
            </w:pPr>
            <w:r>
              <w:rPr>
                <w:spacing w:val="-4"/>
              </w:rPr>
              <w:t>以上地方环保部门备案。</w:t>
            </w:r>
          </w:p>
          <w:p>
            <w:pPr>
              <w:pStyle w:val="TableText"/>
              <w:ind w:left="112" w:right="106" w:firstLine="480"/>
              <w:spacing w:before="187" w:line="384" w:lineRule="auto"/>
              <w:rPr/>
            </w:pPr>
            <w:r>
              <w:rPr>
                <w:spacing w:val="3"/>
              </w:rPr>
              <w:t>本项目产生的危险废物依托企业已建暂存间，已建危废间储</w:t>
            </w:r>
            <w:r>
              <w:rPr>
                <w:spacing w:val="2"/>
              </w:rPr>
              <w:t>存种</w:t>
            </w:r>
            <w:r>
              <w:rPr/>
              <w:t xml:space="preserve"> </w:t>
            </w:r>
            <w:r>
              <w:rPr>
                <w:spacing w:val="-1"/>
              </w:rPr>
              <w:t>类包含废</w:t>
            </w:r>
            <w:r>
              <w:rPr>
                <w:rFonts w:ascii="Times New Roman" w:hAnsi="Times New Roman" w:eastAsia="Times New Roman" w:cs="Times New Roman"/>
                <w:spacing w:val="-1"/>
              </w:rPr>
              <w:t>UV</w:t>
            </w:r>
            <w:r>
              <w:rPr>
                <w:spacing w:val="-1"/>
              </w:rPr>
              <w:t>光氧灯管，因此，本项目依托现有危险废物暂存间合理可</w:t>
            </w:r>
            <w:r>
              <w:rPr>
                <w:spacing w:val="7"/>
              </w:rPr>
              <w:t xml:space="preserve"> </w:t>
            </w:r>
            <w:r>
              <w:rPr>
                <w:spacing w:val="3"/>
              </w:rPr>
              <w:t>行，无需进行改造。危险废物贮存需满足《危险废物</w:t>
            </w:r>
            <w:r>
              <w:rPr>
                <w:spacing w:val="2"/>
              </w:rPr>
              <w:t>贮存污染控制标</w:t>
            </w:r>
            <w:r>
              <w:rPr/>
              <w:t xml:space="preserve"> </w:t>
            </w:r>
            <w:r>
              <w:rPr>
                <w:spacing w:val="3"/>
              </w:rPr>
              <w:t>准》（</w:t>
            </w:r>
            <w:r>
              <w:rPr>
                <w:rFonts w:ascii="Times New Roman" w:hAnsi="Times New Roman" w:eastAsia="Times New Roman" w:cs="Times New Roman"/>
              </w:rPr>
              <w:t>GB</w:t>
            </w:r>
            <w:r>
              <w:rPr>
                <w:rFonts w:ascii="Times New Roman" w:hAnsi="Times New Roman" w:eastAsia="Times New Roman" w:cs="Times New Roman"/>
                <w:spacing w:val="42"/>
                <w:w w:val="101"/>
              </w:rPr>
              <w:t xml:space="preserve"> </w:t>
            </w:r>
            <w:r>
              <w:rPr>
                <w:rFonts w:ascii="Times New Roman" w:hAnsi="Times New Roman" w:eastAsia="Times New Roman" w:cs="Times New Roman"/>
                <w:spacing w:val="3"/>
              </w:rPr>
              <w:t>18597-2023</w:t>
            </w:r>
            <w:r>
              <w:rPr>
                <w:spacing w:val="3"/>
              </w:rPr>
              <w:t>）</w:t>
            </w:r>
            <w:r>
              <w:rPr>
                <w:spacing w:val="-65"/>
              </w:rPr>
              <w:t xml:space="preserve"> </w:t>
            </w:r>
            <w:r>
              <w:rPr>
                <w:spacing w:val="3"/>
              </w:rPr>
              <w:t>以及《危险废物收集 贮存 运输技术规范》</w:t>
            </w:r>
            <w:r>
              <w:rPr/>
              <w:t xml:space="preserve"> </w:t>
            </w:r>
            <w:r>
              <w:rPr>
                <w:spacing w:val="-1"/>
              </w:rPr>
              <w:t>（</w:t>
            </w:r>
            <w:r>
              <w:rPr>
                <w:rFonts w:ascii="Times New Roman" w:hAnsi="Times New Roman" w:eastAsia="Times New Roman" w:cs="Times New Roman"/>
                <w:spacing w:val="-1"/>
              </w:rPr>
              <w:t>HJ2025-2012</w:t>
            </w:r>
            <w:r>
              <w:rPr>
                <w:spacing w:val="-1"/>
              </w:rPr>
              <w:t>）要求，委托有资质的单位进行处置。本项目危险废物</w:t>
            </w:r>
          </w:p>
          <w:p>
            <w:pPr>
              <w:pStyle w:val="TableText"/>
              <w:ind w:left="112"/>
              <w:spacing w:line="219" w:lineRule="auto"/>
              <w:rPr/>
            </w:pPr>
            <w:r>
              <w:rPr>
                <w:spacing w:val="-1"/>
              </w:rPr>
              <w:t>在收集、转运时需满足以下要求：</w:t>
            </w:r>
          </w:p>
          <w:p>
            <w:pPr>
              <w:pStyle w:val="TableText"/>
              <w:ind w:left="592"/>
              <w:spacing w:before="216" w:line="217" w:lineRule="auto"/>
              <w:rPr/>
            </w:pPr>
            <w:r>
              <w:rPr>
                <w:spacing w:val="-2"/>
              </w:rPr>
              <w:t>①危险废物的收集</w:t>
            </w:r>
          </w:p>
          <w:p>
            <w:pPr>
              <w:pStyle w:val="TableText"/>
              <w:ind w:left="116" w:right="106" w:firstLine="475"/>
              <w:spacing w:before="215" w:line="385" w:lineRule="auto"/>
              <w:rPr/>
            </w:pPr>
            <w:r>
              <w:rPr>
                <w:rFonts w:ascii="Times New Roman" w:hAnsi="Times New Roman" w:eastAsia="Times New Roman" w:cs="Times New Roman"/>
                <w:spacing w:val="-3"/>
              </w:rPr>
              <w:t>a.</w:t>
            </w:r>
            <w:r>
              <w:rPr>
                <w:spacing w:val="-3"/>
              </w:rPr>
              <w:t>危险废物产生单位进行的危险废物收集包括两个方面，一是在危</w:t>
            </w:r>
            <w:r>
              <w:rPr>
                <w:spacing w:val="7"/>
              </w:rPr>
              <w:t xml:space="preserve"> </w:t>
            </w:r>
            <w:r>
              <w:rPr>
                <w:spacing w:val="3"/>
              </w:rPr>
              <w:t>险废物产生节点将危险废物集中到适当的包</w:t>
            </w:r>
            <w:r>
              <w:rPr>
                <w:spacing w:val="2"/>
              </w:rPr>
              <w:t>装容器中或运输车辆上的</w:t>
            </w:r>
            <w:r>
              <w:rPr/>
              <w:t xml:space="preserve"> </w:t>
            </w:r>
            <w:r>
              <w:rPr>
                <w:spacing w:val="3"/>
              </w:rPr>
              <w:t>活动；二是将已包装或装到运输车辆上的危</w:t>
            </w:r>
            <w:r>
              <w:rPr>
                <w:spacing w:val="2"/>
              </w:rPr>
              <w:t>险废物集中到危险废物产</w:t>
            </w:r>
          </w:p>
          <w:p>
            <w:pPr>
              <w:pStyle w:val="TableText"/>
              <w:ind w:left="114"/>
              <w:spacing w:before="1" w:line="219" w:lineRule="auto"/>
              <w:rPr/>
            </w:pPr>
            <w:r>
              <w:rPr>
                <w:spacing w:val="-1"/>
              </w:rPr>
              <w:t>生单位内部临时贮存设施的内部转运。</w:t>
            </w:r>
          </w:p>
          <w:p>
            <w:pPr>
              <w:pStyle w:val="TableText"/>
              <w:ind w:left="583"/>
              <w:spacing w:before="214" w:line="501" w:lineRule="exact"/>
              <w:rPr/>
            </w:pPr>
            <w:r>
              <w:rPr>
                <w:rFonts w:ascii="Times New Roman" w:hAnsi="Times New Roman" w:eastAsia="Times New Roman" w:cs="Times New Roman"/>
                <w:spacing w:val="-3"/>
                <w:position w:val="19"/>
              </w:rPr>
              <w:t>b.</w:t>
            </w:r>
            <w:r>
              <w:rPr>
                <w:spacing w:val="-3"/>
                <w:position w:val="19"/>
              </w:rPr>
              <w:t>危险废物的收集应根据危险废物产生的工艺特征、排放周期、危</w:t>
            </w:r>
          </w:p>
          <w:p>
            <w:pPr>
              <w:pStyle w:val="TableText"/>
              <w:ind w:left="126"/>
              <w:spacing w:before="1" w:line="219" w:lineRule="auto"/>
              <w:rPr/>
            </w:pPr>
            <w:r>
              <w:rPr>
                <w:spacing w:val="-1"/>
              </w:rPr>
              <w:t>险废物特性、废物管理计划等因素制定收集计</w:t>
            </w:r>
            <w:r>
              <w:rPr>
                <w:spacing w:val="-2"/>
              </w:rPr>
              <w:t>划。</w:t>
            </w:r>
          </w:p>
          <w:p>
            <w:pPr>
              <w:pStyle w:val="TableText"/>
              <w:ind w:left="134" w:right="106" w:firstLine="457"/>
              <w:spacing w:before="214" w:line="385" w:lineRule="auto"/>
              <w:rPr/>
            </w:pPr>
            <w:r>
              <w:rPr>
                <w:rFonts w:ascii="Times New Roman" w:hAnsi="Times New Roman" w:eastAsia="Times New Roman" w:cs="Times New Roman"/>
                <w:spacing w:val="-3"/>
              </w:rPr>
              <w:t>c.</w:t>
            </w:r>
            <w:r>
              <w:rPr>
                <w:spacing w:val="-3"/>
              </w:rPr>
              <w:t>危险废物的收集应制定详细的操作规程，内容至少应包括适用范</w:t>
            </w:r>
            <w:r>
              <w:rPr>
                <w:spacing w:val="7"/>
              </w:rPr>
              <w:t xml:space="preserve"> </w:t>
            </w:r>
            <w:r>
              <w:rPr>
                <w:spacing w:val="2"/>
              </w:rPr>
              <w:t>围、操作程序和方法、专用设备和工具、转移和交接、安全保障和应</w:t>
            </w:r>
          </w:p>
          <w:p>
            <w:pPr>
              <w:pStyle w:val="TableText"/>
              <w:ind w:left="120"/>
              <w:spacing w:line="219" w:lineRule="auto"/>
              <w:rPr/>
            </w:pPr>
            <w:r>
              <w:rPr>
                <w:spacing w:val="-4"/>
              </w:rPr>
              <w:t>急防护等。</w:t>
            </w:r>
          </w:p>
          <w:p>
            <w:pPr>
              <w:pStyle w:val="TableText"/>
              <w:ind w:left="591"/>
              <w:spacing w:before="214" w:line="499" w:lineRule="exact"/>
              <w:rPr/>
            </w:pPr>
            <w:r>
              <w:rPr>
                <w:rFonts w:ascii="Times New Roman" w:hAnsi="Times New Roman" w:eastAsia="Times New Roman" w:cs="Times New Roman"/>
                <w:spacing w:val="5"/>
                <w:position w:val="19"/>
              </w:rPr>
              <w:t>d.</w:t>
            </w:r>
            <w:r>
              <w:rPr>
                <w:spacing w:val="5"/>
                <w:position w:val="19"/>
              </w:rPr>
              <w:t>危险废物收集和转运作业人员应根据工作需要配备必要</w:t>
            </w:r>
            <w:r>
              <w:rPr>
                <w:spacing w:val="4"/>
                <w:position w:val="19"/>
              </w:rPr>
              <w:t>的个人</w:t>
            </w:r>
          </w:p>
          <w:p>
            <w:pPr>
              <w:pStyle w:val="TableText"/>
              <w:ind w:left="128"/>
              <w:spacing w:before="1" w:line="219" w:lineRule="auto"/>
              <w:rPr/>
            </w:pPr>
            <w:r>
              <w:rPr>
                <w:spacing w:val="-1"/>
              </w:rPr>
              <w:t>防护装备，如手套、防护镜、防护服、防毒面具或口罩等。</w:t>
            </w:r>
          </w:p>
          <w:p>
            <w:pPr>
              <w:pStyle w:val="TableText"/>
              <w:ind w:left="128" w:right="106" w:firstLine="464"/>
              <w:spacing w:before="216" w:line="384" w:lineRule="auto"/>
              <w:rPr/>
            </w:pPr>
            <w:r>
              <w:rPr>
                <w:rFonts w:ascii="Times New Roman" w:hAnsi="Times New Roman" w:eastAsia="Times New Roman" w:cs="Times New Roman"/>
                <w:spacing w:val="-3"/>
              </w:rPr>
              <w:t>e.</w:t>
            </w:r>
            <w:r>
              <w:rPr>
                <w:spacing w:val="-3"/>
              </w:rPr>
              <w:t>在危险废物的收集和转运过程中，应采取相应的安全防护和污染</w:t>
            </w:r>
            <w:r>
              <w:rPr>
                <w:spacing w:val="7"/>
              </w:rPr>
              <w:t xml:space="preserve"> </w:t>
            </w:r>
            <w:r>
              <w:rPr>
                <w:spacing w:val="2"/>
              </w:rPr>
              <w:t>防治措施，包括防爆、防火、防中毒、防感染、防泄露、防飞扬、防</w:t>
            </w:r>
          </w:p>
          <w:p>
            <w:pPr>
              <w:pStyle w:val="TableText"/>
              <w:ind w:left="122"/>
              <w:spacing w:line="220" w:lineRule="auto"/>
              <w:rPr/>
            </w:pPr>
            <w:r>
              <w:rPr>
                <w:spacing w:val="-2"/>
              </w:rPr>
              <w:t>雨或其它防止污染环境的措施。</w:t>
            </w:r>
          </w:p>
          <w:p>
            <w:pPr>
              <w:pStyle w:val="TableText"/>
              <w:ind w:left="592"/>
              <w:spacing w:before="216" w:line="219" w:lineRule="auto"/>
              <w:rPr/>
            </w:pPr>
            <w:r>
              <w:rPr>
                <w:rFonts w:ascii="Times New Roman" w:hAnsi="Times New Roman" w:eastAsia="Times New Roman" w:cs="Times New Roman"/>
                <w:spacing w:val="-2"/>
              </w:rPr>
              <w:t>f.</w:t>
            </w:r>
            <w:r>
              <w:rPr>
                <w:spacing w:val="-2"/>
              </w:rPr>
              <w:t>危险废物收集时应根据危险废物的种类、数量、危险特性、物理</w:t>
            </w:r>
          </w:p>
        </w:tc>
      </w:tr>
    </w:tbl>
    <w:p>
      <w:pPr>
        <w:pStyle w:val="BodyText"/>
        <w:rPr/>
      </w:pPr>
      <w:r/>
    </w:p>
    <w:p>
      <w:pPr>
        <w:sectPr>
          <w:footerReference w:type="default" r:id="rId225"/>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17"/>
        <w:gridCol w:w="7509"/>
      </w:tblGrid>
      <w:tr>
        <w:trPr>
          <w:trHeight w:val="13517" w:hRule="atLeast"/>
        </w:trPr>
        <w:tc>
          <w:tcPr>
            <w:tcW w:w="1017" w:type="dxa"/>
            <w:vAlign w:val="top"/>
          </w:tcPr>
          <w:p>
            <w:pPr>
              <w:rPr>
                <w:rFonts w:ascii="Arial"/>
                <w:sz w:val="21"/>
              </w:rPr>
            </w:pPr>
            <w:r/>
          </w:p>
        </w:tc>
        <w:tc>
          <w:tcPr>
            <w:tcW w:w="7509" w:type="dxa"/>
            <w:vAlign w:val="top"/>
          </w:tcPr>
          <w:p>
            <w:pPr>
              <w:pStyle w:val="TableText"/>
              <w:ind w:left="115"/>
              <w:spacing w:before="200" w:line="499" w:lineRule="exact"/>
              <w:rPr/>
            </w:pPr>
            <w:r>
              <w:rPr>
                <w:spacing w:val="-1"/>
                <w:position w:val="19"/>
              </w:rPr>
              <w:t>形态、运输要求等因素确定包装形式。</w:t>
            </w:r>
          </w:p>
          <w:p>
            <w:pPr>
              <w:pStyle w:val="TableText"/>
              <w:ind w:left="591"/>
              <w:spacing w:line="217" w:lineRule="auto"/>
              <w:rPr/>
            </w:pPr>
            <w:r>
              <w:rPr>
                <w:spacing w:val="-2"/>
              </w:rPr>
              <w:t>②危险废物贮存</w:t>
            </w:r>
          </w:p>
          <w:p>
            <w:pPr>
              <w:pStyle w:val="TableText"/>
              <w:ind w:left="592"/>
              <w:spacing w:before="216" w:line="502" w:lineRule="exact"/>
              <w:rPr/>
            </w:pPr>
            <w:r>
              <w:rPr>
                <w:rFonts w:ascii="Times New Roman" w:hAnsi="Times New Roman" w:eastAsia="Times New Roman" w:cs="Times New Roman"/>
                <w:spacing w:val="5"/>
                <w:position w:val="19"/>
              </w:rPr>
              <w:t>a.</w:t>
            </w:r>
            <w:r>
              <w:rPr>
                <w:spacing w:val="5"/>
                <w:position w:val="19"/>
              </w:rPr>
              <w:t>所有危险废物产生者和危险废物经营者应建造专用的危险废物</w:t>
            </w:r>
          </w:p>
          <w:p>
            <w:pPr>
              <w:pStyle w:val="TableText"/>
              <w:ind w:left="113"/>
              <w:spacing w:line="219" w:lineRule="auto"/>
              <w:rPr/>
            </w:pPr>
            <w:r>
              <w:rPr>
                <w:spacing w:val="-3"/>
              </w:rPr>
              <w:t>贮存设施。</w:t>
            </w:r>
          </w:p>
          <w:p>
            <w:pPr>
              <w:pStyle w:val="TableText"/>
              <w:ind w:left="583"/>
              <w:spacing w:before="214" w:line="499" w:lineRule="exact"/>
              <w:rPr/>
            </w:pPr>
            <w:r>
              <w:rPr>
                <w:rFonts w:ascii="Times New Roman" w:hAnsi="Times New Roman" w:eastAsia="Times New Roman" w:cs="Times New Roman"/>
                <w:spacing w:val="-3"/>
                <w:position w:val="19"/>
              </w:rPr>
              <w:t>b.</w:t>
            </w:r>
            <w:r>
              <w:rPr>
                <w:spacing w:val="-3"/>
                <w:position w:val="19"/>
              </w:rPr>
              <w:t>在常温常压下易爆、易燃及排出有毒气体的危险废物必须进行预</w:t>
            </w:r>
          </w:p>
          <w:p>
            <w:pPr>
              <w:pStyle w:val="TableText"/>
              <w:ind w:left="117"/>
              <w:spacing w:before="1" w:line="217" w:lineRule="auto"/>
              <w:rPr/>
            </w:pPr>
            <w:r>
              <w:rPr>
                <w:spacing w:val="-1"/>
              </w:rPr>
              <w:t>处理，使之稳定后贮存，否则，按易爆、易燃危险品贮存。</w:t>
            </w:r>
          </w:p>
          <w:p>
            <w:pPr>
              <w:pStyle w:val="TableText"/>
              <w:ind w:left="591"/>
              <w:spacing w:before="218" w:line="499" w:lineRule="exact"/>
              <w:rPr/>
            </w:pPr>
            <w:r>
              <w:rPr>
                <w:rFonts w:ascii="Times New Roman" w:hAnsi="Times New Roman" w:eastAsia="Times New Roman" w:cs="Times New Roman"/>
                <w:spacing w:val="-3"/>
                <w:position w:val="19"/>
              </w:rPr>
              <w:t>c.</w:t>
            </w:r>
            <w:r>
              <w:rPr>
                <w:spacing w:val="-3"/>
                <w:position w:val="19"/>
              </w:rPr>
              <w:t>在常温常压下不水解、不挥发的固体危险废物可在贮存设施内分</w:t>
            </w:r>
          </w:p>
          <w:p>
            <w:pPr>
              <w:pStyle w:val="TableText"/>
              <w:ind w:left="115"/>
              <w:spacing w:line="220" w:lineRule="auto"/>
              <w:rPr/>
            </w:pPr>
            <w:r>
              <w:rPr>
                <w:spacing w:val="-4"/>
              </w:rPr>
              <w:t>别堆放。</w:t>
            </w:r>
          </w:p>
          <w:p>
            <w:pPr>
              <w:pStyle w:val="TableText"/>
              <w:ind w:left="591"/>
              <w:spacing w:before="214" w:line="219" w:lineRule="auto"/>
              <w:rPr/>
            </w:pPr>
            <w:r>
              <w:rPr>
                <w:rFonts w:ascii="Times New Roman" w:hAnsi="Times New Roman" w:eastAsia="Times New Roman" w:cs="Times New Roman"/>
                <w:spacing w:val="-1"/>
              </w:rPr>
              <w:t>d.</w:t>
            </w:r>
            <w:r>
              <w:rPr>
                <w:spacing w:val="-1"/>
              </w:rPr>
              <w:t>必须将危险废物装入容器内。</w:t>
            </w:r>
          </w:p>
          <w:p>
            <w:pPr>
              <w:pStyle w:val="TableText"/>
              <w:ind w:left="592"/>
              <w:spacing w:before="217" w:line="219" w:lineRule="auto"/>
              <w:rPr/>
            </w:pPr>
            <w:r>
              <w:rPr>
                <w:rFonts w:ascii="Times New Roman" w:hAnsi="Times New Roman" w:eastAsia="Times New Roman" w:cs="Times New Roman"/>
                <w:spacing w:val="-1"/>
              </w:rPr>
              <w:t>e.</w:t>
            </w:r>
            <w:r>
              <w:rPr>
                <w:spacing w:val="-1"/>
              </w:rPr>
              <w:t>禁止将不相容（相互反应）的危险废物在同一容器内混装。</w:t>
            </w:r>
          </w:p>
          <w:p>
            <w:pPr>
              <w:pStyle w:val="TableText"/>
              <w:ind w:left="592"/>
              <w:spacing w:before="214" w:line="219" w:lineRule="auto"/>
              <w:rPr/>
            </w:pPr>
            <w:r>
              <w:rPr>
                <w:rFonts w:ascii="Times New Roman" w:hAnsi="Times New Roman" w:eastAsia="Times New Roman" w:cs="Times New Roman"/>
                <w:spacing w:val="-1"/>
              </w:rPr>
              <w:t>f.</w:t>
            </w:r>
            <w:r>
              <w:rPr>
                <w:spacing w:val="-1"/>
              </w:rPr>
              <w:t>无法装入常用容器的危险废物可用防漏胶袋等盛装。</w:t>
            </w:r>
          </w:p>
          <w:p>
            <w:pPr>
              <w:pStyle w:val="TableText"/>
              <w:ind w:left="590"/>
              <w:spacing w:before="214" w:line="502" w:lineRule="exact"/>
              <w:rPr/>
            </w:pPr>
            <w:r>
              <w:rPr>
                <w:rFonts w:ascii="Times New Roman" w:hAnsi="Times New Roman" w:eastAsia="Times New Roman" w:cs="Times New Roman"/>
                <w:spacing w:val="-3"/>
                <w:position w:val="20"/>
              </w:rPr>
              <w:t>g.</w:t>
            </w:r>
            <w:r>
              <w:rPr>
                <w:spacing w:val="-3"/>
                <w:position w:val="20"/>
              </w:rPr>
              <w:t>装载液体、半固体危险废物的容器内须留足够空间，</w:t>
            </w:r>
            <w:r>
              <w:rPr>
                <w:spacing w:val="-4"/>
                <w:position w:val="20"/>
              </w:rPr>
              <w:t>容器顶部与</w:t>
            </w:r>
          </w:p>
          <w:p>
            <w:pPr>
              <w:pStyle w:val="TableText"/>
              <w:ind w:left="114"/>
              <w:spacing w:line="219" w:lineRule="auto"/>
              <w:rPr/>
            </w:pPr>
            <w:r>
              <w:rPr>
                <w:spacing w:val="-1"/>
              </w:rPr>
              <w:t>液体表面之间保留</w:t>
            </w:r>
            <w:r>
              <w:rPr>
                <w:rFonts w:ascii="Times New Roman" w:hAnsi="Times New Roman" w:eastAsia="Times New Roman" w:cs="Times New Roman"/>
                <w:spacing w:val="-1"/>
              </w:rPr>
              <w:t>100</w:t>
            </w:r>
            <w:r>
              <w:rPr>
                <w:spacing w:val="-1"/>
              </w:rPr>
              <w:t>毫米以上的空间。</w:t>
            </w:r>
          </w:p>
          <w:p>
            <w:pPr>
              <w:pStyle w:val="TableText"/>
              <w:ind w:left="585"/>
              <w:spacing w:before="215" w:line="219" w:lineRule="auto"/>
              <w:rPr/>
            </w:pPr>
            <w:r>
              <w:rPr>
                <w:rFonts w:ascii="Times New Roman" w:hAnsi="Times New Roman" w:eastAsia="Times New Roman" w:cs="Times New Roman"/>
              </w:rPr>
              <w:t>h.</w:t>
            </w:r>
            <w:r>
              <w:rPr/>
              <w:t>盛装危险废物的容器上必须粘贴符合标准的</w:t>
            </w:r>
            <w:r>
              <w:rPr>
                <w:spacing w:val="-1"/>
              </w:rPr>
              <w:t>标签。</w:t>
            </w:r>
          </w:p>
          <w:p>
            <w:pPr>
              <w:pStyle w:val="TableText"/>
              <w:ind w:left="565"/>
              <w:spacing w:before="214" w:line="212" w:lineRule="auto"/>
              <w:rPr/>
            </w:pPr>
            <w:r>
              <w:rPr>
                <w:rFonts w:ascii="Times New Roman" w:hAnsi="Times New Roman" w:eastAsia="Times New Roman" w:cs="Times New Roman"/>
              </w:rPr>
              <w:t>j.</w:t>
            </w:r>
            <w:r>
              <w:rPr/>
              <w:t>危险废物贮存设施在施工前应做环境影响评价。</w:t>
            </w:r>
          </w:p>
          <w:p>
            <w:pPr>
              <w:pStyle w:val="TableText"/>
              <w:ind w:left="591"/>
              <w:spacing w:before="226" w:line="217" w:lineRule="auto"/>
              <w:rPr/>
            </w:pPr>
            <w:r>
              <w:rPr>
                <w:spacing w:val="-1"/>
              </w:rPr>
              <w:t>③危险废物贮存容器</w:t>
            </w:r>
          </w:p>
          <w:p>
            <w:pPr>
              <w:pStyle w:val="TableText"/>
              <w:ind w:left="592"/>
              <w:spacing w:before="217" w:line="219" w:lineRule="auto"/>
              <w:rPr/>
            </w:pPr>
            <w:r>
              <w:rPr>
                <w:rFonts w:ascii="Times New Roman" w:hAnsi="Times New Roman" w:eastAsia="Times New Roman" w:cs="Times New Roman"/>
                <w:spacing w:val="-1"/>
              </w:rPr>
              <w:t>a.</w:t>
            </w:r>
            <w:r>
              <w:rPr>
                <w:spacing w:val="-1"/>
              </w:rPr>
              <w:t>应当使用符合标准的容器盛装危险废物。</w:t>
            </w:r>
          </w:p>
          <w:p>
            <w:pPr>
              <w:pStyle w:val="TableText"/>
              <w:ind w:left="583"/>
              <w:spacing w:before="214" w:line="219" w:lineRule="auto"/>
              <w:rPr/>
            </w:pPr>
            <w:r>
              <w:rPr>
                <w:rFonts w:ascii="Times New Roman" w:hAnsi="Times New Roman" w:eastAsia="Times New Roman" w:cs="Times New Roman"/>
              </w:rPr>
              <w:t>b.</w:t>
            </w:r>
            <w:r>
              <w:rPr/>
              <w:t>装载危险废物的容器及材质要满足相应的强度要求。</w:t>
            </w:r>
          </w:p>
          <w:p>
            <w:pPr>
              <w:pStyle w:val="TableText"/>
              <w:ind w:left="591"/>
              <w:spacing w:before="218" w:line="219" w:lineRule="auto"/>
              <w:rPr/>
            </w:pPr>
            <w:r>
              <w:rPr>
                <w:rFonts w:ascii="Times New Roman" w:hAnsi="Times New Roman" w:eastAsia="Times New Roman" w:cs="Times New Roman"/>
                <w:spacing w:val="-1"/>
              </w:rPr>
              <w:t>c.</w:t>
            </w:r>
            <w:r>
              <w:rPr>
                <w:spacing w:val="-1"/>
              </w:rPr>
              <w:t>装载危险废物的容器必须完好无损。</w:t>
            </w:r>
          </w:p>
          <w:p>
            <w:pPr>
              <w:pStyle w:val="TableText"/>
              <w:ind w:left="591"/>
              <w:spacing w:before="214" w:line="499" w:lineRule="exact"/>
              <w:rPr/>
            </w:pPr>
            <w:r>
              <w:rPr>
                <w:rFonts w:ascii="Times New Roman" w:hAnsi="Times New Roman" w:eastAsia="Times New Roman" w:cs="Times New Roman"/>
                <w:spacing w:val="5"/>
                <w:position w:val="19"/>
              </w:rPr>
              <w:t>d.</w:t>
            </w:r>
            <w:r>
              <w:rPr>
                <w:spacing w:val="5"/>
                <w:position w:val="19"/>
              </w:rPr>
              <w:t>盛装危险废物的容器材质和衬里要与危险废物相容（不</w:t>
            </w:r>
            <w:r>
              <w:rPr>
                <w:spacing w:val="4"/>
                <w:position w:val="19"/>
              </w:rPr>
              <w:t>相互反</w:t>
            </w:r>
          </w:p>
          <w:p>
            <w:pPr>
              <w:pStyle w:val="TableText"/>
              <w:ind w:left="112"/>
              <w:spacing w:before="1" w:line="221" w:lineRule="auto"/>
              <w:rPr/>
            </w:pPr>
            <w:r>
              <w:rPr>
                <w:spacing w:val="-4"/>
              </w:rPr>
              <w:t>应）。</w:t>
            </w:r>
          </w:p>
          <w:p>
            <w:pPr>
              <w:pStyle w:val="TableText"/>
              <w:ind w:right="34"/>
              <w:spacing w:before="214" w:line="219" w:lineRule="auto"/>
              <w:jc w:val="right"/>
              <w:rPr/>
            </w:pPr>
            <w:r>
              <w:rPr>
                <w:rFonts w:ascii="Times New Roman" w:hAnsi="Times New Roman" w:eastAsia="Times New Roman" w:cs="Times New Roman"/>
              </w:rPr>
              <w:t>e.</w:t>
            </w:r>
            <w:r>
              <w:rPr/>
              <w:t>液体危险废物可注入开孔直径不超过</w:t>
            </w:r>
            <w:r>
              <w:rPr>
                <w:rFonts w:ascii="Times New Roman" w:hAnsi="Times New Roman" w:eastAsia="Times New Roman" w:cs="Times New Roman"/>
              </w:rPr>
              <w:t>70</w:t>
            </w:r>
            <w:r>
              <w:rPr>
                <w:spacing w:val="-1"/>
              </w:rPr>
              <w:t>毫米并有放气孔的桶中。</w:t>
            </w:r>
          </w:p>
          <w:p>
            <w:pPr>
              <w:pStyle w:val="TableText"/>
              <w:ind w:left="591"/>
              <w:spacing w:before="214" w:line="217" w:lineRule="auto"/>
              <w:rPr/>
            </w:pPr>
            <w:r>
              <w:rPr>
                <w:spacing w:val="-1"/>
              </w:rPr>
              <w:t>④危险废物管理计划</w:t>
            </w:r>
          </w:p>
          <w:p>
            <w:pPr>
              <w:pStyle w:val="TableText"/>
              <w:ind w:left="131" w:right="106" w:firstLine="461"/>
              <w:spacing w:before="215" w:line="385" w:lineRule="auto"/>
              <w:rPr/>
            </w:pPr>
            <w:r>
              <w:rPr>
                <w:spacing w:val="12"/>
              </w:rPr>
              <w:t>根据《</w:t>
            </w:r>
            <w:r>
              <w:rPr>
                <w:spacing w:val="-33"/>
              </w:rPr>
              <w:t xml:space="preserve"> </w:t>
            </w:r>
            <w:r>
              <w:rPr>
                <w:spacing w:val="12"/>
              </w:rPr>
              <w:t>危</w:t>
            </w:r>
            <w:r>
              <w:rPr>
                <w:spacing w:val="-64"/>
              </w:rPr>
              <w:t xml:space="preserve"> </w:t>
            </w:r>
            <w:r>
              <w:rPr>
                <w:spacing w:val="12"/>
              </w:rPr>
              <w:t>险废物</w:t>
            </w:r>
            <w:r>
              <w:rPr>
                <w:spacing w:val="-71"/>
              </w:rPr>
              <w:t xml:space="preserve"> </w:t>
            </w:r>
            <w:r>
              <w:rPr>
                <w:spacing w:val="12"/>
              </w:rPr>
              <w:t>管理计划和</w:t>
            </w:r>
            <w:r>
              <w:rPr>
                <w:spacing w:val="-71"/>
              </w:rPr>
              <w:t xml:space="preserve"> </w:t>
            </w:r>
            <w:r>
              <w:rPr>
                <w:spacing w:val="12"/>
              </w:rPr>
              <w:t>管理</w:t>
            </w:r>
            <w:r>
              <w:rPr>
                <w:spacing w:val="-59"/>
              </w:rPr>
              <w:t xml:space="preserve"> </w:t>
            </w:r>
            <w:r>
              <w:rPr>
                <w:spacing w:val="12"/>
              </w:rPr>
              <w:t>台账制</w:t>
            </w:r>
            <w:r>
              <w:rPr>
                <w:spacing w:val="-71"/>
              </w:rPr>
              <w:t xml:space="preserve"> </w:t>
            </w:r>
            <w:r>
              <w:rPr>
                <w:spacing w:val="12"/>
              </w:rPr>
              <w:t>定技术</w:t>
            </w:r>
            <w:r>
              <w:rPr>
                <w:spacing w:val="-70"/>
              </w:rPr>
              <w:t xml:space="preserve"> </w:t>
            </w:r>
            <w:r>
              <w:rPr>
                <w:spacing w:val="12"/>
              </w:rPr>
              <w:t>导则</w:t>
            </w:r>
            <w:r>
              <w:rPr>
                <w:spacing w:val="-67"/>
              </w:rPr>
              <w:t xml:space="preserve"> </w:t>
            </w:r>
            <w:r>
              <w:rPr>
                <w:spacing w:val="12"/>
              </w:rPr>
              <w:t>》</w:t>
            </w:r>
            <w:r>
              <w:rPr>
                <w:spacing w:val="-86"/>
              </w:rPr>
              <w:t xml:space="preserve"> </w:t>
            </w:r>
            <w:r>
              <w:rPr>
                <w:spacing w:val="12"/>
              </w:rPr>
              <w:t>（</w:t>
            </w:r>
            <w:r>
              <w:rPr>
                <w:rFonts w:ascii="Times New Roman" w:hAnsi="Times New Roman" w:eastAsia="Times New Roman" w:cs="Times New Roman"/>
              </w:rPr>
              <w:t>HJ </w:t>
            </w:r>
            <w:r>
              <w:rPr>
                <w:rFonts w:ascii="Times New Roman" w:hAnsi="Times New Roman" w:eastAsia="Times New Roman" w:cs="Times New Roman"/>
                <w:spacing w:val="2"/>
              </w:rPr>
              <w:t>1259-2022</w:t>
            </w:r>
            <w:r>
              <w:rPr>
                <w:spacing w:val="23"/>
              </w:rPr>
              <w:t>），</w:t>
            </w:r>
            <w:r>
              <w:rPr>
                <w:spacing w:val="2"/>
              </w:rPr>
              <w:t>本项目属于“</w:t>
            </w:r>
            <w:r>
              <w:rPr>
                <w:spacing w:val="-79"/>
              </w:rPr>
              <w:t xml:space="preserve"> </w:t>
            </w:r>
            <w:r>
              <w:rPr>
                <w:spacing w:val="2"/>
              </w:rPr>
              <w:t>同一生产经营场所危险废物年产生量</w:t>
            </w:r>
            <w:r>
              <w:rPr>
                <w:rFonts w:ascii="Times New Roman" w:hAnsi="Times New Roman" w:eastAsia="Times New Roman" w:cs="Times New Roman"/>
                <w:spacing w:val="2"/>
              </w:rPr>
              <w:t>10t</w:t>
            </w:r>
            <w:r>
              <w:rPr>
                <w:rFonts w:ascii="Times New Roman" w:hAnsi="Times New Roman" w:eastAsia="Times New Roman" w:cs="Times New Roman"/>
              </w:rPr>
              <w:t xml:space="preserve"> </w:t>
            </w:r>
            <w:r>
              <w:rPr>
                <w:spacing w:val="-3"/>
              </w:rPr>
              <w:t>以下且未纳入危险废物环境重点监管单位的单位</w:t>
            </w:r>
            <w:r>
              <w:rPr>
                <w:spacing w:val="-83"/>
              </w:rPr>
              <w:t xml:space="preserve"> </w:t>
            </w:r>
            <w:r>
              <w:rPr>
                <w:spacing w:val="-3"/>
              </w:rPr>
              <w:t>” ，属于危险废物登</w:t>
            </w:r>
          </w:p>
          <w:p>
            <w:pPr>
              <w:pStyle w:val="TableText"/>
              <w:ind w:left="112"/>
              <w:spacing w:before="1" w:line="219" w:lineRule="auto"/>
              <w:rPr/>
            </w:pPr>
            <w:r>
              <w:rPr>
                <w:spacing w:val="-1"/>
              </w:rPr>
              <w:t>记管理单位，危险废物管理计划制定如下：</w:t>
            </w:r>
          </w:p>
        </w:tc>
      </w:tr>
    </w:tbl>
    <w:p>
      <w:pPr>
        <w:pStyle w:val="BodyText"/>
        <w:rPr/>
      </w:pPr>
      <w:r/>
    </w:p>
    <w:p>
      <w:pPr>
        <w:sectPr>
          <w:footerReference w:type="default" r:id="rId226"/>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17"/>
        <w:gridCol w:w="633"/>
        <w:gridCol w:w="1274"/>
        <w:gridCol w:w="540"/>
        <w:gridCol w:w="1033"/>
        <w:gridCol w:w="2276"/>
        <w:gridCol w:w="1753"/>
      </w:tblGrid>
      <w:tr>
        <w:trPr>
          <w:trHeight w:val="8336" w:hRule="atLeast"/>
        </w:trPr>
        <w:tc>
          <w:tcPr>
            <w:tcW w:w="1017" w:type="dxa"/>
            <w:vAlign w:val="top"/>
            <w:vMerge w:val="restart"/>
            <w:tcBorders>
              <w:bottom w:val="nil"/>
            </w:tcBorders>
          </w:tcPr>
          <w:p>
            <w:pPr>
              <w:rPr>
                <w:rFonts w:ascii="Arial"/>
                <w:sz w:val="21"/>
              </w:rPr>
            </w:pPr>
            <w:r/>
          </w:p>
        </w:tc>
        <w:tc>
          <w:tcPr>
            <w:tcW w:w="7509" w:type="dxa"/>
            <w:vAlign w:val="top"/>
            <w:gridSpan w:val="6"/>
            <w:tcBorders>
              <w:bottom w:val="single" w:color="000000" w:sz="10" w:space="0"/>
            </w:tcBorders>
          </w:tcPr>
          <w:p>
            <w:pPr>
              <w:pStyle w:val="TableText"/>
              <w:ind w:left="112" w:right="106" w:firstLine="480"/>
              <w:spacing w:before="198" w:line="385" w:lineRule="auto"/>
              <w:jc w:val="both"/>
              <w:rPr/>
            </w:pPr>
            <w:r>
              <w:rPr>
                <w:rFonts w:ascii="Times New Roman" w:hAnsi="Times New Roman" w:eastAsia="Times New Roman" w:cs="Times New Roman"/>
                <w:spacing w:val="-3"/>
              </w:rPr>
              <w:t>a.</w:t>
            </w:r>
            <w:r>
              <w:rPr>
                <w:spacing w:val="-3"/>
              </w:rPr>
              <w:t>制订单位：同一法人单位或者其他组织所属但位于不同生产经营</w:t>
            </w:r>
            <w:r>
              <w:rPr>
                <w:spacing w:val="7"/>
              </w:rPr>
              <w:t xml:space="preserve"> </w:t>
            </w:r>
            <w:r>
              <w:rPr>
                <w:spacing w:val="3"/>
              </w:rPr>
              <w:t>场所的单位，应当以每个生产经营场所为单位，分别</w:t>
            </w:r>
            <w:r>
              <w:rPr>
                <w:spacing w:val="2"/>
              </w:rPr>
              <w:t>制定危险废物管</w:t>
            </w:r>
            <w:r>
              <w:rPr/>
              <w:t xml:space="preserve"> </w:t>
            </w:r>
            <w:r>
              <w:rPr>
                <w:spacing w:val="3"/>
              </w:rPr>
              <w:t>理计划，并通过国家危险废物信息管理系统向生产经</w:t>
            </w:r>
            <w:r>
              <w:rPr>
                <w:spacing w:val="2"/>
              </w:rPr>
              <w:t>营场所所在地生</w:t>
            </w:r>
          </w:p>
          <w:p>
            <w:pPr>
              <w:pStyle w:val="TableText"/>
              <w:ind w:left="112"/>
              <w:spacing w:line="219" w:lineRule="auto"/>
              <w:rPr/>
            </w:pPr>
            <w:r>
              <w:rPr>
                <w:spacing w:val="-1"/>
              </w:rPr>
              <w:t>态环境主管部门备案。</w:t>
            </w:r>
          </w:p>
          <w:p>
            <w:pPr>
              <w:pStyle w:val="TableText"/>
              <w:ind w:left="112" w:right="106" w:firstLine="471"/>
              <w:spacing w:before="212" w:line="385" w:lineRule="auto"/>
              <w:jc w:val="both"/>
              <w:rPr/>
            </w:pPr>
            <w:r>
              <w:rPr>
                <w:rFonts w:ascii="Times New Roman" w:hAnsi="Times New Roman" w:eastAsia="Times New Roman" w:cs="Times New Roman"/>
                <w:spacing w:val="-3"/>
              </w:rPr>
              <w:t>b.</w:t>
            </w:r>
            <w:r>
              <w:rPr>
                <w:spacing w:val="-3"/>
              </w:rPr>
              <w:t>制定形式及时限要求：产生危险废物的单位应当按年度制定危险</w:t>
            </w:r>
            <w:r>
              <w:rPr>
                <w:spacing w:val="2"/>
              </w:rPr>
              <w:t xml:space="preserve"> </w:t>
            </w:r>
            <w:r>
              <w:rPr>
                <w:spacing w:val="-1"/>
              </w:rPr>
              <w:t>废物管理计划。产生危险废物的单位应当于每年</w:t>
            </w:r>
            <w:r>
              <w:rPr>
                <w:rFonts w:ascii="Times New Roman" w:hAnsi="Times New Roman" w:eastAsia="Times New Roman" w:cs="Times New Roman"/>
                <w:spacing w:val="-1"/>
              </w:rPr>
              <w:t>3</w:t>
            </w:r>
            <w:r>
              <w:rPr>
                <w:spacing w:val="-1"/>
              </w:rPr>
              <w:t>月</w:t>
            </w:r>
            <w:r>
              <w:rPr>
                <w:rFonts w:ascii="Times New Roman" w:hAnsi="Times New Roman" w:eastAsia="Times New Roman" w:cs="Times New Roman"/>
                <w:spacing w:val="-1"/>
              </w:rPr>
              <w:t>31</w:t>
            </w:r>
            <w:r>
              <w:rPr>
                <w:spacing w:val="-1"/>
              </w:rPr>
              <w:t>日前通</w:t>
            </w:r>
            <w:r>
              <w:rPr>
                <w:spacing w:val="-2"/>
              </w:rPr>
              <w:t>过国家危</w:t>
            </w:r>
            <w:r>
              <w:rPr/>
              <w:t xml:space="preserve"> </w:t>
            </w:r>
            <w:r>
              <w:rPr>
                <w:spacing w:val="3"/>
              </w:rPr>
              <w:t>险废物信息管理系统在线填写并提交当年度的危险废</w:t>
            </w:r>
            <w:r>
              <w:rPr>
                <w:spacing w:val="2"/>
              </w:rPr>
              <w:t>物管理计划，由</w:t>
            </w:r>
            <w:r>
              <w:rPr/>
              <w:t xml:space="preserve"> </w:t>
            </w:r>
            <w:r>
              <w:rPr>
                <w:spacing w:val="-1"/>
              </w:rPr>
              <w:t>国家危险废物信息管理系统自动生成备案编号和回执，完成</w:t>
            </w:r>
            <w:r>
              <w:rPr>
                <w:spacing w:val="-2"/>
              </w:rPr>
              <w:t>备案。 危</w:t>
            </w:r>
            <w:r>
              <w:rPr/>
              <w:t xml:space="preserve"> </w:t>
            </w:r>
            <w:r>
              <w:rPr>
                <w:spacing w:val="3"/>
              </w:rPr>
              <w:t>险废物管理计划备案内容需要调整的，产生危险废物</w:t>
            </w:r>
            <w:r>
              <w:rPr>
                <w:spacing w:val="2"/>
              </w:rPr>
              <w:t>的单位应当及时</w:t>
            </w:r>
          </w:p>
          <w:p>
            <w:pPr>
              <w:pStyle w:val="TableText"/>
              <w:ind w:left="112"/>
              <w:spacing w:before="1" w:line="220" w:lineRule="auto"/>
              <w:rPr/>
            </w:pPr>
            <w:r>
              <w:rPr>
                <w:spacing w:val="-4"/>
              </w:rPr>
              <w:t>变更。</w:t>
            </w:r>
          </w:p>
          <w:p>
            <w:pPr>
              <w:pStyle w:val="TableText"/>
              <w:ind w:left="591"/>
              <w:spacing w:before="212" w:line="499" w:lineRule="exact"/>
              <w:rPr/>
            </w:pPr>
            <w:r>
              <w:rPr>
                <w:rFonts w:ascii="Times New Roman" w:hAnsi="Times New Roman" w:eastAsia="Times New Roman" w:cs="Times New Roman"/>
                <w:spacing w:val="1"/>
                <w:position w:val="19"/>
              </w:rPr>
              <w:t>c.  </w:t>
            </w:r>
            <w:r>
              <w:rPr>
                <w:spacing w:val="1"/>
                <w:position w:val="19"/>
              </w:rPr>
              <w:t>一般原则：危险废物登记管理单位的管理计划制定内容应包括</w:t>
            </w:r>
          </w:p>
          <w:p>
            <w:pPr>
              <w:pStyle w:val="TableText"/>
              <w:ind w:left="114"/>
              <w:spacing w:line="218" w:lineRule="auto"/>
              <w:rPr/>
            </w:pPr>
            <w:r>
              <w:rPr>
                <w:spacing w:val="-1"/>
              </w:rPr>
              <w:t>单位基本信息、危险废物产生情况信息、危险废物转移情况信息。</w:t>
            </w:r>
          </w:p>
          <w:p>
            <w:pPr>
              <w:pStyle w:val="TableText"/>
              <w:ind w:left="589"/>
              <w:spacing w:before="218" w:line="220" w:lineRule="auto"/>
              <w:outlineLvl w:val="2"/>
              <w:rPr/>
            </w:pPr>
            <w:r>
              <w:rPr>
                <w:rFonts w:ascii="Times New Roman" w:hAnsi="Times New Roman" w:eastAsia="Times New Roman" w:cs="Times New Roman"/>
                <w:b/>
                <w:bCs/>
              </w:rPr>
              <w:t>4.2.4</w:t>
            </w:r>
            <w:r>
              <w:rPr>
                <w14:textOutline w14:w="4358" w14:cap="sq" w14:cmpd="sng">
                  <w14:solidFill>
                    <w14:srgbClr w14:val="000000"/>
                  </w14:solidFill>
                  <w14:prstDash w14:val="solid"/>
                  <w14:bevel/>
                </w14:textOutline>
              </w:rPr>
              <w:t>运营期声环境影响分析</w:t>
            </w:r>
          </w:p>
          <w:p>
            <w:pPr>
              <w:pStyle w:val="TableText"/>
              <w:ind w:left="604"/>
              <w:spacing w:before="213" w:line="220" w:lineRule="auto"/>
              <w:rPr/>
            </w:pPr>
            <w:r>
              <w:rPr>
                <w:spacing w:val="-3"/>
              </w:rPr>
              <w:t>（</w:t>
            </w:r>
            <w:r>
              <w:rPr>
                <w:rFonts w:ascii="Times New Roman" w:hAnsi="Times New Roman" w:eastAsia="Times New Roman" w:cs="Times New Roman"/>
                <w:spacing w:val="-3"/>
              </w:rPr>
              <w:t>1</w:t>
            </w:r>
            <w:r>
              <w:rPr>
                <w:spacing w:val="-3"/>
              </w:rPr>
              <w:t>）项目噪声源</w:t>
            </w:r>
          </w:p>
          <w:p>
            <w:pPr>
              <w:pStyle w:val="TableText"/>
              <w:ind w:left="622"/>
              <w:spacing w:before="213" w:line="212" w:lineRule="auto"/>
              <w:rPr/>
            </w:pPr>
            <w:r>
              <w:rPr>
                <w:spacing w:val="-3"/>
              </w:rPr>
              <w:t>由生产工艺及所用的设备可知，噪声级为</w:t>
            </w:r>
            <w:r>
              <w:rPr>
                <w:rFonts w:ascii="Times New Roman" w:hAnsi="Times New Roman" w:eastAsia="Times New Roman" w:cs="Times New Roman"/>
                <w:spacing w:val="-3"/>
              </w:rPr>
              <w:t>70</w:t>
            </w:r>
            <w:r>
              <w:rPr>
                <w:spacing w:val="-3"/>
              </w:rPr>
              <w:t>～</w:t>
            </w:r>
            <w:r>
              <w:rPr>
                <w:rFonts w:ascii="Times New Roman" w:hAnsi="Times New Roman" w:eastAsia="Times New Roman" w:cs="Times New Roman"/>
                <w:spacing w:val="-3"/>
              </w:rPr>
              <w:t>9</w:t>
            </w:r>
            <w:r>
              <w:rPr>
                <w:rFonts w:ascii="Times New Roman" w:hAnsi="Times New Roman" w:eastAsia="Times New Roman" w:cs="Times New Roman"/>
                <w:spacing w:val="-4"/>
              </w:rPr>
              <w:t>0dB(A)</w:t>
            </w:r>
            <w:r>
              <w:rPr>
                <w:rFonts w:ascii="Times New Roman" w:hAnsi="Times New Roman" w:eastAsia="Times New Roman" w:cs="Times New Roman"/>
                <w:spacing w:val="-30"/>
              </w:rPr>
              <w:t xml:space="preserve"> </w:t>
            </w:r>
            <w:r>
              <w:rPr>
                <w:spacing w:val="-4"/>
              </w:rPr>
              <w:t>，设备均布</w:t>
            </w:r>
          </w:p>
          <w:p>
            <w:pPr>
              <w:pStyle w:val="TableText"/>
              <w:ind w:left="111"/>
              <w:spacing w:before="226" w:line="219" w:lineRule="auto"/>
              <w:rPr/>
            </w:pPr>
            <w:r>
              <w:rPr>
                <w:spacing w:val="-1"/>
              </w:rPr>
              <w:t>置在室内，并采取消声减振措施。主要噪声源强见表</w:t>
            </w:r>
            <w:r>
              <w:rPr>
                <w:rFonts w:ascii="Times New Roman" w:hAnsi="Times New Roman" w:eastAsia="Times New Roman" w:cs="Times New Roman"/>
                <w:spacing w:val="-2"/>
              </w:rPr>
              <w:t>4.2-</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12</w:t>
            </w:r>
            <w:r>
              <w:rPr>
                <w:spacing w:val="-2"/>
              </w:rPr>
              <w:t>。</w:t>
            </w:r>
          </w:p>
          <w:p>
            <w:pPr>
              <w:pStyle w:val="TableText"/>
              <w:ind w:left="2430"/>
              <w:spacing w:before="66" w:line="212" w:lineRule="auto"/>
              <w:rPr/>
            </w:pPr>
            <w:r>
              <w:rPr>
                <w14:textOutline w14:w="4358" w14:cap="sq" w14:cmpd="sng">
                  <w14:solidFill>
                    <w14:srgbClr w14:val="000000"/>
                  </w14:solidFill>
                  <w14:prstDash w14:val="solid"/>
                  <w14:bevel/>
                </w14:textOutline>
              </w:rPr>
              <w:t>表4.2-12</w:t>
            </w:r>
            <w:r>
              <w:rPr/>
              <w:t xml:space="preserve">  </w:t>
            </w:r>
            <w:r>
              <w:rPr>
                <w14:textOutline w14:w="4358" w14:cap="sq" w14:cmpd="sng">
                  <w14:solidFill>
                    <w14:srgbClr w14:val="000000"/>
                  </w14:solidFill>
                  <w14:prstDash w14:val="solid"/>
                  <w14:bevel/>
                </w14:textOutline>
              </w:rPr>
              <w:t>噪声源声级一览表</w:t>
            </w:r>
          </w:p>
        </w:tc>
      </w:tr>
      <w:tr>
        <w:trPr>
          <w:trHeight w:val="635" w:hRule="atLeast"/>
        </w:trPr>
        <w:tc>
          <w:tcPr>
            <w:tcW w:w="1017" w:type="dxa"/>
            <w:vAlign w:val="top"/>
            <w:vMerge w:val="continue"/>
            <w:tcBorders>
              <w:top w:val="nil"/>
              <w:bottom w:val="nil"/>
            </w:tcBorders>
          </w:tcPr>
          <w:p>
            <w:pPr>
              <w:rPr>
                <w:rFonts w:ascii="Arial"/>
                <w:sz w:val="21"/>
              </w:rPr>
            </w:pPr>
            <w:r/>
          </w:p>
        </w:tc>
        <w:tc>
          <w:tcPr>
            <w:tcW w:w="633" w:type="dxa"/>
            <w:vAlign w:val="top"/>
            <w:textDirection w:val="tbRlV"/>
            <w:tcBorders>
              <w:top w:val="single" w:color="000000" w:sz="10" w:space="0"/>
            </w:tcBorders>
          </w:tcPr>
          <w:p>
            <w:pPr>
              <w:pStyle w:val="TableText"/>
              <w:ind w:left="73"/>
              <w:spacing w:before="156" w:line="218" w:lineRule="auto"/>
              <w:rPr>
                <w:sz w:val="20"/>
                <w:szCs w:val="20"/>
              </w:rPr>
            </w:pPr>
            <w:r>
              <w:rPr>
                <w:sz w:val="20"/>
                <w:szCs w:val="20"/>
                <w:spacing w:val="8"/>
              </w:rPr>
              <w:t>序</w:t>
            </w:r>
            <w:r>
              <w:rPr>
                <w:sz w:val="20"/>
                <w:szCs w:val="20"/>
                <w:spacing w:val="-9"/>
              </w:rPr>
              <w:t xml:space="preserve"> </w:t>
            </w:r>
            <w:r>
              <w:rPr>
                <w:sz w:val="20"/>
                <w:szCs w:val="20"/>
                <w:spacing w:val="8"/>
              </w:rPr>
              <w:t>号</w:t>
            </w:r>
          </w:p>
        </w:tc>
        <w:tc>
          <w:tcPr>
            <w:tcW w:w="1274" w:type="dxa"/>
            <w:vAlign w:val="top"/>
            <w:tcBorders>
              <w:top w:val="single" w:color="000000" w:sz="10" w:space="0"/>
            </w:tcBorders>
          </w:tcPr>
          <w:p>
            <w:pPr>
              <w:pStyle w:val="TableText"/>
              <w:ind w:left="226"/>
              <w:spacing w:before="222" w:line="229" w:lineRule="auto"/>
              <w:rPr>
                <w:sz w:val="20"/>
                <w:szCs w:val="20"/>
              </w:rPr>
            </w:pPr>
            <w:r>
              <w:rPr>
                <w:sz w:val="20"/>
                <w:szCs w:val="20"/>
                <w:spacing w:val="6"/>
              </w:rPr>
              <w:t>设备名称</w:t>
            </w:r>
          </w:p>
        </w:tc>
        <w:tc>
          <w:tcPr>
            <w:tcW w:w="540" w:type="dxa"/>
            <w:vAlign w:val="top"/>
            <w:textDirection w:val="tbRlV"/>
            <w:tcBorders>
              <w:top w:val="single" w:color="000000" w:sz="10" w:space="0"/>
            </w:tcBorders>
          </w:tcPr>
          <w:p>
            <w:pPr>
              <w:pStyle w:val="TableText"/>
              <w:ind w:left="73"/>
              <w:spacing w:before="163" w:line="216" w:lineRule="auto"/>
              <w:rPr>
                <w:sz w:val="20"/>
                <w:szCs w:val="20"/>
              </w:rPr>
            </w:pPr>
            <w:r>
              <w:rPr>
                <w:sz w:val="20"/>
                <w:szCs w:val="20"/>
                <w:spacing w:val="8"/>
              </w:rPr>
              <w:t>数</w:t>
            </w:r>
            <w:r>
              <w:rPr>
                <w:sz w:val="20"/>
                <w:szCs w:val="20"/>
                <w:spacing w:val="-9"/>
              </w:rPr>
              <w:t xml:space="preserve"> </w:t>
            </w:r>
            <w:r>
              <w:rPr>
                <w:sz w:val="20"/>
                <w:szCs w:val="20"/>
                <w:spacing w:val="8"/>
              </w:rPr>
              <w:t>量</w:t>
            </w:r>
          </w:p>
        </w:tc>
        <w:tc>
          <w:tcPr>
            <w:tcW w:w="1033" w:type="dxa"/>
            <w:vAlign w:val="top"/>
            <w:tcBorders>
              <w:top w:val="single" w:color="000000" w:sz="10" w:space="0"/>
            </w:tcBorders>
          </w:tcPr>
          <w:p>
            <w:pPr>
              <w:pStyle w:val="TableText"/>
              <w:ind w:left="116" w:right="17" w:firstLine="96"/>
              <w:spacing w:before="72" w:line="255" w:lineRule="auto"/>
              <w:rPr>
                <w:sz w:val="20"/>
                <w:szCs w:val="20"/>
              </w:rPr>
            </w:pPr>
            <w:r>
              <w:rPr>
                <w:sz w:val="20"/>
                <w:szCs w:val="20"/>
                <w:spacing w:val="3"/>
              </w:rPr>
              <w:t>声功率  </w:t>
            </w:r>
            <w:r>
              <w:rPr>
                <w:sz w:val="20"/>
                <w:szCs w:val="20"/>
                <w:spacing w:val="-14"/>
              </w:rPr>
              <w:t>级</w:t>
            </w:r>
            <w:r>
              <w:rPr>
                <w:rFonts w:ascii="Times New Roman" w:hAnsi="Times New Roman" w:eastAsia="Times New Roman" w:cs="Times New Roman"/>
                <w:sz w:val="20"/>
                <w:szCs w:val="20"/>
                <w:spacing w:val="-14"/>
              </w:rPr>
              <w:t>dB</w:t>
            </w:r>
            <w:r>
              <w:rPr>
                <w:sz w:val="20"/>
                <w:szCs w:val="20"/>
                <w:spacing w:val="-14"/>
              </w:rPr>
              <w:t>（</w:t>
            </w:r>
            <w:r>
              <w:rPr>
                <w:rFonts w:ascii="Times New Roman" w:hAnsi="Times New Roman" w:eastAsia="Times New Roman" w:cs="Times New Roman"/>
                <w:sz w:val="20"/>
                <w:szCs w:val="20"/>
                <w:spacing w:val="-14"/>
              </w:rPr>
              <w:t>A</w:t>
            </w:r>
            <w:r>
              <w:rPr>
                <w:sz w:val="20"/>
                <w:szCs w:val="20"/>
                <w:spacing w:val="-14"/>
              </w:rPr>
              <w:t>）</w:t>
            </w:r>
          </w:p>
        </w:tc>
        <w:tc>
          <w:tcPr>
            <w:tcW w:w="2276" w:type="dxa"/>
            <w:vAlign w:val="top"/>
            <w:tcBorders>
              <w:top w:val="single" w:color="000000" w:sz="10" w:space="0"/>
            </w:tcBorders>
          </w:tcPr>
          <w:p>
            <w:pPr>
              <w:pStyle w:val="TableText"/>
              <w:ind w:left="736"/>
              <w:spacing w:before="230" w:line="228" w:lineRule="auto"/>
              <w:rPr>
                <w:sz w:val="20"/>
                <w:szCs w:val="20"/>
              </w:rPr>
            </w:pPr>
            <w:r>
              <w:rPr>
                <w:sz w:val="20"/>
                <w:szCs w:val="20"/>
                <w:spacing w:val="4"/>
              </w:rPr>
              <w:t>防护措施</w:t>
            </w:r>
          </w:p>
        </w:tc>
        <w:tc>
          <w:tcPr>
            <w:tcW w:w="1753" w:type="dxa"/>
            <w:vAlign w:val="top"/>
            <w:tcBorders>
              <w:top w:val="single" w:color="000000" w:sz="10" w:space="0"/>
            </w:tcBorders>
          </w:tcPr>
          <w:p>
            <w:pPr>
              <w:pStyle w:val="TableText"/>
              <w:ind w:left="119" w:right="213" w:firstLine="77"/>
              <w:spacing w:before="72" w:line="255" w:lineRule="auto"/>
              <w:rPr>
                <w:sz w:val="20"/>
                <w:szCs w:val="20"/>
              </w:rPr>
            </w:pPr>
            <w:r>
              <w:rPr>
                <w:sz w:val="20"/>
                <w:szCs w:val="20"/>
                <w:spacing w:val="8"/>
              </w:rPr>
              <w:t>采取措施后声</w:t>
            </w:r>
            <w:r>
              <w:rPr>
                <w:sz w:val="20"/>
                <w:szCs w:val="20"/>
              </w:rPr>
              <w:t xml:space="preserve">  </w:t>
            </w:r>
            <w:r>
              <w:rPr>
                <w:sz w:val="20"/>
                <w:szCs w:val="20"/>
                <w:spacing w:val="6"/>
              </w:rPr>
              <w:t>功率级</w:t>
            </w:r>
            <w:r>
              <w:rPr>
                <w:rFonts w:ascii="Times New Roman" w:hAnsi="Times New Roman" w:eastAsia="Times New Roman" w:cs="Times New Roman"/>
                <w:sz w:val="20"/>
                <w:szCs w:val="20"/>
              </w:rPr>
              <w:t>dB</w:t>
            </w:r>
            <w:r>
              <w:rPr>
                <w:sz w:val="20"/>
                <w:szCs w:val="20"/>
                <w:spacing w:val="6"/>
              </w:rPr>
              <w:t>（</w:t>
            </w:r>
            <w:r>
              <w:rPr>
                <w:rFonts w:ascii="Times New Roman" w:hAnsi="Times New Roman" w:eastAsia="Times New Roman" w:cs="Times New Roman"/>
                <w:sz w:val="20"/>
                <w:szCs w:val="20"/>
                <w:spacing w:val="6"/>
              </w:rPr>
              <w:t>A</w:t>
            </w:r>
            <w:r>
              <w:rPr>
                <w:sz w:val="20"/>
                <w:szCs w:val="20"/>
                <w:spacing w:val="6"/>
              </w:rPr>
              <w:t>）</w:t>
            </w:r>
          </w:p>
        </w:tc>
      </w:tr>
      <w:tr>
        <w:trPr>
          <w:trHeight w:val="345" w:hRule="atLeast"/>
        </w:trPr>
        <w:tc>
          <w:tcPr>
            <w:tcW w:w="1017" w:type="dxa"/>
            <w:vAlign w:val="top"/>
            <w:vMerge w:val="continue"/>
            <w:tcBorders>
              <w:top w:val="nil"/>
              <w:bottom w:val="nil"/>
            </w:tcBorders>
          </w:tcPr>
          <w:p>
            <w:pPr>
              <w:rPr>
                <w:rFonts w:ascii="Arial"/>
                <w:sz w:val="21"/>
              </w:rPr>
            </w:pPr>
            <w:r/>
          </w:p>
        </w:tc>
        <w:tc>
          <w:tcPr>
            <w:tcW w:w="633" w:type="dxa"/>
            <w:vAlign w:val="top"/>
          </w:tcPr>
          <w:p>
            <w:pPr>
              <w:ind w:left="339"/>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74" w:type="dxa"/>
            <w:vAlign w:val="top"/>
          </w:tcPr>
          <w:p>
            <w:pPr>
              <w:pStyle w:val="TableText"/>
              <w:ind w:left="222"/>
              <w:spacing w:before="84" w:line="227" w:lineRule="auto"/>
              <w:rPr>
                <w:sz w:val="20"/>
                <w:szCs w:val="20"/>
              </w:rPr>
            </w:pPr>
            <w:r>
              <w:rPr>
                <w:sz w:val="20"/>
                <w:szCs w:val="20"/>
                <w:spacing w:val="7"/>
              </w:rPr>
              <w:t>地膜机组</w:t>
            </w:r>
          </w:p>
        </w:tc>
        <w:tc>
          <w:tcPr>
            <w:tcW w:w="540" w:type="dxa"/>
            <w:vAlign w:val="top"/>
          </w:tcPr>
          <w:p>
            <w:pPr>
              <w:pStyle w:val="TableText"/>
              <w:ind w:left="113"/>
              <w:spacing w:before="84" w:line="228" w:lineRule="auto"/>
              <w:rPr>
                <w:sz w:val="20"/>
                <w:szCs w:val="20"/>
              </w:rPr>
            </w:pPr>
            <w:r>
              <w:rPr>
                <w:rFonts w:ascii="Times New Roman" w:hAnsi="Times New Roman" w:eastAsia="Times New Roman" w:cs="Times New Roman"/>
                <w:sz w:val="20"/>
                <w:szCs w:val="20"/>
                <w:spacing w:val="5"/>
              </w:rPr>
              <w:t>2</w:t>
            </w:r>
            <w:r>
              <w:rPr>
                <w:sz w:val="20"/>
                <w:szCs w:val="20"/>
                <w:spacing w:val="5"/>
              </w:rPr>
              <w:t>套</w:t>
            </w:r>
          </w:p>
        </w:tc>
        <w:tc>
          <w:tcPr>
            <w:tcW w:w="1033" w:type="dxa"/>
            <w:vAlign w:val="top"/>
          </w:tcPr>
          <w:p>
            <w:pPr>
              <w:ind w:left="261"/>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80~90</w:t>
            </w:r>
          </w:p>
        </w:tc>
        <w:tc>
          <w:tcPr>
            <w:tcW w:w="2276" w:type="dxa"/>
            <w:vAlign w:val="top"/>
          </w:tcPr>
          <w:p>
            <w:pPr>
              <w:pStyle w:val="TableText"/>
              <w:ind w:left="409"/>
              <w:spacing w:before="91" w:line="225" w:lineRule="auto"/>
              <w:rPr>
                <w:sz w:val="20"/>
                <w:szCs w:val="20"/>
              </w:rPr>
            </w:pPr>
            <w:r>
              <w:rPr>
                <w:sz w:val="20"/>
                <w:szCs w:val="20"/>
                <w:spacing w:val="8"/>
              </w:rPr>
              <w:t>基础减震、隔声</w:t>
            </w:r>
          </w:p>
        </w:tc>
        <w:tc>
          <w:tcPr>
            <w:tcW w:w="1753" w:type="dxa"/>
            <w:vAlign w:val="top"/>
          </w:tcPr>
          <w:p>
            <w:pPr>
              <w:ind w:left="560"/>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60~70</w:t>
            </w:r>
          </w:p>
        </w:tc>
      </w:tr>
      <w:tr>
        <w:trPr>
          <w:trHeight w:val="605" w:hRule="atLeast"/>
        </w:trPr>
        <w:tc>
          <w:tcPr>
            <w:tcW w:w="1017" w:type="dxa"/>
            <w:vAlign w:val="top"/>
            <w:vMerge w:val="continue"/>
            <w:tcBorders>
              <w:top w:val="nil"/>
              <w:bottom w:val="nil"/>
            </w:tcBorders>
          </w:tcPr>
          <w:p>
            <w:pPr>
              <w:rPr>
                <w:rFonts w:ascii="Arial"/>
                <w:sz w:val="21"/>
              </w:rPr>
            </w:pPr>
            <w:r/>
          </w:p>
        </w:tc>
        <w:tc>
          <w:tcPr>
            <w:tcW w:w="633" w:type="dxa"/>
            <w:vAlign w:val="top"/>
          </w:tcPr>
          <w:p>
            <w:pPr>
              <w:ind w:left="319"/>
              <w:spacing w:before="26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74" w:type="dxa"/>
            <w:vAlign w:val="top"/>
          </w:tcPr>
          <w:p>
            <w:pPr>
              <w:pStyle w:val="TableText"/>
              <w:ind w:left="325" w:right="111" w:hanging="207"/>
              <w:spacing w:before="62" w:line="246" w:lineRule="auto"/>
              <w:rPr>
                <w:sz w:val="20"/>
                <w:szCs w:val="20"/>
              </w:rPr>
            </w:pPr>
            <w:r>
              <w:rPr>
                <w:sz w:val="20"/>
                <w:szCs w:val="20"/>
                <w:spacing w:val="7"/>
              </w:rPr>
              <w:t>单螺杆塑料</w:t>
            </w:r>
            <w:r>
              <w:rPr>
                <w:sz w:val="20"/>
                <w:szCs w:val="20"/>
                <w:spacing w:val="3"/>
              </w:rPr>
              <w:t xml:space="preserve"> </w:t>
            </w:r>
            <w:r>
              <w:rPr>
                <w:sz w:val="20"/>
                <w:szCs w:val="20"/>
                <w:spacing w:val="6"/>
              </w:rPr>
              <w:t>挤出机</w:t>
            </w:r>
          </w:p>
        </w:tc>
        <w:tc>
          <w:tcPr>
            <w:tcW w:w="540" w:type="dxa"/>
            <w:vAlign w:val="top"/>
          </w:tcPr>
          <w:p>
            <w:pPr>
              <w:pStyle w:val="TableText"/>
              <w:ind w:left="113"/>
              <w:spacing w:before="214" w:line="230" w:lineRule="auto"/>
              <w:rPr>
                <w:sz w:val="20"/>
                <w:szCs w:val="20"/>
              </w:rPr>
            </w:pPr>
            <w:r>
              <w:rPr>
                <w:rFonts w:ascii="Times New Roman" w:hAnsi="Times New Roman" w:eastAsia="Times New Roman" w:cs="Times New Roman"/>
                <w:sz w:val="20"/>
                <w:szCs w:val="20"/>
                <w:spacing w:val="5"/>
              </w:rPr>
              <w:t>2</w:t>
            </w:r>
            <w:r>
              <w:rPr>
                <w:sz w:val="20"/>
                <w:szCs w:val="20"/>
                <w:spacing w:val="5"/>
              </w:rPr>
              <w:t>台</w:t>
            </w:r>
          </w:p>
        </w:tc>
        <w:tc>
          <w:tcPr>
            <w:tcW w:w="1033" w:type="dxa"/>
            <w:vAlign w:val="top"/>
          </w:tcPr>
          <w:p>
            <w:pPr>
              <w:ind w:left="261"/>
              <w:spacing w:before="2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85~92</w:t>
            </w:r>
          </w:p>
        </w:tc>
        <w:tc>
          <w:tcPr>
            <w:tcW w:w="2276" w:type="dxa"/>
            <w:vAlign w:val="top"/>
          </w:tcPr>
          <w:p>
            <w:pPr>
              <w:pStyle w:val="TableText"/>
              <w:ind w:left="114"/>
              <w:spacing w:before="221" w:line="228" w:lineRule="auto"/>
              <w:rPr>
                <w:sz w:val="20"/>
                <w:szCs w:val="20"/>
              </w:rPr>
            </w:pPr>
            <w:r>
              <w:rPr>
                <w:sz w:val="20"/>
                <w:szCs w:val="20"/>
                <w:spacing w:val="5"/>
              </w:rPr>
              <w:t>基础减震、隔声、消声</w:t>
            </w:r>
          </w:p>
        </w:tc>
        <w:tc>
          <w:tcPr>
            <w:tcW w:w="1753" w:type="dxa"/>
            <w:vAlign w:val="top"/>
          </w:tcPr>
          <w:p>
            <w:pPr>
              <w:ind w:left="560"/>
              <w:spacing w:before="2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60~67</w:t>
            </w:r>
          </w:p>
        </w:tc>
      </w:tr>
      <w:tr>
        <w:trPr>
          <w:trHeight w:val="345" w:hRule="atLeast"/>
        </w:trPr>
        <w:tc>
          <w:tcPr>
            <w:tcW w:w="1017" w:type="dxa"/>
            <w:vAlign w:val="top"/>
            <w:vMerge w:val="continue"/>
            <w:tcBorders>
              <w:top w:val="nil"/>
              <w:bottom w:val="nil"/>
            </w:tcBorders>
          </w:tcPr>
          <w:p>
            <w:pPr>
              <w:rPr>
                <w:rFonts w:ascii="Arial"/>
                <w:sz w:val="21"/>
              </w:rPr>
            </w:pPr>
            <w:r/>
          </w:p>
        </w:tc>
        <w:tc>
          <w:tcPr>
            <w:tcW w:w="633" w:type="dxa"/>
            <w:vAlign w:val="top"/>
          </w:tcPr>
          <w:p>
            <w:pPr>
              <w:ind w:left="323"/>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74" w:type="dxa"/>
            <w:vAlign w:val="top"/>
          </w:tcPr>
          <w:p>
            <w:pPr>
              <w:pStyle w:val="TableText"/>
              <w:ind w:left="332"/>
              <w:spacing w:before="84" w:line="227" w:lineRule="auto"/>
              <w:rPr>
                <w:sz w:val="20"/>
                <w:szCs w:val="20"/>
              </w:rPr>
            </w:pPr>
            <w:r>
              <w:rPr>
                <w:sz w:val="20"/>
                <w:szCs w:val="20"/>
                <w:spacing w:val="4"/>
              </w:rPr>
              <w:t>空压机</w:t>
            </w:r>
          </w:p>
        </w:tc>
        <w:tc>
          <w:tcPr>
            <w:tcW w:w="540" w:type="dxa"/>
            <w:vAlign w:val="top"/>
          </w:tcPr>
          <w:p>
            <w:pPr>
              <w:pStyle w:val="TableText"/>
              <w:ind w:left="113"/>
              <w:spacing w:before="84" w:line="230" w:lineRule="auto"/>
              <w:rPr>
                <w:sz w:val="20"/>
                <w:szCs w:val="20"/>
              </w:rPr>
            </w:pPr>
            <w:r>
              <w:rPr>
                <w:rFonts w:ascii="Times New Roman" w:hAnsi="Times New Roman" w:eastAsia="Times New Roman" w:cs="Times New Roman"/>
                <w:sz w:val="20"/>
                <w:szCs w:val="20"/>
                <w:spacing w:val="5"/>
              </w:rPr>
              <w:t>2</w:t>
            </w:r>
            <w:r>
              <w:rPr>
                <w:sz w:val="20"/>
                <w:szCs w:val="20"/>
                <w:spacing w:val="5"/>
              </w:rPr>
              <w:t>台</w:t>
            </w:r>
          </w:p>
        </w:tc>
        <w:tc>
          <w:tcPr>
            <w:tcW w:w="1033" w:type="dxa"/>
            <w:vAlign w:val="top"/>
          </w:tcPr>
          <w:p>
            <w:pPr>
              <w:ind w:left="256"/>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78~85</w:t>
            </w:r>
          </w:p>
        </w:tc>
        <w:tc>
          <w:tcPr>
            <w:tcW w:w="2276" w:type="dxa"/>
            <w:vAlign w:val="top"/>
          </w:tcPr>
          <w:p>
            <w:pPr>
              <w:pStyle w:val="TableText"/>
              <w:ind w:left="409"/>
              <w:spacing w:before="91" w:line="225" w:lineRule="auto"/>
              <w:rPr>
                <w:sz w:val="20"/>
                <w:szCs w:val="20"/>
              </w:rPr>
            </w:pPr>
            <w:r>
              <w:rPr>
                <w:sz w:val="20"/>
                <w:szCs w:val="20"/>
                <w:spacing w:val="8"/>
              </w:rPr>
              <w:t>基础减震、隔声</w:t>
            </w:r>
          </w:p>
        </w:tc>
        <w:tc>
          <w:tcPr>
            <w:tcW w:w="1753" w:type="dxa"/>
            <w:vAlign w:val="top"/>
          </w:tcPr>
          <w:p>
            <w:pPr>
              <w:ind w:left="561"/>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58~65</w:t>
            </w:r>
          </w:p>
        </w:tc>
      </w:tr>
      <w:tr>
        <w:trPr>
          <w:trHeight w:val="345" w:hRule="atLeast"/>
        </w:trPr>
        <w:tc>
          <w:tcPr>
            <w:tcW w:w="1017" w:type="dxa"/>
            <w:vAlign w:val="top"/>
            <w:vMerge w:val="continue"/>
            <w:tcBorders>
              <w:top w:val="nil"/>
              <w:bottom w:val="nil"/>
            </w:tcBorders>
          </w:tcPr>
          <w:p>
            <w:pPr>
              <w:rPr>
                <w:rFonts w:ascii="Arial"/>
                <w:sz w:val="21"/>
              </w:rPr>
            </w:pPr>
            <w:r/>
          </w:p>
        </w:tc>
        <w:tc>
          <w:tcPr>
            <w:tcW w:w="633" w:type="dxa"/>
            <w:vAlign w:val="top"/>
          </w:tcPr>
          <w:p>
            <w:pPr>
              <w:ind w:left="318"/>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274" w:type="dxa"/>
            <w:vAlign w:val="top"/>
          </w:tcPr>
          <w:p>
            <w:pPr>
              <w:pStyle w:val="TableText"/>
              <w:ind w:left="221"/>
              <w:spacing w:before="81" w:line="228" w:lineRule="auto"/>
              <w:rPr>
                <w:sz w:val="20"/>
                <w:szCs w:val="20"/>
              </w:rPr>
            </w:pPr>
            <w:r>
              <w:rPr>
                <w:sz w:val="20"/>
                <w:szCs w:val="20"/>
                <w:spacing w:val="7"/>
              </w:rPr>
              <w:t>模头部分</w:t>
            </w:r>
          </w:p>
        </w:tc>
        <w:tc>
          <w:tcPr>
            <w:tcW w:w="540" w:type="dxa"/>
            <w:vAlign w:val="top"/>
          </w:tcPr>
          <w:p>
            <w:pPr>
              <w:pStyle w:val="TableText"/>
              <w:ind w:left="113"/>
              <w:spacing w:before="82" w:line="228" w:lineRule="auto"/>
              <w:rPr>
                <w:sz w:val="20"/>
                <w:szCs w:val="20"/>
              </w:rPr>
            </w:pPr>
            <w:r>
              <w:rPr>
                <w:rFonts w:ascii="Times New Roman" w:hAnsi="Times New Roman" w:eastAsia="Times New Roman" w:cs="Times New Roman"/>
                <w:sz w:val="20"/>
                <w:szCs w:val="20"/>
                <w:spacing w:val="5"/>
              </w:rPr>
              <w:t>2</w:t>
            </w:r>
            <w:r>
              <w:rPr>
                <w:sz w:val="20"/>
                <w:szCs w:val="20"/>
                <w:spacing w:val="5"/>
              </w:rPr>
              <w:t>套</w:t>
            </w:r>
          </w:p>
        </w:tc>
        <w:tc>
          <w:tcPr>
            <w:tcW w:w="1033" w:type="dxa"/>
            <w:vAlign w:val="top"/>
          </w:tcPr>
          <w:p>
            <w:pPr>
              <w:ind w:left="256"/>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79~90</w:t>
            </w:r>
          </w:p>
        </w:tc>
        <w:tc>
          <w:tcPr>
            <w:tcW w:w="2276" w:type="dxa"/>
            <w:vAlign w:val="top"/>
          </w:tcPr>
          <w:p>
            <w:pPr>
              <w:pStyle w:val="TableText"/>
              <w:ind w:left="409"/>
              <w:spacing w:before="89" w:line="227" w:lineRule="auto"/>
              <w:rPr>
                <w:sz w:val="20"/>
                <w:szCs w:val="20"/>
              </w:rPr>
            </w:pPr>
            <w:r>
              <w:rPr>
                <w:sz w:val="20"/>
                <w:szCs w:val="20"/>
                <w:spacing w:val="8"/>
              </w:rPr>
              <w:t>基础减震、隔声</w:t>
            </w:r>
          </w:p>
        </w:tc>
        <w:tc>
          <w:tcPr>
            <w:tcW w:w="1753" w:type="dxa"/>
            <w:vAlign w:val="top"/>
          </w:tcPr>
          <w:p>
            <w:pPr>
              <w:ind w:left="561"/>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59~70</w:t>
            </w:r>
          </w:p>
        </w:tc>
      </w:tr>
      <w:tr>
        <w:trPr>
          <w:trHeight w:val="345" w:hRule="atLeast"/>
        </w:trPr>
        <w:tc>
          <w:tcPr>
            <w:tcW w:w="1017" w:type="dxa"/>
            <w:vAlign w:val="top"/>
            <w:vMerge w:val="continue"/>
            <w:tcBorders>
              <w:top w:val="nil"/>
              <w:bottom w:val="nil"/>
            </w:tcBorders>
          </w:tcPr>
          <w:p>
            <w:pPr>
              <w:rPr>
                <w:rFonts w:ascii="Arial"/>
                <w:sz w:val="21"/>
              </w:rPr>
            </w:pPr>
            <w:r/>
          </w:p>
        </w:tc>
        <w:tc>
          <w:tcPr>
            <w:tcW w:w="633" w:type="dxa"/>
            <w:vAlign w:val="top"/>
          </w:tcPr>
          <w:p>
            <w:pPr>
              <w:ind w:left="324"/>
              <w:spacing w:before="13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74" w:type="dxa"/>
            <w:vAlign w:val="top"/>
          </w:tcPr>
          <w:p>
            <w:pPr>
              <w:pStyle w:val="TableText"/>
              <w:ind w:left="223"/>
              <w:spacing w:before="83" w:line="228" w:lineRule="auto"/>
              <w:rPr>
                <w:sz w:val="20"/>
                <w:szCs w:val="20"/>
              </w:rPr>
            </w:pPr>
            <w:r>
              <w:rPr>
                <w:sz w:val="20"/>
                <w:szCs w:val="20"/>
                <w:spacing w:val="7"/>
              </w:rPr>
              <w:t>风环系统</w:t>
            </w:r>
          </w:p>
        </w:tc>
        <w:tc>
          <w:tcPr>
            <w:tcW w:w="540" w:type="dxa"/>
            <w:vAlign w:val="top"/>
          </w:tcPr>
          <w:p>
            <w:pPr>
              <w:pStyle w:val="TableText"/>
              <w:ind w:left="113"/>
              <w:spacing w:before="83" w:line="228" w:lineRule="auto"/>
              <w:rPr>
                <w:sz w:val="20"/>
                <w:szCs w:val="20"/>
              </w:rPr>
            </w:pPr>
            <w:r>
              <w:rPr>
                <w:rFonts w:ascii="Times New Roman" w:hAnsi="Times New Roman" w:eastAsia="Times New Roman" w:cs="Times New Roman"/>
                <w:sz w:val="20"/>
                <w:szCs w:val="20"/>
                <w:spacing w:val="5"/>
              </w:rPr>
              <w:t>2</w:t>
            </w:r>
            <w:r>
              <w:rPr>
                <w:sz w:val="20"/>
                <w:szCs w:val="20"/>
                <w:spacing w:val="5"/>
              </w:rPr>
              <w:t>套</w:t>
            </w:r>
          </w:p>
        </w:tc>
        <w:tc>
          <w:tcPr>
            <w:tcW w:w="1033" w:type="dxa"/>
            <w:vAlign w:val="top"/>
          </w:tcPr>
          <w:p>
            <w:pPr>
              <w:ind w:left="261"/>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80~88</w:t>
            </w:r>
          </w:p>
        </w:tc>
        <w:tc>
          <w:tcPr>
            <w:tcW w:w="2276" w:type="dxa"/>
            <w:vAlign w:val="top"/>
          </w:tcPr>
          <w:p>
            <w:pPr>
              <w:pStyle w:val="TableText"/>
              <w:ind w:left="409"/>
              <w:spacing w:before="90" w:line="226" w:lineRule="auto"/>
              <w:rPr>
                <w:sz w:val="20"/>
                <w:szCs w:val="20"/>
              </w:rPr>
            </w:pPr>
            <w:r>
              <w:rPr>
                <w:sz w:val="20"/>
                <w:szCs w:val="20"/>
                <w:spacing w:val="8"/>
              </w:rPr>
              <w:t>基础减震、隔声</w:t>
            </w:r>
          </w:p>
        </w:tc>
        <w:tc>
          <w:tcPr>
            <w:tcW w:w="1753" w:type="dxa"/>
            <w:vAlign w:val="top"/>
          </w:tcPr>
          <w:p>
            <w:pPr>
              <w:ind w:left="560"/>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60~68</w:t>
            </w:r>
          </w:p>
        </w:tc>
      </w:tr>
      <w:tr>
        <w:trPr>
          <w:trHeight w:val="345" w:hRule="atLeast"/>
        </w:trPr>
        <w:tc>
          <w:tcPr>
            <w:tcW w:w="1017" w:type="dxa"/>
            <w:vAlign w:val="top"/>
            <w:vMerge w:val="continue"/>
            <w:tcBorders>
              <w:top w:val="nil"/>
              <w:bottom w:val="nil"/>
            </w:tcBorders>
          </w:tcPr>
          <w:p>
            <w:pPr>
              <w:rPr>
                <w:rFonts w:ascii="Arial"/>
                <w:sz w:val="21"/>
              </w:rPr>
            </w:pPr>
            <w:r/>
          </w:p>
        </w:tc>
        <w:tc>
          <w:tcPr>
            <w:tcW w:w="633" w:type="dxa"/>
            <w:vAlign w:val="top"/>
          </w:tcPr>
          <w:p>
            <w:pPr>
              <w:ind w:left="323"/>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274" w:type="dxa"/>
            <w:vAlign w:val="top"/>
          </w:tcPr>
          <w:p>
            <w:pPr>
              <w:pStyle w:val="TableText"/>
              <w:ind w:left="224"/>
              <w:spacing w:before="82" w:line="227" w:lineRule="auto"/>
              <w:rPr>
                <w:sz w:val="20"/>
                <w:szCs w:val="20"/>
              </w:rPr>
            </w:pPr>
            <w:r>
              <w:rPr>
                <w:sz w:val="20"/>
                <w:szCs w:val="20"/>
                <w:spacing w:val="6"/>
              </w:rPr>
              <w:t>牵引系统</w:t>
            </w:r>
          </w:p>
        </w:tc>
        <w:tc>
          <w:tcPr>
            <w:tcW w:w="540" w:type="dxa"/>
            <w:vAlign w:val="top"/>
          </w:tcPr>
          <w:p>
            <w:pPr>
              <w:pStyle w:val="TableText"/>
              <w:ind w:left="113"/>
              <w:spacing w:before="83" w:line="228" w:lineRule="auto"/>
              <w:rPr>
                <w:sz w:val="20"/>
                <w:szCs w:val="20"/>
              </w:rPr>
            </w:pPr>
            <w:r>
              <w:rPr>
                <w:rFonts w:ascii="Times New Roman" w:hAnsi="Times New Roman" w:eastAsia="Times New Roman" w:cs="Times New Roman"/>
                <w:sz w:val="20"/>
                <w:szCs w:val="20"/>
                <w:spacing w:val="5"/>
              </w:rPr>
              <w:t>2</w:t>
            </w:r>
            <w:r>
              <w:rPr>
                <w:sz w:val="20"/>
                <w:szCs w:val="20"/>
                <w:spacing w:val="5"/>
              </w:rPr>
              <w:t>套</w:t>
            </w:r>
          </w:p>
        </w:tc>
        <w:tc>
          <w:tcPr>
            <w:tcW w:w="1033" w:type="dxa"/>
            <w:vAlign w:val="top"/>
          </w:tcPr>
          <w:p>
            <w:pPr>
              <w:ind w:left="261"/>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85~92</w:t>
            </w:r>
          </w:p>
        </w:tc>
        <w:tc>
          <w:tcPr>
            <w:tcW w:w="2276" w:type="dxa"/>
            <w:vAlign w:val="top"/>
          </w:tcPr>
          <w:p>
            <w:pPr>
              <w:pStyle w:val="TableText"/>
              <w:ind w:left="114"/>
              <w:spacing w:before="90" w:line="226" w:lineRule="auto"/>
              <w:rPr>
                <w:sz w:val="20"/>
                <w:szCs w:val="20"/>
              </w:rPr>
            </w:pPr>
            <w:r>
              <w:rPr>
                <w:sz w:val="20"/>
                <w:szCs w:val="20"/>
                <w:spacing w:val="5"/>
              </w:rPr>
              <w:t>基础减震、隔声、消声</w:t>
            </w:r>
          </w:p>
        </w:tc>
        <w:tc>
          <w:tcPr>
            <w:tcW w:w="1753" w:type="dxa"/>
            <w:vAlign w:val="top"/>
          </w:tcPr>
          <w:p>
            <w:pPr>
              <w:ind w:left="560"/>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60~67</w:t>
            </w:r>
          </w:p>
        </w:tc>
      </w:tr>
      <w:tr>
        <w:trPr>
          <w:trHeight w:val="345" w:hRule="atLeast"/>
        </w:trPr>
        <w:tc>
          <w:tcPr>
            <w:tcW w:w="1017" w:type="dxa"/>
            <w:vAlign w:val="top"/>
            <w:vMerge w:val="continue"/>
            <w:tcBorders>
              <w:top w:val="nil"/>
              <w:bottom w:val="nil"/>
            </w:tcBorders>
          </w:tcPr>
          <w:p>
            <w:pPr>
              <w:rPr>
                <w:rFonts w:ascii="Arial"/>
                <w:sz w:val="21"/>
              </w:rPr>
            </w:pPr>
            <w:r/>
          </w:p>
        </w:tc>
        <w:tc>
          <w:tcPr>
            <w:tcW w:w="633" w:type="dxa"/>
            <w:vAlign w:val="top"/>
          </w:tcPr>
          <w:p>
            <w:pPr>
              <w:ind w:left="322"/>
              <w:spacing w:before="13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274" w:type="dxa"/>
            <w:vAlign w:val="top"/>
          </w:tcPr>
          <w:p>
            <w:pPr>
              <w:pStyle w:val="TableText"/>
              <w:ind w:left="230"/>
              <w:spacing w:before="83" w:line="228" w:lineRule="auto"/>
              <w:rPr>
                <w:sz w:val="20"/>
                <w:szCs w:val="20"/>
              </w:rPr>
            </w:pPr>
            <w:r>
              <w:rPr>
                <w:sz w:val="20"/>
                <w:szCs w:val="20"/>
                <w:spacing w:val="5"/>
              </w:rPr>
              <w:t>收卷系统</w:t>
            </w:r>
          </w:p>
        </w:tc>
        <w:tc>
          <w:tcPr>
            <w:tcW w:w="540" w:type="dxa"/>
            <w:vAlign w:val="top"/>
          </w:tcPr>
          <w:p>
            <w:pPr>
              <w:pStyle w:val="TableText"/>
              <w:ind w:left="113"/>
              <w:spacing w:before="83" w:line="228" w:lineRule="auto"/>
              <w:rPr>
                <w:sz w:val="20"/>
                <w:szCs w:val="20"/>
              </w:rPr>
            </w:pPr>
            <w:r>
              <w:rPr>
                <w:rFonts w:ascii="Times New Roman" w:hAnsi="Times New Roman" w:eastAsia="Times New Roman" w:cs="Times New Roman"/>
                <w:sz w:val="20"/>
                <w:szCs w:val="20"/>
                <w:spacing w:val="5"/>
              </w:rPr>
              <w:t>2</w:t>
            </w:r>
            <w:r>
              <w:rPr>
                <w:sz w:val="20"/>
                <w:szCs w:val="20"/>
                <w:spacing w:val="5"/>
              </w:rPr>
              <w:t>套</w:t>
            </w:r>
          </w:p>
        </w:tc>
        <w:tc>
          <w:tcPr>
            <w:tcW w:w="1033" w:type="dxa"/>
            <w:vAlign w:val="top"/>
          </w:tcPr>
          <w:p>
            <w:pPr>
              <w:ind w:left="256"/>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78~85</w:t>
            </w:r>
          </w:p>
        </w:tc>
        <w:tc>
          <w:tcPr>
            <w:tcW w:w="2276" w:type="dxa"/>
            <w:vAlign w:val="top"/>
          </w:tcPr>
          <w:p>
            <w:pPr>
              <w:pStyle w:val="TableText"/>
              <w:ind w:left="409"/>
              <w:spacing w:before="90" w:line="226" w:lineRule="auto"/>
              <w:rPr>
                <w:sz w:val="20"/>
                <w:szCs w:val="20"/>
              </w:rPr>
            </w:pPr>
            <w:r>
              <w:rPr>
                <w:sz w:val="20"/>
                <w:szCs w:val="20"/>
                <w:spacing w:val="8"/>
              </w:rPr>
              <w:t>基础减震、隔声</w:t>
            </w:r>
          </w:p>
        </w:tc>
        <w:tc>
          <w:tcPr>
            <w:tcW w:w="1753" w:type="dxa"/>
            <w:vAlign w:val="top"/>
          </w:tcPr>
          <w:p>
            <w:pPr>
              <w:ind w:left="561"/>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58~65</w:t>
            </w:r>
          </w:p>
        </w:tc>
      </w:tr>
      <w:tr>
        <w:trPr>
          <w:trHeight w:val="354" w:hRule="atLeast"/>
        </w:trPr>
        <w:tc>
          <w:tcPr>
            <w:tcW w:w="1017" w:type="dxa"/>
            <w:vAlign w:val="top"/>
            <w:vMerge w:val="continue"/>
            <w:tcBorders>
              <w:top w:val="nil"/>
              <w:bottom w:val="nil"/>
            </w:tcBorders>
          </w:tcPr>
          <w:p>
            <w:pPr>
              <w:rPr>
                <w:rFonts w:ascii="Arial"/>
                <w:sz w:val="21"/>
              </w:rPr>
            </w:pPr>
            <w:r/>
          </w:p>
        </w:tc>
        <w:tc>
          <w:tcPr>
            <w:tcW w:w="633" w:type="dxa"/>
            <w:vAlign w:val="top"/>
            <w:tcBorders>
              <w:bottom w:val="single" w:color="000000" w:sz="10" w:space="0"/>
            </w:tcBorders>
          </w:tcPr>
          <w:p>
            <w:pPr>
              <w:ind w:left="327"/>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274" w:type="dxa"/>
            <w:vAlign w:val="top"/>
            <w:tcBorders>
              <w:bottom w:val="single" w:color="000000" w:sz="10" w:space="0"/>
            </w:tcBorders>
          </w:tcPr>
          <w:p>
            <w:pPr>
              <w:pStyle w:val="TableText"/>
              <w:ind w:left="325"/>
              <w:spacing w:before="83" w:line="227" w:lineRule="auto"/>
              <w:rPr>
                <w:sz w:val="20"/>
                <w:szCs w:val="20"/>
              </w:rPr>
            </w:pPr>
            <w:r>
              <w:rPr>
                <w:sz w:val="20"/>
                <w:szCs w:val="20"/>
                <w:spacing w:val="6"/>
              </w:rPr>
              <w:t>包装机</w:t>
            </w:r>
          </w:p>
        </w:tc>
        <w:tc>
          <w:tcPr>
            <w:tcW w:w="540" w:type="dxa"/>
            <w:vAlign w:val="top"/>
            <w:tcBorders>
              <w:bottom w:val="single" w:color="000000" w:sz="10" w:space="0"/>
            </w:tcBorders>
          </w:tcPr>
          <w:p>
            <w:pPr>
              <w:pStyle w:val="TableText"/>
              <w:ind w:left="113"/>
              <w:spacing w:before="84" w:line="228" w:lineRule="auto"/>
              <w:rPr>
                <w:sz w:val="20"/>
                <w:szCs w:val="20"/>
              </w:rPr>
            </w:pPr>
            <w:r>
              <w:rPr>
                <w:rFonts w:ascii="Times New Roman" w:hAnsi="Times New Roman" w:eastAsia="Times New Roman" w:cs="Times New Roman"/>
                <w:sz w:val="20"/>
                <w:szCs w:val="20"/>
                <w:spacing w:val="5"/>
              </w:rPr>
              <w:t>2</w:t>
            </w:r>
            <w:r>
              <w:rPr>
                <w:sz w:val="20"/>
                <w:szCs w:val="20"/>
                <w:spacing w:val="5"/>
              </w:rPr>
              <w:t>套</w:t>
            </w:r>
          </w:p>
        </w:tc>
        <w:tc>
          <w:tcPr>
            <w:tcW w:w="1033" w:type="dxa"/>
            <w:vAlign w:val="top"/>
            <w:tcBorders>
              <w:bottom w:val="single" w:color="000000" w:sz="10" w:space="0"/>
            </w:tcBorders>
          </w:tcPr>
          <w:p>
            <w:pPr>
              <w:ind w:left="261"/>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85~92</w:t>
            </w:r>
          </w:p>
        </w:tc>
        <w:tc>
          <w:tcPr>
            <w:tcW w:w="2276" w:type="dxa"/>
            <w:vAlign w:val="top"/>
            <w:tcBorders>
              <w:bottom w:val="single" w:color="000000" w:sz="10" w:space="0"/>
            </w:tcBorders>
          </w:tcPr>
          <w:p>
            <w:pPr>
              <w:pStyle w:val="TableText"/>
              <w:ind w:left="114"/>
              <w:spacing w:before="91" w:line="228" w:lineRule="auto"/>
              <w:rPr>
                <w:sz w:val="20"/>
                <w:szCs w:val="20"/>
              </w:rPr>
            </w:pPr>
            <w:r>
              <w:rPr>
                <w:sz w:val="20"/>
                <w:szCs w:val="20"/>
                <w:spacing w:val="5"/>
              </w:rPr>
              <w:t>基础减震、隔声、消声</w:t>
            </w:r>
          </w:p>
        </w:tc>
        <w:tc>
          <w:tcPr>
            <w:tcW w:w="1753" w:type="dxa"/>
            <w:vAlign w:val="top"/>
            <w:tcBorders>
              <w:bottom w:val="single" w:color="000000" w:sz="10" w:space="0"/>
            </w:tcBorders>
          </w:tcPr>
          <w:p>
            <w:pPr>
              <w:ind w:left="560"/>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60~67</w:t>
            </w:r>
          </w:p>
        </w:tc>
      </w:tr>
      <w:tr>
        <w:trPr>
          <w:trHeight w:val="1507" w:hRule="atLeast"/>
        </w:trPr>
        <w:tc>
          <w:tcPr>
            <w:tcW w:w="1017" w:type="dxa"/>
            <w:vAlign w:val="top"/>
            <w:vMerge w:val="continue"/>
            <w:tcBorders>
              <w:top w:val="nil"/>
            </w:tcBorders>
          </w:tcPr>
          <w:p>
            <w:pPr>
              <w:rPr>
                <w:rFonts w:ascii="Arial"/>
                <w:sz w:val="21"/>
              </w:rPr>
            </w:pPr>
            <w:r/>
          </w:p>
        </w:tc>
        <w:tc>
          <w:tcPr>
            <w:tcW w:w="7509" w:type="dxa"/>
            <w:vAlign w:val="top"/>
            <w:gridSpan w:val="6"/>
            <w:tcBorders>
              <w:top w:val="single" w:color="000000" w:sz="10" w:space="0"/>
            </w:tcBorders>
          </w:tcPr>
          <w:p>
            <w:pPr>
              <w:pStyle w:val="TableText"/>
              <w:ind w:left="604"/>
              <w:spacing w:before="189" w:line="220" w:lineRule="auto"/>
              <w:rPr/>
            </w:pPr>
            <w:r>
              <w:rPr>
                <w:spacing w:val="-3"/>
              </w:rPr>
              <w:t>（</w:t>
            </w:r>
            <w:r>
              <w:rPr>
                <w:rFonts w:ascii="Times New Roman" w:hAnsi="Times New Roman" w:eastAsia="Times New Roman" w:cs="Times New Roman"/>
                <w:spacing w:val="-3"/>
              </w:rPr>
              <w:t>2</w:t>
            </w:r>
            <w:r>
              <w:rPr>
                <w:spacing w:val="-3"/>
              </w:rPr>
              <w:t>）噪声预测</w:t>
            </w:r>
          </w:p>
          <w:p>
            <w:pPr>
              <w:pStyle w:val="TableText"/>
              <w:ind w:left="593"/>
              <w:spacing w:before="213" w:line="501" w:lineRule="exact"/>
              <w:rPr/>
            </w:pPr>
            <w:r>
              <w:rPr>
                <w:spacing w:val="3"/>
                <w:position w:val="20"/>
              </w:rPr>
              <w:t>本项目噪声源分为室外室内两种声源。噪声预测模式采用《</w:t>
            </w:r>
            <w:r>
              <w:rPr>
                <w:spacing w:val="2"/>
                <w:position w:val="20"/>
              </w:rPr>
              <w:t>环境</w:t>
            </w:r>
          </w:p>
          <w:p>
            <w:pPr>
              <w:pStyle w:val="TableText"/>
              <w:ind w:left="112"/>
              <w:spacing w:before="1" w:line="217" w:lineRule="auto"/>
              <w:rPr/>
            </w:pPr>
            <w:r>
              <w:rPr/>
              <w:t>影响评价技术导则 声环境》</w:t>
            </w:r>
            <w:r>
              <w:rPr>
                <w:rFonts w:ascii="Times New Roman" w:hAnsi="Times New Roman" w:eastAsia="Times New Roman" w:cs="Times New Roman"/>
              </w:rPr>
              <w:t>HJ2.4</w:t>
            </w:r>
            <w:r>
              <w:rPr/>
              <w:t>－</w:t>
            </w:r>
            <w:r>
              <w:rPr>
                <w:rFonts w:ascii="Times New Roman" w:hAnsi="Times New Roman" w:eastAsia="Times New Roman" w:cs="Times New Roman"/>
              </w:rPr>
              <w:t>2021</w:t>
            </w:r>
            <w:r>
              <w:rPr/>
              <w:t>中</w:t>
            </w:r>
            <w:r>
              <w:rPr>
                <w:spacing w:val="-1"/>
              </w:rPr>
              <w:t>推荐模式形式进行预测。</w:t>
            </w:r>
          </w:p>
        </w:tc>
      </w:tr>
    </w:tbl>
    <w:p>
      <w:pPr>
        <w:pStyle w:val="BodyText"/>
        <w:rPr/>
      </w:pPr>
      <w:r/>
    </w:p>
    <w:p>
      <w:pPr>
        <w:sectPr>
          <w:footerReference w:type="default" r:id="rId227"/>
          <w:pgSz w:w="11906" w:h="16839"/>
          <w:pgMar w:top="400" w:right="1687" w:bottom="1209"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17"/>
        <w:gridCol w:w="7509"/>
      </w:tblGrid>
      <w:tr>
        <w:trPr>
          <w:trHeight w:val="13867" w:hRule="atLeast"/>
        </w:trPr>
        <w:tc>
          <w:tcPr>
            <w:tcW w:w="1017" w:type="dxa"/>
            <w:vAlign w:val="top"/>
          </w:tcPr>
          <w:p>
            <w:pPr>
              <w:rPr>
                <w:rFonts w:ascii="Arial"/>
                <w:sz w:val="21"/>
              </w:rPr>
            </w:pPr>
            <w:r/>
          </w:p>
        </w:tc>
        <w:tc>
          <w:tcPr>
            <w:tcW w:w="7509" w:type="dxa"/>
            <w:vAlign w:val="top"/>
          </w:tcPr>
          <w:p>
            <w:pPr>
              <w:pStyle w:val="TableText"/>
              <w:ind w:left="604"/>
              <w:spacing w:before="200" w:line="220" w:lineRule="auto"/>
              <w:rPr/>
            </w:pPr>
            <w:r>
              <w:rPr>
                <w:spacing w:val="-3"/>
              </w:rPr>
              <w:t>（</w:t>
            </w:r>
            <w:r>
              <w:rPr>
                <w:rFonts w:ascii="Times New Roman" w:hAnsi="Times New Roman" w:eastAsia="Times New Roman" w:cs="Times New Roman"/>
                <w:spacing w:val="-3"/>
              </w:rPr>
              <w:t>3</w:t>
            </w:r>
            <w:r>
              <w:rPr>
                <w:spacing w:val="-3"/>
              </w:rPr>
              <w:t>）预测结果</w:t>
            </w:r>
          </w:p>
          <w:p>
            <w:pPr>
              <w:pStyle w:val="TableText"/>
              <w:ind w:left="114" w:right="106" w:firstLine="478"/>
              <w:spacing w:before="213" w:line="400" w:lineRule="auto"/>
              <w:jc w:val="both"/>
              <w:rPr/>
            </w:pPr>
            <w:r>
              <w:rPr>
                <w:spacing w:val="3"/>
              </w:rPr>
              <w:t>根据本项目噪声源的分布，对拟建厂址的厂界四周噪声影响进行</w:t>
            </w:r>
            <w:r>
              <w:rPr/>
              <w:t xml:space="preserve"> </w:t>
            </w:r>
            <w:r>
              <w:rPr>
                <w:spacing w:val="11"/>
              </w:rPr>
              <w:t>预测计算。根据噪声预测模式进行计算，厂界噪声的预测结果见表</w:t>
            </w:r>
          </w:p>
          <w:p>
            <w:pPr>
              <w:pStyle w:val="TableText"/>
              <w:ind w:left="107"/>
              <w:spacing w:line="180" w:lineRule="auto"/>
              <w:rPr/>
            </w:pPr>
            <w:r>
              <w:rPr>
                <w:rFonts w:ascii="Times New Roman" w:hAnsi="Times New Roman" w:eastAsia="Times New Roman" w:cs="Times New Roman"/>
                <w:spacing w:val="-5"/>
              </w:rPr>
              <w:t>4.2-</w:t>
            </w:r>
            <w:r>
              <w:rPr>
                <w:rFonts w:ascii="Times New Roman" w:hAnsi="Times New Roman" w:eastAsia="Times New Roman" w:cs="Times New Roman"/>
                <w:spacing w:val="-31"/>
              </w:rPr>
              <w:t xml:space="preserve"> </w:t>
            </w:r>
            <w:r>
              <w:rPr>
                <w:rFonts w:ascii="Times New Roman" w:hAnsi="Times New Roman" w:eastAsia="Times New Roman" w:cs="Times New Roman"/>
                <w:spacing w:val="-5"/>
              </w:rPr>
              <w:t>13</w:t>
            </w:r>
            <w:r>
              <w:rPr>
                <w:spacing w:val="-5"/>
              </w:rPr>
              <w:t>。</w:t>
            </w:r>
          </w:p>
          <w:p>
            <w:pPr>
              <w:pStyle w:val="TableText"/>
              <w:ind w:left="2610"/>
              <w:spacing w:before="77" w:line="211" w:lineRule="auto"/>
              <w:rPr/>
            </w:pPr>
            <w:r>
              <w:rPr>
                <w14:textOutline w14:w="4358" w14:cap="sq" w14:cmpd="sng">
                  <w14:solidFill>
                    <w14:srgbClr w14:val="000000"/>
                  </w14:solidFill>
                  <w14:prstDash w14:val="solid"/>
                  <w14:bevel/>
                </w14:textOutline>
              </w:rPr>
              <w:t>表4.2-13</w:t>
            </w:r>
            <w:r>
              <w:rPr/>
              <w:t xml:space="preserve"> </w:t>
            </w:r>
            <w:r>
              <w:rPr>
                <w14:textOutline w14:w="4358" w14:cap="sq" w14:cmpd="sng">
                  <w14:solidFill>
                    <w14:srgbClr w14:val="000000"/>
                  </w14:solidFill>
                  <w14:prstDash w14:val="solid"/>
                  <w14:bevel/>
                </w14:textOutline>
              </w:rPr>
              <w:t>噪声预测结果表</w:t>
            </w:r>
          </w:p>
          <w:tbl>
            <w:tblPr>
              <w:tblStyle w:val="TableNormal"/>
              <w:tblW w:w="7289" w:type="dxa"/>
              <w:tblInd w:w="10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97"/>
              <w:gridCol w:w="1518"/>
              <w:gridCol w:w="1524"/>
              <w:gridCol w:w="1524"/>
              <w:gridCol w:w="1526"/>
            </w:tblGrid>
            <w:tr>
              <w:trPr>
                <w:trHeight w:val="325" w:hRule="atLeast"/>
              </w:trPr>
              <w:tc>
                <w:tcPr>
                  <w:tcW w:w="1197" w:type="dxa"/>
                  <w:vAlign w:val="top"/>
                  <w:vMerge w:val="restart"/>
                  <w:tcBorders>
                    <w:left w:val="nil"/>
                    <w:top w:val="single" w:color="000000" w:sz="10" w:space="0"/>
                    <w:bottom w:val="nil"/>
                  </w:tcBorders>
                </w:tcPr>
                <w:p>
                  <w:pPr>
                    <w:pStyle w:val="TableText"/>
                    <w:ind w:left="407"/>
                    <w:spacing w:before="82" w:line="229" w:lineRule="auto"/>
                    <w:rPr>
                      <w:sz w:val="20"/>
                      <w:szCs w:val="20"/>
                    </w:rPr>
                  </w:pPr>
                  <w:r>
                    <w:rPr>
                      <w:sz w:val="20"/>
                      <w:szCs w:val="20"/>
                      <w:spacing w:val="-1"/>
                    </w:rPr>
                    <w:t>点位</w:t>
                  </w:r>
                </w:p>
              </w:tc>
              <w:tc>
                <w:tcPr>
                  <w:tcW w:w="3042" w:type="dxa"/>
                  <w:vAlign w:val="top"/>
                  <w:gridSpan w:val="2"/>
                  <w:tcBorders>
                    <w:top w:val="single" w:color="000000" w:sz="10" w:space="0"/>
                  </w:tcBorders>
                </w:tcPr>
                <w:p>
                  <w:pPr>
                    <w:pStyle w:val="TableText"/>
                    <w:ind w:left="907"/>
                    <w:spacing w:before="82" w:line="215" w:lineRule="auto"/>
                    <w:rPr>
                      <w:sz w:val="20"/>
                      <w:szCs w:val="20"/>
                    </w:rPr>
                  </w:pPr>
                  <w:r>
                    <w:rPr>
                      <w:sz w:val="20"/>
                      <w:szCs w:val="20"/>
                      <w:spacing w:val="7"/>
                    </w:rPr>
                    <w:t>昼间</w:t>
                  </w:r>
                  <w:r>
                    <w:rPr>
                      <w:rFonts w:ascii="Times New Roman" w:hAnsi="Times New Roman" w:eastAsia="Times New Roman" w:cs="Times New Roman"/>
                      <w:sz w:val="20"/>
                      <w:szCs w:val="20"/>
                    </w:rPr>
                    <w:t>dB</w:t>
                  </w:r>
                  <w:r>
                    <w:rPr>
                      <w:sz w:val="20"/>
                      <w:szCs w:val="20"/>
                      <w:spacing w:val="7"/>
                    </w:rPr>
                    <w:t>（</w:t>
                  </w:r>
                  <w:r>
                    <w:rPr>
                      <w:rFonts w:ascii="Times New Roman" w:hAnsi="Times New Roman" w:eastAsia="Times New Roman" w:cs="Times New Roman"/>
                      <w:sz w:val="20"/>
                      <w:szCs w:val="20"/>
                      <w:spacing w:val="7"/>
                    </w:rPr>
                    <w:t>A</w:t>
                  </w:r>
                  <w:r>
                    <w:rPr>
                      <w:sz w:val="20"/>
                      <w:szCs w:val="20"/>
                      <w:spacing w:val="7"/>
                    </w:rPr>
                    <w:t>）</w:t>
                  </w:r>
                </w:p>
              </w:tc>
              <w:tc>
                <w:tcPr>
                  <w:tcW w:w="3050" w:type="dxa"/>
                  <w:vAlign w:val="top"/>
                  <w:gridSpan w:val="2"/>
                  <w:tcBorders>
                    <w:right w:val="nil"/>
                    <w:top w:val="single" w:color="000000" w:sz="10" w:space="0"/>
                  </w:tcBorders>
                </w:tcPr>
                <w:p>
                  <w:pPr>
                    <w:pStyle w:val="TableText"/>
                    <w:ind w:left="915"/>
                    <w:spacing w:before="82" w:line="215" w:lineRule="auto"/>
                    <w:rPr>
                      <w:sz w:val="20"/>
                      <w:szCs w:val="20"/>
                    </w:rPr>
                  </w:pPr>
                  <w:r>
                    <w:rPr>
                      <w:sz w:val="20"/>
                      <w:szCs w:val="20"/>
                      <w:spacing w:val="7"/>
                    </w:rPr>
                    <w:t>夜间</w:t>
                  </w:r>
                  <w:r>
                    <w:rPr>
                      <w:rFonts w:ascii="Times New Roman" w:hAnsi="Times New Roman" w:eastAsia="Times New Roman" w:cs="Times New Roman"/>
                      <w:sz w:val="20"/>
                      <w:szCs w:val="20"/>
                    </w:rPr>
                    <w:t>dB</w:t>
                  </w:r>
                  <w:r>
                    <w:rPr>
                      <w:sz w:val="20"/>
                      <w:szCs w:val="20"/>
                      <w:spacing w:val="7"/>
                    </w:rPr>
                    <w:t>（</w:t>
                  </w:r>
                  <w:r>
                    <w:rPr>
                      <w:rFonts w:ascii="Times New Roman" w:hAnsi="Times New Roman" w:eastAsia="Times New Roman" w:cs="Times New Roman"/>
                      <w:sz w:val="20"/>
                      <w:szCs w:val="20"/>
                      <w:spacing w:val="7"/>
                    </w:rPr>
                    <w:t>A</w:t>
                  </w:r>
                  <w:r>
                    <w:rPr>
                      <w:sz w:val="20"/>
                      <w:szCs w:val="20"/>
                      <w:spacing w:val="7"/>
                    </w:rPr>
                    <w:t>）</w:t>
                  </w:r>
                </w:p>
              </w:tc>
            </w:tr>
            <w:tr>
              <w:trPr>
                <w:trHeight w:val="321" w:hRule="atLeast"/>
              </w:trPr>
              <w:tc>
                <w:tcPr>
                  <w:tcW w:w="1197" w:type="dxa"/>
                  <w:vAlign w:val="top"/>
                  <w:vMerge w:val="continue"/>
                  <w:tcBorders>
                    <w:left w:val="nil"/>
                    <w:top w:val="nil"/>
                  </w:tcBorders>
                </w:tcPr>
                <w:p>
                  <w:pPr>
                    <w:rPr>
                      <w:rFonts w:ascii="Arial"/>
                      <w:sz w:val="21"/>
                    </w:rPr>
                  </w:pPr>
                  <w:r/>
                </w:p>
              </w:tc>
              <w:tc>
                <w:tcPr>
                  <w:tcW w:w="1518" w:type="dxa"/>
                  <w:vAlign w:val="top"/>
                </w:tcPr>
                <w:p>
                  <w:pPr>
                    <w:pStyle w:val="TableText"/>
                    <w:ind w:left="452"/>
                    <w:spacing w:before="81" w:line="212" w:lineRule="auto"/>
                    <w:rPr>
                      <w:sz w:val="20"/>
                      <w:szCs w:val="20"/>
                    </w:rPr>
                  </w:pPr>
                  <w:r>
                    <w:rPr>
                      <w:sz w:val="20"/>
                      <w:szCs w:val="20"/>
                      <w:spacing w:val="6"/>
                    </w:rPr>
                    <w:t>贡献值</w:t>
                  </w:r>
                </w:p>
              </w:tc>
              <w:tc>
                <w:tcPr>
                  <w:tcW w:w="1524" w:type="dxa"/>
                  <w:vAlign w:val="top"/>
                </w:tcPr>
                <w:p>
                  <w:pPr>
                    <w:pStyle w:val="TableText"/>
                    <w:ind w:left="455"/>
                    <w:spacing w:before="81" w:line="212" w:lineRule="auto"/>
                    <w:rPr>
                      <w:sz w:val="20"/>
                      <w:szCs w:val="20"/>
                    </w:rPr>
                  </w:pPr>
                  <w:r>
                    <w:rPr>
                      <w:sz w:val="20"/>
                      <w:szCs w:val="20"/>
                      <w:spacing w:val="6"/>
                    </w:rPr>
                    <w:t>预测值</w:t>
                  </w:r>
                </w:p>
              </w:tc>
              <w:tc>
                <w:tcPr>
                  <w:tcW w:w="1524" w:type="dxa"/>
                  <w:vAlign w:val="top"/>
                </w:tcPr>
                <w:p>
                  <w:pPr>
                    <w:pStyle w:val="TableText"/>
                    <w:ind w:left="456"/>
                    <w:spacing w:before="81" w:line="212" w:lineRule="auto"/>
                    <w:rPr>
                      <w:sz w:val="20"/>
                      <w:szCs w:val="20"/>
                    </w:rPr>
                  </w:pPr>
                  <w:r>
                    <w:rPr>
                      <w:sz w:val="20"/>
                      <w:szCs w:val="20"/>
                      <w:spacing w:val="6"/>
                    </w:rPr>
                    <w:t>贡献值</w:t>
                  </w:r>
                </w:p>
              </w:tc>
              <w:tc>
                <w:tcPr>
                  <w:tcW w:w="1526" w:type="dxa"/>
                  <w:vAlign w:val="top"/>
                  <w:tcBorders>
                    <w:right w:val="nil"/>
                  </w:tcBorders>
                </w:tcPr>
                <w:p>
                  <w:pPr>
                    <w:pStyle w:val="TableText"/>
                    <w:ind w:left="455"/>
                    <w:spacing w:before="81" w:line="212" w:lineRule="auto"/>
                    <w:rPr>
                      <w:sz w:val="20"/>
                      <w:szCs w:val="20"/>
                    </w:rPr>
                  </w:pPr>
                  <w:r>
                    <w:rPr>
                      <w:sz w:val="20"/>
                      <w:szCs w:val="20"/>
                      <w:spacing w:val="6"/>
                    </w:rPr>
                    <w:t>预测值</w:t>
                  </w:r>
                </w:p>
              </w:tc>
            </w:tr>
            <w:tr>
              <w:trPr>
                <w:trHeight w:val="321" w:hRule="atLeast"/>
              </w:trPr>
              <w:tc>
                <w:tcPr>
                  <w:tcW w:w="1197" w:type="dxa"/>
                  <w:vAlign w:val="top"/>
                  <w:tcBorders>
                    <w:left w:val="nil"/>
                  </w:tcBorders>
                </w:tcPr>
                <w:p>
                  <w:pPr>
                    <w:pStyle w:val="TableText"/>
                    <w:ind w:left="293"/>
                    <w:spacing w:before="86" w:line="207" w:lineRule="auto"/>
                    <w:rPr>
                      <w:sz w:val="20"/>
                      <w:szCs w:val="20"/>
                    </w:rPr>
                  </w:pPr>
                  <w:r>
                    <w:rPr>
                      <w:sz w:val="20"/>
                      <w:szCs w:val="20"/>
                      <w:spacing w:val="6"/>
                    </w:rPr>
                    <w:t>厂界北</w:t>
                  </w:r>
                </w:p>
              </w:tc>
              <w:tc>
                <w:tcPr>
                  <w:tcW w:w="1518" w:type="dxa"/>
                  <w:vAlign w:val="top"/>
                </w:tcPr>
                <w:p>
                  <w:pPr>
                    <w:ind w:left="660"/>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c>
                <w:tcPr>
                  <w:tcW w:w="1524" w:type="dxa"/>
                  <w:vAlign w:val="top"/>
                </w:tcPr>
                <w:p>
                  <w:pPr>
                    <w:ind w:left="664"/>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c>
                <w:tcPr>
                  <w:tcW w:w="1524" w:type="dxa"/>
                  <w:vAlign w:val="top"/>
                </w:tcPr>
                <w:p>
                  <w:pPr>
                    <w:ind w:left="662"/>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1526" w:type="dxa"/>
                  <w:vAlign w:val="top"/>
                  <w:tcBorders>
                    <w:right w:val="nil"/>
                  </w:tcBorders>
                </w:tcPr>
                <w:p>
                  <w:pPr>
                    <w:ind w:left="662"/>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r>
            <w:tr>
              <w:trPr>
                <w:trHeight w:val="321" w:hRule="atLeast"/>
              </w:trPr>
              <w:tc>
                <w:tcPr>
                  <w:tcW w:w="1197" w:type="dxa"/>
                  <w:vAlign w:val="top"/>
                  <w:tcBorders>
                    <w:left w:val="nil"/>
                  </w:tcBorders>
                </w:tcPr>
                <w:p>
                  <w:pPr>
                    <w:pStyle w:val="TableText"/>
                    <w:ind w:left="293"/>
                    <w:spacing w:before="88" w:line="205" w:lineRule="auto"/>
                    <w:rPr>
                      <w:sz w:val="20"/>
                      <w:szCs w:val="20"/>
                    </w:rPr>
                  </w:pPr>
                  <w:r>
                    <w:rPr>
                      <w:sz w:val="20"/>
                      <w:szCs w:val="20"/>
                      <w:spacing w:val="6"/>
                    </w:rPr>
                    <w:t>厂界西</w:t>
                  </w:r>
                </w:p>
              </w:tc>
              <w:tc>
                <w:tcPr>
                  <w:tcW w:w="1518" w:type="dxa"/>
                  <w:vAlign w:val="top"/>
                </w:tcPr>
                <w:p>
                  <w:pPr>
                    <w:ind w:left="660"/>
                    <w:spacing w:before="125"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524" w:type="dxa"/>
                  <w:vAlign w:val="top"/>
                </w:tcPr>
                <w:p>
                  <w:pPr>
                    <w:ind w:left="664"/>
                    <w:spacing w:before="125"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524" w:type="dxa"/>
                  <w:vAlign w:val="top"/>
                </w:tcPr>
                <w:p>
                  <w:pPr>
                    <w:ind w:left="662"/>
                    <w:spacing w:before="125"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1526" w:type="dxa"/>
                  <w:vAlign w:val="top"/>
                  <w:tcBorders>
                    <w:right w:val="nil"/>
                  </w:tcBorders>
                </w:tcPr>
                <w:p>
                  <w:pPr>
                    <w:ind w:left="662"/>
                    <w:spacing w:before="125"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r>
            <w:tr>
              <w:trPr>
                <w:trHeight w:val="321" w:hRule="atLeast"/>
              </w:trPr>
              <w:tc>
                <w:tcPr>
                  <w:tcW w:w="1197" w:type="dxa"/>
                  <w:vAlign w:val="top"/>
                  <w:tcBorders>
                    <w:left w:val="nil"/>
                  </w:tcBorders>
                </w:tcPr>
                <w:p>
                  <w:pPr>
                    <w:pStyle w:val="TableText"/>
                    <w:ind w:left="293"/>
                    <w:spacing w:before="94" w:line="200" w:lineRule="auto"/>
                    <w:rPr>
                      <w:sz w:val="20"/>
                      <w:szCs w:val="20"/>
                    </w:rPr>
                  </w:pPr>
                  <w:r>
                    <w:rPr>
                      <w:sz w:val="20"/>
                      <w:szCs w:val="20"/>
                      <w:spacing w:val="6"/>
                    </w:rPr>
                    <w:t>厂界南</w:t>
                  </w:r>
                </w:p>
              </w:tc>
              <w:tc>
                <w:tcPr>
                  <w:tcW w:w="1518" w:type="dxa"/>
                  <w:vAlign w:val="top"/>
                </w:tcPr>
                <w:p>
                  <w:pPr>
                    <w:ind w:left="660"/>
                    <w:spacing w:before="130"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524" w:type="dxa"/>
                  <w:vAlign w:val="top"/>
                </w:tcPr>
                <w:p>
                  <w:pPr>
                    <w:ind w:left="664"/>
                    <w:spacing w:before="130"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524" w:type="dxa"/>
                  <w:vAlign w:val="top"/>
                </w:tcPr>
                <w:p>
                  <w:pPr>
                    <w:ind w:left="662"/>
                    <w:spacing w:before="130"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1526" w:type="dxa"/>
                  <w:vAlign w:val="top"/>
                  <w:tcBorders>
                    <w:right w:val="nil"/>
                  </w:tcBorders>
                </w:tcPr>
                <w:p>
                  <w:pPr>
                    <w:ind w:left="662"/>
                    <w:spacing w:before="130"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r>
            <w:tr>
              <w:trPr>
                <w:trHeight w:val="344" w:hRule="atLeast"/>
              </w:trPr>
              <w:tc>
                <w:tcPr>
                  <w:tcW w:w="1197" w:type="dxa"/>
                  <w:vAlign w:val="top"/>
                  <w:tcBorders>
                    <w:left w:val="nil"/>
                    <w:bottom w:val="single" w:color="000000" w:sz="10" w:space="0"/>
                  </w:tcBorders>
                </w:tcPr>
                <w:p>
                  <w:pPr>
                    <w:pStyle w:val="TableText"/>
                    <w:ind w:left="293"/>
                    <w:spacing w:before="96" w:line="219" w:lineRule="auto"/>
                    <w:rPr>
                      <w:sz w:val="20"/>
                      <w:szCs w:val="20"/>
                    </w:rPr>
                  </w:pPr>
                  <w:r>
                    <w:rPr>
                      <w:sz w:val="20"/>
                      <w:szCs w:val="20"/>
                      <w:spacing w:val="6"/>
                    </w:rPr>
                    <w:t>厂界东</w:t>
                  </w:r>
                </w:p>
              </w:tc>
              <w:tc>
                <w:tcPr>
                  <w:tcW w:w="1518" w:type="dxa"/>
                  <w:vAlign w:val="top"/>
                  <w:tcBorders>
                    <w:bottom w:val="single" w:color="000000" w:sz="10" w:space="0"/>
                  </w:tcBorders>
                </w:tcPr>
                <w:p>
                  <w:pPr>
                    <w:ind w:left="660"/>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524" w:type="dxa"/>
                  <w:vAlign w:val="top"/>
                  <w:tcBorders>
                    <w:bottom w:val="single" w:color="000000" w:sz="10" w:space="0"/>
                  </w:tcBorders>
                </w:tcPr>
                <w:p>
                  <w:pPr>
                    <w:ind w:left="664"/>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524" w:type="dxa"/>
                  <w:vAlign w:val="top"/>
                  <w:tcBorders>
                    <w:bottom w:val="single" w:color="000000" w:sz="10" w:space="0"/>
                  </w:tcBorders>
                </w:tcPr>
                <w:p>
                  <w:pPr>
                    <w:ind w:left="662"/>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1526" w:type="dxa"/>
                  <w:vAlign w:val="top"/>
                  <w:tcBorders>
                    <w:right w:val="nil"/>
                    <w:bottom w:val="single" w:color="000000" w:sz="10" w:space="0"/>
                  </w:tcBorders>
                </w:tcPr>
                <w:p>
                  <w:pPr>
                    <w:ind w:left="662"/>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r>
          </w:tbl>
          <w:p>
            <w:pPr>
              <w:pStyle w:val="TableText"/>
              <w:ind w:left="112" w:right="26" w:firstLine="510"/>
              <w:spacing w:before="193" w:line="385" w:lineRule="auto"/>
              <w:rPr/>
            </w:pPr>
            <w:r>
              <w:rPr>
                <w:spacing w:val="9"/>
              </w:rPr>
              <w:t>由预测可知，本项目建成运行后厂界噪声昼间可以控制在</w:t>
            </w:r>
            <w:r>
              <w:rPr>
                <w:rFonts w:ascii="Times New Roman" w:hAnsi="Times New Roman" w:eastAsia="Times New Roman" w:cs="Times New Roman"/>
                <w:spacing w:val="9"/>
              </w:rPr>
              <w:t>60</w:t>
            </w:r>
            <w:r>
              <w:rPr>
                <w:rFonts w:ascii="Times New Roman" w:hAnsi="Times New Roman" w:eastAsia="Times New Roman" w:cs="Times New Roman"/>
              </w:rPr>
              <w:t>dB</w:t>
            </w:r>
            <w:r>
              <w:rPr>
                <w:rFonts w:ascii="Times New Roman" w:hAnsi="Times New Roman" w:eastAsia="Times New Roman" w:cs="Times New Roman"/>
                <w:spacing w:val="5"/>
              </w:rPr>
              <w:t xml:space="preserve">  </w:t>
            </w:r>
            <w:r>
              <w:rPr>
                <w:spacing w:val="-2"/>
              </w:rPr>
              <w:t>（</w:t>
            </w:r>
            <w:r>
              <w:rPr>
                <w:rFonts w:ascii="Times New Roman" w:hAnsi="Times New Roman" w:eastAsia="Times New Roman" w:cs="Times New Roman"/>
                <w:spacing w:val="-2"/>
              </w:rPr>
              <w:t>A</w:t>
            </w:r>
            <w:r>
              <w:rPr>
                <w:spacing w:val="-2"/>
              </w:rPr>
              <w:t>）以下，夜间可以控制在</w:t>
            </w:r>
            <w:r>
              <w:rPr>
                <w:rFonts w:ascii="Times New Roman" w:hAnsi="Times New Roman" w:eastAsia="Times New Roman" w:cs="Times New Roman"/>
                <w:spacing w:val="-2"/>
              </w:rPr>
              <w:t>50dB</w:t>
            </w:r>
            <w:r>
              <w:rPr>
                <w:spacing w:val="-2"/>
              </w:rPr>
              <w:t>（</w:t>
            </w:r>
            <w:r>
              <w:rPr>
                <w:rFonts w:ascii="Times New Roman" w:hAnsi="Times New Roman" w:eastAsia="Times New Roman" w:cs="Times New Roman"/>
                <w:spacing w:val="-2"/>
              </w:rPr>
              <w:t>A</w:t>
            </w:r>
            <w:r>
              <w:rPr>
                <w:spacing w:val="-3"/>
              </w:rPr>
              <w:t>）以下，厂界噪声可以满足《工 </w:t>
            </w:r>
            <w:r>
              <w:rPr>
                <w:spacing w:val="-5"/>
              </w:rPr>
              <w:t>业企业厂界环境噪声排放标准》（</w:t>
            </w:r>
            <w:r>
              <w:rPr>
                <w:rFonts w:ascii="Times New Roman" w:hAnsi="Times New Roman" w:eastAsia="Times New Roman" w:cs="Times New Roman"/>
                <w:spacing w:val="-5"/>
              </w:rPr>
              <w:t>GB12348</w:t>
            </w:r>
            <w:r>
              <w:rPr>
                <w:spacing w:val="-5"/>
              </w:rPr>
              <w:t>－</w:t>
            </w:r>
            <w:r>
              <w:rPr>
                <w:rFonts w:ascii="Times New Roman" w:hAnsi="Times New Roman" w:eastAsia="Times New Roman" w:cs="Times New Roman"/>
                <w:spacing w:val="-5"/>
              </w:rPr>
              <w:t>2008</w:t>
            </w:r>
            <w:r>
              <w:rPr>
                <w:spacing w:val="-5"/>
              </w:rPr>
              <w:t>）中</w:t>
            </w:r>
            <w:r>
              <w:rPr>
                <w:rFonts w:ascii="Times New Roman" w:hAnsi="Times New Roman" w:eastAsia="Times New Roman" w:cs="Times New Roman"/>
                <w:spacing w:val="-5"/>
              </w:rPr>
              <w:t>2</w:t>
            </w:r>
            <w:r>
              <w:rPr>
                <w:spacing w:val="-5"/>
              </w:rPr>
              <w:t>类标准的要求。</w:t>
            </w:r>
            <w:r>
              <w:rPr>
                <w:spacing w:val="15"/>
              </w:rPr>
              <w:t xml:space="preserve"> </w:t>
            </w:r>
            <w:r>
              <w:rPr>
                <w:spacing w:val="3"/>
              </w:rPr>
              <w:t>本项目在设计和建设中，应通过对装置噪声源强的控</w:t>
            </w:r>
            <w:r>
              <w:rPr>
                <w:spacing w:val="2"/>
              </w:rPr>
              <w:t>制，对周围环境</w:t>
            </w:r>
            <w:r>
              <w:rPr/>
              <w:t xml:space="preserve"> </w:t>
            </w:r>
            <w:r>
              <w:rPr>
                <w:spacing w:val="-3"/>
              </w:rPr>
              <w:t>影响不大。厂界</w:t>
            </w:r>
            <w:r>
              <w:rPr>
                <w:rFonts w:ascii="Times New Roman" w:hAnsi="Times New Roman" w:eastAsia="Times New Roman" w:cs="Times New Roman"/>
                <w:spacing w:val="-3"/>
              </w:rPr>
              <w:t>50m</w:t>
            </w:r>
            <w:r>
              <w:rPr>
                <w:spacing w:val="-3"/>
              </w:rPr>
              <w:t>范围内无环境保护目标分布，因此</w:t>
            </w:r>
            <w:r>
              <w:rPr>
                <w:spacing w:val="-4"/>
              </w:rPr>
              <w:t>，本项目运营期</w:t>
            </w:r>
          </w:p>
          <w:p>
            <w:pPr>
              <w:pStyle w:val="TableText"/>
              <w:ind w:left="114"/>
              <w:spacing w:line="220" w:lineRule="auto"/>
              <w:rPr/>
            </w:pPr>
            <w:r>
              <w:rPr>
                <w:spacing w:val="-2"/>
              </w:rPr>
              <w:t>可实现噪声达标排放。</w:t>
            </w:r>
          </w:p>
          <w:p>
            <w:pPr>
              <w:pStyle w:val="TableText"/>
              <w:ind w:left="604"/>
              <w:spacing w:before="213" w:line="220" w:lineRule="auto"/>
              <w:rPr/>
            </w:pPr>
            <w:r>
              <w:rPr>
                <w:spacing w:val="-2"/>
              </w:rPr>
              <w:t>（</w:t>
            </w:r>
            <w:r>
              <w:rPr>
                <w:rFonts w:ascii="Times New Roman" w:hAnsi="Times New Roman" w:eastAsia="Times New Roman" w:cs="Times New Roman"/>
                <w:spacing w:val="-2"/>
              </w:rPr>
              <w:t>4</w:t>
            </w:r>
            <w:r>
              <w:rPr>
                <w:spacing w:val="-2"/>
              </w:rPr>
              <w:t>）营运期噪声污染防治措施</w:t>
            </w:r>
          </w:p>
          <w:p>
            <w:pPr>
              <w:pStyle w:val="TableText"/>
              <w:ind w:left="114" w:right="106" w:firstLine="481"/>
              <w:spacing w:before="214" w:line="385" w:lineRule="auto"/>
              <w:rPr/>
            </w:pPr>
            <w:r>
              <w:rPr>
                <w:spacing w:val="3"/>
              </w:rPr>
              <w:t>项目生产过程均设置在厂房内，本评价提出噪声污染</w:t>
            </w:r>
            <w:r>
              <w:rPr>
                <w:spacing w:val="2"/>
              </w:rPr>
              <w:t>防治措施，</w:t>
            </w:r>
            <w:r>
              <w:rPr/>
              <w:t xml:space="preserve"> </w:t>
            </w:r>
            <w:r>
              <w:rPr>
                <w:spacing w:val="3"/>
              </w:rPr>
              <w:t>以确保本项目厂界的噪声贡献值达到《工业企业</w:t>
            </w:r>
            <w:r>
              <w:rPr>
                <w:spacing w:val="2"/>
              </w:rPr>
              <w:t>厂界环境噪声排放标</w:t>
            </w:r>
            <w:r>
              <w:rPr/>
              <w:t xml:space="preserve"> </w:t>
            </w:r>
            <w:r>
              <w:rPr>
                <w:spacing w:val="-3"/>
              </w:rPr>
              <w:t>准》（</w:t>
            </w:r>
            <w:r>
              <w:rPr>
                <w:rFonts w:ascii="Times New Roman" w:hAnsi="Times New Roman" w:eastAsia="Times New Roman" w:cs="Times New Roman"/>
                <w:spacing w:val="-3"/>
              </w:rPr>
              <w:t>GB12348-2008</w:t>
            </w:r>
            <w:r>
              <w:rPr>
                <w:spacing w:val="-3"/>
              </w:rPr>
              <w:t>）中</w:t>
            </w:r>
            <w:r>
              <w:rPr>
                <w:rFonts w:ascii="Times New Roman" w:hAnsi="Times New Roman" w:eastAsia="Times New Roman" w:cs="Times New Roman"/>
                <w:spacing w:val="-3"/>
              </w:rPr>
              <w:t>2</w:t>
            </w:r>
            <w:r>
              <w:rPr>
                <w:spacing w:val="-3"/>
              </w:rPr>
              <w:t>类标准为目标，并尽量减少对周边声环境质</w:t>
            </w:r>
          </w:p>
          <w:p>
            <w:pPr>
              <w:pStyle w:val="TableText"/>
              <w:ind w:left="112"/>
              <w:spacing w:line="221" w:lineRule="auto"/>
              <w:rPr/>
            </w:pPr>
            <w:r>
              <w:rPr>
                <w:spacing w:val="-2"/>
              </w:rPr>
              <w:t>量的影响。</w:t>
            </w:r>
          </w:p>
          <w:p>
            <w:pPr>
              <w:pStyle w:val="TableText"/>
              <w:ind w:left="593"/>
              <w:spacing w:before="211" w:line="218" w:lineRule="auto"/>
              <w:rPr/>
            </w:pPr>
            <w:r>
              <w:rPr>
                <w:spacing w:val="-1"/>
              </w:rPr>
              <w:t>本评价要求的隔声降噪措施如下：</w:t>
            </w:r>
          </w:p>
          <w:p>
            <w:pPr>
              <w:pStyle w:val="TableText"/>
              <w:ind w:left="592"/>
              <w:spacing w:before="216" w:line="501" w:lineRule="exact"/>
              <w:rPr/>
            </w:pPr>
            <w:r>
              <w:rPr>
                <w:spacing w:val="3"/>
                <w:position w:val="20"/>
              </w:rPr>
              <w:t>①合理布局，选用低噪声设备，最大程度上降低生产噪声</w:t>
            </w:r>
            <w:r>
              <w:rPr>
                <w:spacing w:val="2"/>
                <w:position w:val="20"/>
              </w:rPr>
              <w:t>对外环</w:t>
            </w:r>
          </w:p>
          <w:p>
            <w:pPr>
              <w:pStyle w:val="TableText"/>
              <w:ind w:left="113"/>
              <w:spacing w:line="220" w:lineRule="auto"/>
              <w:rPr/>
            </w:pPr>
            <w:r>
              <w:rPr>
                <w:spacing w:val="-3"/>
              </w:rPr>
              <w:t>境的影响。</w:t>
            </w:r>
          </w:p>
          <w:p>
            <w:pPr>
              <w:pStyle w:val="TableText"/>
              <w:ind w:left="591"/>
              <w:spacing w:before="214" w:line="499" w:lineRule="exact"/>
              <w:rPr/>
            </w:pPr>
            <w:r>
              <w:rPr>
                <w:spacing w:val="3"/>
                <w:position w:val="19"/>
              </w:rPr>
              <w:t>②加强设备的维护，确保设备处于良好的运转状态，杜绝因</w:t>
            </w:r>
            <w:r>
              <w:rPr>
                <w:spacing w:val="2"/>
                <w:position w:val="19"/>
              </w:rPr>
              <w:t>设备</w:t>
            </w:r>
          </w:p>
          <w:p>
            <w:pPr>
              <w:pStyle w:val="TableText"/>
              <w:ind w:left="116"/>
              <w:spacing w:line="219" w:lineRule="auto"/>
              <w:rPr/>
            </w:pPr>
            <w:r>
              <w:rPr>
                <w:spacing w:val="-1"/>
              </w:rPr>
              <w:t>不正常运转时产生的高噪声现象。</w:t>
            </w:r>
          </w:p>
          <w:p>
            <w:pPr>
              <w:pStyle w:val="TableText"/>
              <w:ind w:left="591"/>
              <w:spacing w:before="217" w:line="217" w:lineRule="auto"/>
              <w:rPr/>
            </w:pPr>
            <w:r>
              <w:rPr>
                <w:spacing w:val="-1"/>
              </w:rPr>
              <w:t>③对高噪音设备进行基础减震处理，在机座下加减振器等。</w:t>
            </w:r>
          </w:p>
          <w:p>
            <w:pPr>
              <w:pStyle w:val="TableText"/>
              <w:ind w:left="604"/>
              <w:spacing w:before="217" w:line="220" w:lineRule="auto"/>
              <w:rPr/>
            </w:pPr>
            <w:r>
              <w:rPr>
                <w:spacing w:val="-3"/>
              </w:rPr>
              <w:t>（</w:t>
            </w:r>
            <w:r>
              <w:rPr>
                <w:rFonts w:ascii="Times New Roman" w:hAnsi="Times New Roman" w:eastAsia="Times New Roman" w:cs="Times New Roman"/>
                <w:spacing w:val="-3"/>
              </w:rPr>
              <w:t>5</w:t>
            </w:r>
            <w:r>
              <w:rPr>
                <w:spacing w:val="-3"/>
              </w:rPr>
              <w:t>）噪声监测计划</w:t>
            </w:r>
          </w:p>
          <w:p>
            <w:pPr>
              <w:pStyle w:val="TableText"/>
              <w:ind w:left="594"/>
              <w:spacing w:before="212" w:line="219" w:lineRule="auto"/>
              <w:rPr/>
            </w:pPr>
            <w:r>
              <w:rPr>
                <w:spacing w:val="3"/>
              </w:rPr>
              <w:t>按照竣工环境保护验收管理办法，本项目需进行环境保护</w:t>
            </w:r>
            <w:r>
              <w:rPr>
                <w:spacing w:val="2"/>
              </w:rPr>
              <w:t>验收监</w:t>
            </w:r>
          </w:p>
        </w:tc>
      </w:tr>
    </w:tbl>
    <w:p>
      <w:pPr>
        <w:pStyle w:val="BodyText"/>
        <w:rPr/>
      </w:pPr>
      <w:r/>
    </w:p>
    <w:p>
      <w:pPr>
        <w:sectPr>
          <w:footerReference w:type="default" r:id="rId228"/>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17"/>
        <w:gridCol w:w="7509"/>
      </w:tblGrid>
      <w:tr>
        <w:trPr>
          <w:trHeight w:val="13577" w:hRule="atLeast"/>
        </w:trPr>
        <w:tc>
          <w:tcPr>
            <w:tcW w:w="1017" w:type="dxa"/>
            <w:vAlign w:val="top"/>
          </w:tcPr>
          <w:p>
            <w:pPr>
              <w:rPr>
                <w:rFonts w:ascii="Arial"/>
                <w:sz w:val="21"/>
              </w:rPr>
            </w:pPr>
            <w:r/>
          </w:p>
        </w:tc>
        <w:tc>
          <w:tcPr>
            <w:tcW w:w="7509" w:type="dxa"/>
            <w:vAlign w:val="top"/>
          </w:tcPr>
          <w:p>
            <w:pPr>
              <w:pStyle w:val="TableText"/>
              <w:ind w:left="113"/>
              <w:spacing w:before="200" w:line="499" w:lineRule="exact"/>
              <w:rPr/>
            </w:pPr>
            <w:r>
              <w:rPr>
                <w:spacing w:val="3"/>
                <w:position w:val="19"/>
              </w:rPr>
              <w:t>测工作。检测时间为项目建设完成后，试运行工段</w:t>
            </w:r>
            <w:r>
              <w:rPr>
                <w:spacing w:val="2"/>
                <w:position w:val="19"/>
              </w:rPr>
              <w:t>。监测内容及监测</w:t>
            </w:r>
          </w:p>
          <w:p>
            <w:pPr>
              <w:pStyle w:val="TableText"/>
              <w:ind w:left="113"/>
              <w:spacing w:line="219" w:lineRule="auto"/>
              <w:rPr/>
            </w:pPr>
            <w:r>
              <w:rPr>
                <w:spacing w:val="-4"/>
              </w:rPr>
              <w:t>频次见表</w:t>
            </w:r>
            <w:r>
              <w:rPr>
                <w:rFonts w:ascii="Times New Roman" w:hAnsi="Times New Roman" w:eastAsia="Times New Roman" w:cs="Times New Roman"/>
                <w:spacing w:val="-4"/>
              </w:rPr>
              <w:t>4.2-</w:t>
            </w:r>
            <w:r>
              <w:rPr>
                <w:rFonts w:ascii="Times New Roman" w:hAnsi="Times New Roman" w:eastAsia="Times New Roman" w:cs="Times New Roman"/>
                <w:spacing w:val="-29"/>
              </w:rPr>
              <w:t xml:space="preserve"> </w:t>
            </w:r>
            <w:r>
              <w:rPr>
                <w:rFonts w:ascii="Times New Roman" w:hAnsi="Times New Roman" w:eastAsia="Times New Roman" w:cs="Times New Roman"/>
                <w:spacing w:val="-4"/>
              </w:rPr>
              <w:t>14</w:t>
            </w:r>
            <w:r>
              <w:rPr>
                <w:spacing w:val="-4"/>
              </w:rPr>
              <w:t>。</w:t>
            </w:r>
          </w:p>
          <w:p>
            <w:pPr>
              <w:pStyle w:val="TableText"/>
              <w:ind w:left="2732"/>
              <w:spacing w:before="64" w:line="212" w:lineRule="auto"/>
              <w:rPr/>
            </w:pPr>
            <w:r>
              <w:rPr>
                <w14:textOutline w14:w="4358" w14:cap="sq" w14:cmpd="sng">
                  <w14:solidFill>
                    <w14:srgbClr w14:val="000000"/>
                  </w14:solidFill>
                  <w14:prstDash w14:val="solid"/>
                  <w14:bevel/>
                </w14:textOutline>
                <w:spacing w:val="-2"/>
              </w:rPr>
              <w:t>表4.2-14</w:t>
            </w:r>
            <w:r>
              <w:rPr>
                <w:spacing w:val="28"/>
              </w:rPr>
              <w:t xml:space="preserve"> </w:t>
            </w:r>
            <w:r>
              <w:rPr>
                <w14:textOutline w14:w="4358" w14:cap="sq" w14:cmpd="sng">
                  <w14:solidFill>
                    <w14:srgbClr w14:val="000000"/>
                  </w14:solidFill>
                  <w14:prstDash w14:val="solid"/>
                  <w14:bevel/>
                </w14:textOutline>
                <w:spacing w:val="-2"/>
              </w:rPr>
              <w:t>噪声监测计划</w:t>
            </w:r>
          </w:p>
          <w:tbl>
            <w:tblPr>
              <w:tblStyle w:val="TableNormal"/>
              <w:tblW w:w="7289" w:type="dxa"/>
              <w:tblInd w:w="10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49"/>
              <w:gridCol w:w="1432"/>
              <w:gridCol w:w="1118"/>
              <w:gridCol w:w="2045"/>
              <w:gridCol w:w="745"/>
            </w:tblGrid>
            <w:tr>
              <w:trPr>
                <w:trHeight w:val="361" w:hRule="atLeast"/>
              </w:trPr>
              <w:tc>
                <w:tcPr>
                  <w:tcW w:w="1949" w:type="dxa"/>
                  <w:vAlign w:val="top"/>
                  <w:tcBorders>
                    <w:top w:val="single" w:color="000000" w:sz="10" w:space="0"/>
                    <w:left w:val="nil"/>
                  </w:tcBorders>
                </w:tcPr>
                <w:p>
                  <w:pPr>
                    <w:pStyle w:val="TableText"/>
                    <w:ind w:left="563"/>
                    <w:spacing w:before="112" w:line="220" w:lineRule="auto"/>
                    <w:rPr>
                      <w:sz w:val="20"/>
                      <w:szCs w:val="20"/>
                    </w:rPr>
                  </w:pPr>
                  <w:r>
                    <w:rPr>
                      <w:sz w:val="20"/>
                      <w:szCs w:val="20"/>
                      <w:spacing w:val="7"/>
                    </w:rPr>
                    <w:t>监测点位</w:t>
                  </w:r>
                </w:p>
              </w:tc>
              <w:tc>
                <w:tcPr>
                  <w:tcW w:w="1432" w:type="dxa"/>
                  <w:vAlign w:val="top"/>
                  <w:tcBorders>
                    <w:top w:val="single" w:color="000000" w:sz="10" w:space="0"/>
                  </w:tcBorders>
                </w:tcPr>
                <w:p>
                  <w:pPr>
                    <w:pStyle w:val="TableText"/>
                    <w:ind w:left="301"/>
                    <w:spacing w:before="112" w:line="220" w:lineRule="auto"/>
                    <w:rPr>
                      <w:sz w:val="20"/>
                      <w:szCs w:val="20"/>
                    </w:rPr>
                  </w:pPr>
                  <w:r>
                    <w:rPr>
                      <w:sz w:val="20"/>
                      <w:szCs w:val="20"/>
                      <w:spacing w:val="7"/>
                    </w:rPr>
                    <w:t>监测内容</w:t>
                  </w:r>
                </w:p>
              </w:tc>
              <w:tc>
                <w:tcPr>
                  <w:tcW w:w="1118" w:type="dxa"/>
                  <w:vAlign w:val="top"/>
                  <w:tcBorders>
                    <w:top w:val="single" w:color="000000" w:sz="10" w:space="0"/>
                  </w:tcBorders>
                </w:tcPr>
                <w:p>
                  <w:pPr>
                    <w:pStyle w:val="TableText"/>
                    <w:ind w:left="146"/>
                    <w:spacing w:before="112" w:line="220" w:lineRule="auto"/>
                    <w:rPr>
                      <w:sz w:val="20"/>
                      <w:szCs w:val="20"/>
                    </w:rPr>
                  </w:pPr>
                  <w:r>
                    <w:rPr>
                      <w:sz w:val="20"/>
                      <w:szCs w:val="20"/>
                      <w:spacing w:val="7"/>
                    </w:rPr>
                    <w:t>监测天数</w:t>
                  </w:r>
                </w:p>
              </w:tc>
              <w:tc>
                <w:tcPr>
                  <w:tcW w:w="2045" w:type="dxa"/>
                  <w:vAlign w:val="top"/>
                  <w:tcBorders>
                    <w:top w:val="single" w:color="000000" w:sz="10" w:space="0"/>
                  </w:tcBorders>
                </w:tcPr>
                <w:p>
                  <w:pPr>
                    <w:pStyle w:val="TableText"/>
                    <w:ind w:left="607"/>
                    <w:spacing w:before="112" w:line="220" w:lineRule="auto"/>
                    <w:rPr>
                      <w:sz w:val="20"/>
                      <w:szCs w:val="20"/>
                    </w:rPr>
                  </w:pPr>
                  <w:r>
                    <w:rPr>
                      <w:sz w:val="20"/>
                      <w:szCs w:val="20"/>
                      <w:spacing w:val="7"/>
                    </w:rPr>
                    <w:t>监测频次</w:t>
                  </w:r>
                </w:p>
              </w:tc>
              <w:tc>
                <w:tcPr>
                  <w:tcW w:w="745" w:type="dxa"/>
                  <w:vAlign w:val="top"/>
                  <w:tcBorders>
                    <w:top w:val="single" w:color="000000" w:sz="10" w:space="0"/>
                    <w:right w:val="nil"/>
                  </w:tcBorders>
                </w:tcPr>
                <w:p>
                  <w:pPr>
                    <w:pStyle w:val="TableText"/>
                    <w:ind w:left="169"/>
                    <w:spacing w:before="112" w:line="220" w:lineRule="auto"/>
                    <w:rPr>
                      <w:sz w:val="20"/>
                      <w:szCs w:val="20"/>
                    </w:rPr>
                  </w:pPr>
                  <w:r>
                    <w:rPr>
                      <w:sz w:val="20"/>
                      <w:szCs w:val="20"/>
                      <w:spacing w:val="3"/>
                    </w:rPr>
                    <w:t>备注</w:t>
                  </w:r>
                </w:p>
              </w:tc>
            </w:tr>
            <w:tr>
              <w:trPr>
                <w:trHeight w:val="732" w:hRule="atLeast"/>
              </w:trPr>
              <w:tc>
                <w:tcPr>
                  <w:tcW w:w="1949" w:type="dxa"/>
                  <w:vAlign w:val="top"/>
                  <w:tcBorders>
                    <w:bottom w:val="single" w:color="000000" w:sz="10" w:space="0"/>
                    <w:left w:val="nil"/>
                  </w:tcBorders>
                </w:tcPr>
                <w:p>
                  <w:pPr>
                    <w:pStyle w:val="TableText"/>
                    <w:ind w:left="618" w:right="37" w:hanging="500"/>
                    <w:spacing w:before="117" w:line="279" w:lineRule="auto"/>
                    <w:rPr>
                      <w:sz w:val="20"/>
                      <w:szCs w:val="20"/>
                    </w:rPr>
                  </w:pPr>
                  <w:r>
                    <w:rPr>
                      <w:sz w:val="20"/>
                      <w:szCs w:val="20"/>
                      <w:spacing w:val="-2"/>
                    </w:rPr>
                    <w:t>厂界外东、南、西、</w:t>
                  </w:r>
                  <w:r>
                    <w:rPr>
                      <w:sz w:val="20"/>
                      <w:szCs w:val="20"/>
                      <w:spacing w:val="7"/>
                    </w:rPr>
                    <w:t xml:space="preserve"> </w:t>
                  </w:r>
                  <w:r>
                    <w:rPr>
                      <w:sz w:val="20"/>
                      <w:szCs w:val="20"/>
                      <w:spacing w:val="5"/>
                    </w:rPr>
                    <w:t>北</w:t>
                  </w:r>
                  <w:r>
                    <w:rPr>
                      <w:rFonts w:ascii="Times New Roman" w:hAnsi="Times New Roman" w:eastAsia="Times New Roman" w:cs="Times New Roman"/>
                      <w:sz w:val="20"/>
                      <w:szCs w:val="20"/>
                      <w:spacing w:val="5"/>
                    </w:rPr>
                    <w:t>1</w:t>
                  </w:r>
                  <w:r>
                    <w:rPr>
                      <w:sz w:val="20"/>
                      <w:szCs w:val="20"/>
                      <w:spacing w:val="5"/>
                    </w:rPr>
                    <w:t>米处</w:t>
                  </w:r>
                </w:p>
              </w:tc>
              <w:tc>
                <w:tcPr>
                  <w:tcW w:w="1432" w:type="dxa"/>
                  <w:vAlign w:val="top"/>
                  <w:tcBorders>
                    <w:bottom w:val="single" w:color="000000" w:sz="10" w:space="0"/>
                  </w:tcBorders>
                </w:tcPr>
                <w:p>
                  <w:pPr>
                    <w:pStyle w:val="TableText"/>
                    <w:ind w:left="300"/>
                    <w:spacing w:before="116" w:line="228" w:lineRule="auto"/>
                    <w:rPr>
                      <w:sz w:val="20"/>
                      <w:szCs w:val="20"/>
                    </w:rPr>
                  </w:pPr>
                  <w:r>
                    <w:rPr>
                      <w:sz w:val="20"/>
                      <w:szCs w:val="20"/>
                      <w:spacing w:val="7"/>
                    </w:rPr>
                    <w:t>环境噪声</w:t>
                  </w:r>
                </w:p>
              </w:tc>
              <w:tc>
                <w:tcPr>
                  <w:tcW w:w="1118" w:type="dxa"/>
                  <w:vAlign w:val="top"/>
                  <w:tcBorders>
                    <w:bottom w:val="single" w:color="000000" w:sz="10" w:space="0"/>
                  </w:tcBorders>
                </w:tcPr>
                <w:p>
                  <w:pPr>
                    <w:ind w:left="508"/>
                    <w:spacing w:before="15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045" w:type="dxa"/>
                  <w:vAlign w:val="top"/>
                  <w:tcBorders>
                    <w:bottom w:val="single" w:color="000000" w:sz="10" w:space="0"/>
                  </w:tcBorders>
                </w:tcPr>
                <w:p>
                  <w:pPr>
                    <w:pStyle w:val="TableText"/>
                    <w:ind w:left="130"/>
                    <w:spacing w:before="116" w:line="228" w:lineRule="auto"/>
                    <w:rPr>
                      <w:sz w:val="20"/>
                      <w:szCs w:val="20"/>
                    </w:rPr>
                  </w:pPr>
                  <w:r>
                    <w:rPr>
                      <w:rFonts w:ascii="Times New Roman" w:hAnsi="Times New Roman" w:eastAsia="Times New Roman" w:cs="Times New Roman"/>
                      <w:sz w:val="20"/>
                      <w:szCs w:val="20"/>
                      <w:spacing w:val="4"/>
                    </w:rPr>
                    <w:t>1</w:t>
                  </w:r>
                  <w:r>
                    <w:rPr>
                      <w:sz w:val="20"/>
                      <w:szCs w:val="20"/>
                      <w:spacing w:val="4"/>
                    </w:rPr>
                    <w:t>年</w:t>
                  </w:r>
                  <w:r>
                    <w:rPr>
                      <w:rFonts w:ascii="Times New Roman" w:hAnsi="Times New Roman" w:eastAsia="Times New Roman" w:cs="Times New Roman"/>
                      <w:sz w:val="20"/>
                      <w:szCs w:val="20"/>
                      <w:spacing w:val="4"/>
                    </w:rPr>
                    <w:t>/1</w:t>
                  </w:r>
                  <w:r>
                    <w:rPr>
                      <w:sz w:val="20"/>
                      <w:szCs w:val="20"/>
                      <w:spacing w:val="4"/>
                    </w:rPr>
                    <w:t>次；昼夜各</w:t>
                  </w:r>
                  <w:r>
                    <w:rPr>
                      <w:rFonts w:ascii="Times New Roman" w:hAnsi="Times New Roman" w:eastAsia="Times New Roman" w:cs="Times New Roman"/>
                      <w:sz w:val="20"/>
                      <w:szCs w:val="20"/>
                      <w:spacing w:val="4"/>
                    </w:rPr>
                    <w:t>1</w:t>
                  </w:r>
                  <w:r>
                    <w:rPr>
                      <w:sz w:val="20"/>
                      <w:szCs w:val="20"/>
                      <w:spacing w:val="4"/>
                    </w:rPr>
                    <w:t>次</w:t>
                  </w:r>
                </w:p>
              </w:tc>
              <w:tc>
                <w:tcPr>
                  <w:tcW w:w="745" w:type="dxa"/>
                  <w:vAlign w:val="top"/>
                  <w:tcBorders>
                    <w:bottom w:val="single" w:color="000000" w:sz="10" w:space="0"/>
                    <w:right w:val="nil"/>
                  </w:tcBorders>
                </w:tcPr>
                <w:p>
                  <w:pPr>
                    <w:ind w:left="341"/>
                    <w:spacing w:before="14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bl>
          <w:p>
            <w:pPr>
              <w:pStyle w:val="TableText"/>
              <w:ind w:left="589"/>
              <w:spacing w:before="196" w:line="220" w:lineRule="auto"/>
              <w:outlineLvl w:val="2"/>
              <w:rPr/>
            </w:pPr>
            <w:r>
              <w:rPr>
                <w:rFonts w:ascii="Times New Roman" w:hAnsi="Times New Roman" w:eastAsia="Times New Roman" w:cs="Times New Roman"/>
                <w:b/>
                <w:bCs/>
                <w:spacing w:val="-1"/>
              </w:rPr>
              <w:t>4.2.5  </w:t>
            </w:r>
            <w:r>
              <w:rPr>
                <w14:textOutline w14:w="4358" w14:cap="sq" w14:cmpd="sng">
                  <w14:solidFill>
                    <w14:srgbClr w14:val="000000"/>
                  </w14:solidFill>
                  <w14:prstDash w14:val="solid"/>
                  <w14:bevel/>
                </w14:textOutline>
                <w:spacing w:val="-1"/>
              </w:rPr>
              <w:t>生态环境影响</w:t>
            </w:r>
          </w:p>
          <w:p>
            <w:pPr>
              <w:pStyle w:val="TableText"/>
              <w:ind w:left="112" w:right="106" w:firstLine="480"/>
              <w:spacing w:before="212" w:line="385" w:lineRule="auto"/>
              <w:jc w:val="both"/>
              <w:rPr/>
            </w:pPr>
            <w:r>
              <w:rPr>
                <w:spacing w:val="3"/>
              </w:rPr>
              <w:t>本项目建设位于已建厂区内，项目周边无生态环境保</w:t>
            </w:r>
            <w:r>
              <w:rPr>
                <w:spacing w:val="2"/>
              </w:rPr>
              <w:t>护目标。随</w:t>
            </w:r>
            <w:r>
              <w:rPr/>
              <w:t xml:space="preserve"> </w:t>
            </w:r>
            <w:r>
              <w:rPr>
                <w:spacing w:val="1"/>
              </w:rPr>
              <w:t>着施工期结束，污染物随之减少。</w:t>
            </w:r>
            <w:r>
              <w:rPr>
                <w:spacing w:val="-62"/>
              </w:rPr>
              <w:t xml:space="preserve"> </w:t>
            </w:r>
            <w:r>
              <w:rPr>
                <w:spacing w:val="1"/>
              </w:rPr>
              <w:t>目前施工期已结束，项</w:t>
            </w:r>
            <w:r>
              <w:rPr/>
              <w:t>目对周边生</w:t>
            </w:r>
          </w:p>
          <w:p>
            <w:pPr>
              <w:pStyle w:val="TableText"/>
              <w:ind w:left="112"/>
              <w:spacing w:line="220" w:lineRule="auto"/>
              <w:rPr/>
            </w:pPr>
            <w:r>
              <w:rPr>
                <w:spacing w:val="-2"/>
              </w:rPr>
              <w:t>态环境的影响较小。</w:t>
            </w:r>
          </w:p>
          <w:p>
            <w:pPr>
              <w:pStyle w:val="TableText"/>
              <w:ind w:left="589"/>
              <w:spacing w:before="213" w:line="218" w:lineRule="auto"/>
              <w:outlineLvl w:val="2"/>
              <w:rPr/>
            </w:pPr>
            <w:r>
              <w:rPr>
                <w:rFonts w:ascii="Times New Roman" w:hAnsi="Times New Roman" w:eastAsia="Times New Roman" w:cs="Times New Roman"/>
                <w:b/>
                <w:bCs/>
                <w:spacing w:val="-1"/>
              </w:rPr>
              <w:t>4.2.6  </w:t>
            </w:r>
            <w:r>
              <w:rPr>
                <w14:textOutline w14:w="4358" w14:cap="sq" w14:cmpd="sng">
                  <w14:solidFill>
                    <w14:srgbClr w14:val="000000"/>
                  </w14:solidFill>
                  <w14:prstDash w14:val="solid"/>
                  <w14:bevel/>
                </w14:textOutline>
                <w:spacing w:val="-1"/>
              </w:rPr>
              <w:t>环境风险评价</w:t>
            </w:r>
          </w:p>
          <w:p>
            <w:pPr>
              <w:pStyle w:val="TableText"/>
              <w:ind w:left="604"/>
              <w:spacing w:before="219" w:line="499" w:lineRule="exact"/>
              <w:rPr/>
            </w:pPr>
            <w:r>
              <w:rPr>
                <w:spacing w:val="-3"/>
                <w:position w:val="20"/>
              </w:rPr>
              <w:t>（</w:t>
            </w:r>
            <w:r>
              <w:rPr>
                <w:rFonts w:ascii="Times New Roman" w:hAnsi="Times New Roman" w:eastAsia="Times New Roman" w:cs="Times New Roman"/>
                <w:spacing w:val="-3"/>
                <w:position w:val="20"/>
              </w:rPr>
              <w:t>1</w:t>
            </w:r>
            <w:r>
              <w:rPr>
                <w:spacing w:val="-3"/>
                <w:position w:val="20"/>
              </w:rPr>
              <w:t>）评价依据</w:t>
            </w:r>
          </w:p>
          <w:p>
            <w:pPr>
              <w:pStyle w:val="TableText"/>
              <w:ind w:left="592"/>
              <w:spacing w:line="217" w:lineRule="auto"/>
              <w:rPr/>
            </w:pPr>
            <w:r>
              <w:rPr>
                <w:spacing w:val="-2"/>
              </w:rPr>
              <w:t>①风险调查</w:t>
            </w:r>
          </w:p>
          <w:p>
            <w:pPr>
              <w:pStyle w:val="TableText"/>
              <w:ind w:left="113" w:right="106" w:firstLine="480"/>
              <w:spacing w:before="215" w:line="385" w:lineRule="auto"/>
              <w:rPr/>
            </w:pPr>
            <w:r>
              <w:rPr>
                <w:spacing w:val="3"/>
              </w:rPr>
              <w:t>本项目生产、使用、储存过程中不涉及的有毒有害、易燃易</w:t>
            </w:r>
            <w:r>
              <w:rPr>
                <w:spacing w:val="2"/>
              </w:rPr>
              <w:t>爆物</w:t>
            </w:r>
            <w:r>
              <w:rPr/>
              <w:t xml:space="preserve"> </w:t>
            </w:r>
            <w:r>
              <w:rPr>
                <w:spacing w:val="3"/>
              </w:rPr>
              <w:t>质。具有危险性原料主要为聚乙烯、废催化剂、废</w:t>
            </w:r>
            <w:r>
              <w:rPr>
                <w:spacing w:val="2"/>
              </w:rPr>
              <w:t>活性炭和废机油，</w:t>
            </w:r>
            <w:r>
              <w:rPr/>
              <w:t xml:space="preserve"> </w:t>
            </w:r>
            <w:r>
              <w:rPr>
                <w:spacing w:val="3"/>
              </w:rPr>
              <w:t>聚乙烯原料、废机油属于可燃性危险源，废催化剂</w:t>
            </w:r>
            <w:r>
              <w:rPr>
                <w:spacing w:val="2"/>
              </w:rPr>
              <w:t>、废活性炭属于危</w:t>
            </w:r>
          </w:p>
          <w:p>
            <w:pPr>
              <w:pStyle w:val="TableText"/>
              <w:ind w:left="126"/>
              <w:spacing w:line="220" w:lineRule="auto"/>
              <w:rPr/>
            </w:pPr>
            <w:r>
              <w:rPr>
                <w:spacing w:val="-6"/>
              </w:rPr>
              <w:t>险废物。</w:t>
            </w:r>
          </w:p>
          <w:p>
            <w:pPr>
              <w:pStyle w:val="TableText"/>
              <w:ind w:left="112" w:right="1" w:firstLine="480"/>
              <w:spacing w:before="212" w:line="385" w:lineRule="auto"/>
              <w:rPr/>
            </w:pPr>
            <w:r>
              <w:rPr/>
              <w:t>根据《建设项目环境风险评价技术导则》（</w:t>
            </w:r>
            <w:r>
              <w:rPr>
                <w:rFonts w:ascii="Times New Roman" w:hAnsi="Times New Roman" w:eastAsia="Times New Roman" w:cs="Times New Roman"/>
              </w:rPr>
              <w:t>HJ1</w:t>
            </w:r>
            <w:r>
              <w:rPr>
                <w:rFonts w:ascii="Times New Roman" w:hAnsi="Times New Roman" w:eastAsia="Times New Roman" w:cs="Times New Roman"/>
                <w:spacing w:val="-1"/>
              </w:rPr>
              <w:t>69-2018</w:t>
            </w:r>
            <w:r>
              <w:rPr>
                <w:spacing w:val="-1"/>
              </w:rPr>
              <w:t>）附录</w:t>
            </w:r>
            <w:r>
              <w:rPr>
                <w:rFonts w:ascii="Times New Roman" w:hAnsi="Times New Roman" w:eastAsia="Times New Roman" w:cs="Times New Roman"/>
                <w:spacing w:val="-1"/>
              </w:rPr>
              <w:t>A</w:t>
            </w:r>
            <w:r>
              <w:rPr>
                <w:rFonts w:ascii="Times New Roman" w:hAnsi="Times New Roman" w:eastAsia="Times New Roman" w:cs="Times New Roman"/>
                <w:spacing w:val="-34"/>
              </w:rPr>
              <w:t xml:space="preserve"> </w:t>
            </w:r>
            <w:r>
              <w:rPr>
                <w:spacing w:val="-1"/>
              </w:rPr>
              <w:t>、</w:t>
            </w:r>
            <w:r>
              <w:rPr/>
              <w:t xml:space="preserve"> </w:t>
            </w:r>
            <w:r>
              <w:rPr>
                <w:spacing w:val="1"/>
              </w:rPr>
              <w:t>《危险化学品重大危险源辨识》（</w:t>
            </w:r>
            <w:r>
              <w:rPr>
                <w:rFonts w:ascii="Times New Roman" w:hAnsi="Times New Roman" w:eastAsia="Times New Roman" w:cs="Times New Roman"/>
              </w:rPr>
              <w:t>GB</w:t>
            </w:r>
            <w:r>
              <w:rPr>
                <w:rFonts w:ascii="Times New Roman" w:hAnsi="Times New Roman" w:eastAsia="Times New Roman" w:cs="Times New Roman"/>
                <w:spacing w:val="1"/>
              </w:rPr>
              <w:t>18218-2018</w:t>
            </w:r>
            <w:r>
              <w:rPr>
                <w:spacing w:val="1"/>
              </w:rPr>
              <w:t>）和《危险</w:t>
            </w:r>
            <w:r>
              <w:rPr/>
              <w:t>化学品目  </w:t>
            </w:r>
            <w:r>
              <w:rPr>
                <w:spacing w:val="-2"/>
              </w:rPr>
              <w:t>录（</w:t>
            </w:r>
            <w:r>
              <w:rPr>
                <w:rFonts w:ascii="Times New Roman" w:hAnsi="Times New Roman" w:eastAsia="Times New Roman" w:cs="Times New Roman"/>
                <w:spacing w:val="-2"/>
              </w:rPr>
              <w:t>2015</w:t>
            </w:r>
            <w:r>
              <w:rPr>
                <w:spacing w:val="-2"/>
              </w:rPr>
              <w:t>版）》的有关规定，本项目在生产过程中使用的聚乙烯原料、</w:t>
            </w:r>
            <w:r>
              <w:rPr>
                <w:spacing w:val="15"/>
              </w:rPr>
              <w:t xml:space="preserve"> </w:t>
            </w:r>
            <w:r>
              <w:rPr>
                <w:spacing w:val="-2"/>
              </w:rPr>
              <w:t>废机油和废催化剂、废活性炭未被列入《危险化学品重大危险源辨识》</w:t>
            </w:r>
            <w:r>
              <w:rPr>
                <w:spacing w:val="11"/>
              </w:rPr>
              <w:t xml:space="preserve"> </w:t>
            </w:r>
            <w:r>
              <w:rPr>
                <w:spacing w:val="-6"/>
              </w:rPr>
              <w:t>（</w:t>
            </w:r>
            <w:r>
              <w:rPr>
                <w:rFonts w:ascii="Times New Roman" w:hAnsi="Times New Roman" w:eastAsia="Times New Roman" w:cs="Times New Roman"/>
                <w:spacing w:val="-6"/>
              </w:rPr>
              <w:t>GB18218-2018</w:t>
            </w:r>
            <w:r>
              <w:rPr>
                <w:spacing w:val="-6"/>
              </w:rPr>
              <w:t>）监控目录，对照《建设项目 环境风险评价技术导则》</w:t>
            </w:r>
            <w:r>
              <w:rPr>
                <w:spacing w:val="4"/>
              </w:rPr>
              <w:t xml:space="preserve"> </w:t>
            </w:r>
            <w:r>
              <w:rPr/>
              <w:t>（</w:t>
            </w:r>
            <w:r>
              <w:rPr>
                <w:rFonts w:ascii="Times New Roman" w:hAnsi="Times New Roman" w:eastAsia="Times New Roman" w:cs="Times New Roman"/>
              </w:rPr>
              <w:t>HJ169-2018</w:t>
            </w:r>
            <w:r>
              <w:rPr/>
              <w:t>）附录</w:t>
            </w:r>
            <w:r>
              <w:rPr>
                <w:rFonts w:ascii="Times New Roman" w:hAnsi="Times New Roman" w:eastAsia="Times New Roman" w:cs="Times New Roman"/>
              </w:rPr>
              <w:t>B</w:t>
            </w:r>
            <w:r>
              <w:rPr>
                <w:rFonts w:ascii="Times New Roman" w:hAnsi="Times New Roman" w:eastAsia="Times New Roman" w:cs="Times New Roman"/>
                <w:spacing w:val="-19"/>
              </w:rPr>
              <w:t xml:space="preserve"> </w:t>
            </w:r>
            <w:r>
              <w:rPr/>
              <w:t>，根据表</w:t>
            </w:r>
            <w:r>
              <w:rPr>
                <w:rFonts w:ascii="Times New Roman" w:hAnsi="Times New Roman" w:eastAsia="Times New Roman" w:cs="Times New Roman"/>
              </w:rPr>
              <w:t>B.2</w:t>
            </w:r>
            <w:r>
              <w:rPr>
                <w:rFonts w:ascii="Times New Roman" w:hAnsi="Times New Roman" w:eastAsia="Times New Roman" w:cs="Times New Roman"/>
                <w:spacing w:val="-27"/>
              </w:rPr>
              <w:t xml:space="preserve"> </w:t>
            </w:r>
            <w:r>
              <w:rPr/>
              <w:t>，其他危险物质临界量推荐值，根  </w:t>
            </w:r>
            <w:r>
              <w:rPr>
                <w:spacing w:val="1"/>
              </w:rPr>
              <w:t>据</w:t>
            </w:r>
            <w:r>
              <w:rPr>
                <w:rFonts w:ascii="Times New Roman" w:hAnsi="Times New Roman" w:eastAsia="Times New Roman" w:cs="Times New Roman"/>
              </w:rPr>
              <w:t>GB</w:t>
            </w:r>
            <w:r>
              <w:rPr>
                <w:rFonts w:ascii="Times New Roman" w:hAnsi="Times New Roman" w:eastAsia="Times New Roman" w:cs="Times New Roman"/>
                <w:spacing w:val="1"/>
              </w:rPr>
              <w:t>30000.</w:t>
            </w:r>
            <w:r>
              <w:rPr>
                <w:rFonts w:ascii="Times New Roman" w:hAnsi="Times New Roman" w:eastAsia="Times New Roman" w:cs="Times New Roman"/>
                <w:spacing w:val="-32"/>
              </w:rPr>
              <w:t xml:space="preserve"> </w:t>
            </w:r>
            <w:r>
              <w:rPr>
                <w:rFonts w:ascii="Times New Roman" w:hAnsi="Times New Roman" w:eastAsia="Times New Roman" w:cs="Times New Roman"/>
                <w:spacing w:val="1"/>
              </w:rPr>
              <w:t>18</w:t>
            </w:r>
            <w:r>
              <w:rPr>
                <w:spacing w:val="1"/>
              </w:rPr>
              <w:t>《化学品分类和标签规范第</w:t>
            </w:r>
            <w:r>
              <w:rPr>
                <w:rFonts w:ascii="Times New Roman" w:hAnsi="Times New Roman" w:eastAsia="Times New Roman" w:cs="Times New Roman"/>
                <w:spacing w:val="1"/>
              </w:rPr>
              <w:t>1</w:t>
            </w:r>
            <w:r>
              <w:rPr>
                <w:rFonts w:ascii="Times New Roman" w:hAnsi="Times New Roman" w:eastAsia="Times New Roman" w:cs="Times New Roman"/>
              </w:rPr>
              <w:t>8</w:t>
            </w:r>
            <w:r>
              <w:rPr/>
              <w:t>部分：急性毒性》，重大</w:t>
            </w:r>
          </w:p>
          <w:p>
            <w:pPr>
              <w:pStyle w:val="TableText"/>
              <w:ind w:left="115"/>
              <w:spacing w:line="219" w:lineRule="auto"/>
              <w:rPr/>
            </w:pPr>
            <w:r>
              <w:rPr>
                <w:spacing w:val="-4"/>
              </w:rPr>
              <w:t>危险源识别见表</w:t>
            </w:r>
            <w:r>
              <w:rPr>
                <w:rFonts w:ascii="Times New Roman" w:hAnsi="Times New Roman" w:eastAsia="Times New Roman" w:cs="Times New Roman"/>
                <w:spacing w:val="-4"/>
              </w:rPr>
              <w:t>4.2-</w:t>
            </w:r>
            <w:r>
              <w:rPr>
                <w:rFonts w:ascii="Times New Roman" w:hAnsi="Times New Roman" w:eastAsia="Times New Roman" w:cs="Times New Roman"/>
                <w:spacing w:val="-22"/>
              </w:rPr>
              <w:t xml:space="preserve"> </w:t>
            </w:r>
            <w:r>
              <w:rPr>
                <w:rFonts w:ascii="Times New Roman" w:hAnsi="Times New Roman" w:eastAsia="Times New Roman" w:cs="Times New Roman"/>
                <w:spacing w:val="-4"/>
              </w:rPr>
              <w:t>1</w:t>
            </w:r>
            <w:r>
              <w:rPr>
                <w:spacing w:val="-4"/>
              </w:rPr>
              <w:t>。</w:t>
            </w:r>
          </w:p>
          <w:p>
            <w:pPr>
              <w:spacing w:line="454" w:lineRule="auto"/>
              <w:rPr>
                <w:rFonts w:ascii="Arial"/>
                <w:sz w:val="21"/>
              </w:rPr>
            </w:pPr>
            <w:r/>
          </w:p>
          <w:p>
            <w:pPr>
              <w:pStyle w:val="TableText"/>
              <w:ind w:left="2363"/>
              <w:spacing w:before="79" w:line="219" w:lineRule="auto"/>
              <w:rPr/>
            </w:pPr>
            <w:r>
              <w:rPr>
                <w14:textOutline w14:w="4358" w14:cap="sq" w14:cmpd="sng">
                  <w14:solidFill>
                    <w14:srgbClr w14:val="000000"/>
                  </w14:solidFill>
                  <w14:prstDash w14:val="solid"/>
                  <w14:bevel/>
                </w14:textOutline>
              </w:rPr>
              <w:t>表</w:t>
            </w:r>
            <w:r>
              <w:rPr>
                <w:rFonts w:ascii="Times New Roman" w:hAnsi="Times New Roman" w:eastAsia="Times New Roman" w:cs="Times New Roman"/>
                <w:b/>
                <w:bCs/>
              </w:rPr>
              <w:t>4.2-1  </w:t>
            </w:r>
            <w:r>
              <w:rPr>
                <w14:textOutline w14:w="4358" w14:cap="sq" w14:cmpd="sng">
                  <w14:solidFill>
                    <w14:srgbClr w14:val="000000"/>
                  </w14:solidFill>
                  <w14:prstDash w14:val="solid"/>
                  <w14:bevel/>
                </w14:textOutline>
              </w:rPr>
              <w:t>重大危险源识别表</w:t>
            </w:r>
          </w:p>
          <w:tbl>
            <w:tblPr>
              <w:tblStyle w:val="TableNormal"/>
              <w:tblW w:w="7292" w:type="dxa"/>
              <w:tblInd w:w="10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2"/>
              <w:gridCol w:w="1527"/>
              <w:gridCol w:w="1595"/>
              <w:gridCol w:w="1786"/>
              <w:gridCol w:w="1672"/>
            </w:tblGrid>
            <w:tr>
              <w:trPr>
                <w:trHeight w:val="369" w:hRule="atLeast"/>
              </w:trPr>
              <w:tc>
                <w:tcPr>
                  <w:tcW w:w="712" w:type="dxa"/>
                  <w:vAlign w:val="top"/>
                  <w:tcBorders>
                    <w:left w:val="nil"/>
                    <w:top w:val="single" w:color="000000" w:sz="10" w:space="0"/>
                  </w:tcBorders>
                </w:tcPr>
                <w:p>
                  <w:pPr>
                    <w:pStyle w:val="TableText"/>
                    <w:ind w:left="153"/>
                    <w:spacing w:before="113" w:line="227" w:lineRule="auto"/>
                    <w:rPr>
                      <w:sz w:val="20"/>
                      <w:szCs w:val="20"/>
                    </w:rPr>
                  </w:pPr>
                  <w:r>
                    <w:rPr>
                      <w:sz w:val="20"/>
                      <w:szCs w:val="20"/>
                      <w:spacing w:val="5"/>
                    </w:rPr>
                    <w:t>序号</w:t>
                  </w:r>
                </w:p>
              </w:tc>
              <w:tc>
                <w:tcPr>
                  <w:tcW w:w="1527" w:type="dxa"/>
                  <w:vAlign w:val="top"/>
                  <w:tcBorders>
                    <w:top w:val="single" w:color="000000" w:sz="10" w:space="0"/>
                  </w:tcBorders>
                </w:tcPr>
                <w:p>
                  <w:pPr>
                    <w:pStyle w:val="TableText"/>
                    <w:ind w:left="140"/>
                    <w:spacing w:before="113" w:line="227" w:lineRule="auto"/>
                    <w:rPr>
                      <w:sz w:val="20"/>
                      <w:szCs w:val="20"/>
                    </w:rPr>
                  </w:pPr>
                  <w:r>
                    <w:rPr>
                      <w:sz w:val="20"/>
                      <w:szCs w:val="20"/>
                      <w:spacing w:val="7"/>
                    </w:rPr>
                    <w:t>危险废物名称</w:t>
                  </w:r>
                </w:p>
              </w:tc>
              <w:tc>
                <w:tcPr>
                  <w:tcW w:w="1595" w:type="dxa"/>
                  <w:vAlign w:val="top"/>
                  <w:tcBorders>
                    <w:top w:val="single" w:color="000000" w:sz="10" w:space="0"/>
                  </w:tcBorders>
                </w:tcPr>
                <w:p>
                  <w:pPr>
                    <w:pStyle w:val="TableText"/>
                    <w:ind w:left="184"/>
                    <w:spacing w:before="113" w:line="221" w:lineRule="auto"/>
                    <w:rPr>
                      <w:sz w:val="20"/>
                      <w:szCs w:val="20"/>
                    </w:rPr>
                  </w:pPr>
                  <w:r>
                    <w:rPr>
                      <w:sz w:val="20"/>
                      <w:szCs w:val="20"/>
                      <w:spacing w:val="4"/>
                    </w:rPr>
                    <w:t>临界量</w:t>
                  </w:r>
                  <w:r>
                    <w:rPr>
                      <w:rFonts w:ascii="Times New Roman" w:hAnsi="Times New Roman" w:eastAsia="Times New Roman" w:cs="Times New Roman"/>
                      <w:sz w:val="20"/>
                      <w:szCs w:val="20"/>
                      <w:spacing w:val="4"/>
                    </w:rPr>
                    <w:t>Q</w:t>
                  </w:r>
                  <w:r>
                    <w:rPr>
                      <w:sz w:val="20"/>
                      <w:szCs w:val="20"/>
                      <w:spacing w:val="4"/>
                    </w:rPr>
                    <w:t>（</w:t>
                  </w:r>
                  <w:r>
                    <w:rPr>
                      <w:rFonts w:ascii="Times New Roman" w:hAnsi="Times New Roman" w:eastAsia="Times New Roman" w:cs="Times New Roman"/>
                      <w:sz w:val="20"/>
                      <w:szCs w:val="20"/>
                      <w:spacing w:val="4"/>
                    </w:rPr>
                    <w:t>t</w:t>
                  </w:r>
                  <w:r>
                    <w:rPr>
                      <w:sz w:val="20"/>
                      <w:szCs w:val="20"/>
                      <w:spacing w:val="4"/>
                    </w:rPr>
                    <w:t>）</w:t>
                  </w:r>
                </w:p>
              </w:tc>
              <w:tc>
                <w:tcPr>
                  <w:tcW w:w="1786" w:type="dxa"/>
                  <w:vAlign w:val="top"/>
                  <w:tcBorders>
                    <w:top w:val="single" w:color="000000" w:sz="10" w:space="0"/>
                  </w:tcBorders>
                </w:tcPr>
                <w:p>
                  <w:pPr>
                    <w:pStyle w:val="TableText"/>
                    <w:ind w:left="117"/>
                    <w:spacing w:before="113" w:line="221" w:lineRule="auto"/>
                    <w:rPr>
                      <w:sz w:val="20"/>
                      <w:szCs w:val="20"/>
                    </w:rPr>
                  </w:pPr>
                  <w:r>
                    <w:rPr>
                      <w:sz w:val="20"/>
                      <w:szCs w:val="20"/>
                      <w:spacing w:val="6"/>
                    </w:rPr>
                    <w:t>项目储存量</w:t>
                  </w:r>
                  <w:r>
                    <w:rPr>
                      <w:rFonts w:ascii="Times New Roman" w:hAnsi="Times New Roman" w:eastAsia="Times New Roman" w:cs="Times New Roman"/>
                      <w:sz w:val="20"/>
                      <w:szCs w:val="20"/>
                      <w:spacing w:val="6"/>
                    </w:rPr>
                    <w:t>q</w:t>
                  </w:r>
                  <w:r>
                    <w:rPr>
                      <w:sz w:val="20"/>
                      <w:szCs w:val="20"/>
                      <w:spacing w:val="6"/>
                    </w:rPr>
                    <w:t>（</w:t>
                  </w:r>
                  <w:r>
                    <w:rPr>
                      <w:rFonts w:ascii="Times New Roman" w:hAnsi="Times New Roman" w:eastAsia="Times New Roman" w:cs="Times New Roman"/>
                      <w:sz w:val="20"/>
                      <w:szCs w:val="20"/>
                      <w:spacing w:val="6"/>
                    </w:rPr>
                    <w:t>t</w:t>
                  </w:r>
                  <w:r>
                    <w:rPr>
                      <w:sz w:val="20"/>
                      <w:szCs w:val="20"/>
                      <w:spacing w:val="6"/>
                    </w:rPr>
                    <w:t>）</w:t>
                  </w:r>
                </w:p>
              </w:tc>
              <w:tc>
                <w:tcPr>
                  <w:tcW w:w="1672" w:type="dxa"/>
                  <w:vAlign w:val="top"/>
                  <w:tcBorders>
                    <w:right w:val="nil"/>
                    <w:top w:val="single" w:color="000000" w:sz="10" w:space="0"/>
                  </w:tcBorders>
                </w:tcPr>
                <w:p>
                  <w:pPr>
                    <w:pStyle w:val="TableText"/>
                    <w:ind w:left="171"/>
                    <w:spacing w:before="113" w:line="221" w:lineRule="auto"/>
                    <w:rPr>
                      <w:rFonts w:ascii="Times New Roman" w:hAnsi="Times New Roman" w:eastAsia="Times New Roman" w:cs="Times New Roman"/>
                      <w:sz w:val="20"/>
                      <w:szCs w:val="20"/>
                    </w:rPr>
                  </w:pPr>
                  <w:r>
                    <w:rPr>
                      <w:sz w:val="20"/>
                      <w:szCs w:val="20"/>
                      <w:spacing w:val="5"/>
                    </w:rPr>
                    <w:t>临界量比值</w:t>
                  </w:r>
                  <w:r>
                    <w:rPr>
                      <w:rFonts w:ascii="Times New Roman" w:hAnsi="Times New Roman" w:eastAsia="Times New Roman" w:cs="Times New Roman"/>
                      <w:sz w:val="20"/>
                      <w:szCs w:val="20"/>
                      <w:spacing w:val="5"/>
                    </w:rPr>
                    <w:t>q/Q</w:t>
                  </w:r>
                </w:p>
              </w:tc>
            </w:tr>
            <w:tr>
              <w:trPr>
                <w:trHeight w:val="360" w:hRule="atLeast"/>
              </w:trPr>
              <w:tc>
                <w:tcPr>
                  <w:tcW w:w="712" w:type="dxa"/>
                  <w:vAlign w:val="top"/>
                  <w:tcBorders>
                    <w:left w:val="nil"/>
                    <w:bottom w:val="nil"/>
                  </w:tcBorders>
                </w:tcPr>
                <w:p>
                  <w:pPr>
                    <w:ind w:left="326"/>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27" w:type="dxa"/>
                  <w:vAlign w:val="top"/>
                  <w:tcBorders>
                    <w:bottom w:val="nil"/>
                  </w:tcBorders>
                </w:tcPr>
                <w:p>
                  <w:pPr>
                    <w:pStyle w:val="TableText"/>
                    <w:ind w:left="451"/>
                    <w:spacing w:before="108" w:line="223" w:lineRule="auto"/>
                    <w:rPr>
                      <w:sz w:val="20"/>
                      <w:szCs w:val="20"/>
                    </w:rPr>
                  </w:pPr>
                  <w:r>
                    <w:rPr>
                      <w:sz w:val="20"/>
                      <w:szCs w:val="20"/>
                      <w:spacing w:val="7"/>
                    </w:rPr>
                    <w:t>废机油</w:t>
                  </w:r>
                </w:p>
              </w:tc>
              <w:tc>
                <w:tcPr>
                  <w:tcW w:w="1595" w:type="dxa"/>
                  <w:vAlign w:val="top"/>
                  <w:tcBorders>
                    <w:bottom w:val="nil"/>
                  </w:tcBorders>
                </w:tcPr>
                <w:p>
                  <w:pPr>
                    <w:pStyle w:val="TableText"/>
                    <w:ind w:left="172"/>
                    <w:spacing w:before="108" w:line="223" w:lineRule="auto"/>
                    <w:rPr>
                      <w:rFonts w:ascii="Times New Roman" w:hAnsi="Times New Roman" w:eastAsia="Times New Roman" w:cs="Times New Roman"/>
                      <w:sz w:val="20"/>
                      <w:szCs w:val="20"/>
                    </w:rPr>
                  </w:pPr>
                  <w:r>
                    <w:rPr>
                      <w:sz w:val="20"/>
                      <w:szCs w:val="20"/>
                      <w:spacing w:val="6"/>
                    </w:rPr>
                    <w:t>矿物油类</w:t>
                  </w:r>
                  <w:r>
                    <w:rPr>
                      <w:rFonts w:ascii="Times New Roman" w:hAnsi="Times New Roman" w:eastAsia="Times New Roman" w:cs="Times New Roman"/>
                      <w:sz w:val="20"/>
                      <w:szCs w:val="20"/>
                      <w:spacing w:val="6"/>
                    </w:rPr>
                    <w:t>2500</w:t>
                  </w:r>
                </w:p>
              </w:tc>
              <w:tc>
                <w:tcPr>
                  <w:tcW w:w="1786" w:type="dxa"/>
                  <w:vAlign w:val="top"/>
                  <w:tcBorders>
                    <w:bottom w:val="nil"/>
                  </w:tcBorders>
                </w:tcPr>
                <w:p>
                  <w:pPr>
                    <w:ind w:left="766"/>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c>
                <w:tcPr>
                  <w:tcW w:w="1672" w:type="dxa"/>
                  <w:vAlign w:val="top"/>
                  <w:tcBorders>
                    <w:bottom w:val="nil"/>
                    <w:right w:val="nil"/>
                  </w:tcBorders>
                </w:tcPr>
                <w:p>
                  <w:pPr>
                    <w:ind w:left="552"/>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0.0002</w:t>
                  </w:r>
                </w:p>
              </w:tc>
            </w:tr>
          </w:tbl>
          <w:p>
            <w:pPr>
              <w:spacing w:line="32" w:lineRule="exact"/>
              <w:rPr>
                <w:rFonts w:ascii="Arial"/>
                <w:sz w:val="2"/>
              </w:rPr>
            </w:pPr>
            <w:r/>
          </w:p>
        </w:tc>
      </w:tr>
    </w:tbl>
    <w:p>
      <w:pPr>
        <w:pStyle w:val="BodyText"/>
        <w:rPr/>
      </w:pPr>
      <w:r/>
    </w:p>
    <w:p>
      <w:pPr>
        <w:sectPr>
          <w:footerReference w:type="default" r:id="rId229"/>
          <w:pgSz w:w="11906" w:h="16839"/>
          <w:pgMar w:top="400" w:right="1687" w:bottom="1209"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17"/>
        <w:gridCol w:w="7509"/>
      </w:tblGrid>
      <w:tr>
        <w:trPr>
          <w:trHeight w:val="13545" w:hRule="atLeast"/>
        </w:trPr>
        <w:tc>
          <w:tcPr>
            <w:tcW w:w="1017" w:type="dxa"/>
            <w:vAlign w:val="top"/>
          </w:tcPr>
          <w:p>
            <w:pPr>
              <w:rPr>
                <w:rFonts w:ascii="Arial"/>
                <w:sz w:val="21"/>
              </w:rPr>
            </w:pPr>
            <w:r/>
          </w:p>
        </w:tc>
        <w:tc>
          <w:tcPr>
            <w:tcW w:w="7509" w:type="dxa"/>
            <w:vAlign w:val="top"/>
          </w:tcPr>
          <w:p>
            <w:pPr>
              <w:pStyle w:val="TableText"/>
              <w:ind w:left="591"/>
              <w:spacing w:before="200" w:line="217" w:lineRule="auto"/>
              <w:rPr/>
            </w:pPr>
            <w:r>
              <w:rPr>
                <w:spacing w:val="-2"/>
              </w:rPr>
              <w:t>②风险潜势初判</w:t>
            </w:r>
          </w:p>
          <w:p>
            <w:pPr>
              <w:pStyle w:val="TableText"/>
              <w:ind w:left="112" w:right="106" w:firstLine="480"/>
              <w:spacing w:before="219" w:line="384" w:lineRule="auto"/>
              <w:rPr/>
            </w:pPr>
            <w:r>
              <w:rPr>
                <w:spacing w:val="2"/>
              </w:rPr>
              <w:t>根据《建设项目环境风险评价技术导则》（</w:t>
            </w:r>
            <w:r>
              <w:rPr>
                <w:rFonts w:ascii="Times New Roman" w:hAnsi="Times New Roman" w:eastAsia="Times New Roman" w:cs="Times New Roman"/>
              </w:rPr>
              <w:t>HJ</w:t>
            </w:r>
            <w:r>
              <w:rPr>
                <w:rFonts w:ascii="Times New Roman" w:hAnsi="Times New Roman" w:eastAsia="Times New Roman" w:cs="Times New Roman"/>
                <w:spacing w:val="2"/>
              </w:rPr>
              <w:t>169-2018</w:t>
            </w:r>
            <w:r>
              <w:rPr>
                <w:spacing w:val="19"/>
              </w:rPr>
              <w:t>），</w:t>
            </w:r>
            <w:r>
              <w:rPr>
                <w:spacing w:val="2"/>
              </w:rPr>
              <w:t>项目</w:t>
            </w:r>
            <w:r>
              <w:rPr/>
              <w:t xml:space="preserve"> </w:t>
            </w:r>
            <w:r>
              <w:rPr>
                <w:spacing w:val="3"/>
              </w:rPr>
              <w:t>所涉及的每种危险物质在厂界内的最大存在总量与其</w:t>
            </w:r>
            <w:r>
              <w:rPr>
                <w:spacing w:val="2"/>
              </w:rPr>
              <w:t>对应临界量的比</w:t>
            </w:r>
            <w:r>
              <w:rPr/>
              <w:t xml:space="preserve"> </w:t>
            </w:r>
            <w:r>
              <w:rPr>
                <w:spacing w:val="-3"/>
              </w:rPr>
              <w:t>值</w:t>
            </w:r>
            <w:r>
              <w:rPr>
                <w:rFonts w:ascii="Times New Roman" w:hAnsi="Times New Roman" w:eastAsia="Times New Roman" w:cs="Times New Roman"/>
                <w:spacing w:val="-3"/>
              </w:rPr>
              <w:t>Q</w:t>
            </w:r>
            <w:r>
              <w:rPr>
                <w:spacing w:val="-3"/>
              </w:rPr>
              <w:t>来表征危险性。当只涉及一种危险物质时，计算该物质的总量与其</w:t>
            </w:r>
            <w:r>
              <w:rPr>
                <w:spacing w:val="2"/>
              </w:rPr>
              <w:t xml:space="preserve"> </w:t>
            </w:r>
            <w:r>
              <w:rPr>
                <w:spacing w:val="-3"/>
              </w:rPr>
              <w:t>临界值比值，即为</w:t>
            </w:r>
            <w:r>
              <w:rPr>
                <w:rFonts w:ascii="Times New Roman" w:hAnsi="Times New Roman" w:eastAsia="Times New Roman" w:cs="Times New Roman"/>
                <w:spacing w:val="-3"/>
              </w:rPr>
              <w:t>Q</w:t>
            </w:r>
            <w:r>
              <w:rPr>
                <w:spacing w:val="-3"/>
              </w:rPr>
              <w:t>；当存在多种危险物质时，则按下式计算物质总量</w:t>
            </w:r>
          </w:p>
          <w:p>
            <w:pPr>
              <w:pStyle w:val="TableText"/>
              <w:ind w:left="117"/>
              <w:spacing w:line="212" w:lineRule="auto"/>
              <w:rPr/>
            </w:pPr>
            <w:r>
              <w:rPr>
                <w:spacing w:val="-2"/>
              </w:rPr>
              <w:t>与其临界量比值（</w:t>
            </w:r>
            <w:r>
              <w:rPr>
                <w:rFonts w:ascii="Times New Roman" w:hAnsi="Times New Roman" w:eastAsia="Times New Roman" w:cs="Times New Roman"/>
                <w:spacing w:val="-2"/>
              </w:rPr>
              <w:t>Q</w:t>
            </w:r>
            <w:r>
              <w:rPr>
                <w:spacing w:val="-2"/>
              </w:rPr>
              <w:t>）。</w:t>
            </w:r>
          </w:p>
          <w:p>
            <w:pPr>
              <w:ind w:firstLine="2338"/>
              <w:spacing w:before="145" w:line="871" w:lineRule="exact"/>
              <w:rPr/>
            </w:pPr>
            <w:r>
              <w:rPr>
                <w:position w:val="-17"/>
              </w:rPr>
              <w:drawing>
                <wp:inline distT="0" distB="0" distL="0" distR="0">
                  <wp:extent cx="1630680" cy="553211"/>
                  <wp:effectExtent l="0" t="0" r="0" b="0"/>
                  <wp:docPr id="194" name="IM 194"/>
                  <wp:cNvGraphicFramePr/>
                  <a:graphic>
                    <a:graphicData uri="http://schemas.openxmlformats.org/drawingml/2006/picture">
                      <pic:pic>
                        <pic:nvPicPr>
                          <pic:cNvPr id="194" name="IM 194"/>
                          <pic:cNvPicPr/>
                        </pic:nvPicPr>
                        <pic:blipFill>
                          <a:blip r:embed="rId231"/>
                          <a:stretch>
                            <a:fillRect/>
                          </a:stretch>
                        </pic:blipFill>
                        <pic:spPr>
                          <a:xfrm rot="0">
                            <a:off x="0" y="0"/>
                            <a:ext cx="1630680" cy="553211"/>
                          </a:xfrm>
                          <a:prstGeom prst="rect">
                            <a:avLst/>
                          </a:prstGeom>
                        </pic:spPr>
                      </pic:pic>
                    </a:graphicData>
                  </a:graphic>
                </wp:inline>
              </w:drawing>
            </w:r>
          </w:p>
          <w:p>
            <w:pPr>
              <w:pStyle w:val="TableText"/>
              <w:ind w:left="597"/>
              <w:spacing w:before="207" w:line="212" w:lineRule="auto"/>
              <w:rPr/>
            </w:pPr>
            <w:r>
              <w:rPr>
                <w:spacing w:val="-3"/>
              </w:rPr>
              <w:t>式中：</w:t>
            </w:r>
            <w:r>
              <w:rPr>
                <w:rFonts w:ascii="Times New Roman" w:hAnsi="Times New Roman" w:eastAsia="Times New Roman" w:cs="Times New Roman"/>
                <w:spacing w:val="-3"/>
              </w:rPr>
              <w:t>q1</w:t>
            </w:r>
            <w:r>
              <w:rPr>
                <w:rFonts w:ascii="Times New Roman" w:hAnsi="Times New Roman" w:eastAsia="Times New Roman" w:cs="Times New Roman"/>
                <w:spacing w:val="-21"/>
              </w:rPr>
              <w:t xml:space="preserve"> </w:t>
            </w:r>
            <w:r>
              <w:rPr>
                <w:spacing w:val="-3"/>
              </w:rPr>
              <w:t>，</w:t>
            </w:r>
            <w:r>
              <w:rPr>
                <w:rFonts w:ascii="Times New Roman" w:hAnsi="Times New Roman" w:eastAsia="Times New Roman" w:cs="Times New Roman"/>
                <w:spacing w:val="-3"/>
              </w:rPr>
              <w:t>q2</w:t>
            </w:r>
            <w:r>
              <w:rPr>
                <w:rFonts w:ascii="Times New Roman" w:hAnsi="Times New Roman" w:eastAsia="Times New Roman" w:cs="Times New Roman"/>
                <w:spacing w:val="-33"/>
              </w:rPr>
              <w:t xml:space="preserve"> </w:t>
            </w:r>
            <w:r>
              <w:rPr>
                <w:rFonts w:ascii="Times New Roman" w:hAnsi="Times New Roman" w:eastAsia="Times New Roman" w:cs="Times New Roman"/>
                <w:spacing w:val="-3"/>
              </w:rPr>
              <w:t>…qn——</w:t>
            </w:r>
            <w:r>
              <w:rPr>
                <w:spacing w:val="-3"/>
              </w:rPr>
              <w:t>每种危险物质实际存在量，</w:t>
            </w:r>
            <w:r>
              <w:rPr>
                <w:rFonts w:ascii="Times New Roman" w:hAnsi="Times New Roman" w:eastAsia="Times New Roman" w:cs="Times New Roman"/>
                <w:spacing w:val="-3"/>
              </w:rPr>
              <w:t>t</w:t>
            </w:r>
            <w:r>
              <w:rPr>
                <w:spacing w:val="-3"/>
              </w:rPr>
              <w:t>。</w:t>
            </w:r>
          </w:p>
          <w:p>
            <w:pPr>
              <w:pStyle w:val="TableText"/>
              <w:ind w:left="592"/>
              <w:spacing w:before="226" w:line="499" w:lineRule="exact"/>
              <w:rPr/>
            </w:pPr>
            <w:r>
              <w:rPr>
                <w:rFonts w:ascii="Times New Roman" w:hAnsi="Times New Roman" w:eastAsia="Times New Roman" w:cs="Times New Roman"/>
                <w:spacing w:val="-3"/>
                <w:position w:val="20"/>
              </w:rPr>
              <w:t>Q1</w:t>
            </w:r>
            <w:r>
              <w:rPr>
                <w:spacing w:val="-3"/>
                <w:position w:val="20"/>
              </w:rPr>
              <w:t>，</w:t>
            </w:r>
            <w:r>
              <w:rPr>
                <w:rFonts w:ascii="Times New Roman" w:hAnsi="Times New Roman" w:eastAsia="Times New Roman" w:cs="Times New Roman"/>
                <w:spacing w:val="-3"/>
                <w:position w:val="20"/>
              </w:rPr>
              <w:t>Q2</w:t>
            </w:r>
            <w:r>
              <w:rPr>
                <w:rFonts w:ascii="Times New Roman" w:hAnsi="Times New Roman" w:eastAsia="Times New Roman" w:cs="Times New Roman"/>
                <w:spacing w:val="-33"/>
                <w:position w:val="20"/>
              </w:rPr>
              <w:t xml:space="preserve"> </w:t>
            </w:r>
            <w:r>
              <w:rPr>
                <w:rFonts w:ascii="Times New Roman" w:hAnsi="Times New Roman" w:eastAsia="Times New Roman" w:cs="Times New Roman"/>
                <w:spacing w:val="-3"/>
                <w:position w:val="20"/>
              </w:rPr>
              <w:t>…Qn——</w:t>
            </w:r>
            <w:r>
              <w:rPr>
                <w:spacing w:val="-3"/>
                <w:position w:val="20"/>
              </w:rPr>
              <w:t>与各危险物质相对应的生</w:t>
            </w:r>
            <w:r>
              <w:rPr>
                <w:spacing w:val="-4"/>
                <w:position w:val="20"/>
              </w:rPr>
              <w:t>产场所或贮存区的临界</w:t>
            </w:r>
          </w:p>
          <w:p>
            <w:pPr>
              <w:pStyle w:val="TableText"/>
              <w:ind w:left="112"/>
              <w:spacing w:line="225" w:lineRule="auto"/>
              <w:rPr/>
            </w:pPr>
            <w:r>
              <w:rPr>
                <w:spacing w:val="-3"/>
              </w:rPr>
              <w:t>量，</w:t>
            </w:r>
            <w:r>
              <w:rPr>
                <w:rFonts w:ascii="Times New Roman" w:hAnsi="Times New Roman" w:eastAsia="Times New Roman" w:cs="Times New Roman"/>
                <w:spacing w:val="-3"/>
              </w:rPr>
              <w:t>t</w:t>
            </w:r>
            <w:r>
              <w:rPr>
                <w:spacing w:val="-3"/>
              </w:rPr>
              <w:t>。</w:t>
            </w:r>
          </w:p>
          <w:p>
            <w:pPr>
              <w:pStyle w:val="TableText"/>
              <w:ind w:left="608"/>
              <w:spacing w:before="207" w:line="212" w:lineRule="auto"/>
              <w:rPr/>
            </w:pPr>
            <w:r>
              <w:rPr>
                <w:spacing w:val="-2"/>
              </w:rPr>
              <w:t>当</w:t>
            </w:r>
            <w:r>
              <w:rPr>
                <w:rFonts w:ascii="Times New Roman" w:hAnsi="Times New Roman" w:eastAsia="Times New Roman" w:cs="Times New Roman"/>
                <w:spacing w:val="-2"/>
              </w:rPr>
              <w:t>Q</w:t>
            </w:r>
            <w:r>
              <w:rPr>
                <w:spacing w:val="-2"/>
              </w:rPr>
              <w:t>＜</w:t>
            </w:r>
            <w:r>
              <w:rPr>
                <w:rFonts w:ascii="Times New Roman" w:hAnsi="Times New Roman" w:eastAsia="Times New Roman" w:cs="Times New Roman"/>
                <w:spacing w:val="-2"/>
              </w:rPr>
              <w:t>1</w:t>
            </w:r>
            <w:r>
              <w:rPr>
                <w:spacing w:val="-2"/>
              </w:rPr>
              <w:t>时，该项目环境风险潜势为</w:t>
            </w:r>
            <w:r>
              <w:rPr>
                <w:rFonts w:ascii="Times New Roman" w:hAnsi="Times New Roman" w:eastAsia="Times New Roman" w:cs="Times New Roman"/>
                <w:spacing w:val="-2"/>
              </w:rPr>
              <w:t>Ⅰ</w:t>
            </w:r>
            <w:r>
              <w:rPr>
                <w:spacing w:val="-2"/>
              </w:rPr>
              <w:t>。</w:t>
            </w:r>
          </w:p>
          <w:p>
            <w:pPr>
              <w:pStyle w:val="TableText"/>
              <w:spacing w:before="226" w:line="540" w:lineRule="exact"/>
              <w:jc w:val="right"/>
              <w:rPr/>
            </w:pPr>
            <w:r>
              <w:rPr>
                <w:spacing w:val="-3"/>
                <w:position w:val="23"/>
              </w:rPr>
              <w:t>当</w:t>
            </w:r>
            <w:r>
              <w:rPr>
                <w:rFonts w:ascii="Times New Roman" w:hAnsi="Times New Roman" w:eastAsia="Times New Roman" w:cs="Times New Roman"/>
                <w:spacing w:val="-3"/>
                <w:position w:val="23"/>
              </w:rPr>
              <w:t>Q≥1</w:t>
            </w:r>
            <w:r>
              <w:rPr>
                <w:spacing w:val="-3"/>
                <w:position w:val="23"/>
              </w:rPr>
              <w:t>时，将</w:t>
            </w:r>
            <w:r>
              <w:rPr>
                <w:rFonts w:ascii="Times New Roman" w:hAnsi="Times New Roman" w:eastAsia="Times New Roman" w:cs="Times New Roman"/>
                <w:spacing w:val="-3"/>
                <w:position w:val="23"/>
              </w:rPr>
              <w:t>Q</w:t>
            </w:r>
            <w:r>
              <w:rPr>
                <w:spacing w:val="-3"/>
                <w:position w:val="23"/>
              </w:rPr>
              <w:t>值划分为</w:t>
            </w:r>
            <w:r>
              <w:rPr>
                <w:spacing w:val="-18"/>
                <w:position w:val="23"/>
              </w:rPr>
              <w:t>：（</w:t>
            </w:r>
            <w:r>
              <w:rPr>
                <w:rFonts w:ascii="Times New Roman" w:hAnsi="Times New Roman" w:eastAsia="Times New Roman" w:cs="Times New Roman"/>
                <w:spacing w:val="-3"/>
                <w:position w:val="23"/>
              </w:rPr>
              <w:t>a</w:t>
            </w:r>
            <w:r>
              <w:rPr>
                <w:rFonts w:ascii="Times New Roman" w:hAnsi="Times New Roman" w:eastAsia="Times New Roman" w:cs="Times New Roman"/>
                <w:spacing w:val="-20"/>
                <w:position w:val="23"/>
              </w:rPr>
              <w:t xml:space="preserve"> </w:t>
            </w:r>
            <w:r>
              <w:rPr>
                <w:spacing w:val="-3"/>
                <w:position w:val="23"/>
              </w:rPr>
              <w:t>）</w:t>
            </w:r>
            <w:r>
              <w:rPr>
                <w:rFonts w:ascii="Times New Roman" w:hAnsi="Times New Roman" w:eastAsia="Times New Roman" w:cs="Times New Roman"/>
                <w:spacing w:val="-3"/>
                <w:position w:val="23"/>
              </w:rPr>
              <w:t>1≤Q</w:t>
            </w:r>
            <w:r>
              <w:rPr>
                <w:spacing w:val="-3"/>
                <w:position w:val="23"/>
              </w:rPr>
              <w:t>＜</w:t>
            </w:r>
            <w:r>
              <w:rPr>
                <w:rFonts w:ascii="Times New Roman" w:hAnsi="Times New Roman" w:eastAsia="Times New Roman" w:cs="Times New Roman"/>
                <w:spacing w:val="-3"/>
                <w:position w:val="23"/>
              </w:rPr>
              <w:t>10</w:t>
            </w:r>
            <w:r>
              <w:rPr>
                <w:spacing w:val="-18"/>
                <w:position w:val="23"/>
              </w:rPr>
              <w:t>；（</w:t>
            </w:r>
            <w:r>
              <w:rPr>
                <w:rFonts w:ascii="Times New Roman" w:hAnsi="Times New Roman" w:eastAsia="Times New Roman" w:cs="Times New Roman"/>
                <w:spacing w:val="-3"/>
                <w:position w:val="23"/>
              </w:rPr>
              <w:t>b</w:t>
            </w:r>
            <w:r>
              <w:rPr>
                <w:spacing w:val="-4"/>
                <w:position w:val="23"/>
              </w:rPr>
              <w:t>）</w:t>
            </w:r>
            <w:r>
              <w:rPr>
                <w:rFonts w:ascii="Times New Roman" w:hAnsi="Times New Roman" w:eastAsia="Times New Roman" w:cs="Times New Roman"/>
                <w:spacing w:val="-4"/>
                <w:position w:val="23"/>
              </w:rPr>
              <w:t>10≤Q</w:t>
            </w:r>
            <w:r>
              <w:rPr>
                <w:spacing w:val="-4"/>
                <w:position w:val="23"/>
              </w:rPr>
              <w:t>＜</w:t>
            </w:r>
            <w:r>
              <w:rPr>
                <w:rFonts w:ascii="Times New Roman" w:hAnsi="Times New Roman" w:eastAsia="Times New Roman" w:cs="Times New Roman"/>
                <w:spacing w:val="-4"/>
                <w:position w:val="23"/>
              </w:rPr>
              <w:t>100</w:t>
            </w:r>
            <w:r>
              <w:rPr>
                <w:spacing w:val="-18"/>
                <w:position w:val="23"/>
              </w:rPr>
              <w:t>；（</w:t>
            </w:r>
            <w:r>
              <w:rPr>
                <w:rFonts w:ascii="Times New Roman" w:hAnsi="Times New Roman" w:eastAsia="Times New Roman" w:cs="Times New Roman"/>
                <w:spacing w:val="-4"/>
                <w:position w:val="23"/>
              </w:rPr>
              <w:t>c</w:t>
            </w:r>
            <w:r>
              <w:rPr>
                <w:spacing w:val="-4"/>
                <w:position w:val="23"/>
              </w:rPr>
              <w:t>）</w:t>
            </w:r>
          </w:p>
          <w:p>
            <w:pPr>
              <w:pStyle w:val="TableText"/>
              <w:ind w:left="112"/>
              <w:spacing w:line="180" w:lineRule="auto"/>
              <w:rPr/>
            </w:pPr>
            <w:r>
              <w:rPr>
                <w:rFonts w:ascii="Times New Roman" w:hAnsi="Times New Roman" w:eastAsia="Times New Roman" w:cs="Times New Roman"/>
                <w:spacing w:val="-2"/>
              </w:rPr>
              <w:t>Q≥100</w:t>
            </w:r>
            <w:r>
              <w:rPr>
                <w:spacing w:val="-2"/>
              </w:rPr>
              <w:t>。</w:t>
            </w:r>
          </w:p>
          <w:p>
            <w:pPr>
              <w:pStyle w:val="TableText"/>
              <w:ind w:left="593"/>
              <w:spacing w:before="181" w:line="545" w:lineRule="exact"/>
              <w:rPr/>
            </w:pPr>
            <w:r>
              <w:rPr>
                <w:spacing w:val="-1"/>
                <w:position w:val="20"/>
              </w:rPr>
              <w:t>本项目涉及到的危险化学品</w:t>
            </w:r>
            <w:r>
              <w:rPr>
                <w:rFonts w:ascii="Times New Roman" w:hAnsi="Times New Roman" w:eastAsia="Times New Roman" w:cs="Times New Roman"/>
                <w:spacing w:val="-1"/>
                <w:position w:val="20"/>
              </w:rPr>
              <w:t>Q=0.000</w:t>
            </w:r>
            <w:r>
              <w:rPr>
                <w:rFonts w:ascii="Times New Roman" w:hAnsi="Times New Roman" w:eastAsia="Times New Roman" w:cs="Times New Roman"/>
                <w:spacing w:val="-2"/>
                <w:position w:val="20"/>
              </w:rPr>
              <w:t>2</w:t>
            </w:r>
            <w:r>
              <w:rPr>
                <w:spacing w:val="-2"/>
                <w:position w:val="20"/>
              </w:rPr>
              <w:t>＜</w:t>
            </w:r>
            <w:r>
              <w:rPr>
                <w:rFonts w:ascii="Times New Roman" w:hAnsi="Times New Roman" w:eastAsia="Times New Roman" w:cs="Times New Roman"/>
                <w:spacing w:val="-2"/>
                <w:position w:val="20"/>
              </w:rPr>
              <w:t>1</w:t>
            </w:r>
            <w:r>
              <w:rPr>
                <w:spacing w:val="-2"/>
                <w:position w:val="20"/>
              </w:rPr>
              <w:t>。本项目环境风险潜势为</w:t>
            </w:r>
          </w:p>
          <w:p>
            <w:pPr>
              <w:pStyle w:val="TableText"/>
              <w:ind w:left="109"/>
              <w:spacing w:line="216" w:lineRule="auto"/>
              <w:rPr/>
            </w:pPr>
            <w:r>
              <w:rPr>
                <w:rFonts w:ascii="Times New Roman" w:hAnsi="Times New Roman" w:eastAsia="Times New Roman" w:cs="Times New Roman"/>
                <w:spacing w:val="-4"/>
              </w:rPr>
              <w:t>Ⅰ</w:t>
            </w:r>
            <w:r>
              <w:rPr>
                <w:rFonts w:ascii="Times New Roman" w:hAnsi="Times New Roman" w:eastAsia="Times New Roman" w:cs="Times New Roman"/>
                <w:spacing w:val="-22"/>
              </w:rPr>
              <w:t xml:space="preserve"> </w:t>
            </w:r>
            <w:r>
              <w:rPr>
                <w:spacing w:val="-4"/>
              </w:rPr>
              <w:t>,</w:t>
            </w:r>
            <w:r>
              <w:rPr>
                <w:spacing w:val="66"/>
              </w:rPr>
              <w:t xml:space="preserve"> </w:t>
            </w:r>
            <w:r>
              <w:rPr>
                <w:spacing w:val="-4"/>
              </w:rPr>
              <w:t>危险物质存储量未超过临界量，不开展环境风险专题评价。</w:t>
            </w:r>
          </w:p>
          <w:p>
            <w:pPr>
              <w:pStyle w:val="TableText"/>
              <w:ind w:left="591"/>
              <w:spacing w:before="218" w:line="217" w:lineRule="auto"/>
              <w:rPr/>
            </w:pPr>
            <w:r>
              <w:rPr>
                <w:spacing w:val="-2"/>
              </w:rPr>
              <w:t>③评价等级</w:t>
            </w:r>
          </w:p>
          <w:p>
            <w:pPr>
              <w:pStyle w:val="TableText"/>
              <w:ind w:left="113" w:right="106" w:firstLine="479"/>
              <w:spacing w:before="217" w:line="385" w:lineRule="auto"/>
              <w:rPr/>
            </w:pPr>
            <w:r>
              <w:rPr>
                <w:spacing w:val="2"/>
              </w:rPr>
              <w:t>根据《建设项目环境风险评价技术导则》（</w:t>
            </w:r>
            <w:r>
              <w:rPr>
                <w:rFonts w:ascii="Times New Roman" w:hAnsi="Times New Roman" w:eastAsia="Times New Roman" w:cs="Times New Roman"/>
              </w:rPr>
              <w:t>HJ</w:t>
            </w:r>
            <w:r>
              <w:rPr>
                <w:rFonts w:ascii="Times New Roman" w:hAnsi="Times New Roman" w:eastAsia="Times New Roman" w:cs="Times New Roman"/>
                <w:spacing w:val="2"/>
              </w:rPr>
              <w:t>169-2018</w:t>
            </w:r>
            <w:r>
              <w:rPr>
                <w:spacing w:val="19"/>
              </w:rPr>
              <w:t>），</w:t>
            </w:r>
            <w:r>
              <w:rPr>
                <w:spacing w:val="2"/>
              </w:rPr>
              <w:t>环境</w:t>
            </w:r>
            <w:r>
              <w:rPr/>
              <w:t xml:space="preserve"> </w:t>
            </w:r>
            <w:r>
              <w:rPr>
                <w:spacing w:val="3"/>
              </w:rPr>
              <w:t>风险评价工作等级为简单分析，评价深度以定性说</w:t>
            </w:r>
            <w:r>
              <w:rPr>
                <w:spacing w:val="2"/>
              </w:rPr>
              <w:t>明为主，划分依据</w:t>
            </w:r>
          </w:p>
          <w:p>
            <w:pPr>
              <w:pStyle w:val="TableText"/>
              <w:ind w:left="116"/>
              <w:spacing w:line="219" w:lineRule="auto"/>
              <w:rPr/>
            </w:pPr>
            <w:r>
              <w:rPr>
                <w:spacing w:val="-5"/>
              </w:rPr>
              <w:t>见表</w:t>
            </w:r>
            <w:r>
              <w:rPr>
                <w:rFonts w:ascii="Times New Roman" w:hAnsi="Times New Roman" w:eastAsia="Times New Roman" w:cs="Times New Roman"/>
                <w:spacing w:val="-5"/>
              </w:rPr>
              <w:t>4.2-</w:t>
            </w:r>
            <w:r>
              <w:rPr>
                <w:rFonts w:ascii="Times New Roman" w:hAnsi="Times New Roman" w:eastAsia="Times New Roman" w:cs="Times New Roman"/>
                <w:spacing w:val="-30"/>
              </w:rPr>
              <w:t xml:space="preserve"> </w:t>
            </w:r>
            <w:r>
              <w:rPr>
                <w:rFonts w:ascii="Times New Roman" w:hAnsi="Times New Roman" w:eastAsia="Times New Roman" w:cs="Times New Roman"/>
                <w:spacing w:val="-5"/>
              </w:rPr>
              <w:t>17</w:t>
            </w:r>
            <w:r>
              <w:rPr>
                <w:spacing w:val="-5"/>
              </w:rPr>
              <w:t>。</w:t>
            </w:r>
          </w:p>
          <w:p>
            <w:pPr>
              <w:pStyle w:val="TableText"/>
              <w:ind w:left="1827"/>
              <w:spacing w:before="65" w:line="212" w:lineRule="auto"/>
              <w:rPr/>
            </w:pPr>
            <w:r>
              <w:rPr>
                <w14:textOutline w14:w="4358" w14:cap="sq" w14:cmpd="sng">
                  <w14:solidFill>
                    <w14:srgbClr w14:val="000000"/>
                  </w14:solidFill>
                  <w14:prstDash w14:val="solid"/>
                  <w14:bevel/>
                </w14:textOutline>
              </w:rPr>
              <w:t>表4.2-17</w:t>
            </w:r>
            <w:r>
              <w:rPr/>
              <w:t xml:space="preserve">  </w:t>
            </w:r>
            <w:r>
              <w:rPr>
                <w14:textOutline w14:w="4358" w14:cap="sq" w14:cmpd="sng">
                  <w14:solidFill>
                    <w14:srgbClr w14:val="000000"/>
                  </w14:solidFill>
                  <w14:prstDash w14:val="solid"/>
                  <w14:bevel/>
                </w14:textOutline>
              </w:rPr>
              <w:t>环境风险评价工作等级划分表</w:t>
            </w:r>
          </w:p>
          <w:tbl>
            <w:tblPr>
              <w:tblStyle w:val="TableNormal"/>
              <w:tblW w:w="7289" w:type="dxa"/>
              <w:tblInd w:w="10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96"/>
              <w:gridCol w:w="1458"/>
              <w:gridCol w:w="1445"/>
              <w:gridCol w:w="1328"/>
              <w:gridCol w:w="1462"/>
            </w:tblGrid>
            <w:tr>
              <w:trPr>
                <w:trHeight w:val="461" w:hRule="atLeast"/>
              </w:trPr>
              <w:tc>
                <w:tcPr>
                  <w:tcW w:w="1596" w:type="dxa"/>
                  <w:vAlign w:val="top"/>
                  <w:tcBorders>
                    <w:top w:val="single" w:color="000000" w:sz="10" w:space="0"/>
                    <w:left w:val="nil"/>
                  </w:tcBorders>
                </w:tcPr>
                <w:p>
                  <w:pPr>
                    <w:pStyle w:val="TableText"/>
                    <w:ind w:left="176"/>
                    <w:spacing w:before="160" w:line="228" w:lineRule="auto"/>
                    <w:rPr>
                      <w:sz w:val="20"/>
                      <w:szCs w:val="20"/>
                    </w:rPr>
                  </w:pPr>
                  <w:r>
                    <w:rPr>
                      <w:sz w:val="20"/>
                      <w:szCs w:val="20"/>
                      <w:spacing w:val="8"/>
                    </w:rPr>
                    <w:t>环境风险潜势</w:t>
                  </w:r>
                </w:p>
              </w:tc>
              <w:tc>
                <w:tcPr>
                  <w:tcW w:w="1458" w:type="dxa"/>
                  <w:vAlign w:val="top"/>
                  <w:tcBorders>
                    <w:top w:val="single" w:color="000000" w:sz="10" w:space="0"/>
                  </w:tcBorders>
                </w:tcPr>
                <w:p>
                  <w:pPr>
                    <w:pStyle w:val="TableText"/>
                    <w:ind w:left="346"/>
                    <w:spacing w:before="200" w:line="18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Ⅳ</w:t>
                  </w:r>
                  <w:r>
                    <w:rPr>
                      <w:rFonts w:ascii="Times New Roman" w:hAnsi="Times New Roman" w:eastAsia="Times New Roman" w:cs="Times New Roman"/>
                      <w:sz w:val="20"/>
                      <w:szCs w:val="20"/>
                      <w:spacing w:val="-26"/>
                    </w:rPr>
                    <w:t xml:space="preserve"> </w:t>
                  </w:r>
                  <w:r>
                    <w:rPr>
                      <w:sz w:val="20"/>
                      <w:szCs w:val="20"/>
                      <w:spacing w:val="1"/>
                    </w:rPr>
                    <w:t>、</w:t>
                  </w:r>
                  <w:r>
                    <w:rPr>
                      <w:rFonts w:ascii="Times New Roman" w:hAnsi="Times New Roman" w:eastAsia="Times New Roman" w:cs="Times New Roman"/>
                      <w:sz w:val="20"/>
                      <w:szCs w:val="20"/>
                      <w:spacing w:val="1"/>
                    </w:rPr>
                    <w:t>Ⅳ+</w:t>
                  </w:r>
                </w:p>
              </w:tc>
              <w:tc>
                <w:tcPr>
                  <w:tcW w:w="1445" w:type="dxa"/>
                  <w:vAlign w:val="top"/>
                  <w:tcBorders>
                    <w:top w:val="single" w:color="000000" w:sz="10" w:space="0"/>
                  </w:tcBorders>
                </w:tcPr>
                <w:p>
                  <w:pPr>
                    <w:ind w:left="625"/>
                    <w:spacing w:before="19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Ⅲ</w:t>
                  </w:r>
                </w:p>
              </w:tc>
              <w:tc>
                <w:tcPr>
                  <w:tcW w:w="1328" w:type="dxa"/>
                  <w:vAlign w:val="top"/>
                  <w:tcBorders>
                    <w:top w:val="single" w:color="000000" w:sz="10" w:space="0"/>
                  </w:tcBorders>
                </w:tcPr>
                <w:p>
                  <w:pPr>
                    <w:ind w:left="599"/>
                    <w:spacing w:before="19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Ⅱ</w:t>
                  </w:r>
                </w:p>
              </w:tc>
              <w:tc>
                <w:tcPr>
                  <w:tcW w:w="1462" w:type="dxa"/>
                  <w:vAlign w:val="top"/>
                  <w:tcBorders>
                    <w:top w:val="single" w:color="000000" w:sz="10" w:space="0"/>
                    <w:right w:val="nil"/>
                  </w:tcBorders>
                </w:tcPr>
                <w:p>
                  <w:pPr>
                    <w:ind w:left="699"/>
                    <w:spacing w:before="19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Ⅰ</w:t>
                  </w:r>
                </w:p>
              </w:tc>
            </w:tr>
            <w:tr>
              <w:trPr>
                <w:trHeight w:val="461" w:hRule="atLeast"/>
              </w:trPr>
              <w:tc>
                <w:tcPr>
                  <w:tcW w:w="1596" w:type="dxa"/>
                  <w:vAlign w:val="top"/>
                  <w:tcBorders>
                    <w:left w:val="nil"/>
                  </w:tcBorders>
                </w:tcPr>
                <w:p>
                  <w:pPr>
                    <w:pStyle w:val="TableText"/>
                    <w:ind w:left="175"/>
                    <w:spacing w:before="158" w:line="226" w:lineRule="auto"/>
                    <w:rPr>
                      <w:sz w:val="20"/>
                      <w:szCs w:val="20"/>
                    </w:rPr>
                  </w:pPr>
                  <w:r>
                    <w:rPr>
                      <w:sz w:val="20"/>
                      <w:szCs w:val="20"/>
                      <w:spacing w:val="8"/>
                    </w:rPr>
                    <w:t>评价工作等级</w:t>
                  </w:r>
                </w:p>
              </w:tc>
              <w:tc>
                <w:tcPr>
                  <w:tcW w:w="1458" w:type="dxa"/>
                  <w:vAlign w:val="top"/>
                </w:tcPr>
                <w:p>
                  <w:pPr>
                    <w:pStyle w:val="TableText"/>
                    <w:ind w:left="633"/>
                    <w:spacing w:before="236" w:line="156" w:lineRule="exact"/>
                    <w:rPr>
                      <w:sz w:val="20"/>
                      <w:szCs w:val="20"/>
                    </w:rPr>
                  </w:pPr>
                  <w:r>
                    <w:rPr>
                      <w:sz w:val="20"/>
                      <w:szCs w:val="20"/>
                      <w:position w:val="-4"/>
                    </w:rPr>
                    <w:t>一</w:t>
                  </w:r>
                </w:p>
              </w:tc>
              <w:tc>
                <w:tcPr>
                  <w:tcW w:w="1445" w:type="dxa"/>
                  <w:vAlign w:val="top"/>
                </w:tcPr>
                <w:p>
                  <w:pPr>
                    <w:pStyle w:val="TableText"/>
                    <w:ind w:left="624"/>
                    <w:spacing w:before="197" w:line="183" w:lineRule="auto"/>
                    <w:rPr>
                      <w:sz w:val="20"/>
                      <w:szCs w:val="20"/>
                    </w:rPr>
                  </w:pPr>
                  <w:r>
                    <w:rPr>
                      <w:sz w:val="20"/>
                      <w:szCs w:val="20"/>
                    </w:rPr>
                    <w:t>二</w:t>
                  </w:r>
                </w:p>
              </w:tc>
              <w:tc>
                <w:tcPr>
                  <w:tcW w:w="1328" w:type="dxa"/>
                  <w:vAlign w:val="top"/>
                </w:tcPr>
                <w:p>
                  <w:pPr>
                    <w:pStyle w:val="TableText"/>
                    <w:ind w:left="563"/>
                    <w:spacing w:before="158" w:line="265" w:lineRule="exact"/>
                    <w:rPr>
                      <w:sz w:val="20"/>
                      <w:szCs w:val="20"/>
                    </w:rPr>
                  </w:pPr>
                  <w:r>
                    <w:rPr>
                      <w:sz w:val="20"/>
                      <w:szCs w:val="20"/>
                      <w:position w:val="1"/>
                    </w:rPr>
                    <w:t>三</w:t>
                  </w:r>
                </w:p>
              </w:tc>
              <w:tc>
                <w:tcPr>
                  <w:tcW w:w="1462" w:type="dxa"/>
                  <w:vAlign w:val="top"/>
                  <w:tcBorders>
                    <w:right w:val="nil"/>
                  </w:tcBorders>
                </w:tcPr>
                <w:p>
                  <w:pPr>
                    <w:pStyle w:val="TableText"/>
                    <w:ind w:left="274"/>
                    <w:spacing w:before="157" w:line="227" w:lineRule="auto"/>
                    <w:rPr>
                      <w:rFonts w:ascii="Times New Roman" w:hAnsi="Times New Roman" w:eastAsia="Times New Roman" w:cs="Times New Roman"/>
                      <w:sz w:val="20"/>
                      <w:szCs w:val="20"/>
                    </w:rPr>
                  </w:pPr>
                  <w:r>
                    <w:rPr>
                      <w:sz w:val="20"/>
                      <w:szCs w:val="20"/>
                      <w:spacing w:val="6"/>
                    </w:rPr>
                    <w:t>简单分析</w:t>
                  </w:r>
                  <w:r>
                    <w:rPr>
                      <w:rFonts w:ascii="Times New Roman" w:hAnsi="Times New Roman" w:eastAsia="Times New Roman" w:cs="Times New Roman"/>
                      <w:sz w:val="20"/>
                      <w:szCs w:val="20"/>
                      <w:spacing w:val="6"/>
                    </w:rPr>
                    <w:t>a</w:t>
                  </w:r>
                </w:p>
              </w:tc>
            </w:tr>
          </w:tbl>
          <w:p>
            <w:pPr>
              <w:pStyle w:val="TableText"/>
              <w:ind w:left="105" w:right="109" w:firstLine="139"/>
              <w:spacing w:before="109" w:line="280" w:lineRule="auto"/>
              <w:tabs>
                <w:tab w:val="left" w:pos="1555"/>
              </w:tabs>
              <w:rPr>
                <w:sz w:val="20"/>
                <w:szCs w:val="20"/>
              </w:rPr>
            </w:pPr>
            <w:r>
              <w:rPr>
                <w:rFonts w:ascii="Times New Roman" w:hAnsi="Times New Roman" w:eastAsia="Times New Roman" w:cs="Times New Roman"/>
                <w:sz w:val="20"/>
                <w:szCs w:val="20"/>
                <w:spacing w:val="10"/>
              </w:rPr>
              <w:t>a</w:t>
            </w:r>
            <w:r>
              <w:rPr>
                <w:sz w:val="20"/>
                <w:szCs w:val="20"/>
                <w:spacing w:val="10"/>
              </w:rPr>
              <w:t>是相对于详细评价工作内容而言，在描述</w:t>
            </w:r>
            <w:r>
              <w:rPr>
                <w:sz w:val="20"/>
                <w:szCs w:val="20"/>
                <w:spacing w:val="9"/>
              </w:rPr>
              <w:t>危险物质、环境影响途径、环境危</w:t>
            </w:r>
            <w:r>
              <w:rPr>
                <w:sz w:val="20"/>
                <w:szCs w:val="20"/>
              </w:rPr>
              <w:t xml:space="preserve">  </w:t>
            </w:r>
            <w:r>
              <w:rPr>
                <w:sz w:val="20"/>
                <w:szCs w:val="20"/>
                <w:u w:val="single" w:color="auto"/>
              </w:rPr>
              <w:tab/>
            </w:r>
            <w:r>
              <w:rPr>
                <w:sz w:val="20"/>
                <w:szCs w:val="20"/>
                <w:u w:val="single" w:color="auto"/>
                <w:spacing w:val="7"/>
              </w:rPr>
              <w:t>害后果、风险防范措施等方面给出定性的说明。       </w:t>
            </w:r>
            <w:r>
              <w:rPr>
                <w:sz w:val="20"/>
                <w:szCs w:val="20"/>
                <w:u w:val="single" w:color="auto"/>
                <w:spacing w:val="6"/>
              </w:rPr>
              <w:t xml:space="preserve">       </w:t>
            </w:r>
          </w:p>
          <w:p>
            <w:pPr>
              <w:pStyle w:val="TableText"/>
              <w:ind w:left="622"/>
              <w:spacing w:before="228" w:line="502" w:lineRule="exact"/>
              <w:rPr/>
            </w:pPr>
            <w:r>
              <w:rPr>
                <w:spacing w:val="-6"/>
                <w:position w:val="20"/>
              </w:rPr>
              <w:t>由上表可知，本项目风险潜势为</w:t>
            </w:r>
            <w:r>
              <w:rPr>
                <w:rFonts w:ascii="Times New Roman" w:hAnsi="Times New Roman" w:eastAsia="Times New Roman" w:cs="Times New Roman"/>
                <w:spacing w:val="-6"/>
                <w:position w:val="20"/>
              </w:rPr>
              <w:t>Ⅰ</w:t>
            </w:r>
            <w:r>
              <w:rPr>
                <w:rFonts w:ascii="Times New Roman" w:hAnsi="Times New Roman" w:eastAsia="Times New Roman" w:cs="Times New Roman"/>
                <w:spacing w:val="-31"/>
                <w:position w:val="20"/>
              </w:rPr>
              <w:t xml:space="preserve"> </w:t>
            </w:r>
            <w:r>
              <w:rPr>
                <w:spacing w:val="-6"/>
                <w:position w:val="20"/>
              </w:rPr>
              <w:t>,</w:t>
            </w:r>
            <w:r>
              <w:rPr>
                <w:spacing w:val="65"/>
                <w:position w:val="20"/>
              </w:rPr>
              <w:t xml:space="preserve"> </w:t>
            </w:r>
            <w:r>
              <w:rPr>
                <w:spacing w:val="-6"/>
                <w:position w:val="20"/>
              </w:rPr>
              <w:t>为简单</w:t>
            </w:r>
            <w:r>
              <w:rPr>
                <w:spacing w:val="-7"/>
                <w:position w:val="20"/>
              </w:rPr>
              <w:t>分析。</w:t>
            </w:r>
          </w:p>
          <w:p>
            <w:pPr>
              <w:pStyle w:val="TableText"/>
              <w:ind w:left="604"/>
              <w:spacing w:line="219" w:lineRule="auto"/>
              <w:rPr/>
            </w:pPr>
            <w:r>
              <w:rPr>
                <w:spacing w:val="-2"/>
              </w:rPr>
              <w:t>（</w:t>
            </w:r>
            <w:r>
              <w:rPr>
                <w:rFonts w:ascii="Times New Roman" w:hAnsi="Times New Roman" w:eastAsia="Times New Roman" w:cs="Times New Roman"/>
                <w:spacing w:val="-2"/>
              </w:rPr>
              <w:t>2</w:t>
            </w:r>
            <w:r>
              <w:rPr>
                <w:spacing w:val="-2"/>
              </w:rPr>
              <w:t>）环境敏感目标概况</w:t>
            </w:r>
          </w:p>
          <w:p>
            <w:pPr>
              <w:pStyle w:val="TableText"/>
              <w:ind w:right="13"/>
              <w:spacing w:before="214" w:line="219" w:lineRule="auto"/>
              <w:jc w:val="right"/>
              <w:rPr/>
            </w:pPr>
            <w:r>
              <w:rPr/>
              <w:t>本项目位于已建厂区内部，周边</w:t>
            </w:r>
            <w:r>
              <w:rPr>
                <w:rFonts w:ascii="Times New Roman" w:hAnsi="Times New Roman" w:eastAsia="Times New Roman" w:cs="Times New Roman"/>
              </w:rPr>
              <w:t>500m</w:t>
            </w:r>
            <w:r>
              <w:rPr/>
              <w:t>范围内</w:t>
            </w:r>
            <w:r>
              <w:rPr>
                <w:spacing w:val="-1"/>
              </w:rPr>
              <w:t>人口总数小于</w:t>
            </w:r>
            <w:r>
              <w:rPr>
                <w:rFonts w:ascii="Times New Roman" w:hAnsi="Times New Roman" w:eastAsia="Times New Roman" w:cs="Times New Roman"/>
                <w:spacing w:val="-1"/>
              </w:rPr>
              <w:t>500</w:t>
            </w:r>
            <w:r>
              <w:rPr>
                <w:spacing w:val="-1"/>
              </w:rPr>
              <w:t>人，</w:t>
            </w:r>
          </w:p>
        </w:tc>
      </w:tr>
    </w:tbl>
    <w:p>
      <w:pPr>
        <w:pStyle w:val="BodyText"/>
        <w:rPr/>
      </w:pPr>
      <w:r/>
    </w:p>
    <w:p>
      <w:pPr>
        <w:sectPr>
          <w:footerReference w:type="default" r:id="rId230"/>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17"/>
        <w:gridCol w:w="7509"/>
      </w:tblGrid>
      <w:tr>
        <w:trPr>
          <w:trHeight w:val="13517" w:hRule="atLeast"/>
        </w:trPr>
        <w:tc>
          <w:tcPr>
            <w:tcW w:w="1017" w:type="dxa"/>
            <w:vAlign w:val="top"/>
          </w:tcPr>
          <w:p>
            <w:pPr>
              <w:rPr>
                <w:rFonts w:ascii="Arial"/>
                <w:sz w:val="21"/>
              </w:rPr>
            </w:pPr>
            <w:r/>
          </w:p>
        </w:tc>
        <w:tc>
          <w:tcPr>
            <w:tcW w:w="7509" w:type="dxa"/>
            <w:vAlign w:val="top"/>
          </w:tcPr>
          <w:p>
            <w:pPr>
              <w:pStyle w:val="TableText"/>
              <w:ind w:left="112"/>
              <w:spacing w:before="200" w:line="499" w:lineRule="exact"/>
              <w:rPr/>
            </w:pPr>
            <w:r>
              <w:rPr>
                <w:spacing w:val="11"/>
                <w:position w:val="19"/>
              </w:rPr>
              <w:t>根据项目涉及的危险物质可能的影响途径和所在区域的实际环境特</w:t>
            </w:r>
          </w:p>
          <w:p>
            <w:pPr>
              <w:pStyle w:val="TableText"/>
              <w:ind w:left="125"/>
              <w:spacing w:line="218" w:lineRule="auto"/>
              <w:rPr/>
            </w:pPr>
            <w:r>
              <w:rPr>
                <w:spacing w:val="-1"/>
              </w:rPr>
              <w:t>点，本项目周边</w:t>
            </w:r>
            <w:r>
              <w:rPr>
                <w:rFonts w:ascii="Times New Roman" w:hAnsi="Times New Roman" w:eastAsia="Times New Roman" w:cs="Times New Roman"/>
                <w:spacing w:val="-1"/>
              </w:rPr>
              <w:t>500m</w:t>
            </w:r>
            <w:r>
              <w:rPr>
                <w:spacing w:val="-1"/>
              </w:rPr>
              <w:t>范围不存在环境保护目标。</w:t>
            </w:r>
          </w:p>
          <w:p>
            <w:pPr>
              <w:pStyle w:val="TableText"/>
              <w:ind w:left="604"/>
              <w:spacing w:before="215" w:line="501" w:lineRule="exact"/>
              <w:rPr/>
            </w:pPr>
            <w:r>
              <w:rPr>
                <w:spacing w:val="-3"/>
                <w:position w:val="19"/>
              </w:rPr>
              <w:t>（</w:t>
            </w:r>
            <w:r>
              <w:rPr>
                <w:rFonts w:ascii="Times New Roman" w:hAnsi="Times New Roman" w:eastAsia="Times New Roman" w:cs="Times New Roman"/>
                <w:spacing w:val="-3"/>
                <w:position w:val="19"/>
              </w:rPr>
              <w:t>3</w:t>
            </w:r>
            <w:r>
              <w:rPr>
                <w:spacing w:val="-3"/>
                <w:position w:val="19"/>
              </w:rPr>
              <w:t>）环境风险识别</w:t>
            </w:r>
          </w:p>
          <w:p>
            <w:pPr>
              <w:pStyle w:val="TableText"/>
              <w:ind w:left="592"/>
              <w:spacing w:line="217" w:lineRule="auto"/>
              <w:rPr/>
            </w:pPr>
            <w:r>
              <w:rPr>
                <w:spacing w:val="-2"/>
              </w:rPr>
              <w:t>①泄露</w:t>
            </w:r>
            <w:r>
              <w:rPr>
                <w:rFonts w:ascii="Times New Roman" w:hAnsi="Times New Roman" w:eastAsia="Times New Roman" w:cs="Times New Roman"/>
                <w:spacing w:val="-2"/>
              </w:rPr>
              <w:t>/</w:t>
            </w:r>
            <w:r>
              <w:rPr>
                <w:spacing w:val="-2"/>
              </w:rPr>
              <w:t>散落</w:t>
            </w:r>
          </w:p>
          <w:p>
            <w:pPr>
              <w:pStyle w:val="TableText"/>
              <w:ind w:left="113" w:right="106" w:firstLine="479"/>
              <w:spacing w:before="216" w:line="385" w:lineRule="auto"/>
              <w:rPr/>
            </w:pPr>
            <w:r>
              <w:rPr>
                <w:spacing w:val="3"/>
              </w:rPr>
              <w:t>通过对风险识别并结合本工程实际情况，本项目风险主要是废催</w:t>
            </w:r>
            <w:r>
              <w:rPr/>
              <w:t xml:space="preserve"> </w:t>
            </w:r>
            <w:r>
              <w:rPr>
                <w:spacing w:val="3"/>
              </w:rPr>
              <w:t>化剂、废活性炭在危废暂存库暂存过程中，因外力</w:t>
            </w:r>
            <w:r>
              <w:rPr>
                <w:spacing w:val="2"/>
              </w:rPr>
              <w:t>影响、腐蚀、材料</w:t>
            </w:r>
          </w:p>
          <w:p>
            <w:pPr>
              <w:pStyle w:val="TableText"/>
              <w:ind w:left="115"/>
              <w:spacing w:before="1" w:line="218" w:lineRule="auto"/>
              <w:rPr/>
            </w:pPr>
            <w:r>
              <w:rPr>
                <w:spacing w:val="-1"/>
              </w:rPr>
              <w:t>各环节存在的缺陷和失误，导致废催化剂、废活性炭泄露。</w:t>
            </w:r>
          </w:p>
          <w:p>
            <w:pPr>
              <w:pStyle w:val="TableText"/>
              <w:ind w:left="591"/>
              <w:spacing w:before="215" w:line="217" w:lineRule="auto"/>
              <w:rPr/>
            </w:pPr>
            <w:r>
              <w:rPr>
                <w:spacing w:val="-3"/>
              </w:rPr>
              <w:t>②火灾</w:t>
            </w:r>
          </w:p>
          <w:p>
            <w:pPr>
              <w:pStyle w:val="TableText"/>
              <w:ind w:left="112" w:right="26" w:firstLine="499"/>
              <w:spacing w:before="216" w:line="385" w:lineRule="auto"/>
              <w:rPr/>
            </w:pPr>
            <w:r>
              <w:rPr>
                <w:spacing w:val="-3"/>
              </w:rPr>
              <w:t>因外力影响、腐蚀、材料各环节存在的缺陷和</w:t>
            </w:r>
            <w:r>
              <w:rPr>
                <w:spacing w:val="-4"/>
              </w:rPr>
              <w:t>失误，导致聚乙烯、</w:t>
            </w:r>
            <w:r>
              <w:rPr/>
              <w:t xml:space="preserve"> </w:t>
            </w:r>
            <w:r>
              <w:rPr>
                <w:spacing w:val="3"/>
              </w:rPr>
              <w:t>废机油遇明火会发生火灾。火灾事故发生时，在应急</w:t>
            </w:r>
            <w:r>
              <w:rPr>
                <w:spacing w:val="2"/>
              </w:rPr>
              <w:t>救援中，都会在</w:t>
            </w:r>
            <w:r>
              <w:rPr/>
              <w:t xml:space="preserve"> </w:t>
            </w:r>
            <w:r>
              <w:rPr>
                <w:spacing w:val="3"/>
              </w:rPr>
              <w:t>事故现场喷射大量的消防废水，若无应急措施，势必</w:t>
            </w:r>
            <w:r>
              <w:rPr>
                <w:spacing w:val="2"/>
              </w:rPr>
              <w:t>会有部分危险废</w:t>
            </w:r>
          </w:p>
          <w:p>
            <w:pPr>
              <w:pStyle w:val="TableText"/>
              <w:ind w:left="112"/>
              <w:spacing w:line="219" w:lineRule="auto"/>
              <w:rPr/>
            </w:pPr>
            <w:r>
              <w:rPr>
                <w:spacing w:val="-1"/>
              </w:rPr>
              <w:t>物跟随消防废水进入土壤和地下水，造成严重污染。</w:t>
            </w:r>
          </w:p>
          <w:p>
            <w:pPr>
              <w:pStyle w:val="TableText"/>
              <w:ind w:left="591"/>
              <w:spacing w:before="217" w:line="217" w:lineRule="auto"/>
              <w:rPr/>
            </w:pPr>
            <w:r>
              <w:rPr>
                <w:spacing w:val="-1"/>
              </w:rPr>
              <w:t>③伴生</w:t>
            </w:r>
            <w:r>
              <w:rPr>
                <w:rFonts w:ascii="Times New Roman" w:hAnsi="Times New Roman" w:eastAsia="Times New Roman" w:cs="Times New Roman"/>
                <w:spacing w:val="-1"/>
              </w:rPr>
              <w:t>/</w:t>
            </w:r>
            <w:r>
              <w:rPr>
                <w:spacing w:val="-1"/>
              </w:rPr>
              <w:t>次伴生影响分析</w:t>
            </w:r>
          </w:p>
          <w:p>
            <w:pPr>
              <w:pStyle w:val="TableText"/>
              <w:ind w:left="112" w:right="106" w:firstLine="481"/>
              <w:spacing w:before="215" w:line="385" w:lineRule="auto"/>
              <w:rPr/>
            </w:pPr>
            <w:r>
              <w:rPr>
                <w:spacing w:val="3"/>
              </w:rPr>
              <w:t>本项目在事故应急救援中产生的消防废水伴有一定的物料，</w:t>
            </w:r>
            <w:r>
              <w:rPr>
                <w:spacing w:val="2"/>
              </w:rPr>
              <w:t>若沿</w:t>
            </w:r>
            <w:r>
              <w:rPr/>
              <w:t xml:space="preserve"> </w:t>
            </w:r>
            <w:r>
              <w:rPr>
                <w:spacing w:val="3"/>
              </w:rPr>
              <w:t>着管网外排，将会对污水处置造成冲击，灭火过程中</w:t>
            </w:r>
            <w:r>
              <w:rPr>
                <w:spacing w:val="2"/>
              </w:rPr>
              <w:t>可能产生大量的</w:t>
            </w:r>
            <w:r>
              <w:rPr/>
              <w:t xml:space="preserve"> </w:t>
            </w:r>
            <w:r>
              <w:rPr>
                <w:spacing w:val="3"/>
              </w:rPr>
              <w:t>废灭火剂等固体废物，若事故后随意排放、丢弃，将</w:t>
            </w:r>
            <w:r>
              <w:rPr>
                <w:spacing w:val="2"/>
              </w:rPr>
              <w:t>对环境产生二次</w:t>
            </w:r>
          </w:p>
          <w:p>
            <w:pPr>
              <w:pStyle w:val="TableText"/>
              <w:ind w:left="114"/>
              <w:spacing w:before="1" w:line="218" w:lineRule="auto"/>
              <w:rPr/>
            </w:pPr>
            <w:r>
              <w:rPr>
                <w:spacing w:val="-1"/>
              </w:rPr>
              <w:t>污染，同时危险废物燃烧时产生有毒有害气体等伴生</w:t>
            </w:r>
            <w:r>
              <w:rPr>
                <w:rFonts w:ascii="Times New Roman" w:hAnsi="Times New Roman" w:eastAsia="Times New Roman" w:cs="Times New Roman"/>
                <w:spacing w:val="-1"/>
              </w:rPr>
              <w:t>/</w:t>
            </w:r>
            <w:r>
              <w:rPr>
                <w:spacing w:val="-1"/>
              </w:rPr>
              <w:t>次伴生影响。</w:t>
            </w:r>
          </w:p>
          <w:p>
            <w:pPr>
              <w:pStyle w:val="TableText"/>
              <w:ind w:left="591"/>
              <w:spacing w:before="215" w:line="217" w:lineRule="auto"/>
              <w:rPr/>
            </w:pPr>
            <w:r>
              <w:rPr>
                <w:spacing w:val="-2"/>
              </w:rPr>
              <w:t>④矿物油泄漏</w:t>
            </w:r>
          </w:p>
          <w:p>
            <w:pPr>
              <w:pStyle w:val="TableText"/>
              <w:ind w:left="116" w:right="106" w:firstLine="476"/>
              <w:spacing w:before="219" w:line="384" w:lineRule="auto"/>
              <w:rPr/>
            </w:pPr>
            <w:r>
              <w:rPr>
                <w:spacing w:val="3"/>
              </w:rPr>
              <w:t>通过对风险识别并结合本工程实际情况，本项目风险主要是矿物</w:t>
            </w:r>
            <w:r>
              <w:rPr/>
              <w:t xml:space="preserve"> </w:t>
            </w:r>
            <w:r>
              <w:rPr>
                <w:spacing w:val="3"/>
              </w:rPr>
              <w:t>油类在危废暂存库暂存过程中，因外力影响</w:t>
            </w:r>
            <w:r>
              <w:rPr>
                <w:spacing w:val="2"/>
              </w:rPr>
              <w:t>、腐蚀、材料各环节存在</w:t>
            </w:r>
          </w:p>
          <w:p>
            <w:pPr>
              <w:pStyle w:val="TableText"/>
              <w:ind w:left="132"/>
              <w:spacing w:before="1" w:line="218" w:lineRule="auto"/>
              <w:rPr/>
            </w:pPr>
            <w:r>
              <w:rPr>
                <w:spacing w:val="-2"/>
              </w:rPr>
              <w:t>的缺陷和失误，导致废机油泄露。</w:t>
            </w:r>
          </w:p>
          <w:p>
            <w:pPr>
              <w:pStyle w:val="TableText"/>
              <w:ind w:left="604"/>
              <w:spacing w:before="218" w:line="220" w:lineRule="auto"/>
              <w:rPr/>
            </w:pPr>
            <w:r>
              <w:rPr>
                <w:spacing w:val="-3"/>
              </w:rPr>
              <w:t>（</w:t>
            </w:r>
            <w:r>
              <w:rPr>
                <w:rFonts w:ascii="Times New Roman" w:hAnsi="Times New Roman" w:eastAsia="Times New Roman" w:cs="Times New Roman"/>
                <w:spacing w:val="-3"/>
              </w:rPr>
              <w:t>4</w:t>
            </w:r>
            <w:r>
              <w:rPr>
                <w:spacing w:val="-3"/>
              </w:rPr>
              <w:t>）环境风险分析</w:t>
            </w:r>
          </w:p>
          <w:p>
            <w:pPr>
              <w:pStyle w:val="TableText"/>
              <w:ind w:left="592"/>
              <w:spacing w:before="213" w:line="217" w:lineRule="auto"/>
              <w:rPr/>
            </w:pPr>
            <w:r>
              <w:rPr>
                <w:spacing w:val="-2"/>
              </w:rPr>
              <w:t>①大气环境</w:t>
            </w:r>
          </w:p>
          <w:p>
            <w:pPr>
              <w:pStyle w:val="TableText"/>
              <w:ind w:left="111" w:right="107" w:firstLine="482"/>
              <w:spacing w:before="215" w:line="385" w:lineRule="auto"/>
              <w:rPr/>
            </w:pPr>
            <w:r>
              <w:rPr>
                <w:spacing w:val="3"/>
              </w:rPr>
              <w:t>本项目废催化剂、废活性炭、废机油在危废暂存间内储存较</w:t>
            </w:r>
            <w:r>
              <w:rPr>
                <w:spacing w:val="2"/>
              </w:rPr>
              <w:t>少，</w:t>
            </w:r>
            <w:r>
              <w:rPr/>
              <w:t xml:space="preserve"> </w:t>
            </w:r>
            <w:r>
              <w:rPr>
                <w:spacing w:val="3"/>
              </w:rPr>
              <w:t>仅对厂区内的工作人员产生影响，对厂界外人员基本没</w:t>
            </w:r>
            <w:r>
              <w:rPr>
                <w:spacing w:val="2"/>
              </w:rPr>
              <w:t>有影响。本项</w:t>
            </w:r>
            <w:r>
              <w:rPr/>
              <w:t xml:space="preserve"> </w:t>
            </w:r>
            <w:r>
              <w:rPr>
                <w:spacing w:val="3"/>
              </w:rPr>
              <w:t>目事故情况下，事故情况最不利气象条件下，活性</w:t>
            </w:r>
            <w:r>
              <w:rPr>
                <w:spacing w:val="2"/>
              </w:rPr>
              <w:t>炭对周围环境影响</w:t>
            </w:r>
          </w:p>
          <w:p>
            <w:pPr>
              <w:pStyle w:val="TableText"/>
              <w:ind w:left="112"/>
              <w:spacing w:before="1" w:line="219" w:lineRule="auto"/>
              <w:rPr/>
            </w:pPr>
            <w:r>
              <w:rPr>
                <w:spacing w:val="-2"/>
              </w:rPr>
              <w:t>在可控范围内。</w:t>
            </w:r>
          </w:p>
        </w:tc>
      </w:tr>
    </w:tbl>
    <w:p>
      <w:pPr>
        <w:pStyle w:val="BodyText"/>
        <w:rPr/>
      </w:pPr>
      <w:r/>
    </w:p>
    <w:p>
      <w:pPr>
        <w:sectPr>
          <w:footerReference w:type="default" r:id="rId232"/>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17"/>
        <w:gridCol w:w="7509"/>
      </w:tblGrid>
      <w:tr>
        <w:trPr>
          <w:trHeight w:val="13517" w:hRule="atLeast"/>
        </w:trPr>
        <w:tc>
          <w:tcPr>
            <w:tcW w:w="1017" w:type="dxa"/>
            <w:vAlign w:val="top"/>
          </w:tcPr>
          <w:p>
            <w:pPr>
              <w:rPr>
                <w:rFonts w:ascii="Arial"/>
                <w:sz w:val="21"/>
              </w:rPr>
            </w:pPr>
            <w:r/>
          </w:p>
        </w:tc>
        <w:tc>
          <w:tcPr>
            <w:tcW w:w="7509" w:type="dxa"/>
            <w:vAlign w:val="top"/>
          </w:tcPr>
          <w:p>
            <w:pPr>
              <w:pStyle w:val="TableText"/>
              <w:ind w:left="591"/>
              <w:spacing w:before="200" w:line="217" w:lineRule="auto"/>
              <w:rPr/>
            </w:pPr>
            <w:r>
              <w:rPr>
                <w:spacing w:val="-2"/>
              </w:rPr>
              <w:t>②水环境</w:t>
            </w:r>
          </w:p>
          <w:p>
            <w:pPr>
              <w:pStyle w:val="TableText"/>
              <w:ind w:left="116" w:right="106" w:firstLine="477"/>
              <w:spacing w:before="216" w:line="385" w:lineRule="auto"/>
              <w:rPr/>
            </w:pPr>
            <w:r>
              <w:rPr>
                <w:spacing w:val="3"/>
              </w:rPr>
              <w:t>本项目与地表水体不发生水力联系，事故情况下，泄露的物</w:t>
            </w:r>
            <w:r>
              <w:rPr>
                <w:spacing w:val="2"/>
              </w:rPr>
              <w:t>料均</w:t>
            </w:r>
            <w:r>
              <w:rPr/>
              <w:t xml:space="preserve"> </w:t>
            </w:r>
            <w:r>
              <w:rPr>
                <w:spacing w:val="-2"/>
              </w:rPr>
              <w:t>泄露于硬化地面，危废暂存间做防渗处理，防渗系数小于</w:t>
            </w:r>
            <w:r>
              <w:rPr>
                <w:rFonts w:ascii="Times New Roman" w:hAnsi="Times New Roman" w:eastAsia="Times New Roman" w:cs="Times New Roman"/>
                <w:spacing w:val="-2"/>
              </w:rPr>
              <w:t>1×</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10</w:t>
            </w:r>
            <w:r>
              <w:rPr>
                <w:rFonts w:ascii="Times New Roman" w:hAnsi="Times New Roman" w:eastAsia="Times New Roman" w:cs="Times New Roman"/>
                <w:sz w:val="15"/>
                <w:szCs w:val="15"/>
                <w:spacing w:val="-2"/>
                <w:position w:val="7"/>
              </w:rPr>
              <w:t>-7</w:t>
            </w:r>
            <w:r>
              <w:rPr>
                <w:rFonts w:ascii="Times New Roman" w:hAnsi="Times New Roman" w:eastAsia="Times New Roman" w:cs="Times New Roman"/>
                <w:spacing w:val="-2"/>
              </w:rPr>
              <w:t>cm/s</w:t>
            </w:r>
            <w:r>
              <w:rPr>
                <w:spacing w:val="-2"/>
              </w:rPr>
              <w:t>。</w:t>
            </w:r>
          </w:p>
          <w:p>
            <w:pPr>
              <w:pStyle w:val="TableText"/>
              <w:ind w:left="131"/>
              <w:spacing w:line="219" w:lineRule="auto"/>
              <w:rPr/>
            </w:pPr>
            <w:r>
              <w:rPr>
                <w:spacing w:val="-2"/>
              </w:rPr>
              <w:t>因此，事故情况下，泄露的物料对周边水环境无影响。</w:t>
            </w:r>
          </w:p>
          <w:p>
            <w:pPr>
              <w:pStyle w:val="TableText"/>
              <w:ind w:left="711"/>
              <w:spacing w:before="214" w:line="217" w:lineRule="auto"/>
              <w:rPr/>
            </w:pPr>
            <w:r>
              <w:rPr>
                <w:spacing w:val="-2"/>
              </w:rPr>
              <w:t>③土壤环境</w:t>
            </w:r>
          </w:p>
          <w:p>
            <w:pPr>
              <w:pStyle w:val="TableText"/>
              <w:ind w:left="117" w:right="106" w:firstLine="482"/>
              <w:spacing w:before="216" w:line="385" w:lineRule="auto"/>
              <w:rPr/>
            </w:pPr>
            <w:r>
              <w:rPr>
                <w:spacing w:val="2"/>
              </w:rPr>
              <w:t>营运期内物料若发生泄漏（在不发生爆炸及火灾情</w:t>
            </w:r>
            <w:r>
              <w:rPr>
                <w:spacing w:val="1"/>
              </w:rPr>
              <w:t>况下</w:t>
            </w:r>
            <w:r>
              <w:rPr>
                <w:spacing w:val="12"/>
              </w:rPr>
              <w:t>），</w:t>
            </w:r>
            <w:r>
              <w:rPr>
                <w:spacing w:val="1"/>
              </w:rPr>
              <w:t>泄漏 </w:t>
            </w:r>
            <w:r>
              <w:rPr>
                <w:spacing w:val="2"/>
              </w:rPr>
              <w:t>的物料会蔓延至危废暂存间内已经重点防渗的地面上，地面采取渗透</w:t>
            </w:r>
            <w:r>
              <w:rPr>
                <w:spacing w:val="18"/>
              </w:rPr>
              <w:t xml:space="preserve"> </w:t>
            </w:r>
            <w:r>
              <w:rPr>
                <w:spacing w:val="-1"/>
              </w:rPr>
              <w:t>系数不小于</w:t>
            </w:r>
            <w:r>
              <w:rPr>
                <w:rFonts w:ascii="Times New Roman" w:hAnsi="Times New Roman" w:eastAsia="Times New Roman" w:cs="Times New Roman"/>
                <w:spacing w:val="-1"/>
              </w:rPr>
              <w:t>10</w:t>
            </w:r>
            <w:r>
              <w:rPr>
                <w:rFonts w:ascii="Times New Roman" w:hAnsi="Times New Roman" w:eastAsia="Times New Roman" w:cs="Times New Roman"/>
                <w:sz w:val="15"/>
                <w:szCs w:val="15"/>
                <w:spacing w:val="-1"/>
                <w:position w:val="8"/>
              </w:rPr>
              <w:t>-7</w:t>
            </w:r>
            <w:r>
              <w:rPr>
                <w:rFonts w:ascii="Times New Roman" w:hAnsi="Times New Roman" w:eastAsia="Times New Roman" w:cs="Times New Roman"/>
                <w:spacing w:val="-1"/>
              </w:rPr>
              <w:t>cm/s</w:t>
            </w:r>
            <w:r>
              <w:rPr>
                <w:spacing w:val="-1"/>
              </w:rPr>
              <w:t>的防渗措施进行防护，厂区内地面均做硬化处理，</w:t>
            </w:r>
            <w:r>
              <w:rPr>
                <w:spacing w:val="15"/>
              </w:rPr>
              <w:t xml:space="preserve"> </w:t>
            </w:r>
            <w:r>
              <w:rPr>
                <w:spacing w:val="2"/>
              </w:rPr>
              <w:t>因此，泄漏后不会大面积逸散，在发生泄漏后，厂内工作人员将及时</w:t>
            </w:r>
          </w:p>
          <w:p>
            <w:pPr>
              <w:pStyle w:val="TableText"/>
              <w:ind w:left="112"/>
              <w:spacing w:before="1" w:line="218" w:lineRule="auto"/>
              <w:rPr/>
            </w:pPr>
            <w:r>
              <w:rPr>
                <w:spacing w:val="-1"/>
              </w:rPr>
              <w:t>清理，因此，若发生泄漏等事故不会对土壤环境造成影响。</w:t>
            </w:r>
          </w:p>
          <w:p>
            <w:pPr>
              <w:pStyle w:val="TableText"/>
              <w:ind w:left="604"/>
              <w:spacing w:before="215" w:line="220" w:lineRule="auto"/>
              <w:rPr/>
            </w:pPr>
            <w:r>
              <w:rPr>
                <w:spacing w:val="-2"/>
              </w:rPr>
              <w:t>（</w:t>
            </w:r>
            <w:r>
              <w:rPr>
                <w:rFonts w:ascii="Times New Roman" w:hAnsi="Times New Roman" w:eastAsia="Times New Roman" w:cs="Times New Roman"/>
                <w:spacing w:val="-2"/>
              </w:rPr>
              <w:t>5</w:t>
            </w:r>
            <w:r>
              <w:rPr>
                <w:spacing w:val="-2"/>
              </w:rPr>
              <w:t>）环境风险防范措施</w:t>
            </w:r>
          </w:p>
          <w:p>
            <w:pPr>
              <w:pStyle w:val="TableText"/>
              <w:ind w:left="596"/>
              <w:spacing w:before="213" w:line="501" w:lineRule="exact"/>
              <w:rPr/>
            </w:pPr>
            <w:r>
              <w:rPr>
                <w:spacing w:val="2"/>
                <w:position w:val="20"/>
              </w:rPr>
              <w:t>企业需组建安全环保管理机构，配备管理人员，通过技能培训，</w:t>
            </w:r>
          </w:p>
          <w:p>
            <w:pPr>
              <w:pStyle w:val="TableText"/>
              <w:ind w:left="112"/>
              <w:spacing w:before="1" w:line="219" w:lineRule="auto"/>
              <w:rPr/>
            </w:pPr>
            <w:r>
              <w:rPr>
                <w:spacing w:val="-1"/>
              </w:rPr>
              <w:t>承担该公司运行中的环保安全工作。</w:t>
            </w:r>
          </w:p>
          <w:p>
            <w:pPr>
              <w:pStyle w:val="TableText"/>
              <w:ind w:left="116" w:right="106" w:firstLine="480"/>
              <w:spacing w:before="212" w:line="385" w:lineRule="auto"/>
              <w:rPr/>
            </w:pPr>
            <w:r>
              <w:rPr>
                <w:spacing w:val="3"/>
              </w:rPr>
              <w:t>安全环保机构将根据相关的环境管理要求，结合具</w:t>
            </w:r>
            <w:r>
              <w:rPr>
                <w:spacing w:val="2"/>
              </w:rPr>
              <w:t>体情况，制定</w:t>
            </w:r>
            <w:r>
              <w:rPr/>
              <w:t xml:space="preserve"> </w:t>
            </w:r>
            <w:r>
              <w:rPr>
                <w:spacing w:val="3"/>
              </w:rPr>
              <w:t>企业的各项安全生产管理制度、严格的生产</w:t>
            </w:r>
            <w:r>
              <w:rPr>
                <w:spacing w:val="2"/>
              </w:rPr>
              <w:t>操作规则和完善的事故应</w:t>
            </w:r>
            <w:r>
              <w:rPr/>
              <w:t xml:space="preserve"> </w:t>
            </w:r>
            <w:r>
              <w:rPr>
                <w:spacing w:val="3"/>
              </w:rPr>
              <w:t>急计划及相应的应急处理手段和设施，同时</w:t>
            </w:r>
            <w:r>
              <w:rPr>
                <w:spacing w:val="2"/>
              </w:rPr>
              <w:t>加强安全教育，以提高职</w:t>
            </w:r>
          </w:p>
          <w:p>
            <w:pPr>
              <w:pStyle w:val="TableText"/>
              <w:ind w:left="115"/>
              <w:spacing w:before="1" w:line="219" w:lineRule="auto"/>
              <w:rPr/>
            </w:pPr>
            <w:r>
              <w:rPr>
                <w:spacing w:val="-1"/>
              </w:rPr>
              <w:t>工的安全意识和安全防范能力。</w:t>
            </w:r>
          </w:p>
          <w:p>
            <w:pPr>
              <w:pStyle w:val="TableText"/>
              <w:ind w:left="611"/>
              <w:spacing w:before="213" w:line="219" w:lineRule="auto"/>
              <w:rPr/>
            </w:pPr>
            <w:r>
              <w:rPr>
                <w:rFonts w:ascii="Times New Roman" w:hAnsi="Times New Roman" w:eastAsia="Times New Roman" w:cs="Times New Roman"/>
                <w:spacing w:val="-2"/>
              </w:rPr>
              <w:t>1</w:t>
            </w:r>
            <w:r>
              <w:rPr>
                <w:spacing w:val="-2"/>
              </w:rPr>
              <w:t>）总图布置和建筑安全防范措施</w:t>
            </w:r>
          </w:p>
          <w:p>
            <w:pPr>
              <w:pStyle w:val="TableText"/>
              <w:ind w:left="592"/>
              <w:spacing w:before="218" w:line="217" w:lineRule="auto"/>
              <w:rPr/>
            </w:pPr>
            <w:r>
              <w:rPr>
                <w:spacing w:val="-2"/>
              </w:rPr>
              <w:t>①总图布置</w:t>
            </w:r>
          </w:p>
          <w:p>
            <w:pPr>
              <w:pStyle w:val="TableText"/>
              <w:ind w:left="592"/>
              <w:spacing w:before="217" w:line="499" w:lineRule="exact"/>
              <w:rPr/>
            </w:pPr>
            <w:r>
              <w:rPr>
                <w:spacing w:val="3"/>
                <w:position w:val="19"/>
              </w:rPr>
              <w:t>在厂区总平面布置方面，已严格执行相关规范要求，严格按工艺</w:t>
            </w:r>
          </w:p>
          <w:p>
            <w:pPr>
              <w:pStyle w:val="TableText"/>
              <w:ind w:left="117"/>
              <w:spacing w:before="1" w:line="219" w:lineRule="auto"/>
              <w:rPr/>
            </w:pPr>
            <w:r>
              <w:rPr>
                <w:spacing w:val="-1"/>
              </w:rPr>
              <w:t>处理物料特性，对厂区进行危险区划分。</w:t>
            </w:r>
          </w:p>
          <w:p>
            <w:pPr>
              <w:pStyle w:val="TableText"/>
              <w:ind w:left="113" w:right="26" w:firstLine="481"/>
              <w:spacing w:before="218" w:line="384" w:lineRule="auto"/>
              <w:rPr/>
            </w:pPr>
            <w:r>
              <w:rPr>
                <w:spacing w:val="3"/>
              </w:rPr>
              <w:t>厂区道路实行人、货流分开（划分人行区域和车辆行驶</w:t>
            </w:r>
            <w:r>
              <w:rPr>
                <w:spacing w:val="2"/>
              </w:rPr>
              <w:t>区域、不</w:t>
            </w:r>
            <w:r>
              <w:rPr/>
              <w:t xml:space="preserve"> </w:t>
            </w:r>
            <w:r>
              <w:rPr>
                <w:spacing w:val="2"/>
              </w:rPr>
              <w:t>重叠</w:t>
            </w:r>
            <w:r>
              <w:rPr>
                <w:spacing w:val="13"/>
              </w:rPr>
              <w:t>），</w:t>
            </w:r>
            <w:r>
              <w:rPr>
                <w:spacing w:val="2"/>
              </w:rPr>
              <w:t>划出专用车辆行驶路线、严禁烟火标志等并严格执行；在厂</w:t>
            </w:r>
            <w:r>
              <w:rPr/>
              <w:t xml:space="preserve"> </w:t>
            </w:r>
            <w:r>
              <w:rPr>
                <w:spacing w:val="3"/>
              </w:rPr>
              <w:t>区总平面布置中配套建设应急救援设施、救援通道</w:t>
            </w:r>
            <w:r>
              <w:rPr>
                <w:spacing w:val="2"/>
              </w:rPr>
              <w:t>、应急疏散避难所</w:t>
            </w:r>
            <w:r>
              <w:rPr/>
              <w:t xml:space="preserve"> </w:t>
            </w:r>
            <w:r>
              <w:rPr>
                <w:spacing w:val="3"/>
              </w:rPr>
              <w:t>等防护设施。按《安全标志》规定在装置区设置有</w:t>
            </w:r>
            <w:r>
              <w:rPr>
                <w:spacing w:val="2"/>
              </w:rPr>
              <w:t>关的安全标志。厂</w:t>
            </w:r>
            <w:r>
              <w:rPr/>
              <w:t xml:space="preserve"> </w:t>
            </w:r>
            <w:r>
              <w:rPr>
                <w:spacing w:val="-3"/>
              </w:rPr>
              <w:t>区内道路形成环状，建筑间距符合要求，设置大门，将厂前区和人流、</w:t>
            </w:r>
          </w:p>
          <w:p>
            <w:pPr>
              <w:pStyle w:val="TableText"/>
              <w:ind w:left="112"/>
              <w:spacing w:before="1" w:line="220" w:lineRule="auto"/>
              <w:rPr/>
            </w:pPr>
            <w:r>
              <w:rPr>
                <w:spacing w:val="-2"/>
              </w:rPr>
              <w:t>物流分开。</w:t>
            </w:r>
          </w:p>
        </w:tc>
      </w:tr>
    </w:tbl>
    <w:p>
      <w:pPr>
        <w:pStyle w:val="BodyText"/>
        <w:rPr/>
      </w:pPr>
      <w:r/>
    </w:p>
    <w:p>
      <w:pPr>
        <w:sectPr>
          <w:footerReference w:type="default" r:id="rId233"/>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17"/>
        <w:gridCol w:w="7509"/>
      </w:tblGrid>
      <w:tr>
        <w:trPr>
          <w:trHeight w:val="13517" w:hRule="atLeast"/>
        </w:trPr>
        <w:tc>
          <w:tcPr>
            <w:tcW w:w="1017" w:type="dxa"/>
            <w:vAlign w:val="top"/>
          </w:tcPr>
          <w:p>
            <w:pPr>
              <w:rPr>
                <w:rFonts w:ascii="Arial"/>
                <w:sz w:val="21"/>
              </w:rPr>
            </w:pPr>
            <w:r/>
          </w:p>
        </w:tc>
        <w:tc>
          <w:tcPr>
            <w:tcW w:w="7509" w:type="dxa"/>
            <w:vAlign w:val="top"/>
          </w:tcPr>
          <w:p>
            <w:pPr>
              <w:pStyle w:val="TableText"/>
              <w:ind w:left="591"/>
              <w:spacing w:before="200" w:line="217" w:lineRule="auto"/>
              <w:rPr/>
            </w:pPr>
            <w:r>
              <w:rPr>
                <w:spacing w:val="-2"/>
              </w:rPr>
              <w:t>②建筑安全防范</w:t>
            </w:r>
          </w:p>
          <w:p>
            <w:pPr>
              <w:pStyle w:val="TableText"/>
              <w:ind w:left="112" w:right="106" w:firstLine="480"/>
              <w:spacing w:before="219" w:line="384" w:lineRule="auto"/>
              <w:rPr/>
            </w:pPr>
            <w:r>
              <w:rPr>
                <w:spacing w:val="3"/>
              </w:rPr>
              <w:t>根据火灾危险性等级和防火要求，建筑物的防火等级均采用国家</w:t>
            </w:r>
            <w:r>
              <w:rPr/>
              <w:t xml:space="preserve"> </w:t>
            </w:r>
            <w:r>
              <w:rPr>
                <w:spacing w:val="3"/>
              </w:rPr>
              <w:t>现行规范要求的耐火等级设计，满足建筑防火要求。</w:t>
            </w:r>
            <w:r>
              <w:rPr>
                <w:spacing w:val="2"/>
              </w:rPr>
              <w:t>凡禁火区均设置</w:t>
            </w:r>
            <w:r>
              <w:rPr/>
              <w:t xml:space="preserve"> </w:t>
            </w:r>
            <w:r>
              <w:rPr>
                <w:spacing w:val="3"/>
              </w:rPr>
              <w:t>明显标志牌。各种易燃物料均储存在阴凉、通风处，</w:t>
            </w:r>
            <w:r>
              <w:rPr>
                <w:spacing w:val="2"/>
              </w:rPr>
              <w:t>远离火源；危险</w:t>
            </w:r>
            <w:r>
              <w:rPr/>
              <w:t xml:space="preserve"> </w:t>
            </w:r>
            <w:r>
              <w:rPr>
                <w:spacing w:val="3"/>
              </w:rPr>
              <w:t>废物暂存间不允许任何人员随便入内。安全出口及安</w:t>
            </w:r>
            <w:r>
              <w:rPr>
                <w:spacing w:val="2"/>
              </w:rPr>
              <w:t>全疏散距离应符</w:t>
            </w:r>
          </w:p>
          <w:p>
            <w:pPr>
              <w:pStyle w:val="TableText"/>
              <w:ind w:left="113"/>
              <w:spacing w:line="219" w:lineRule="auto"/>
              <w:rPr/>
            </w:pPr>
            <w:r>
              <w:rPr>
                <w:spacing w:val="-1"/>
              </w:rPr>
              <w:t>合《建筑设计防火规范》（</w:t>
            </w:r>
            <w:r>
              <w:rPr>
                <w:rFonts w:ascii="Times New Roman" w:hAnsi="Times New Roman" w:eastAsia="Times New Roman" w:cs="Times New Roman"/>
                <w:spacing w:val="-1"/>
              </w:rPr>
              <w:t>GB50016-2006</w:t>
            </w:r>
            <w:r>
              <w:rPr>
                <w:spacing w:val="-1"/>
              </w:rPr>
              <w:t>）的要求。</w:t>
            </w:r>
          </w:p>
          <w:p>
            <w:pPr>
              <w:pStyle w:val="TableText"/>
              <w:ind w:left="112" w:right="106" w:firstLine="480"/>
              <w:spacing w:before="214" w:line="385" w:lineRule="auto"/>
              <w:rPr/>
            </w:pPr>
            <w:r>
              <w:rPr>
                <w:spacing w:val="3"/>
              </w:rPr>
              <w:t>根据生产工序的特点，在生产设施按物料性质和人身可能意外接</w:t>
            </w:r>
            <w:r>
              <w:rPr/>
              <w:t xml:space="preserve"> </w:t>
            </w:r>
            <w:r>
              <w:rPr>
                <w:spacing w:val="3"/>
              </w:rPr>
              <w:t>触到的有害物质而引起烧伤、刺激或伤害皮肤的区域</w:t>
            </w:r>
            <w:r>
              <w:rPr>
                <w:spacing w:val="2"/>
              </w:rPr>
              <w:t>内，均设置紧急</w:t>
            </w:r>
            <w:r>
              <w:rPr/>
              <w:t xml:space="preserve"> </w:t>
            </w:r>
            <w:r>
              <w:rPr>
                <w:spacing w:val="3"/>
              </w:rPr>
              <w:t>淋浴和洗眼器，并加以明显标记。并在生产区设置救</w:t>
            </w:r>
            <w:r>
              <w:rPr>
                <w:spacing w:val="2"/>
              </w:rPr>
              <w:t>护箱。工作人员</w:t>
            </w:r>
          </w:p>
          <w:p>
            <w:pPr>
              <w:pStyle w:val="TableText"/>
              <w:ind w:left="112"/>
              <w:spacing w:line="219" w:lineRule="auto"/>
              <w:rPr/>
            </w:pPr>
            <w:r>
              <w:rPr>
                <w:spacing w:val="-1"/>
              </w:rPr>
              <w:t>配备必要的个人防护用品。</w:t>
            </w:r>
          </w:p>
          <w:p>
            <w:pPr>
              <w:pStyle w:val="TableText"/>
              <w:ind w:left="611"/>
              <w:spacing w:before="214" w:line="220" w:lineRule="auto"/>
              <w:rPr/>
            </w:pPr>
            <w:r>
              <w:rPr>
                <w:rFonts w:ascii="Times New Roman" w:hAnsi="Times New Roman" w:eastAsia="Times New Roman" w:cs="Times New Roman"/>
                <w:spacing w:val="-3"/>
              </w:rPr>
              <w:t>1</w:t>
            </w:r>
            <w:r>
              <w:rPr>
                <w:spacing w:val="-3"/>
              </w:rPr>
              <w:t>）污染治理系统事故预防措施</w:t>
            </w:r>
          </w:p>
          <w:p>
            <w:pPr>
              <w:pStyle w:val="TableText"/>
              <w:ind w:left="113" w:right="106" w:firstLine="482"/>
              <w:spacing w:before="213" w:line="385" w:lineRule="auto"/>
              <w:rPr/>
            </w:pPr>
            <w:r>
              <w:rPr>
                <w:spacing w:val="3"/>
              </w:rPr>
              <w:t>项目的废气治理设施在设计、施工时，应严格按照工</w:t>
            </w:r>
            <w:r>
              <w:rPr>
                <w:spacing w:val="2"/>
              </w:rPr>
              <w:t>程设计规范</w:t>
            </w:r>
            <w:r>
              <w:rPr/>
              <w:t xml:space="preserve"> </w:t>
            </w:r>
            <w:r>
              <w:rPr>
                <w:spacing w:val="3"/>
              </w:rPr>
              <w:t>要求进行，选用标准管材，并做必要的防腐防渗处</w:t>
            </w:r>
            <w:r>
              <w:rPr>
                <w:spacing w:val="2"/>
              </w:rPr>
              <w:t>理。车间及危废暂</w:t>
            </w:r>
          </w:p>
          <w:p>
            <w:pPr>
              <w:pStyle w:val="TableText"/>
              <w:ind w:left="112"/>
              <w:spacing w:before="1" w:line="219" w:lineRule="auto"/>
              <w:rPr/>
            </w:pPr>
            <w:r>
              <w:rPr>
                <w:spacing w:val="-1"/>
              </w:rPr>
              <w:t>存间设置相应的灭火器。</w:t>
            </w:r>
          </w:p>
          <w:p>
            <w:pPr>
              <w:pStyle w:val="TableText"/>
              <w:ind w:left="112" w:right="106" w:firstLine="484"/>
              <w:spacing w:before="212" w:line="385" w:lineRule="auto"/>
              <w:rPr/>
            </w:pPr>
            <w:r>
              <w:rPr>
                <w:spacing w:val="3"/>
              </w:rPr>
              <w:t>项目金属设备、设施均采用保护接地措施。在厂区危</w:t>
            </w:r>
            <w:r>
              <w:rPr>
                <w:spacing w:val="2"/>
              </w:rPr>
              <w:t>废暂存间周</w:t>
            </w:r>
            <w:r>
              <w:rPr/>
              <w:t xml:space="preserve"> </w:t>
            </w:r>
            <w:r>
              <w:rPr>
                <w:spacing w:val="3"/>
              </w:rPr>
              <w:t>边设置截断设施，使废催化剂、废活性炭泄漏时能控</w:t>
            </w:r>
            <w:r>
              <w:rPr>
                <w:spacing w:val="2"/>
              </w:rPr>
              <w:t>制其扩散，且如</w:t>
            </w:r>
            <w:r>
              <w:rPr/>
              <w:t xml:space="preserve"> </w:t>
            </w:r>
            <w:r>
              <w:rPr>
                <w:spacing w:val="3"/>
              </w:rPr>
              <w:t>发生火灾时火灾面积亦能得到一定程度控制，对火灾</w:t>
            </w:r>
            <w:r>
              <w:rPr>
                <w:spacing w:val="2"/>
              </w:rPr>
              <w:t>向更大范围扩大</w:t>
            </w:r>
          </w:p>
          <w:p>
            <w:pPr>
              <w:pStyle w:val="TableText"/>
              <w:ind w:left="113"/>
              <w:spacing w:line="220" w:lineRule="auto"/>
              <w:rPr/>
            </w:pPr>
            <w:r>
              <w:rPr>
                <w:spacing w:val="-2"/>
              </w:rPr>
              <w:t>起到抑制作用。</w:t>
            </w:r>
          </w:p>
          <w:p>
            <w:pPr>
              <w:pStyle w:val="TableText"/>
              <w:ind w:left="588"/>
              <w:spacing w:before="216" w:line="219" w:lineRule="auto"/>
              <w:rPr/>
            </w:pPr>
            <w:r>
              <w:rPr>
                <w:rFonts w:ascii="Times New Roman" w:hAnsi="Times New Roman" w:eastAsia="Times New Roman" w:cs="Times New Roman"/>
                <w:spacing w:val="-1"/>
              </w:rPr>
              <w:t>2</w:t>
            </w:r>
            <w:r>
              <w:rPr>
                <w:spacing w:val="-1"/>
              </w:rPr>
              <w:t>）加强运输管理</w:t>
            </w:r>
          </w:p>
          <w:p>
            <w:pPr>
              <w:pStyle w:val="TableText"/>
              <w:ind w:left="112" w:right="106" w:firstLine="480"/>
              <w:spacing w:before="213" w:line="385" w:lineRule="auto"/>
              <w:rPr/>
            </w:pPr>
            <w:r>
              <w:rPr>
                <w:spacing w:val="3"/>
              </w:rPr>
              <w:t>运输过程要及时上报交通管理部门，含对运输路线、运输车辆、</w:t>
            </w:r>
            <w:r>
              <w:rPr/>
              <w:t xml:space="preserve"> </w:t>
            </w:r>
            <w:r>
              <w:rPr>
                <w:spacing w:val="-5"/>
              </w:rPr>
              <w:t>运输量、运输时间等，经交通管理部门认可后方可运输。不得使用“带</w:t>
            </w:r>
            <w:r>
              <w:rPr/>
              <w:t xml:space="preserve"> </w:t>
            </w:r>
            <w:r>
              <w:rPr>
                <w:spacing w:val="2"/>
              </w:rPr>
              <w:t>病</w:t>
            </w:r>
            <w:r>
              <w:rPr>
                <w:spacing w:val="-85"/>
              </w:rPr>
              <w:t xml:space="preserve"> </w:t>
            </w:r>
            <w:r>
              <w:rPr>
                <w:spacing w:val="2"/>
              </w:rPr>
              <w:t>”车辆。加强驾驶人员的安全教育。对路</w:t>
            </w:r>
            <w:r>
              <w:rPr>
                <w:spacing w:val="1"/>
              </w:rPr>
              <w:t>过居民区、危险路段应限</w:t>
            </w:r>
          </w:p>
          <w:p>
            <w:pPr>
              <w:pStyle w:val="TableText"/>
              <w:ind w:left="113"/>
              <w:spacing w:line="219" w:lineRule="auto"/>
              <w:rPr/>
            </w:pPr>
            <w:r>
              <w:rPr>
                <w:spacing w:val="-1"/>
              </w:rPr>
              <w:t>制车速，防止交通事故。</w:t>
            </w:r>
          </w:p>
          <w:p>
            <w:pPr>
              <w:pStyle w:val="TableText"/>
              <w:ind w:left="593"/>
              <w:spacing w:before="214" w:line="220" w:lineRule="auto"/>
              <w:rPr/>
            </w:pPr>
            <w:r>
              <w:rPr>
                <w:rFonts w:ascii="Times New Roman" w:hAnsi="Times New Roman" w:eastAsia="Times New Roman" w:cs="Times New Roman"/>
                <w:spacing w:val="-1"/>
              </w:rPr>
              <w:t>3</w:t>
            </w:r>
            <w:r>
              <w:rPr>
                <w:spacing w:val="-1"/>
              </w:rPr>
              <w:t>）环境风险事故应急处置措施</w:t>
            </w:r>
          </w:p>
          <w:p>
            <w:pPr>
              <w:pStyle w:val="TableText"/>
              <w:ind w:left="585"/>
              <w:spacing w:before="216" w:line="219" w:lineRule="auto"/>
              <w:rPr/>
            </w:pPr>
            <w:r>
              <w:rPr>
                <w:rFonts w:ascii="Times New Roman" w:hAnsi="Times New Roman" w:eastAsia="Times New Roman" w:cs="Times New Roman"/>
                <w:spacing w:val="-1"/>
              </w:rPr>
              <w:t>A.</w:t>
            </w:r>
            <w:r>
              <w:rPr>
                <w:spacing w:val="-1"/>
              </w:rPr>
              <w:t>泄露</w:t>
            </w:r>
            <w:r>
              <w:rPr>
                <w:rFonts w:ascii="Times New Roman" w:hAnsi="Times New Roman" w:eastAsia="Times New Roman" w:cs="Times New Roman"/>
                <w:spacing w:val="-1"/>
              </w:rPr>
              <w:t>/</w:t>
            </w:r>
            <w:r>
              <w:rPr>
                <w:spacing w:val="-1"/>
              </w:rPr>
              <w:t>散落的应急处理</w:t>
            </w:r>
          </w:p>
          <w:p>
            <w:pPr>
              <w:pStyle w:val="TableText"/>
              <w:ind w:left="593"/>
              <w:spacing w:before="214" w:line="500" w:lineRule="exact"/>
              <w:rPr/>
            </w:pPr>
            <w:r>
              <w:rPr>
                <w:spacing w:val="3"/>
                <w:position w:val="19"/>
              </w:rPr>
              <w:t>本项目泄露或散落时，应根据应急预案分级响应条件，启动</w:t>
            </w:r>
            <w:r>
              <w:rPr>
                <w:spacing w:val="2"/>
                <w:position w:val="19"/>
              </w:rPr>
              <w:t>响应</w:t>
            </w:r>
          </w:p>
          <w:p>
            <w:pPr>
              <w:pStyle w:val="TableText"/>
              <w:ind w:left="132"/>
              <w:spacing w:line="220" w:lineRule="auto"/>
              <w:rPr/>
            </w:pPr>
            <w:r>
              <w:rPr>
                <w:spacing w:val="-5"/>
              </w:rPr>
              <w:t>的分级措施。</w:t>
            </w:r>
          </w:p>
        </w:tc>
      </w:tr>
    </w:tbl>
    <w:p>
      <w:pPr>
        <w:pStyle w:val="BodyText"/>
        <w:rPr/>
      </w:pPr>
      <w:r/>
    </w:p>
    <w:p>
      <w:pPr>
        <w:sectPr>
          <w:footerReference w:type="default" r:id="rId234"/>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17"/>
        <w:gridCol w:w="7509"/>
      </w:tblGrid>
      <w:tr>
        <w:trPr>
          <w:trHeight w:val="13517" w:hRule="atLeast"/>
        </w:trPr>
        <w:tc>
          <w:tcPr>
            <w:tcW w:w="1017" w:type="dxa"/>
            <w:vAlign w:val="top"/>
          </w:tcPr>
          <w:p>
            <w:pPr>
              <w:rPr>
                <w:rFonts w:ascii="Arial"/>
                <w:sz w:val="21"/>
              </w:rPr>
            </w:pPr>
            <w:r/>
          </w:p>
        </w:tc>
        <w:tc>
          <w:tcPr>
            <w:tcW w:w="7509" w:type="dxa"/>
            <w:vAlign w:val="top"/>
          </w:tcPr>
          <w:p>
            <w:pPr>
              <w:pStyle w:val="TableText"/>
              <w:ind w:left="592"/>
              <w:spacing w:before="200" w:line="217" w:lineRule="auto"/>
              <w:rPr/>
            </w:pPr>
            <w:r>
              <w:rPr>
                <w:spacing w:val="-1"/>
              </w:rPr>
              <w:t>①立即向调度室和应急指挥办公室报告。</w:t>
            </w:r>
          </w:p>
          <w:p>
            <w:pPr>
              <w:pStyle w:val="TableText"/>
              <w:ind w:left="591"/>
              <w:spacing w:before="216" w:line="500" w:lineRule="exact"/>
              <w:rPr/>
            </w:pPr>
            <w:r>
              <w:rPr>
                <w:spacing w:val="3"/>
                <w:position w:val="19"/>
              </w:rPr>
              <w:t>②事故现场，严禁火种，切断电源，迅速撤离泄漏区人员至</w:t>
            </w:r>
            <w:r>
              <w:rPr>
                <w:spacing w:val="2"/>
                <w:position w:val="19"/>
              </w:rPr>
              <w:t>上风</w:t>
            </w:r>
          </w:p>
          <w:p>
            <w:pPr>
              <w:pStyle w:val="TableText"/>
              <w:ind w:left="137"/>
              <w:spacing w:line="219" w:lineRule="auto"/>
              <w:rPr/>
            </w:pPr>
            <w:r>
              <w:rPr>
                <w:spacing w:val="-2"/>
              </w:rPr>
              <w:t>向安全处，并设置隔离区，禁止无关人员进入。加强通风。</w:t>
            </w:r>
          </w:p>
          <w:p>
            <w:pPr>
              <w:pStyle w:val="TableText"/>
              <w:ind w:left="125" w:right="146" w:firstLine="465"/>
              <w:spacing w:before="216" w:line="384" w:lineRule="auto"/>
              <w:rPr/>
            </w:pPr>
            <w:r>
              <w:rPr>
                <w:spacing w:val="1"/>
              </w:rPr>
              <w:t>③应急处理人员必须配备必要的个人防护器具（自给式呼吸器、</w:t>
            </w:r>
            <w:r>
              <w:rPr>
                <w:spacing w:val="17"/>
              </w:rPr>
              <w:t xml:space="preserve"> </w:t>
            </w:r>
            <w:r>
              <w:rPr/>
              <w:t>穿防静电防护服等</w:t>
            </w:r>
            <w:r>
              <w:rPr>
                <w:spacing w:val="15"/>
              </w:rPr>
              <w:t>）；</w:t>
            </w:r>
            <w:r>
              <w:rPr/>
              <w:t>严禁单独行动，要有监护人，必须时作水枪、</w:t>
            </w:r>
          </w:p>
          <w:p>
            <w:pPr>
              <w:pStyle w:val="TableText"/>
              <w:ind w:left="115"/>
              <w:spacing w:line="219" w:lineRule="auto"/>
              <w:rPr/>
            </w:pPr>
            <w:r>
              <w:rPr>
                <w:spacing w:val="-3"/>
              </w:rPr>
              <w:t>水炮掩护。</w:t>
            </w:r>
          </w:p>
          <w:p>
            <w:pPr>
              <w:pStyle w:val="TableText"/>
              <w:ind w:left="591"/>
              <w:spacing w:before="216" w:line="217" w:lineRule="auto"/>
              <w:rPr/>
            </w:pPr>
            <w:r>
              <w:rPr>
                <w:spacing w:val="-1"/>
              </w:rPr>
              <w:t>④用预先确定的堵漏方式尽快堵漏，切断或控制泄漏源</w:t>
            </w:r>
          </w:p>
          <w:p>
            <w:pPr>
              <w:pStyle w:val="TableText"/>
              <w:ind w:left="591"/>
              <w:spacing w:before="217" w:line="499" w:lineRule="exact"/>
              <w:rPr/>
            </w:pPr>
            <w:r>
              <w:rPr>
                <w:spacing w:val="3"/>
                <w:position w:val="19"/>
              </w:rPr>
              <w:t>⑤对暂存桶发生的散落，可采取驳卸、转移至备用空桶</w:t>
            </w:r>
            <w:r>
              <w:rPr>
                <w:spacing w:val="2"/>
                <w:position w:val="19"/>
              </w:rPr>
              <w:t>等方法，</w:t>
            </w:r>
          </w:p>
          <w:p>
            <w:pPr>
              <w:pStyle w:val="TableText"/>
              <w:ind w:left="113"/>
              <w:spacing w:before="1" w:line="219" w:lineRule="auto"/>
              <w:rPr/>
            </w:pPr>
            <w:r>
              <w:rPr>
                <w:spacing w:val="-1"/>
              </w:rPr>
              <w:t>尽量将发生散落的暂存桶内的危险废物转移，在此基础上堵漏。</w:t>
            </w:r>
          </w:p>
          <w:p>
            <w:pPr>
              <w:pStyle w:val="TableText"/>
              <w:ind w:left="591"/>
              <w:spacing w:before="216" w:line="499" w:lineRule="exact"/>
              <w:rPr/>
            </w:pPr>
            <w:r>
              <w:rPr>
                <w:spacing w:val="3"/>
                <w:position w:val="19"/>
              </w:rPr>
              <w:t>⑥暂存桶散落时，要及时关闭围堰的雨水阀、厂区废水</w:t>
            </w:r>
            <w:r>
              <w:rPr>
                <w:spacing w:val="2"/>
                <w:position w:val="19"/>
              </w:rPr>
              <w:t>排水口，</w:t>
            </w:r>
          </w:p>
          <w:p>
            <w:pPr>
              <w:pStyle w:val="TableText"/>
              <w:ind w:left="128"/>
              <w:spacing w:before="1" w:line="219" w:lineRule="auto"/>
              <w:rPr/>
            </w:pPr>
            <w:r>
              <w:rPr>
                <w:spacing w:val="-2"/>
              </w:rPr>
              <w:t>防止危险废物外流污染水体。</w:t>
            </w:r>
          </w:p>
          <w:p>
            <w:pPr>
              <w:pStyle w:val="TableText"/>
              <w:ind w:left="112" w:right="107" w:firstLine="478"/>
              <w:spacing w:before="214" w:line="385" w:lineRule="auto"/>
              <w:rPr/>
            </w:pPr>
            <w:r>
              <w:rPr>
                <w:spacing w:val="3"/>
              </w:rPr>
              <w:t>⑦中毒人员及时转移到空气新鲜的安全地带，脱去受污染外衣，</w:t>
            </w:r>
            <w:r>
              <w:rPr/>
              <w:t xml:space="preserve"> </w:t>
            </w:r>
            <w:r>
              <w:rPr>
                <w:spacing w:val="3"/>
              </w:rPr>
              <w:t>清洗受污皮肤和口腔，按污染物质和伤员症状采取相</w:t>
            </w:r>
            <w:r>
              <w:rPr>
                <w:spacing w:val="2"/>
              </w:rPr>
              <w:t>应急救措施或立</w:t>
            </w:r>
          </w:p>
          <w:p>
            <w:pPr>
              <w:pStyle w:val="TableText"/>
              <w:ind w:left="130"/>
              <w:spacing w:line="220" w:lineRule="auto"/>
              <w:rPr/>
            </w:pPr>
            <w:r>
              <w:rPr>
                <w:spacing w:val="-6"/>
              </w:rPr>
              <w:t>即送医院。</w:t>
            </w:r>
          </w:p>
          <w:p>
            <w:pPr>
              <w:pStyle w:val="TableText"/>
              <w:ind w:left="591"/>
              <w:spacing w:before="213" w:line="217" w:lineRule="auto"/>
              <w:rPr/>
            </w:pPr>
            <w:r>
              <w:rPr>
                <w:spacing w:val="-1"/>
              </w:rPr>
              <w:t>⑧散落容器要妥善处理，修复、检验后再用。</w:t>
            </w:r>
          </w:p>
          <w:p>
            <w:pPr>
              <w:pStyle w:val="TableText"/>
              <w:ind w:left="587"/>
              <w:spacing w:before="220" w:line="219" w:lineRule="auto"/>
              <w:rPr/>
            </w:pPr>
            <w:r>
              <w:rPr>
                <w:rFonts w:ascii="Times New Roman" w:hAnsi="Times New Roman" w:eastAsia="Times New Roman" w:cs="Times New Roman"/>
                <w:spacing w:val="-1"/>
              </w:rPr>
              <w:t>B.</w:t>
            </w:r>
            <w:r>
              <w:rPr>
                <w:spacing w:val="-1"/>
              </w:rPr>
              <w:t>火灾事故的应急处理</w:t>
            </w:r>
          </w:p>
          <w:p>
            <w:pPr>
              <w:pStyle w:val="TableText"/>
              <w:ind w:left="592"/>
              <w:spacing w:before="214" w:line="499" w:lineRule="exact"/>
              <w:rPr/>
            </w:pPr>
            <w:r>
              <w:rPr>
                <w:spacing w:val="3"/>
                <w:position w:val="19"/>
              </w:rPr>
              <w:t>①切断火势蔓延的途径，冷却和疏散受火势威胁的密闭容</w:t>
            </w:r>
            <w:r>
              <w:rPr>
                <w:spacing w:val="2"/>
                <w:position w:val="19"/>
              </w:rPr>
              <w:t>器和可</w:t>
            </w:r>
          </w:p>
          <w:p>
            <w:pPr>
              <w:pStyle w:val="TableText"/>
              <w:ind w:left="113"/>
              <w:spacing w:before="1" w:line="218" w:lineRule="auto"/>
              <w:rPr/>
            </w:pPr>
            <w:r>
              <w:rPr>
                <w:spacing w:val="-1"/>
              </w:rPr>
              <w:t>燃物，控制燃烧范围，并积极抢救受伤和被困人员。</w:t>
            </w:r>
          </w:p>
          <w:p>
            <w:pPr>
              <w:pStyle w:val="TableText"/>
              <w:ind w:left="591"/>
              <w:spacing w:before="217" w:line="217" w:lineRule="auto"/>
              <w:rPr/>
            </w:pPr>
            <w:r>
              <w:rPr>
                <w:spacing w:val="-1"/>
              </w:rPr>
              <w:t>②通知环保、安全等相关部门人员，启动应急救护程序。</w:t>
            </w:r>
          </w:p>
          <w:p>
            <w:pPr>
              <w:pStyle w:val="TableText"/>
              <w:ind w:left="591"/>
              <w:spacing w:before="217" w:line="217" w:lineRule="auto"/>
              <w:rPr/>
            </w:pPr>
            <w:r>
              <w:rPr>
                <w:spacing w:val="-1"/>
              </w:rPr>
              <w:t>③组织救援小组，封锁现场，疏散人员。</w:t>
            </w:r>
          </w:p>
          <w:p>
            <w:pPr>
              <w:pStyle w:val="TableText"/>
              <w:ind w:left="118" w:right="107" w:firstLine="472"/>
              <w:spacing w:before="217" w:line="385" w:lineRule="auto"/>
              <w:rPr/>
            </w:pPr>
            <w:r>
              <w:rPr>
                <w:spacing w:val="3"/>
              </w:rPr>
              <w:t>④灭火工作结束后，对现场进行恢复清理，对环境可能受到</w:t>
            </w:r>
            <w:r>
              <w:rPr>
                <w:spacing w:val="2"/>
              </w:rPr>
              <w:t>污染</w:t>
            </w:r>
            <w:r>
              <w:rPr/>
              <w:t xml:space="preserve"> </w:t>
            </w:r>
            <w:r>
              <w:rPr>
                <w:spacing w:val="2"/>
              </w:rPr>
              <w:t>范围内的空气、水样、土壤进行取样监测，判定污染影响程度和采取</w:t>
            </w:r>
          </w:p>
          <w:p>
            <w:pPr>
              <w:pStyle w:val="TableText"/>
              <w:ind w:left="116"/>
              <w:spacing w:line="222" w:lineRule="auto"/>
              <w:rPr/>
            </w:pPr>
            <w:r>
              <w:rPr>
                <w:spacing w:val="-3"/>
              </w:rPr>
              <w:t>必要的处理。</w:t>
            </w:r>
          </w:p>
          <w:p>
            <w:pPr>
              <w:pStyle w:val="TableText"/>
              <w:ind w:left="591"/>
              <w:spacing w:before="211" w:line="501" w:lineRule="exact"/>
              <w:rPr/>
            </w:pPr>
            <w:r>
              <w:rPr>
                <w:spacing w:val="3"/>
                <w:position w:val="20"/>
              </w:rPr>
              <w:t>⑤调查和鉴定事故原因，提出事故评估报告，补充和修改事</w:t>
            </w:r>
            <w:r>
              <w:rPr>
                <w:spacing w:val="2"/>
                <w:position w:val="20"/>
              </w:rPr>
              <w:t>故防</w:t>
            </w:r>
          </w:p>
          <w:p>
            <w:pPr>
              <w:pStyle w:val="TableText"/>
              <w:ind w:left="118"/>
              <w:spacing w:line="220" w:lineRule="auto"/>
              <w:rPr/>
            </w:pPr>
            <w:r>
              <w:rPr>
                <w:spacing w:val="-2"/>
              </w:rPr>
              <w:t>范措施和应急方案。</w:t>
            </w:r>
          </w:p>
          <w:p>
            <w:pPr>
              <w:pStyle w:val="TableText"/>
              <w:ind w:left="587"/>
              <w:spacing w:before="214" w:line="220" w:lineRule="auto"/>
              <w:rPr/>
            </w:pPr>
            <w:r>
              <w:rPr>
                <w:rFonts w:ascii="Times New Roman" w:hAnsi="Times New Roman" w:eastAsia="Times New Roman" w:cs="Times New Roman"/>
                <w:spacing w:val="-1"/>
              </w:rPr>
              <w:t>4</w:t>
            </w:r>
            <w:r>
              <w:rPr>
                <w:spacing w:val="-1"/>
              </w:rPr>
              <w:t>）风险应急监测</w:t>
            </w:r>
          </w:p>
          <w:p>
            <w:pPr>
              <w:pStyle w:val="TableText"/>
              <w:ind w:left="592"/>
              <w:spacing w:before="213" w:line="217" w:lineRule="auto"/>
              <w:rPr/>
            </w:pPr>
            <w:r>
              <w:rPr>
                <w:spacing w:val="-2"/>
              </w:rPr>
              <w:t>①监测项目</w:t>
            </w:r>
          </w:p>
        </w:tc>
      </w:tr>
    </w:tbl>
    <w:p>
      <w:pPr>
        <w:pStyle w:val="BodyText"/>
        <w:rPr/>
      </w:pPr>
      <w:r/>
    </w:p>
    <w:p>
      <w:pPr>
        <w:sectPr>
          <w:footerReference w:type="default" r:id="rId235"/>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17"/>
        <w:gridCol w:w="2037"/>
        <w:gridCol w:w="913"/>
        <w:gridCol w:w="1881"/>
        <w:gridCol w:w="681"/>
        <w:gridCol w:w="1997"/>
      </w:tblGrid>
      <w:tr>
        <w:trPr>
          <w:trHeight w:val="5917" w:hRule="atLeast"/>
        </w:trPr>
        <w:tc>
          <w:tcPr>
            <w:tcW w:w="1017" w:type="dxa"/>
            <w:vAlign w:val="top"/>
            <w:vMerge w:val="restart"/>
            <w:tcBorders>
              <w:bottom w:val="nil"/>
            </w:tcBorders>
          </w:tcPr>
          <w:p>
            <w:pPr>
              <w:rPr>
                <w:rFonts w:ascii="Arial"/>
                <w:sz w:val="21"/>
              </w:rPr>
            </w:pPr>
            <w:r/>
          </w:p>
        </w:tc>
        <w:tc>
          <w:tcPr>
            <w:tcW w:w="7509" w:type="dxa"/>
            <w:vAlign w:val="top"/>
            <w:gridSpan w:val="5"/>
            <w:tcBorders>
              <w:bottom w:val="single" w:color="000000" w:sz="10" w:space="0"/>
            </w:tcBorders>
          </w:tcPr>
          <w:p>
            <w:pPr>
              <w:pStyle w:val="TableText"/>
              <w:ind w:left="592"/>
              <w:spacing w:before="200" w:line="220" w:lineRule="auto"/>
              <w:rPr/>
            </w:pPr>
            <w:r>
              <w:rPr>
                <w:spacing w:val="-1"/>
              </w:rPr>
              <w:t>环境空气：非甲烷总烃、颗粒物；</w:t>
            </w:r>
          </w:p>
          <w:p>
            <w:pPr>
              <w:pStyle w:val="TableText"/>
              <w:ind w:left="592"/>
              <w:spacing w:before="213" w:line="219" w:lineRule="auto"/>
              <w:rPr/>
            </w:pPr>
            <w:r>
              <w:rPr>
                <w:spacing w:val="-5"/>
              </w:rPr>
              <w:t>地下水：</w:t>
            </w:r>
            <w:r>
              <w:rPr>
                <w:rFonts w:ascii="Times New Roman" w:hAnsi="Times New Roman" w:eastAsia="Times New Roman" w:cs="Times New Roman"/>
                <w:spacing w:val="-5"/>
              </w:rPr>
              <w:t>COD</w:t>
            </w:r>
            <w:r>
              <w:rPr>
                <w:rFonts w:ascii="Times New Roman" w:hAnsi="Times New Roman" w:eastAsia="Times New Roman" w:cs="Times New Roman"/>
                <w:spacing w:val="-24"/>
              </w:rPr>
              <w:t xml:space="preserve"> </w:t>
            </w:r>
            <w:r>
              <w:rPr>
                <w:spacing w:val="-5"/>
              </w:rPr>
              <w:t>、</w:t>
            </w:r>
            <w:r>
              <w:rPr>
                <w:rFonts w:ascii="Times New Roman" w:hAnsi="Times New Roman" w:eastAsia="Times New Roman" w:cs="Times New Roman"/>
                <w:spacing w:val="-5"/>
              </w:rPr>
              <w:t>BOD</w:t>
            </w:r>
            <w:r>
              <w:rPr>
                <w:rFonts w:ascii="Times New Roman" w:hAnsi="Times New Roman" w:eastAsia="Times New Roman" w:cs="Times New Roman"/>
                <w:spacing w:val="-32"/>
              </w:rPr>
              <w:t xml:space="preserve"> </w:t>
            </w:r>
            <w:r>
              <w:rPr>
                <w:spacing w:val="-5"/>
              </w:rPr>
              <w:t>、</w:t>
            </w:r>
            <w:r>
              <w:rPr>
                <w:rFonts w:ascii="Times New Roman" w:hAnsi="Times New Roman" w:eastAsia="Times New Roman" w:cs="Times New Roman"/>
                <w:spacing w:val="-5"/>
              </w:rPr>
              <w:t>SS</w:t>
            </w:r>
            <w:r>
              <w:rPr>
                <w:spacing w:val="-5"/>
              </w:rPr>
              <w:t>；</w:t>
            </w:r>
          </w:p>
          <w:p>
            <w:pPr>
              <w:pStyle w:val="TableText"/>
              <w:ind w:left="591"/>
              <w:spacing w:before="214" w:line="217" w:lineRule="auto"/>
              <w:rPr/>
            </w:pPr>
            <w:r>
              <w:rPr>
                <w:spacing w:val="-2"/>
              </w:rPr>
              <w:t>②监测区域</w:t>
            </w:r>
          </w:p>
          <w:p>
            <w:pPr>
              <w:pStyle w:val="TableText"/>
              <w:ind w:left="595"/>
              <w:spacing w:before="218" w:line="219" w:lineRule="auto"/>
              <w:rPr/>
            </w:pPr>
            <w:r>
              <w:rPr>
                <w:spacing w:val="-1"/>
              </w:rPr>
              <w:t>大气环境：本项目周边区域（根据事故排放量定监测范围</w:t>
            </w:r>
            <w:r>
              <w:rPr>
                <w:spacing w:val="5"/>
              </w:rPr>
              <w:t>）；</w:t>
            </w:r>
          </w:p>
          <w:p>
            <w:pPr>
              <w:pStyle w:val="TableText"/>
              <w:ind w:left="595"/>
              <w:spacing w:before="214" w:line="219" w:lineRule="auto"/>
              <w:rPr/>
            </w:pPr>
            <w:r>
              <w:rPr>
                <w:spacing w:val="-1"/>
              </w:rPr>
              <w:t>水环境：本项目周边地下水环境</w:t>
            </w:r>
          </w:p>
          <w:p>
            <w:pPr>
              <w:pStyle w:val="TableText"/>
              <w:ind w:left="595"/>
              <w:spacing w:before="214" w:line="219" w:lineRule="auto"/>
              <w:rPr/>
            </w:pPr>
            <w:r>
              <w:rPr>
                <w:rFonts w:ascii="Times New Roman" w:hAnsi="Times New Roman" w:eastAsia="Times New Roman" w:cs="Times New Roman"/>
                <w:spacing w:val="-1"/>
              </w:rPr>
              <w:t>5</w:t>
            </w:r>
            <w:r>
              <w:rPr>
                <w:spacing w:val="-1"/>
              </w:rPr>
              <w:t>）按照要求，制定本项目环境风险事故应急预案。</w:t>
            </w:r>
          </w:p>
          <w:p>
            <w:pPr>
              <w:pStyle w:val="TableText"/>
              <w:ind w:left="604"/>
              <w:spacing w:before="218" w:line="220" w:lineRule="auto"/>
              <w:rPr/>
            </w:pPr>
            <w:r>
              <w:rPr>
                <w:spacing w:val="-3"/>
              </w:rPr>
              <w:t>（</w:t>
            </w:r>
            <w:r>
              <w:rPr>
                <w:rFonts w:ascii="Times New Roman" w:hAnsi="Times New Roman" w:eastAsia="Times New Roman" w:cs="Times New Roman"/>
                <w:spacing w:val="-3"/>
              </w:rPr>
              <w:t>4</w:t>
            </w:r>
            <w:r>
              <w:rPr>
                <w:spacing w:val="-3"/>
              </w:rPr>
              <w:t>）风险小结</w:t>
            </w:r>
          </w:p>
          <w:p>
            <w:pPr>
              <w:pStyle w:val="TableText"/>
              <w:ind w:left="596"/>
              <w:spacing w:before="213" w:line="499" w:lineRule="exact"/>
              <w:rPr/>
            </w:pPr>
            <w:r>
              <w:rPr>
                <w:spacing w:val="3"/>
                <w:position w:val="19"/>
              </w:rPr>
              <w:t>项目运行过程中存在火灾、泄露风险，必须严格执行</w:t>
            </w:r>
            <w:r>
              <w:rPr>
                <w:spacing w:val="2"/>
                <w:position w:val="19"/>
              </w:rPr>
              <w:t>国家的技术</w:t>
            </w:r>
          </w:p>
          <w:p>
            <w:pPr>
              <w:pStyle w:val="TableText"/>
              <w:ind w:left="113"/>
              <w:spacing w:before="1" w:line="218" w:lineRule="auto"/>
              <w:rPr/>
            </w:pPr>
            <w:r>
              <w:rPr>
                <w:spacing w:val="-1"/>
              </w:rPr>
              <w:t>规范和操作规程要求，落实各项安全规章制度，避免事故的发生。</w:t>
            </w:r>
          </w:p>
          <w:p>
            <w:pPr>
              <w:pStyle w:val="TableText"/>
              <w:ind w:left="592"/>
              <w:spacing w:before="217" w:line="500" w:lineRule="exact"/>
              <w:rPr/>
            </w:pPr>
            <w:r>
              <w:rPr>
                <w:spacing w:val="3"/>
                <w:position w:val="19"/>
              </w:rPr>
              <w:t>在认真落实项目拟采取的安全措施及评价所提出的安全措施及安</w:t>
            </w:r>
          </w:p>
          <w:p>
            <w:pPr>
              <w:pStyle w:val="TableText"/>
              <w:ind w:left="112"/>
              <w:spacing w:line="220" w:lineRule="auto"/>
              <w:rPr/>
            </w:pPr>
            <w:r>
              <w:rPr>
                <w:spacing w:val="-1"/>
              </w:rPr>
              <w:t>全对策后，项目的事故对周围的影响是可以接受的。</w:t>
            </w:r>
          </w:p>
          <w:p>
            <w:pPr>
              <w:pStyle w:val="TableText"/>
              <w:ind w:left="1400"/>
              <w:spacing w:before="133" w:line="219" w:lineRule="auto"/>
              <w:rPr/>
            </w:pPr>
            <w:r>
              <w:rPr>
                <w14:textOutline w14:w="4358" w14:cap="sq" w14:cmpd="sng">
                  <w14:solidFill>
                    <w14:srgbClr w14:val="000000"/>
                  </w14:solidFill>
                  <w14:prstDash w14:val="solid"/>
                  <w14:bevel/>
                </w14:textOutline>
              </w:rPr>
              <w:t>表</w:t>
            </w:r>
            <w:r>
              <w:rPr>
                <w:rFonts w:ascii="Times New Roman" w:hAnsi="Times New Roman" w:eastAsia="Times New Roman" w:cs="Times New Roman"/>
                <w:b/>
                <w:bCs/>
              </w:rPr>
              <w:t>4.2-18    </w:t>
            </w:r>
            <w:r>
              <w:rPr>
                <w14:textOutline w14:w="4358" w14:cap="sq" w14:cmpd="sng">
                  <w14:solidFill>
                    <w14:srgbClr w14:val="000000"/>
                  </w14:solidFill>
                  <w14:prstDash w14:val="solid"/>
                  <w14:bevel/>
                </w14:textOutline>
              </w:rPr>
              <w:t>建设项目环境风险简单分析内容表</w:t>
            </w:r>
          </w:p>
        </w:tc>
      </w:tr>
      <w:tr>
        <w:trPr>
          <w:trHeight w:val="449" w:hRule="atLeast"/>
        </w:trPr>
        <w:tc>
          <w:tcPr>
            <w:tcW w:w="1017" w:type="dxa"/>
            <w:vAlign w:val="top"/>
            <w:vMerge w:val="continue"/>
            <w:tcBorders>
              <w:top w:val="nil"/>
              <w:bottom w:val="nil"/>
            </w:tcBorders>
          </w:tcPr>
          <w:p>
            <w:pPr>
              <w:rPr>
                <w:rFonts w:ascii="Arial"/>
                <w:sz w:val="21"/>
              </w:rPr>
            </w:pPr>
            <w:r/>
          </w:p>
        </w:tc>
        <w:tc>
          <w:tcPr>
            <w:tcW w:w="2037" w:type="dxa"/>
            <w:vAlign w:val="top"/>
            <w:tcBorders>
              <w:top w:val="single" w:color="000000" w:sz="10" w:space="0"/>
            </w:tcBorders>
          </w:tcPr>
          <w:p>
            <w:pPr>
              <w:pStyle w:val="TableText"/>
              <w:ind w:left="445"/>
              <w:spacing w:before="148" w:line="228" w:lineRule="auto"/>
              <w:rPr>
                <w:sz w:val="20"/>
                <w:szCs w:val="20"/>
              </w:rPr>
            </w:pPr>
            <w:r>
              <w:rPr>
                <w:sz w:val="20"/>
                <w:szCs w:val="20"/>
                <w:spacing w:val="7"/>
              </w:rPr>
              <w:t>建设项目名称</w:t>
            </w:r>
          </w:p>
        </w:tc>
        <w:tc>
          <w:tcPr>
            <w:tcW w:w="5472" w:type="dxa"/>
            <w:vAlign w:val="top"/>
            <w:gridSpan w:val="4"/>
            <w:tcBorders>
              <w:top w:val="single" w:color="000000" w:sz="10" w:space="0"/>
            </w:tcBorders>
          </w:tcPr>
          <w:p>
            <w:pPr>
              <w:pStyle w:val="TableText"/>
              <w:ind w:left="704"/>
              <w:spacing w:before="147" w:line="228" w:lineRule="auto"/>
              <w:rPr>
                <w:sz w:val="20"/>
                <w:szCs w:val="20"/>
              </w:rPr>
            </w:pPr>
            <w:r>
              <w:rPr>
                <w:sz w:val="20"/>
                <w:szCs w:val="20"/>
                <w:spacing w:val="8"/>
              </w:rPr>
              <w:t>呼图壁县丰收塑料制品厂农用地膜加工项目</w:t>
            </w:r>
          </w:p>
        </w:tc>
      </w:tr>
      <w:tr>
        <w:trPr>
          <w:trHeight w:val="459" w:hRule="atLeast"/>
        </w:trPr>
        <w:tc>
          <w:tcPr>
            <w:tcW w:w="1017" w:type="dxa"/>
            <w:vAlign w:val="top"/>
            <w:vMerge w:val="continue"/>
            <w:tcBorders>
              <w:top w:val="nil"/>
              <w:bottom w:val="nil"/>
            </w:tcBorders>
          </w:tcPr>
          <w:p>
            <w:pPr>
              <w:rPr>
                <w:rFonts w:ascii="Arial"/>
                <w:sz w:val="21"/>
              </w:rPr>
            </w:pPr>
            <w:r/>
          </w:p>
        </w:tc>
        <w:tc>
          <w:tcPr>
            <w:tcW w:w="2037" w:type="dxa"/>
            <w:vAlign w:val="top"/>
          </w:tcPr>
          <w:p>
            <w:pPr>
              <w:pStyle w:val="TableText"/>
              <w:ind w:left="656"/>
              <w:spacing w:before="157" w:line="229" w:lineRule="auto"/>
              <w:rPr>
                <w:sz w:val="20"/>
                <w:szCs w:val="20"/>
              </w:rPr>
            </w:pPr>
            <w:r>
              <w:rPr>
                <w:sz w:val="20"/>
                <w:szCs w:val="20"/>
                <w:spacing w:val="6"/>
              </w:rPr>
              <w:t>建设地点</w:t>
            </w:r>
          </w:p>
        </w:tc>
        <w:tc>
          <w:tcPr>
            <w:tcW w:w="5472" w:type="dxa"/>
            <w:vAlign w:val="top"/>
            <w:gridSpan w:val="4"/>
          </w:tcPr>
          <w:p>
            <w:pPr>
              <w:pStyle w:val="TableText"/>
              <w:ind w:left="1439"/>
              <w:spacing w:before="156" w:line="228" w:lineRule="auto"/>
              <w:rPr>
                <w:sz w:val="20"/>
                <w:szCs w:val="20"/>
              </w:rPr>
            </w:pPr>
            <w:r>
              <w:rPr>
                <w:sz w:val="20"/>
                <w:szCs w:val="20"/>
                <w:spacing w:val="8"/>
              </w:rPr>
              <w:t>呼图壁县种牛场良种队以东</w:t>
            </w:r>
          </w:p>
        </w:tc>
      </w:tr>
      <w:tr>
        <w:trPr>
          <w:trHeight w:val="459" w:hRule="atLeast"/>
        </w:trPr>
        <w:tc>
          <w:tcPr>
            <w:tcW w:w="1017" w:type="dxa"/>
            <w:vAlign w:val="top"/>
            <w:vMerge w:val="continue"/>
            <w:tcBorders>
              <w:top w:val="nil"/>
              <w:bottom w:val="nil"/>
            </w:tcBorders>
          </w:tcPr>
          <w:p>
            <w:pPr>
              <w:rPr>
                <w:rFonts w:ascii="Arial"/>
                <w:sz w:val="21"/>
              </w:rPr>
            </w:pPr>
            <w:r/>
          </w:p>
        </w:tc>
        <w:tc>
          <w:tcPr>
            <w:tcW w:w="2037" w:type="dxa"/>
            <w:vAlign w:val="top"/>
          </w:tcPr>
          <w:p>
            <w:pPr>
              <w:pStyle w:val="TableText"/>
              <w:ind w:left="654"/>
              <w:spacing w:before="159" w:line="228" w:lineRule="auto"/>
              <w:rPr>
                <w:sz w:val="20"/>
                <w:szCs w:val="20"/>
              </w:rPr>
            </w:pPr>
            <w:r>
              <w:rPr>
                <w:sz w:val="20"/>
                <w:szCs w:val="20"/>
                <w:spacing w:val="7"/>
              </w:rPr>
              <w:t>地理坐标</w:t>
            </w:r>
          </w:p>
        </w:tc>
        <w:tc>
          <w:tcPr>
            <w:tcW w:w="913" w:type="dxa"/>
            <w:vAlign w:val="top"/>
          </w:tcPr>
          <w:p>
            <w:pPr>
              <w:pStyle w:val="TableText"/>
              <w:ind w:left="252"/>
              <w:spacing w:before="159" w:line="228" w:lineRule="auto"/>
              <w:rPr>
                <w:sz w:val="20"/>
                <w:szCs w:val="20"/>
              </w:rPr>
            </w:pPr>
            <w:r>
              <w:rPr>
                <w:sz w:val="20"/>
                <w:szCs w:val="20"/>
                <w:spacing w:val="4"/>
              </w:rPr>
              <w:t>纬度</w:t>
            </w:r>
          </w:p>
        </w:tc>
        <w:tc>
          <w:tcPr>
            <w:tcW w:w="1881" w:type="dxa"/>
            <w:vAlign w:val="top"/>
          </w:tcPr>
          <w:p>
            <w:pPr>
              <w:pStyle w:val="TableText"/>
              <w:ind w:left="128"/>
              <w:spacing w:before="172" w:line="207" w:lineRule="auto"/>
              <w:rPr>
                <w:sz w:val="20"/>
                <w:szCs w:val="20"/>
              </w:rPr>
            </w:pPr>
            <w:r>
              <w:rPr>
                <w:rFonts w:ascii="Times New Roman" w:hAnsi="Times New Roman" w:eastAsia="Times New Roman" w:cs="Times New Roman"/>
                <w:sz w:val="20"/>
                <w:szCs w:val="20"/>
                <w:spacing w:val="-2"/>
              </w:rPr>
              <w:t>44</w:t>
            </w:r>
            <w:r>
              <w:rPr>
                <w:rFonts w:ascii="Times New Roman" w:hAnsi="Times New Roman" w:eastAsia="Times New Roman" w:cs="Times New Roman"/>
                <w:sz w:val="20"/>
                <w:szCs w:val="20"/>
                <w:spacing w:val="-25"/>
              </w:rPr>
              <w:t xml:space="preserve"> </w:t>
            </w:r>
            <w:r>
              <w:rPr>
                <w:sz w:val="20"/>
                <w:szCs w:val="20"/>
                <w:spacing w:val="-2"/>
              </w:rPr>
              <w:t>°</w:t>
            </w:r>
            <w:r>
              <w:rPr>
                <w:sz w:val="20"/>
                <w:szCs w:val="20"/>
                <w:spacing w:val="-73"/>
              </w:rPr>
              <w:t xml:space="preserve"> </w:t>
            </w:r>
            <w:r>
              <w:rPr>
                <w:rFonts w:ascii="Times New Roman" w:hAnsi="Times New Roman" w:eastAsia="Times New Roman" w:cs="Times New Roman"/>
                <w:sz w:val="20"/>
                <w:szCs w:val="20"/>
                <w:spacing w:val="-2"/>
              </w:rPr>
              <w:t>11</w:t>
            </w:r>
            <w:r>
              <w:rPr>
                <w:rFonts w:ascii="Times New Roman" w:hAnsi="Times New Roman" w:eastAsia="Times New Roman" w:cs="Times New Roman"/>
                <w:sz w:val="20"/>
                <w:szCs w:val="20"/>
                <w:spacing w:val="-14"/>
              </w:rPr>
              <w:t xml:space="preserve"> </w:t>
            </w:r>
            <w:r>
              <w:rPr>
                <w:sz w:val="20"/>
                <w:szCs w:val="20"/>
                <w:spacing w:val="-2"/>
              </w:rPr>
              <w:t>′</w:t>
            </w:r>
            <w:r>
              <w:rPr>
                <w:rFonts w:ascii="Times New Roman" w:hAnsi="Times New Roman" w:eastAsia="Times New Roman" w:cs="Times New Roman"/>
                <w:sz w:val="20"/>
                <w:szCs w:val="20"/>
                <w:spacing w:val="-2"/>
              </w:rPr>
              <w:t>48.725</w:t>
            </w:r>
            <w:r>
              <w:rPr>
                <w:rFonts w:ascii="Times New Roman" w:hAnsi="Times New Roman" w:eastAsia="Times New Roman" w:cs="Times New Roman"/>
                <w:sz w:val="20"/>
                <w:szCs w:val="20"/>
                <w:spacing w:val="-12"/>
              </w:rPr>
              <w:t xml:space="preserve"> </w:t>
            </w:r>
            <w:r>
              <w:rPr>
                <w:sz w:val="20"/>
                <w:szCs w:val="20"/>
                <w:spacing w:val="-2"/>
              </w:rPr>
              <w:t>″</w:t>
            </w:r>
          </w:p>
        </w:tc>
        <w:tc>
          <w:tcPr>
            <w:tcW w:w="681" w:type="dxa"/>
            <w:vAlign w:val="top"/>
          </w:tcPr>
          <w:p>
            <w:pPr>
              <w:pStyle w:val="TableText"/>
              <w:ind w:left="140"/>
              <w:spacing w:before="159" w:line="228" w:lineRule="auto"/>
              <w:rPr>
                <w:sz w:val="20"/>
                <w:szCs w:val="20"/>
              </w:rPr>
            </w:pPr>
            <w:r>
              <w:rPr>
                <w:sz w:val="20"/>
                <w:szCs w:val="20"/>
                <w:spacing w:val="3"/>
              </w:rPr>
              <w:t>经度</w:t>
            </w:r>
          </w:p>
        </w:tc>
        <w:tc>
          <w:tcPr>
            <w:tcW w:w="1997" w:type="dxa"/>
            <w:vAlign w:val="top"/>
          </w:tcPr>
          <w:p>
            <w:pPr>
              <w:pStyle w:val="TableText"/>
              <w:ind w:left="143"/>
              <w:spacing w:before="172" w:line="207" w:lineRule="auto"/>
              <w:rPr>
                <w:sz w:val="20"/>
                <w:szCs w:val="20"/>
              </w:rPr>
            </w:pPr>
            <w:r>
              <w:rPr>
                <w:rFonts w:ascii="Times New Roman" w:hAnsi="Times New Roman" w:eastAsia="Times New Roman" w:cs="Times New Roman"/>
                <w:sz w:val="20"/>
                <w:szCs w:val="20"/>
                <w:spacing w:val="-1"/>
              </w:rPr>
              <w:t>86</w:t>
            </w:r>
            <w:r>
              <w:rPr>
                <w:rFonts w:ascii="Times New Roman" w:hAnsi="Times New Roman" w:eastAsia="Times New Roman" w:cs="Times New Roman"/>
                <w:sz w:val="20"/>
                <w:szCs w:val="20"/>
                <w:spacing w:val="-20"/>
              </w:rPr>
              <w:t xml:space="preserve"> </w:t>
            </w:r>
            <w:r>
              <w:rPr>
                <w:sz w:val="20"/>
                <w:szCs w:val="20"/>
                <w:spacing w:val="-1"/>
              </w:rPr>
              <w:t>°</w:t>
            </w:r>
            <w:r>
              <w:rPr>
                <w:rFonts w:ascii="Times New Roman" w:hAnsi="Times New Roman" w:eastAsia="Times New Roman" w:cs="Times New Roman"/>
                <w:sz w:val="20"/>
                <w:szCs w:val="20"/>
                <w:spacing w:val="-1"/>
              </w:rPr>
              <w:t>56</w:t>
            </w:r>
            <w:r>
              <w:rPr>
                <w:rFonts w:ascii="Times New Roman" w:hAnsi="Times New Roman" w:eastAsia="Times New Roman" w:cs="Times New Roman"/>
                <w:sz w:val="20"/>
                <w:szCs w:val="20"/>
                <w:spacing w:val="-14"/>
              </w:rPr>
              <w:t xml:space="preserve"> </w:t>
            </w:r>
            <w:r>
              <w:rPr>
                <w:sz w:val="20"/>
                <w:szCs w:val="20"/>
                <w:spacing w:val="-1"/>
              </w:rPr>
              <w:t>′</w:t>
            </w:r>
            <w:r>
              <w:rPr>
                <w:rFonts w:ascii="Times New Roman" w:hAnsi="Times New Roman" w:eastAsia="Times New Roman" w:cs="Times New Roman"/>
                <w:sz w:val="20"/>
                <w:szCs w:val="20"/>
                <w:spacing w:val="-1"/>
              </w:rPr>
              <w:t>40.065</w:t>
            </w:r>
            <w:r>
              <w:rPr>
                <w:rFonts w:ascii="Times New Roman" w:hAnsi="Times New Roman" w:eastAsia="Times New Roman" w:cs="Times New Roman"/>
                <w:sz w:val="20"/>
                <w:szCs w:val="20"/>
                <w:spacing w:val="-13"/>
              </w:rPr>
              <w:t xml:space="preserve"> </w:t>
            </w:r>
            <w:r>
              <w:rPr>
                <w:sz w:val="20"/>
                <w:szCs w:val="20"/>
                <w:spacing w:val="-1"/>
              </w:rPr>
              <w:t>″</w:t>
            </w:r>
          </w:p>
        </w:tc>
      </w:tr>
      <w:tr>
        <w:trPr>
          <w:trHeight w:val="725" w:hRule="atLeast"/>
        </w:trPr>
        <w:tc>
          <w:tcPr>
            <w:tcW w:w="1017" w:type="dxa"/>
            <w:vAlign w:val="top"/>
            <w:vMerge w:val="continue"/>
            <w:tcBorders>
              <w:top w:val="nil"/>
              <w:bottom w:val="nil"/>
            </w:tcBorders>
          </w:tcPr>
          <w:p>
            <w:pPr>
              <w:rPr>
                <w:rFonts w:ascii="Arial"/>
                <w:sz w:val="21"/>
              </w:rPr>
            </w:pPr>
            <w:r/>
          </w:p>
        </w:tc>
        <w:tc>
          <w:tcPr>
            <w:tcW w:w="2037" w:type="dxa"/>
            <w:vAlign w:val="top"/>
          </w:tcPr>
          <w:p>
            <w:pPr>
              <w:pStyle w:val="TableText"/>
              <w:ind w:left="130"/>
              <w:spacing w:before="292" w:line="227" w:lineRule="auto"/>
              <w:rPr>
                <w:sz w:val="20"/>
                <w:szCs w:val="20"/>
              </w:rPr>
            </w:pPr>
            <w:r>
              <w:rPr>
                <w:sz w:val="20"/>
                <w:szCs w:val="20"/>
                <w:spacing w:val="8"/>
              </w:rPr>
              <w:t>主要危险物质及分布</w:t>
            </w:r>
          </w:p>
        </w:tc>
        <w:tc>
          <w:tcPr>
            <w:tcW w:w="5472" w:type="dxa"/>
            <w:vAlign w:val="top"/>
            <w:gridSpan w:val="4"/>
          </w:tcPr>
          <w:p>
            <w:pPr>
              <w:pStyle w:val="TableText"/>
              <w:ind w:left="1958" w:right="740" w:hanging="1368"/>
              <w:spacing w:before="112" w:line="278" w:lineRule="auto"/>
              <w:rPr>
                <w:sz w:val="20"/>
                <w:szCs w:val="20"/>
              </w:rPr>
            </w:pPr>
            <w:r>
              <w:rPr>
                <w:sz w:val="20"/>
                <w:szCs w:val="20"/>
                <w:spacing w:val="6"/>
              </w:rPr>
              <w:t>危废暂存间：废催化剂、废活性炭、废机油；</w:t>
            </w:r>
            <w:r>
              <w:rPr>
                <w:sz w:val="20"/>
                <w:szCs w:val="20"/>
                <w:spacing w:val="15"/>
              </w:rPr>
              <w:t xml:space="preserve"> </w:t>
            </w:r>
            <w:r>
              <w:rPr>
                <w:sz w:val="20"/>
                <w:szCs w:val="20"/>
                <w:spacing w:val="7"/>
              </w:rPr>
              <w:t>原料间：聚乙烯</w:t>
            </w:r>
          </w:p>
        </w:tc>
      </w:tr>
      <w:tr>
        <w:trPr>
          <w:trHeight w:val="1444" w:hRule="atLeast"/>
        </w:trPr>
        <w:tc>
          <w:tcPr>
            <w:tcW w:w="1017" w:type="dxa"/>
            <w:vAlign w:val="top"/>
            <w:vMerge w:val="continue"/>
            <w:tcBorders>
              <w:top w:val="nil"/>
              <w:bottom w:val="nil"/>
            </w:tcBorders>
          </w:tcPr>
          <w:p>
            <w:pPr>
              <w:rPr>
                <w:rFonts w:ascii="Arial"/>
                <w:sz w:val="21"/>
              </w:rPr>
            </w:pPr>
            <w:r/>
          </w:p>
        </w:tc>
        <w:tc>
          <w:tcPr>
            <w:tcW w:w="2037" w:type="dxa"/>
            <w:vAlign w:val="top"/>
          </w:tcPr>
          <w:p>
            <w:pPr>
              <w:pStyle w:val="TableText"/>
              <w:ind w:left="128"/>
              <w:spacing w:before="291" w:line="228" w:lineRule="auto"/>
              <w:rPr>
                <w:sz w:val="20"/>
                <w:szCs w:val="20"/>
              </w:rPr>
            </w:pPr>
            <w:r>
              <w:rPr>
                <w:sz w:val="20"/>
                <w:szCs w:val="20"/>
                <w:spacing w:val="8"/>
              </w:rPr>
              <w:t>环境影响途径及危害</w:t>
            </w:r>
          </w:p>
          <w:p>
            <w:pPr>
              <w:pStyle w:val="TableText"/>
              <w:ind w:left="443" w:right="22" w:hanging="313"/>
              <w:spacing w:before="113" w:line="280" w:lineRule="auto"/>
              <w:rPr>
                <w:sz w:val="20"/>
                <w:szCs w:val="20"/>
              </w:rPr>
            </w:pPr>
            <w:r>
              <w:rPr>
                <w:sz w:val="20"/>
                <w:szCs w:val="20"/>
                <w:spacing w:val="8"/>
              </w:rPr>
              <w:t>后果（大气、地表水</w:t>
            </w:r>
            <w:r>
              <w:rPr>
                <w:sz w:val="20"/>
                <w:szCs w:val="20"/>
                <w:spacing w:val="6"/>
              </w:rPr>
              <w:t xml:space="preserve"> </w:t>
            </w:r>
            <w:r>
              <w:rPr>
                <w:sz w:val="20"/>
                <w:szCs w:val="20"/>
                <w:spacing w:val="6"/>
              </w:rPr>
              <w:t>和地下水等）</w:t>
            </w:r>
          </w:p>
        </w:tc>
        <w:tc>
          <w:tcPr>
            <w:tcW w:w="5472" w:type="dxa"/>
            <w:vAlign w:val="top"/>
            <w:gridSpan w:val="4"/>
          </w:tcPr>
          <w:p>
            <w:pPr>
              <w:pStyle w:val="TableText"/>
              <w:ind w:left="1323"/>
              <w:spacing w:before="111" w:line="228" w:lineRule="auto"/>
              <w:rPr>
                <w:sz w:val="20"/>
                <w:szCs w:val="20"/>
              </w:rPr>
            </w:pPr>
            <w:r>
              <w:rPr>
                <w:sz w:val="20"/>
                <w:szCs w:val="20"/>
                <w:spacing w:val="8"/>
              </w:rPr>
              <w:t>主要影响途径：泄露、火灾；</w:t>
            </w:r>
          </w:p>
          <w:p>
            <w:pPr>
              <w:pStyle w:val="TableText"/>
              <w:ind w:left="11"/>
              <w:spacing w:before="113" w:line="227" w:lineRule="auto"/>
              <w:rPr>
                <w:sz w:val="20"/>
                <w:szCs w:val="20"/>
              </w:rPr>
            </w:pPr>
            <w:r>
              <w:rPr>
                <w:sz w:val="20"/>
                <w:szCs w:val="20"/>
                <w:spacing w:val="9"/>
              </w:rPr>
              <w:t>危害后果：废催化剂、废活性炭散落、泄漏，聚乙烯原料、</w:t>
            </w:r>
          </w:p>
          <w:p>
            <w:pPr>
              <w:pStyle w:val="TableText"/>
              <w:ind w:left="8"/>
              <w:spacing w:before="114" w:line="227" w:lineRule="auto"/>
              <w:rPr>
                <w:sz w:val="20"/>
                <w:szCs w:val="20"/>
              </w:rPr>
            </w:pPr>
            <w:r>
              <w:rPr>
                <w:sz w:val="20"/>
                <w:szCs w:val="20"/>
                <w:spacing w:val="5"/>
              </w:rPr>
              <w:t>废机油遇明火发生火灾，导致水环境和土壤污染，及时采取</w:t>
            </w:r>
          </w:p>
          <w:p>
            <w:pPr>
              <w:pStyle w:val="TableText"/>
              <w:ind w:left="798"/>
              <w:spacing w:before="114" w:line="223" w:lineRule="auto"/>
              <w:rPr>
                <w:sz w:val="20"/>
                <w:szCs w:val="20"/>
              </w:rPr>
            </w:pPr>
            <w:r>
              <w:rPr>
                <w:sz w:val="20"/>
                <w:szCs w:val="20"/>
                <w:spacing w:val="9"/>
              </w:rPr>
              <w:t>应急措施，不会对环境产生显著不利影响</w:t>
            </w:r>
          </w:p>
        </w:tc>
      </w:tr>
      <w:tr>
        <w:trPr>
          <w:trHeight w:val="1804" w:hRule="atLeast"/>
        </w:trPr>
        <w:tc>
          <w:tcPr>
            <w:tcW w:w="1017" w:type="dxa"/>
            <w:vAlign w:val="top"/>
            <w:vMerge w:val="continue"/>
            <w:tcBorders>
              <w:top w:val="nil"/>
              <w:bottom w:val="nil"/>
            </w:tcBorders>
          </w:tcPr>
          <w:p>
            <w:pPr>
              <w:rPr>
                <w:rFonts w:ascii="Arial"/>
                <w:sz w:val="21"/>
              </w:rPr>
            </w:pPr>
            <w:r/>
          </w:p>
        </w:tc>
        <w:tc>
          <w:tcPr>
            <w:tcW w:w="2037" w:type="dxa"/>
            <w:vAlign w:val="top"/>
          </w:tcPr>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pStyle w:val="TableText"/>
              <w:ind w:left="234"/>
              <w:spacing w:before="65" w:line="228" w:lineRule="auto"/>
              <w:rPr>
                <w:sz w:val="20"/>
                <w:szCs w:val="20"/>
              </w:rPr>
            </w:pPr>
            <w:r>
              <w:rPr>
                <w:sz w:val="20"/>
                <w:szCs w:val="20"/>
                <w:spacing w:val="8"/>
              </w:rPr>
              <w:t>风险防范措施要求</w:t>
            </w:r>
          </w:p>
        </w:tc>
        <w:tc>
          <w:tcPr>
            <w:tcW w:w="5472" w:type="dxa"/>
            <w:vAlign w:val="top"/>
            <w:gridSpan w:val="4"/>
          </w:tcPr>
          <w:p>
            <w:pPr>
              <w:pStyle w:val="TableText"/>
              <w:ind w:left="692"/>
              <w:spacing w:before="113" w:line="225" w:lineRule="auto"/>
              <w:rPr>
                <w:sz w:val="20"/>
                <w:szCs w:val="20"/>
              </w:rPr>
            </w:pPr>
            <w:r>
              <w:rPr>
                <w:sz w:val="20"/>
                <w:szCs w:val="20"/>
                <w:spacing w:val="8"/>
              </w:rPr>
              <w:t>①制定突发事件环境应急预案并定期演练；</w:t>
            </w:r>
          </w:p>
          <w:p>
            <w:pPr>
              <w:pStyle w:val="TableText"/>
              <w:ind w:left="8" w:right="109" w:hanging="1"/>
              <w:spacing w:before="114" w:line="280" w:lineRule="auto"/>
              <w:rPr>
                <w:sz w:val="20"/>
                <w:szCs w:val="20"/>
              </w:rPr>
            </w:pPr>
            <w:r>
              <w:rPr>
                <w:sz w:val="20"/>
                <w:szCs w:val="20"/>
                <w:spacing w:val="5"/>
              </w:rPr>
              <w:t>②建设单位从总图布置、工艺控制系统安全设置、电器安全</w:t>
            </w:r>
            <w:r>
              <w:rPr>
                <w:sz w:val="20"/>
                <w:szCs w:val="20"/>
                <w:spacing w:val="17"/>
              </w:rPr>
              <w:t xml:space="preserve"> </w:t>
            </w:r>
            <w:r>
              <w:rPr>
                <w:sz w:val="20"/>
                <w:szCs w:val="20"/>
                <w:spacing w:val="5"/>
              </w:rPr>
              <w:t>措施、防雷防静电、制定应急预案等方面完善了环境风险防</w:t>
            </w:r>
          </w:p>
          <w:p>
            <w:pPr>
              <w:pStyle w:val="TableText"/>
              <w:ind w:left="2272"/>
              <w:spacing w:before="114" w:line="228" w:lineRule="auto"/>
              <w:rPr>
                <w:sz w:val="20"/>
                <w:szCs w:val="20"/>
              </w:rPr>
            </w:pPr>
            <w:r>
              <w:rPr>
                <w:sz w:val="20"/>
                <w:szCs w:val="20"/>
                <w:spacing w:val="3"/>
              </w:rPr>
              <w:t>范措施；</w:t>
            </w:r>
          </w:p>
          <w:p>
            <w:pPr>
              <w:pStyle w:val="TableText"/>
              <w:ind w:left="691"/>
              <w:spacing w:before="112" w:line="223" w:lineRule="auto"/>
              <w:rPr>
                <w:sz w:val="20"/>
                <w:szCs w:val="20"/>
              </w:rPr>
            </w:pPr>
            <w:r>
              <w:rPr>
                <w:sz w:val="20"/>
                <w:szCs w:val="20"/>
                <w:spacing w:val="9"/>
              </w:rPr>
              <w:t>③采取基础防渗，定期监督进行风险防范。</w:t>
            </w:r>
          </w:p>
        </w:tc>
      </w:tr>
      <w:tr>
        <w:trPr>
          <w:trHeight w:val="2207" w:hRule="atLeast"/>
        </w:trPr>
        <w:tc>
          <w:tcPr>
            <w:tcW w:w="1017" w:type="dxa"/>
            <w:vAlign w:val="top"/>
            <w:vMerge w:val="continue"/>
            <w:tcBorders>
              <w:top w:val="nil"/>
            </w:tcBorders>
          </w:tcPr>
          <w:p>
            <w:pPr>
              <w:rPr>
                <w:rFonts w:ascii="Arial"/>
                <w:sz w:val="21"/>
              </w:rPr>
            </w:pPr>
            <w:r/>
          </w:p>
        </w:tc>
        <w:tc>
          <w:tcPr>
            <w:tcW w:w="2037" w:type="dxa"/>
            <w:vAlign w:val="top"/>
          </w:tcPr>
          <w:p>
            <w:pPr>
              <w:spacing w:line="292" w:lineRule="auto"/>
              <w:rPr>
                <w:rFonts w:ascii="Arial"/>
                <w:sz w:val="21"/>
              </w:rPr>
            </w:pPr>
            <w:r/>
          </w:p>
          <w:p>
            <w:pPr>
              <w:spacing w:line="292" w:lineRule="auto"/>
              <w:rPr>
                <w:rFonts w:ascii="Arial"/>
                <w:sz w:val="21"/>
              </w:rPr>
            </w:pPr>
            <w:r/>
          </w:p>
          <w:p>
            <w:pPr>
              <w:pStyle w:val="TableText"/>
              <w:ind w:left="130"/>
              <w:spacing w:before="65" w:line="228" w:lineRule="auto"/>
              <w:rPr>
                <w:sz w:val="20"/>
                <w:szCs w:val="20"/>
              </w:rPr>
            </w:pPr>
            <w:r>
              <w:rPr>
                <w:sz w:val="20"/>
                <w:szCs w:val="20"/>
                <w:spacing w:val="8"/>
              </w:rPr>
              <w:t>填表说明（列出项目</w:t>
            </w:r>
          </w:p>
          <w:p>
            <w:pPr>
              <w:pStyle w:val="TableText"/>
              <w:ind w:left="234"/>
              <w:spacing w:before="113" w:line="226" w:lineRule="auto"/>
              <w:rPr>
                <w:sz w:val="20"/>
                <w:szCs w:val="20"/>
              </w:rPr>
            </w:pPr>
            <w:r>
              <w:rPr>
                <w:sz w:val="20"/>
                <w:szCs w:val="20"/>
                <w:spacing w:val="8"/>
              </w:rPr>
              <w:t>相关信息及评价说</w:t>
            </w:r>
          </w:p>
          <w:p>
            <w:pPr>
              <w:pStyle w:val="TableText"/>
              <w:ind w:left="882"/>
              <w:spacing w:before="114" w:line="228" w:lineRule="auto"/>
              <w:rPr>
                <w:sz w:val="20"/>
                <w:szCs w:val="20"/>
              </w:rPr>
            </w:pPr>
            <w:r>
              <w:rPr>
                <w:sz w:val="20"/>
                <w:szCs w:val="20"/>
                <w:spacing w:val="-10"/>
              </w:rPr>
              <w:t>明）</w:t>
            </w:r>
          </w:p>
        </w:tc>
        <w:tc>
          <w:tcPr>
            <w:tcW w:w="5472" w:type="dxa"/>
            <w:vAlign w:val="top"/>
            <w:gridSpan w:val="4"/>
          </w:tcPr>
          <w:p>
            <w:pPr>
              <w:pStyle w:val="TableText"/>
              <w:ind w:left="9" w:right="109"/>
              <w:spacing w:before="113" w:line="311" w:lineRule="auto"/>
              <w:jc w:val="both"/>
              <w:rPr>
                <w:sz w:val="20"/>
                <w:szCs w:val="20"/>
              </w:rPr>
            </w:pPr>
            <w:r>
              <w:rPr>
                <w:sz w:val="20"/>
                <w:szCs w:val="20"/>
                <w:spacing w:val="5"/>
              </w:rPr>
              <w:t>本项目生产过程中并未使用有毒物质。根据物质危险性识别</w:t>
            </w:r>
            <w:r>
              <w:rPr>
                <w:sz w:val="20"/>
                <w:szCs w:val="20"/>
                <w:spacing w:val="16"/>
              </w:rPr>
              <w:t xml:space="preserve"> </w:t>
            </w:r>
            <w:r>
              <w:rPr>
                <w:sz w:val="20"/>
                <w:szCs w:val="20"/>
                <w:spacing w:val="7"/>
              </w:rPr>
              <w:t>确定各环境要素环境风险潜势等级均为</w:t>
            </w:r>
            <w:r>
              <w:rPr>
                <w:rFonts w:ascii="Times New Roman" w:hAnsi="Times New Roman" w:eastAsia="Times New Roman" w:cs="Times New Roman"/>
                <w:sz w:val="20"/>
                <w:szCs w:val="20"/>
                <w:spacing w:val="7"/>
              </w:rPr>
              <w:t>Ⅰ</w:t>
            </w:r>
            <w:r>
              <w:rPr>
                <w:rFonts w:ascii="Times New Roman" w:hAnsi="Times New Roman" w:eastAsia="Times New Roman" w:cs="Times New Roman"/>
                <w:sz w:val="20"/>
                <w:szCs w:val="20"/>
                <w:spacing w:val="-25"/>
              </w:rPr>
              <w:t xml:space="preserve"> </w:t>
            </w:r>
            <w:r>
              <w:rPr>
                <w:sz w:val="20"/>
                <w:szCs w:val="20"/>
                <w:spacing w:val="7"/>
              </w:rPr>
              <w:t>,</w:t>
            </w:r>
            <w:r>
              <w:rPr>
                <w:sz w:val="20"/>
                <w:szCs w:val="20"/>
                <w:spacing w:val="59"/>
              </w:rPr>
              <w:t xml:space="preserve"> </w:t>
            </w:r>
            <w:r>
              <w:rPr>
                <w:sz w:val="20"/>
                <w:szCs w:val="20"/>
                <w:spacing w:val="6"/>
              </w:rPr>
              <w:t>根据《建设项目</w:t>
            </w:r>
            <w:r>
              <w:rPr>
                <w:sz w:val="20"/>
                <w:szCs w:val="20"/>
              </w:rPr>
              <w:t xml:space="preserve"> </w:t>
            </w:r>
            <w:r>
              <w:rPr>
                <w:sz w:val="20"/>
                <w:szCs w:val="20"/>
                <w:spacing w:val="6"/>
              </w:rPr>
              <w:t>环境风险评价技术导则》（</w:t>
            </w: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6"/>
              </w:rPr>
              <w:t>169-2018</w:t>
            </w:r>
            <w:r>
              <w:rPr>
                <w:sz w:val="20"/>
                <w:szCs w:val="20"/>
                <w:spacing w:val="-2"/>
              </w:rPr>
              <w:t>），</w:t>
            </w:r>
            <w:r>
              <w:rPr>
                <w:sz w:val="20"/>
                <w:szCs w:val="20"/>
                <w:spacing w:val="6"/>
              </w:rPr>
              <w:t>环境风险评价工</w:t>
            </w:r>
            <w:r>
              <w:rPr>
                <w:sz w:val="20"/>
                <w:szCs w:val="20"/>
              </w:rPr>
              <w:t xml:space="preserve"> </w:t>
            </w:r>
            <w:r>
              <w:rPr>
                <w:sz w:val="20"/>
                <w:szCs w:val="20"/>
                <w:spacing w:val="5"/>
              </w:rPr>
              <w:t>作等级为简单分析，评价深度以定性说明为主，环境风险评</w:t>
            </w:r>
            <w:r>
              <w:rPr>
                <w:sz w:val="20"/>
                <w:szCs w:val="20"/>
                <w:spacing w:val="17"/>
              </w:rPr>
              <w:t xml:space="preserve"> </w:t>
            </w:r>
            <w:r>
              <w:rPr>
                <w:sz w:val="20"/>
                <w:szCs w:val="20"/>
                <w:spacing w:val="5"/>
              </w:rPr>
              <w:t>价对其进行了简要定性分析。最终确定环境风险可控，处于</w:t>
            </w:r>
          </w:p>
          <w:p>
            <w:pPr>
              <w:pStyle w:val="TableText"/>
              <w:ind w:left="2060"/>
              <w:spacing w:before="114" w:line="228" w:lineRule="auto"/>
              <w:rPr>
                <w:sz w:val="20"/>
                <w:szCs w:val="20"/>
              </w:rPr>
            </w:pPr>
            <w:r>
              <w:rPr>
                <w:sz w:val="20"/>
                <w:szCs w:val="20"/>
                <w:spacing w:val="6"/>
              </w:rPr>
              <w:t>可接受水平。</w:t>
            </w:r>
          </w:p>
        </w:tc>
      </w:tr>
    </w:tbl>
    <w:p>
      <w:pPr>
        <w:pStyle w:val="BodyText"/>
        <w:rPr/>
      </w:pPr>
      <w:r/>
    </w:p>
    <w:p>
      <w:pPr>
        <w:sectPr>
          <w:footerReference w:type="default" r:id="rId236"/>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17"/>
        <w:gridCol w:w="7509"/>
      </w:tblGrid>
      <w:tr>
        <w:trPr>
          <w:trHeight w:val="13629" w:hRule="atLeast"/>
        </w:trPr>
        <w:tc>
          <w:tcPr>
            <w:tcW w:w="1017" w:type="dxa"/>
            <w:vAlign w:val="top"/>
          </w:tcPr>
          <w:p>
            <w:pPr>
              <w:rPr>
                <w:rFonts w:ascii="Arial"/>
                <w:sz w:val="21"/>
              </w:rPr>
            </w:pPr>
            <w:r/>
          </w:p>
        </w:tc>
        <w:tc>
          <w:tcPr>
            <w:tcW w:w="7509" w:type="dxa"/>
            <w:vAlign w:val="top"/>
          </w:tcPr>
          <w:p>
            <w:pPr>
              <w:pStyle w:val="TableText"/>
              <w:ind w:left="589"/>
              <w:spacing w:before="200" w:line="219" w:lineRule="auto"/>
              <w:outlineLvl w:val="2"/>
              <w:rPr/>
            </w:pPr>
            <w:r>
              <w:rPr>
                <w:rFonts w:ascii="Times New Roman" w:hAnsi="Times New Roman" w:eastAsia="Times New Roman" w:cs="Times New Roman"/>
                <w:b/>
                <w:bCs/>
              </w:rPr>
              <w:t>4.2.7</w:t>
            </w:r>
            <w:r>
              <w:rPr>
                <w14:textOutline w14:w="4358" w14:cap="sq" w14:cmpd="sng">
                  <w14:solidFill>
                    <w14:srgbClr w14:val="000000"/>
                  </w14:solidFill>
                  <w14:prstDash w14:val="solid"/>
                  <w14:bevel/>
                </w14:textOutline>
              </w:rPr>
              <w:t>电磁辐射影响分析</w:t>
            </w:r>
          </w:p>
          <w:p>
            <w:pPr>
              <w:pStyle w:val="TableText"/>
              <w:ind w:left="593"/>
              <w:spacing w:before="213" w:line="219" w:lineRule="auto"/>
              <w:rPr/>
            </w:pPr>
            <w:r>
              <w:rPr>
                <w:spacing w:val="-1"/>
              </w:rPr>
              <w:t>本项目不涉及电磁辐射内容及影响。</w:t>
            </w:r>
          </w:p>
        </w:tc>
      </w:tr>
    </w:tbl>
    <w:p>
      <w:pPr>
        <w:pStyle w:val="BodyText"/>
        <w:rPr/>
      </w:pPr>
      <w:r/>
    </w:p>
    <w:p>
      <w:pPr>
        <w:sectPr>
          <w:footerReference w:type="default" r:id="rId237"/>
          <w:pgSz w:w="11906" w:h="16839"/>
          <w:pgMar w:top="400" w:right="1687" w:bottom="1211" w:left="1687" w:header="0" w:footer="1049" w:gutter="0"/>
        </w:sectPr>
        <w:rPr/>
      </w:pPr>
    </w:p>
    <w:p>
      <w:pPr>
        <w:pStyle w:val="BodyText"/>
        <w:spacing w:line="287" w:lineRule="auto"/>
        <w:rPr/>
      </w:pPr>
      <w:r/>
    </w:p>
    <w:p>
      <w:pPr>
        <w:pStyle w:val="BodyText"/>
        <w:spacing w:line="287" w:lineRule="auto"/>
        <w:rPr/>
      </w:pPr>
      <w:r/>
    </w:p>
    <w:p>
      <w:pPr>
        <w:pStyle w:val="BodyText"/>
        <w:spacing w:line="288" w:lineRule="auto"/>
        <w:rPr/>
      </w:pPr>
      <w:r/>
    </w:p>
    <w:p>
      <w:pPr>
        <w:pStyle w:val="BodyText"/>
        <w:spacing w:line="288" w:lineRule="auto"/>
        <w:rPr/>
      </w:pPr>
      <w:r/>
    </w:p>
    <w:p>
      <w:pPr>
        <w:ind w:left="2333"/>
        <w:spacing w:before="91" w:line="220" w:lineRule="auto"/>
        <w:outlineLvl w:val="0"/>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五、环境保护措施监督检查清单</w:t>
      </w:r>
    </w:p>
    <w:p>
      <w:pPr>
        <w:spacing w:line="46" w:lineRule="auto"/>
        <w:rPr>
          <w:rFonts w:ascii="Arial"/>
          <w:sz w:val="2"/>
        </w:rPr>
      </w:pPr>
      <w:r>
        <w:rPr>
          <w:rFonts w:ascii="Arial"/>
          <w:sz w:val="2"/>
        </w:rPr>
      </w:r>
    </w:p>
    <w:tbl>
      <w:tblPr>
        <w:tblStyle w:val="TableNormal"/>
        <w:tblW w:w="854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40"/>
        <w:gridCol w:w="694"/>
        <w:gridCol w:w="1172"/>
        <w:gridCol w:w="1070"/>
        <w:gridCol w:w="2024"/>
        <w:gridCol w:w="3047"/>
      </w:tblGrid>
      <w:tr>
        <w:trPr>
          <w:trHeight w:val="1103" w:hRule="atLeast"/>
        </w:trPr>
        <w:tc>
          <w:tcPr>
            <w:tcW w:w="1234" w:type="dxa"/>
            <w:vAlign w:val="top"/>
            <w:gridSpan w:val="2"/>
          </w:tcPr>
          <w:p>
            <w:pPr>
              <w:pStyle w:val="TableText"/>
              <w:ind w:left="448"/>
              <w:spacing w:before="126" w:line="360" w:lineRule="exact"/>
              <w:rPr>
                <w:sz w:val="20"/>
                <w:szCs w:val="20"/>
              </w:rPr>
            </w:pPr>
            <w:r>
              <w:drawing>
                <wp:anchor distT="0" distB="0" distL="0" distR="0" simplePos="0" relativeHeight="254487552" behindDoc="1" locked="0" layoutInCell="1" allowOverlap="1">
                  <wp:simplePos x="0" y="0"/>
                  <wp:positionH relativeFrom="column">
                    <wp:posOffset>-3175</wp:posOffset>
                  </wp:positionH>
                  <wp:positionV relativeFrom="paragraph">
                    <wp:posOffset>-3175</wp:posOffset>
                  </wp:positionV>
                  <wp:extent cx="787450" cy="719378"/>
                  <wp:effectExtent l="0" t="0" r="0" b="0"/>
                  <wp:wrapNone/>
                  <wp:docPr id="196" name="IM 196"/>
                  <wp:cNvGraphicFramePr/>
                  <a:graphic>
                    <a:graphicData uri="http://schemas.openxmlformats.org/drawingml/2006/picture">
                      <pic:pic>
                        <pic:nvPicPr>
                          <pic:cNvPr id="196" name="IM 196"/>
                          <pic:cNvPicPr/>
                        </pic:nvPicPr>
                        <pic:blipFill>
                          <a:blip r:embed="rId239"/>
                          <a:stretch>
                            <a:fillRect/>
                          </a:stretch>
                        </pic:blipFill>
                        <pic:spPr>
                          <a:xfrm rot="0">
                            <a:off x="0" y="0"/>
                            <a:ext cx="787450" cy="719378"/>
                          </a:xfrm>
                          <a:prstGeom prst="rect">
                            <a:avLst/>
                          </a:prstGeom>
                        </pic:spPr>
                      </pic:pic>
                    </a:graphicData>
                  </a:graphic>
                </wp:anchor>
              </w:drawing>
            </w:r>
            <w:r>
              <w:rPr>
                <w:sz w:val="20"/>
                <w:szCs w:val="20"/>
                <w:spacing w:val="-8"/>
                <w:position w:val="11"/>
              </w:rPr>
              <w:t>内容</w:t>
            </w:r>
          </w:p>
          <w:p>
            <w:pPr>
              <w:pStyle w:val="TableText"/>
              <w:ind w:left="423"/>
              <w:spacing w:line="227" w:lineRule="auto"/>
              <w:rPr>
                <w:sz w:val="20"/>
                <w:szCs w:val="20"/>
              </w:rPr>
            </w:pPr>
            <w:r>
              <w:rPr>
                <w:sz w:val="20"/>
                <w:szCs w:val="20"/>
                <w:spacing w:val="4"/>
              </w:rPr>
              <w:t>要素</w:t>
            </w:r>
          </w:p>
        </w:tc>
        <w:tc>
          <w:tcPr>
            <w:tcW w:w="1172" w:type="dxa"/>
            <w:vAlign w:val="top"/>
          </w:tcPr>
          <w:p>
            <w:pPr>
              <w:pStyle w:val="TableText"/>
              <w:ind w:left="112"/>
              <w:spacing w:before="126" w:line="228" w:lineRule="auto"/>
              <w:rPr>
                <w:sz w:val="20"/>
                <w:szCs w:val="20"/>
              </w:rPr>
            </w:pPr>
            <w:r>
              <w:rPr>
                <w:sz w:val="20"/>
                <w:szCs w:val="20"/>
                <w:spacing w:val="-11"/>
              </w:rPr>
              <w:t>排放口（编</w:t>
            </w:r>
          </w:p>
          <w:p>
            <w:pPr>
              <w:pStyle w:val="TableText"/>
              <w:ind w:left="117"/>
              <w:spacing w:before="113" w:line="229" w:lineRule="auto"/>
              <w:rPr>
                <w:sz w:val="20"/>
                <w:szCs w:val="20"/>
              </w:rPr>
            </w:pPr>
            <w:r>
              <w:rPr>
                <w:sz w:val="20"/>
                <w:szCs w:val="20"/>
                <w:spacing w:val="4"/>
              </w:rPr>
              <w:t>号、名称）</w:t>
            </w:r>
          </w:p>
          <w:p>
            <w:pPr>
              <w:pStyle w:val="TableText"/>
              <w:ind w:left="239"/>
              <w:spacing w:before="112" w:line="227" w:lineRule="auto"/>
              <w:rPr>
                <w:sz w:val="20"/>
                <w:szCs w:val="20"/>
              </w:rPr>
            </w:pPr>
            <w:r>
              <w:rPr>
                <w:rFonts w:ascii="Times New Roman" w:hAnsi="Times New Roman" w:eastAsia="Times New Roman" w:cs="Times New Roman"/>
                <w:sz w:val="20"/>
                <w:szCs w:val="20"/>
                <w:spacing w:val="7"/>
              </w:rPr>
              <w:t>/</w:t>
            </w:r>
            <w:r>
              <w:rPr>
                <w:sz w:val="20"/>
                <w:szCs w:val="20"/>
                <w:spacing w:val="7"/>
              </w:rPr>
              <w:t>污染源</w:t>
            </w:r>
          </w:p>
        </w:tc>
        <w:tc>
          <w:tcPr>
            <w:tcW w:w="1070" w:type="dxa"/>
            <w:vAlign w:val="top"/>
          </w:tcPr>
          <w:p>
            <w:pPr>
              <w:rPr>
                <w:rFonts w:ascii="Arial"/>
                <w:sz w:val="21"/>
              </w:rPr>
            </w:pPr>
            <w:r/>
          </w:p>
          <w:p>
            <w:pPr>
              <w:pStyle w:val="TableText"/>
              <w:ind w:left="226"/>
              <w:spacing w:before="65" w:line="228" w:lineRule="auto"/>
              <w:rPr>
                <w:sz w:val="20"/>
                <w:szCs w:val="20"/>
              </w:rPr>
            </w:pPr>
            <w:r>
              <w:rPr>
                <w:sz w:val="20"/>
                <w:szCs w:val="20"/>
                <w:spacing w:val="6"/>
              </w:rPr>
              <w:t>污染物</w:t>
            </w:r>
          </w:p>
          <w:p>
            <w:pPr>
              <w:pStyle w:val="TableText"/>
              <w:ind w:left="333"/>
              <w:spacing w:before="113" w:line="228" w:lineRule="auto"/>
              <w:rPr>
                <w:sz w:val="20"/>
                <w:szCs w:val="20"/>
              </w:rPr>
            </w:pPr>
            <w:r>
              <w:rPr>
                <w:sz w:val="20"/>
                <w:szCs w:val="20"/>
                <w:spacing w:val="3"/>
              </w:rPr>
              <w:t>项目</w:t>
            </w:r>
          </w:p>
        </w:tc>
        <w:tc>
          <w:tcPr>
            <w:tcW w:w="2024" w:type="dxa"/>
            <w:vAlign w:val="top"/>
          </w:tcPr>
          <w:p>
            <w:pPr>
              <w:spacing w:line="419" w:lineRule="auto"/>
              <w:rPr>
                <w:rFonts w:ascii="Arial"/>
                <w:sz w:val="21"/>
              </w:rPr>
            </w:pPr>
            <w:r/>
          </w:p>
          <w:p>
            <w:pPr>
              <w:pStyle w:val="TableText"/>
              <w:ind w:left="388"/>
              <w:spacing w:before="65" w:line="228" w:lineRule="auto"/>
              <w:rPr>
                <w:sz w:val="20"/>
                <w:szCs w:val="20"/>
              </w:rPr>
            </w:pPr>
            <w:r>
              <w:rPr>
                <w:sz w:val="20"/>
                <w:szCs w:val="20"/>
                <w:spacing w:val="8"/>
              </w:rPr>
              <w:t>环境保护措施</w:t>
            </w:r>
          </w:p>
        </w:tc>
        <w:tc>
          <w:tcPr>
            <w:tcW w:w="3047" w:type="dxa"/>
            <w:vAlign w:val="top"/>
          </w:tcPr>
          <w:p>
            <w:pPr>
              <w:spacing w:line="418" w:lineRule="auto"/>
              <w:rPr>
                <w:rFonts w:ascii="Arial"/>
                <w:sz w:val="21"/>
              </w:rPr>
            </w:pPr>
            <w:r/>
          </w:p>
          <w:p>
            <w:pPr>
              <w:pStyle w:val="TableText"/>
              <w:ind w:left="1109"/>
              <w:spacing w:before="65" w:line="228" w:lineRule="auto"/>
              <w:rPr>
                <w:sz w:val="20"/>
                <w:szCs w:val="20"/>
              </w:rPr>
            </w:pPr>
            <w:r>
              <w:rPr>
                <w:sz w:val="20"/>
                <w:szCs w:val="20"/>
                <w:spacing w:val="7"/>
              </w:rPr>
              <w:t>执行标准</w:t>
            </w:r>
          </w:p>
        </w:tc>
      </w:tr>
      <w:tr>
        <w:trPr>
          <w:trHeight w:val="1204" w:hRule="atLeast"/>
        </w:trPr>
        <w:tc>
          <w:tcPr>
            <w:tcW w:w="540" w:type="dxa"/>
            <w:vAlign w:val="top"/>
            <w:vMerge w:val="restart"/>
            <w:textDirection w:val="tbRlV"/>
            <w:tcBorders>
              <w:bottom w:val="nil"/>
            </w:tcBorders>
          </w:tcPr>
          <w:p>
            <w:pPr>
              <w:pStyle w:val="TableText"/>
              <w:ind w:left="1385"/>
              <w:spacing w:before="154" w:line="216" w:lineRule="auto"/>
              <w:rPr>
                <w:sz w:val="20"/>
                <w:szCs w:val="20"/>
              </w:rPr>
            </w:pPr>
            <w:r>
              <w:rPr>
                <w:sz w:val="20"/>
                <w:szCs w:val="20"/>
                <w:spacing w:val="8"/>
              </w:rPr>
              <w:t>大</w:t>
            </w:r>
            <w:r>
              <w:rPr>
                <w:sz w:val="20"/>
                <w:szCs w:val="20"/>
                <w:spacing w:val="94"/>
              </w:rPr>
              <w:t xml:space="preserve"> </w:t>
            </w:r>
            <w:r>
              <w:rPr>
                <w:sz w:val="20"/>
                <w:szCs w:val="20"/>
                <w:spacing w:val="8"/>
              </w:rPr>
              <w:t>气</w:t>
            </w:r>
            <w:r>
              <w:rPr>
                <w:sz w:val="20"/>
                <w:szCs w:val="20"/>
                <w:spacing w:val="92"/>
              </w:rPr>
              <w:t xml:space="preserve"> </w:t>
            </w:r>
            <w:r>
              <w:rPr>
                <w:sz w:val="20"/>
                <w:szCs w:val="20"/>
                <w:spacing w:val="8"/>
              </w:rPr>
              <w:t>环</w:t>
            </w:r>
            <w:r>
              <w:rPr>
                <w:sz w:val="20"/>
                <w:szCs w:val="20"/>
                <w:spacing w:val="89"/>
              </w:rPr>
              <w:t xml:space="preserve"> </w:t>
            </w:r>
            <w:r>
              <w:rPr>
                <w:sz w:val="20"/>
                <w:szCs w:val="20"/>
                <w:spacing w:val="8"/>
              </w:rPr>
              <w:t>境</w:t>
            </w:r>
          </w:p>
        </w:tc>
        <w:tc>
          <w:tcPr>
            <w:tcW w:w="694" w:type="dxa"/>
            <w:vAlign w:val="top"/>
          </w:tcPr>
          <w:p>
            <w:pPr>
              <w:spacing w:line="281" w:lineRule="auto"/>
              <w:rPr>
                <w:rFonts w:ascii="Arial"/>
                <w:sz w:val="21"/>
              </w:rPr>
            </w:pPr>
            <w:r/>
          </w:p>
          <w:p>
            <w:pPr>
              <w:pStyle w:val="TableText"/>
              <w:ind w:left="140"/>
              <w:spacing w:before="65" w:line="228" w:lineRule="auto"/>
              <w:rPr>
                <w:sz w:val="20"/>
                <w:szCs w:val="20"/>
              </w:rPr>
            </w:pPr>
            <w:r>
              <w:rPr>
                <w:sz w:val="20"/>
                <w:szCs w:val="20"/>
                <w:spacing w:val="4"/>
              </w:rPr>
              <w:t>有组</w:t>
            </w:r>
          </w:p>
          <w:p>
            <w:pPr>
              <w:pStyle w:val="TableText"/>
              <w:ind w:left="248"/>
              <w:spacing w:before="112" w:line="232" w:lineRule="auto"/>
              <w:rPr>
                <w:sz w:val="20"/>
                <w:szCs w:val="20"/>
              </w:rPr>
            </w:pPr>
            <w:r>
              <w:rPr>
                <w:sz w:val="20"/>
                <w:szCs w:val="20"/>
              </w:rPr>
              <w:t>织</w:t>
            </w:r>
          </w:p>
        </w:tc>
        <w:tc>
          <w:tcPr>
            <w:tcW w:w="1172" w:type="dxa"/>
            <w:vAlign w:val="top"/>
          </w:tcPr>
          <w:p>
            <w:pPr>
              <w:spacing w:line="281" w:lineRule="auto"/>
              <w:rPr>
                <w:rFonts w:ascii="Arial"/>
                <w:sz w:val="21"/>
              </w:rPr>
            </w:pPr>
            <w:r/>
          </w:p>
          <w:p>
            <w:pPr>
              <w:pStyle w:val="TableText"/>
              <w:ind w:left="170"/>
              <w:spacing w:before="65" w:line="228" w:lineRule="auto"/>
              <w:rPr>
                <w:sz w:val="20"/>
                <w:szCs w:val="20"/>
              </w:rPr>
            </w:pPr>
            <w:r>
              <w:rPr>
                <w:sz w:val="20"/>
                <w:szCs w:val="20"/>
                <w:spacing w:val="7"/>
              </w:rPr>
              <w:t>地膜生产</w:t>
            </w:r>
          </w:p>
          <w:p>
            <w:pPr>
              <w:pStyle w:val="TableText"/>
              <w:ind w:left="275"/>
              <w:spacing w:before="113" w:line="229" w:lineRule="auto"/>
              <w:rPr>
                <w:sz w:val="20"/>
                <w:szCs w:val="20"/>
              </w:rPr>
            </w:pPr>
            <w:r>
              <w:rPr>
                <w:sz w:val="20"/>
                <w:szCs w:val="20"/>
                <w:spacing w:val="6"/>
              </w:rPr>
              <w:t>排放口</w:t>
            </w:r>
          </w:p>
        </w:tc>
        <w:tc>
          <w:tcPr>
            <w:tcW w:w="1070" w:type="dxa"/>
            <w:vAlign w:val="top"/>
          </w:tcPr>
          <w:p>
            <w:pPr>
              <w:spacing w:line="282" w:lineRule="auto"/>
              <w:rPr>
                <w:rFonts w:ascii="Arial"/>
                <w:sz w:val="21"/>
              </w:rPr>
            </w:pPr>
            <w:r/>
          </w:p>
          <w:p>
            <w:pPr>
              <w:pStyle w:val="TableText"/>
              <w:ind w:left="436" w:right="116" w:hanging="314"/>
              <w:spacing w:before="65" w:line="280" w:lineRule="auto"/>
              <w:rPr>
                <w:sz w:val="20"/>
                <w:szCs w:val="20"/>
              </w:rPr>
            </w:pPr>
            <w:r>
              <w:rPr>
                <w:sz w:val="20"/>
                <w:szCs w:val="20"/>
                <w:spacing w:val="6"/>
              </w:rPr>
              <w:t>非甲烷总</w:t>
            </w:r>
            <w:r>
              <w:rPr>
                <w:sz w:val="20"/>
                <w:szCs w:val="20"/>
                <w:spacing w:val="1"/>
              </w:rPr>
              <w:t xml:space="preserve"> </w:t>
            </w:r>
            <w:r>
              <w:rPr>
                <w:sz w:val="20"/>
                <w:szCs w:val="20"/>
              </w:rPr>
              <w:t>烃</w:t>
            </w:r>
          </w:p>
        </w:tc>
        <w:tc>
          <w:tcPr>
            <w:tcW w:w="2024" w:type="dxa"/>
            <w:vAlign w:val="top"/>
          </w:tcPr>
          <w:p>
            <w:pPr>
              <w:pStyle w:val="TableText"/>
              <w:ind w:left="122"/>
              <w:spacing w:before="208" w:line="227" w:lineRule="auto"/>
              <w:rPr>
                <w:sz w:val="20"/>
                <w:szCs w:val="20"/>
              </w:rPr>
            </w:pPr>
            <w:r>
              <w:rPr>
                <w:sz w:val="20"/>
                <w:szCs w:val="20"/>
                <w:spacing w:val="7"/>
              </w:rPr>
              <w:t>活性炭吸附</w:t>
            </w:r>
            <w:r>
              <w:rPr>
                <w:rFonts w:ascii="Times New Roman" w:hAnsi="Times New Roman" w:eastAsia="Times New Roman" w:cs="Times New Roman"/>
                <w:sz w:val="20"/>
                <w:szCs w:val="20"/>
                <w:spacing w:val="7"/>
              </w:rPr>
              <w:t>+</w:t>
            </w:r>
            <w:r>
              <w:rPr>
                <w:sz w:val="20"/>
                <w:szCs w:val="20"/>
                <w:spacing w:val="7"/>
              </w:rPr>
              <w:t>直接催</w:t>
            </w:r>
          </w:p>
          <w:p>
            <w:pPr>
              <w:pStyle w:val="TableText"/>
              <w:ind w:left="142"/>
              <w:spacing w:before="54" w:line="227" w:lineRule="auto"/>
              <w:rPr>
                <w:sz w:val="20"/>
                <w:szCs w:val="20"/>
              </w:rPr>
            </w:pPr>
            <w:r>
              <w:rPr>
                <w:sz w:val="20"/>
                <w:szCs w:val="20"/>
                <w:spacing w:val="7"/>
              </w:rPr>
              <w:t>化燃烧法</w:t>
            </w:r>
            <w:r>
              <w:rPr>
                <w:rFonts w:ascii="Times New Roman" w:hAnsi="Times New Roman" w:eastAsia="Times New Roman" w:cs="Times New Roman"/>
                <w:sz w:val="20"/>
                <w:szCs w:val="20"/>
                <w:spacing w:val="7"/>
              </w:rPr>
              <w:t>+15m</w:t>
            </w:r>
            <w:r>
              <w:rPr>
                <w:sz w:val="20"/>
                <w:szCs w:val="20"/>
                <w:spacing w:val="7"/>
              </w:rPr>
              <w:t>排气</w:t>
            </w:r>
          </w:p>
          <w:p>
            <w:pPr>
              <w:pStyle w:val="TableText"/>
              <w:ind w:left="917"/>
              <w:spacing w:before="53" w:line="228" w:lineRule="auto"/>
              <w:rPr>
                <w:sz w:val="20"/>
                <w:szCs w:val="20"/>
              </w:rPr>
            </w:pPr>
            <w:r>
              <w:rPr>
                <w:sz w:val="20"/>
                <w:szCs w:val="20"/>
              </w:rPr>
              <w:t>筒</w:t>
            </w:r>
          </w:p>
        </w:tc>
        <w:tc>
          <w:tcPr>
            <w:tcW w:w="3047" w:type="dxa"/>
            <w:vAlign w:val="top"/>
          </w:tcPr>
          <w:p>
            <w:pPr>
              <w:pStyle w:val="TableText"/>
              <w:ind w:left="166" w:right="156" w:firstLine="2"/>
              <w:spacing w:before="58" w:line="262" w:lineRule="auto"/>
              <w:jc w:val="both"/>
              <w:rPr>
                <w:sz w:val="20"/>
                <w:szCs w:val="20"/>
              </w:rPr>
            </w:pPr>
            <w:r>
              <w:rPr>
                <w:sz w:val="20"/>
                <w:szCs w:val="20"/>
                <w:spacing w:val="8"/>
              </w:rPr>
              <w:t>《合成树脂工业污染物排放标</w:t>
            </w:r>
            <w:r>
              <w:rPr>
                <w:sz w:val="20"/>
                <w:szCs w:val="20"/>
                <w:spacing w:val="10"/>
              </w:rPr>
              <w:t xml:space="preserve"> </w:t>
            </w:r>
            <w:r>
              <w:rPr>
                <w:sz w:val="20"/>
                <w:szCs w:val="20"/>
                <w:spacing w:val="7"/>
              </w:rPr>
              <w:t>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7"/>
              </w:rPr>
              <w:t>31572-2015</w:t>
            </w:r>
            <w:r>
              <w:rPr>
                <w:sz w:val="20"/>
                <w:szCs w:val="20"/>
                <w:spacing w:val="7"/>
              </w:rPr>
              <w:t>）中表</w:t>
            </w:r>
            <w:r>
              <w:rPr>
                <w:rFonts w:ascii="Times New Roman" w:hAnsi="Times New Roman" w:eastAsia="Times New Roman" w:cs="Times New Roman"/>
                <w:sz w:val="20"/>
                <w:szCs w:val="20"/>
                <w:spacing w:val="7"/>
              </w:rPr>
              <w:t>5 </w:t>
            </w:r>
            <w:r>
              <w:rPr>
                <w:sz w:val="20"/>
                <w:szCs w:val="20"/>
                <w:spacing w:val="9"/>
              </w:rPr>
              <w:t>大气污染物特别排放限值要求</w:t>
            </w:r>
            <w:r>
              <w:rPr>
                <w:sz w:val="20"/>
                <w:szCs w:val="20"/>
              </w:rPr>
              <w:t xml:space="preserve"> </w:t>
            </w:r>
            <w:r>
              <w:rPr>
                <w:sz w:val="20"/>
                <w:szCs w:val="20"/>
                <w:spacing w:val="16"/>
              </w:rPr>
              <w:t>（非甲烷总烃≤</w:t>
            </w:r>
            <w:r>
              <w:rPr>
                <w:rFonts w:ascii="Times New Roman" w:hAnsi="Times New Roman" w:eastAsia="Times New Roman" w:cs="Times New Roman"/>
                <w:sz w:val="20"/>
                <w:szCs w:val="20"/>
                <w:spacing w:val="16"/>
              </w:rPr>
              <w:t>60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16"/>
              </w:rPr>
              <w:t>/m</w:t>
            </w:r>
            <w:r>
              <w:rPr>
                <w:sz w:val="20"/>
                <w:szCs w:val="20"/>
                <w:spacing w:val="16"/>
              </w:rPr>
              <w:t>³)</w:t>
            </w:r>
          </w:p>
        </w:tc>
      </w:tr>
      <w:tr>
        <w:trPr>
          <w:trHeight w:val="2884" w:hRule="atLeast"/>
        </w:trPr>
        <w:tc>
          <w:tcPr>
            <w:tcW w:w="540" w:type="dxa"/>
            <w:vAlign w:val="top"/>
            <w:vMerge w:val="continue"/>
            <w:textDirection w:val="tbRlV"/>
            <w:tcBorders>
              <w:top w:val="nil"/>
            </w:tcBorders>
          </w:tcPr>
          <w:p>
            <w:pPr>
              <w:rPr>
                <w:rFonts w:ascii="Arial"/>
                <w:sz w:val="21"/>
              </w:rPr>
            </w:pPr>
            <w:r/>
          </w:p>
        </w:tc>
        <w:tc>
          <w:tcPr>
            <w:tcW w:w="694" w:type="dxa"/>
            <w:vAlign w:val="top"/>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pStyle w:val="TableText"/>
              <w:ind w:left="141"/>
              <w:spacing w:before="65" w:line="228" w:lineRule="auto"/>
              <w:rPr>
                <w:sz w:val="20"/>
                <w:szCs w:val="20"/>
              </w:rPr>
            </w:pPr>
            <w:r>
              <w:rPr>
                <w:sz w:val="20"/>
                <w:szCs w:val="20"/>
                <w:spacing w:val="3"/>
              </w:rPr>
              <w:t>无组</w:t>
            </w:r>
          </w:p>
          <w:p>
            <w:pPr>
              <w:pStyle w:val="TableText"/>
              <w:ind w:left="248"/>
              <w:spacing w:before="112" w:line="232" w:lineRule="auto"/>
              <w:rPr>
                <w:sz w:val="20"/>
                <w:szCs w:val="20"/>
              </w:rPr>
            </w:pPr>
            <w:r>
              <w:rPr>
                <w:sz w:val="20"/>
                <w:szCs w:val="20"/>
              </w:rPr>
              <w:t>织</w:t>
            </w:r>
          </w:p>
        </w:tc>
        <w:tc>
          <w:tcPr>
            <w:tcW w:w="1172" w:type="dxa"/>
            <w:vAlign w:val="top"/>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172"/>
              <w:spacing w:before="65" w:line="228" w:lineRule="auto"/>
              <w:rPr>
                <w:sz w:val="20"/>
                <w:szCs w:val="20"/>
              </w:rPr>
            </w:pPr>
            <w:r>
              <w:rPr>
                <w:sz w:val="20"/>
                <w:szCs w:val="20"/>
                <w:spacing w:val="6"/>
              </w:rPr>
              <w:t>生产车间</w:t>
            </w:r>
          </w:p>
        </w:tc>
        <w:tc>
          <w:tcPr>
            <w:tcW w:w="1070" w:type="dxa"/>
            <w:vAlign w:val="top"/>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pStyle w:val="TableText"/>
              <w:ind w:left="436" w:right="116" w:hanging="314"/>
              <w:spacing w:before="65" w:line="280" w:lineRule="auto"/>
              <w:rPr>
                <w:sz w:val="20"/>
                <w:szCs w:val="20"/>
              </w:rPr>
            </w:pPr>
            <w:r>
              <w:rPr>
                <w:sz w:val="20"/>
                <w:szCs w:val="20"/>
                <w:spacing w:val="6"/>
              </w:rPr>
              <w:t>非甲烷总</w:t>
            </w:r>
            <w:r>
              <w:rPr>
                <w:sz w:val="20"/>
                <w:szCs w:val="20"/>
                <w:spacing w:val="1"/>
              </w:rPr>
              <w:t xml:space="preserve"> </w:t>
            </w:r>
            <w:r>
              <w:rPr>
                <w:sz w:val="20"/>
                <w:szCs w:val="20"/>
              </w:rPr>
              <w:t>烃</w:t>
            </w:r>
          </w:p>
        </w:tc>
        <w:tc>
          <w:tcPr>
            <w:tcW w:w="2024" w:type="dxa"/>
            <w:vAlign w:val="top"/>
          </w:tcPr>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pStyle w:val="TableText"/>
              <w:ind w:left="601" w:right="74" w:hanging="487"/>
              <w:spacing w:before="65" w:line="253" w:lineRule="auto"/>
              <w:rPr>
                <w:sz w:val="20"/>
                <w:szCs w:val="20"/>
              </w:rPr>
            </w:pPr>
            <w:r>
              <w:rPr>
                <w:sz w:val="20"/>
                <w:szCs w:val="20"/>
                <w:spacing w:val="3"/>
              </w:rPr>
              <w:t>加强集气罩密闭性，</w:t>
            </w:r>
            <w:r>
              <w:rPr>
                <w:sz w:val="20"/>
                <w:szCs w:val="20"/>
                <w:spacing w:val="1"/>
              </w:rPr>
              <w:t xml:space="preserve"> </w:t>
            </w:r>
            <w:r>
              <w:rPr>
                <w:sz w:val="20"/>
                <w:szCs w:val="20"/>
                <w:spacing w:val="6"/>
              </w:rPr>
              <w:t>定期通风</w:t>
            </w:r>
          </w:p>
        </w:tc>
        <w:tc>
          <w:tcPr>
            <w:tcW w:w="3047" w:type="dxa"/>
            <w:vAlign w:val="top"/>
          </w:tcPr>
          <w:p>
            <w:pPr>
              <w:pStyle w:val="TableText"/>
              <w:ind w:left="164" w:right="156" w:firstLine="4"/>
              <w:spacing w:before="111" w:line="304" w:lineRule="auto"/>
              <w:jc w:val="both"/>
              <w:rPr>
                <w:sz w:val="20"/>
                <w:szCs w:val="20"/>
              </w:rPr>
            </w:pPr>
            <w:r>
              <w:rPr>
                <w:sz w:val="20"/>
                <w:szCs w:val="20"/>
                <w:spacing w:val="8"/>
              </w:rPr>
              <w:t>《合成树脂工业污染物排放标</w:t>
            </w:r>
            <w:r>
              <w:rPr>
                <w:sz w:val="20"/>
                <w:szCs w:val="20"/>
                <w:spacing w:val="10"/>
              </w:rPr>
              <w:t xml:space="preserve"> </w:t>
            </w:r>
            <w:r>
              <w:rPr>
                <w:sz w:val="20"/>
                <w:szCs w:val="20"/>
                <w:spacing w:val="8"/>
              </w:rPr>
              <w:t>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8"/>
              </w:rPr>
              <w:t>31572-2015</w:t>
            </w:r>
            <w:r>
              <w:rPr>
                <w:sz w:val="20"/>
                <w:szCs w:val="20"/>
                <w:spacing w:val="8"/>
              </w:rPr>
              <w:t>）中表</w:t>
            </w:r>
            <w:r>
              <w:rPr>
                <w:rFonts w:ascii="Times New Roman" w:hAnsi="Times New Roman" w:eastAsia="Times New Roman" w:cs="Times New Roman"/>
                <w:sz w:val="20"/>
                <w:szCs w:val="20"/>
                <w:spacing w:val="8"/>
              </w:rPr>
              <w:t>9 </w:t>
            </w:r>
            <w:r>
              <w:rPr>
                <w:sz w:val="20"/>
                <w:szCs w:val="20"/>
                <w:spacing w:val="9"/>
              </w:rPr>
              <w:t>企业边界大气污染物浓度限值</w:t>
            </w:r>
            <w:r>
              <w:rPr>
                <w:sz w:val="20"/>
                <w:szCs w:val="20"/>
                <w:spacing w:val="2"/>
              </w:rPr>
              <w:t xml:space="preserve"> </w:t>
            </w:r>
            <w:r>
              <w:rPr>
                <w:sz w:val="20"/>
                <w:szCs w:val="20"/>
                <w:spacing w:val="5"/>
              </w:rPr>
              <w:t>（非甲烷总烃≤</w:t>
            </w:r>
            <w:r>
              <w:rPr>
                <w:rFonts w:ascii="Times New Roman" w:hAnsi="Times New Roman" w:eastAsia="Times New Roman" w:cs="Times New Roman"/>
                <w:sz w:val="20"/>
                <w:szCs w:val="20"/>
                <w:spacing w:val="5"/>
              </w:rPr>
              <w:t>4.0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/m</w:t>
            </w:r>
            <w:r>
              <w:rPr>
                <w:sz w:val="20"/>
                <w:szCs w:val="20"/>
                <w:spacing w:val="5"/>
              </w:rPr>
              <w:t>³)</w:t>
            </w:r>
            <w:r>
              <w:rPr>
                <w:sz w:val="20"/>
                <w:szCs w:val="20"/>
                <w:spacing w:val="51"/>
              </w:rPr>
              <w:t xml:space="preserve"> </w:t>
            </w:r>
            <w:r>
              <w:rPr>
                <w:sz w:val="20"/>
                <w:szCs w:val="20"/>
                <w:spacing w:val="5"/>
              </w:rPr>
              <w:t>;</w:t>
            </w:r>
          </w:p>
          <w:p>
            <w:pPr>
              <w:pStyle w:val="TableText"/>
              <w:ind w:left="586" w:right="156" w:hanging="420"/>
              <w:spacing w:before="121" w:line="280" w:lineRule="auto"/>
              <w:rPr>
                <w:sz w:val="20"/>
                <w:szCs w:val="20"/>
              </w:rPr>
            </w:pPr>
            <w:r>
              <w:rPr>
                <w:sz w:val="20"/>
                <w:szCs w:val="20"/>
                <w:spacing w:val="9"/>
              </w:rPr>
              <w:t>厂区内执行《挥发性有机物无</w:t>
            </w:r>
            <w:r>
              <w:rPr>
                <w:sz w:val="20"/>
                <w:szCs w:val="20"/>
              </w:rPr>
              <w:t xml:space="preserve"> </w:t>
            </w:r>
            <w:r>
              <w:rPr>
                <w:sz w:val="20"/>
                <w:szCs w:val="20"/>
                <w:spacing w:val="7"/>
              </w:rPr>
              <w:t>组织排放控制标准》</w:t>
            </w:r>
          </w:p>
          <w:p>
            <w:pPr>
              <w:pStyle w:val="TableText"/>
              <w:ind w:left="1109" w:right="108" w:hanging="985"/>
              <w:spacing w:before="113" w:line="279" w:lineRule="auto"/>
              <w:rPr>
                <w:sz w:val="20"/>
                <w:szCs w:val="20"/>
              </w:rPr>
            </w:pPr>
            <w:r>
              <w:rPr>
                <w:sz w:val="20"/>
                <w:szCs w:val="20"/>
                <w:spacing w:val="2"/>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2"/>
              </w:rPr>
              <w:t>37822-2019</w:t>
            </w:r>
            <w:r>
              <w:rPr>
                <w:sz w:val="20"/>
                <w:szCs w:val="20"/>
                <w:spacing w:val="2"/>
              </w:rPr>
              <w:t>）表</w:t>
            </w:r>
            <w:r>
              <w:rPr>
                <w:rFonts w:ascii="Times New Roman" w:hAnsi="Times New Roman" w:eastAsia="Times New Roman" w:cs="Times New Roman"/>
                <w:sz w:val="20"/>
                <w:szCs w:val="20"/>
                <w:spacing w:val="2"/>
              </w:rPr>
              <w:t>A.</w:t>
            </w:r>
            <w:r>
              <w:rPr>
                <w:rFonts w:ascii="Times New Roman" w:hAnsi="Times New Roman" w:eastAsia="Times New Roman" w:cs="Times New Roman"/>
                <w:sz w:val="20"/>
                <w:szCs w:val="20"/>
                <w:spacing w:val="-19"/>
              </w:rPr>
              <w:t xml:space="preserve"> </w:t>
            </w:r>
            <w:r>
              <w:rPr>
                <w:rFonts w:ascii="Times New Roman" w:hAnsi="Times New Roman" w:eastAsia="Times New Roman" w:cs="Times New Roman"/>
                <w:sz w:val="20"/>
                <w:szCs w:val="20"/>
                <w:spacing w:val="2"/>
              </w:rPr>
              <w:t>1</w:t>
            </w:r>
            <w:r>
              <w:rPr>
                <w:sz w:val="20"/>
                <w:szCs w:val="20"/>
                <w:spacing w:val="2"/>
              </w:rPr>
              <w:t>特别排</w:t>
            </w:r>
            <w:r>
              <w:rPr>
                <w:sz w:val="20"/>
                <w:szCs w:val="20"/>
              </w:rPr>
              <w:t xml:space="preserve"> </w:t>
            </w:r>
            <w:r>
              <w:rPr>
                <w:sz w:val="20"/>
                <w:szCs w:val="20"/>
                <w:spacing w:val="5"/>
              </w:rPr>
              <w:t>放限值。</w:t>
            </w:r>
          </w:p>
        </w:tc>
      </w:tr>
      <w:tr>
        <w:trPr>
          <w:trHeight w:val="590" w:hRule="atLeast"/>
        </w:trPr>
        <w:tc>
          <w:tcPr>
            <w:tcW w:w="1234" w:type="dxa"/>
            <w:vAlign w:val="top"/>
            <w:gridSpan w:val="2"/>
            <w:vMerge w:val="restart"/>
            <w:tcBorders>
              <w:bottom w:val="nil"/>
            </w:tcBorders>
          </w:tcPr>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spacing w:line="283" w:lineRule="auto"/>
              <w:rPr>
                <w:rFonts w:ascii="Arial"/>
                <w:sz w:val="21"/>
              </w:rPr>
            </w:pPr>
            <w:r/>
          </w:p>
          <w:p>
            <w:pPr>
              <w:pStyle w:val="TableText"/>
              <w:ind w:left="440"/>
              <w:spacing w:before="65" w:line="228" w:lineRule="auto"/>
              <w:rPr>
                <w:sz w:val="20"/>
                <w:szCs w:val="20"/>
              </w:rPr>
            </w:pPr>
            <w:r>
              <w:rPr>
                <w:sz w:val="20"/>
                <w:szCs w:val="20"/>
                <w:spacing w:val="-5"/>
              </w:rPr>
              <w:t>固废</w:t>
            </w:r>
          </w:p>
        </w:tc>
        <w:tc>
          <w:tcPr>
            <w:tcW w:w="1172" w:type="dxa"/>
            <w:vAlign w:val="top"/>
          </w:tcPr>
          <w:p>
            <w:pPr>
              <w:pStyle w:val="TableText"/>
              <w:ind w:left="169"/>
              <w:spacing w:before="221" w:line="228" w:lineRule="auto"/>
              <w:rPr>
                <w:sz w:val="20"/>
                <w:szCs w:val="20"/>
              </w:rPr>
            </w:pPr>
            <w:r>
              <w:rPr>
                <w:sz w:val="20"/>
                <w:szCs w:val="20"/>
                <w:spacing w:val="7"/>
              </w:rPr>
              <w:t>废弃包装</w:t>
            </w:r>
          </w:p>
        </w:tc>
        <w:tc>
          <w:tcPr>
            <w:tcW w:w="1070" w:type="dxa"/>
            <w:vAlign w:val="top"/>
          </w:tcPr>
          <w:p>
            <w:pPr>
              <w:pStyle w:val="TableText"/>
              <w:ind w:left="118"/>
              <w:spacing w:before="221" w:line="228" w:lineRule="auto"/>
              <w:rPr>
                <w:sz w:val="20"/>
                <w:szCs w:val="20"/>
              </w:rPr>
            </w:pPr>
            <w:r>
              <w:rPr>
                <w:sz w:val="20"/>
                <w:szCs w:val="20"/>
                <w:spacing w:val="7"/>
              </w:rPr>
              <w:t>废弃包装</w:t>
            </w:r>
          </w:p>
        </w:tc>
        <w:tc>
          <w:tcPr>
            <w:tcW w:w="2024" w:type="dxa"/>
            <w:vAlign w:val="top"/>
          </w:tcPr>
          <w:p>
            <w:pPr>
              <w:pStyle w:val="TableText"/>
              <w:ind w:left="392"/>
              <w:spacing w:before="221" w:line="228" w:lineRule="auto"/>
              <w:rPr>
                <w:sz w:val="20"/>
                <w:szCs w:val="20"/>
              </w:rPr>
            </w:pPr>
            <w:r>
              <w:rPr>
                <w:sz w:val="20"/>
                <w:szCs w:val="20"/>
                <w:spacing w:val="7"/>
              </w:rPr>
              <w:t>外售回收单位</w:t>
            </w:r>
          </w:p>
        </w:tc>
        <w:tc>
          <w:tcPr>
            <w:tcW w:w="3047" w:type="dxa"/>
            <w:vAlign w:val="top"/>
            <w:vMerge w:val="restart"/>
            <w:tcBorders>
              <w:bottom w:val="nil"/>
            </w:tcBorders>
          </w:tcPr>
          <w:p>
            <w:pPr>
              <w:pStyle w:val="TableText"/>
              <w:ind w:left="690" w:right="156" w:hanging="521"/>
              <w:spacing w:before="112" w:line="280" w:lineRule="auto"/>
              <w:rPr>
                <w:sz w:val="20"/>
                <w:szCs w:val="20"/>
              </w:rPr>
            </w:pPr>
            <w:r>
              <w:rPr>
                <w:sz w:val="20"/>
                <w:szCs w:val="20"/>
                <w:spacing w:val="8"/>
              </w:rPr>
              <w:t>《一般工业固体废物贮存和填</w:t>
            </w:r>
            <w:r>
              <w:rPr>
                <w:sz w:val="20"/>
                <w:szCs w:val="20"/>
                <w:spacing w:val="10"/>
              </w:rPr>
              <w:t xml:space="preserve"> </w:t>
            </w:r>
            <w:r>
              <w:rPr>
                <w:sz w:val="20"/>
                <w:szCs w:val="20"/>
                <w:spacing w:val="7"/>
              </w:rPr>
              <w:t>埋污染控制标准》</w:t>
            </w:r>
          </w:p>
          <w:p>
            <w:pPr>
              <w:pStyle w:val="TableText"/>
              <w:ind w:left="676"/>
              <w:spacing w:before="113" w:line="224" w:lineRule="auto"/>
              <w:rPr>
                <w:sz w:val="20"/>
                <w:szCs w:val="20"/>
              </w:rPr>
            </w:pPr>
            <w:r>
              <w:rPr>
                <w:sz w:val="20"/>
                <w:szCs w:val="20"/>
                <w:spacing w:val="4"/>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4"/>
              </w:rPr>
              <w:t>18599-2020</w:t>
            </w:r>
            <w:r>
              <w:rPr>
                <w:sz w:val="20"/>
                <w:szCs w:val="20"/>
                <w:spacing w:val="4"/>
              </w:rPr>
              <w:t>）</w:t>
            </w:r>
          </w:p>
        </w:tc>
      </w:tr>
      <w:tr>
        <w:trPr>
          <w:trHeight w:val="490" w:hRule="atLeast"/>
        </w:trPr>
        <w:tc>
          <w:tcPr>
            <w:tcW w:w="1234" w:type="dxa"/>
            <w:vAlign w:val="top"/>
            <w:gridSpan w:val="2"/>
            <w:vMerge w:val="continue"/>
            <w:tcBorders>
              <w:top w:val="nil"/>
              <w:bottom w:val="nil"/>
            </w:tcBorders>
          </w:tcPr>
          <w:p>
            <w:pPr>
              <w:rPr>
                <w:rFonts w:ascii="Arial"/>
                <w:sz w:val="21"/>
              </w:rPr>
            </w:pPr>
            <w:r/>
          </w:p>
        </w:tc>
        <w:tc>
          <w:tcPr>
            <w:tcW w:w="1172" w:type="dxa"/>
            <w:vAlign w:val="top"/>
          </w:tcPr>
          <w:p>
            <w:pPr>
              <w:pStyle w:val="TableText"/>
              <w:ind w:left="173"/>
              <w:spacing w:before="171" w:line="228" w:lineRule="auto"/>
              <w:rPr>
                <w:sz w:val="20"/>
                <w:szCs w:val="20"/>
              </w:rPr>
            </w:pPr>
            <w:r>
              <w:rPr>
                <w:sz w:val="20"/>
                <w:szCs w:val="20"/>
                <w:spacing w:val="6"/>
              </w:rPr>
              <w:t>不合格品</w:t>
            </w:r>
          </w:p>
        </w:tc>
        <w:tc>
          <w:tcPr>
            <w:tcW w:w="1070" w:type="dxa"/>
            <w:vAlign w:val="top"/>
          </w:tcPr>
          <w:p>
            <w:pPr>
              <w:pStyle w:val="TableText"/>
              <w:ind w:left="122"/>
              <w:spacing w:before="171" w:line="228" w:lineRule="auto"/>
              <w:rPr>
                <w:sz w:val="20"/>
                <w:szCs w:val="20"/>
              </w:rPr>
            </w:pPr>
            <w:r>
              <w:rPr>
                <w:sz w:val="20"/>
                <w:szCs w:val="20"/>
                <w:spacing w:val="6"/>
              </w:rPr>
              <w:t>不合格品</w:t>
            </w:r>
          </w:p>
        </w:tc>
        <w:tc>
          <w:tcPr>
            <w:tcW w:w="2024" w:type="dxa"/>
            <w:vAlign w:val="top"/>
          </w:tcPr>
          <w:p>
            <w:pPr>
              <w:pStyle w:val="TableText"/>
              <w:ind w:left="617"/>
              <w:spacing w:before="171" w:line="228" w:lineRule="auto"/>
              <w:rPr>
                <w:sz w:val="20"/>
                <w:szCs w:val="20"/>
              </w:rPr>
            </w:pPr>
            <w:r>
              <w:rPr>
                <w:sz w:val="20"/>
                <w:szCs w:val="20"/>
                <w:spacing w:val="2"/>
              </w:rPr>
              <w:t>回用生产</w:t>
            </w:r>
          </w:p>
        </w:tc>
        <w:tc>
          <w:tcPr>
            <w:tcW w:w="3047" w:type="dxa"/>
            <w:vAlign w:val="top"/>
            <w:vMerge w:val="continue"/>
            <w:tcBorders>
              <w:top w:val="nil"/>
            </w:tcBorders>
          </w:tcPr>
          <w:p>
            <w:pPr>
              <w:rPr>
                <w:rFonts w:ascii="Arial"/>
                <w:sz w:val="21"/>
              </w:rPr>
            </w:pPr>
            <w:r/>
          </w:p>
        </w:tc>
      </w:tr>
      <w:tr>
        <w:trPr>
          <w:trHeight w:val="1084" w:hRule="atLeast"/>
        </w:trPr>
        <w:tc>
          <w:tcPr>
            <w:tcW w:w="1234" w:type="dxa"/>
            <w:vAlign w:val="top"/>
            <w:gridSpan w:val="2"/>
            <w:vMerge w:val="continue"/>
            <w:tcBorders>
              <w:top w:val="nil"/>
              <w:bottom w:val="nil"/>
            </w:tcBorders>
          </w:tcPr>
          <w:p>
            <w:pPr>
              <w:rPr>
                <w:rFonts w:ascii="Arial"/>
                <w:sz w:val="21"/>
              </w:rPr>
            </w:pPr>
            <w:r/>
          </w:p>
        </w:tc>
        <w:tc>
          <w:tcPr>
            <w:tcW w:w="1172" w:type="dxa"/>
            <w:vAlign w:val="top"/>
          </w:tcPr>
          <w:p>
            <w:pPr>
              <w:spacing w:line="404" w:lineRule="auto"/>
              <w:rPr>
                <w:rFonts w:ascii="Arial"/>
                <w:sz w:val="21"/>
              </w:rPr>
            </w:pPr>
            <w:r/>
          </w:p>
          <w:p>
            <w:pPr>
              <w:pStyle w:val="TableText"/>
              <w:ind w:left="169"/>
              <w:spacing w:before="65" w:line="228" w:lineRule="auto"/>
              <w:rPr>
                <w:sz w:val="20"/>
                <w:szCs w:val="20"/>
              </w:rPr>
            </w:pPr>
            <w:r>
              <w:rPr>
                <w:sz w:val="20"/>
                <w:szCs w:val="20"/>
                <w:spacing w:val="7"/>
              </w:rPr>
              <w:t>废气治理</w:t>
            </w:r>
          </w:p>
        </w:tc>
        <w:tc>
          <w:tcPr>
            <w:tcW w:w="1070" w:type="dxa"/>
            <w:vAlign w:val="top"/>
          </w:tcPr>
          <w:p>
            <w:pPr>
              <w:pStyle w:val="TableText"/>
              <w:ind w:left="223"/>
              <w:spacing w:before="111" w:line="228" w:lineRule="auto"/>
              <w:rPr>
                <w:sz w:val="20"/>
                <w:szCs w:val="20"/>
              </w:rPr>
            </w:pPr>
            <w:r>
              <w:rPr>
                <w:sz w:val="20"/>
                <w:szCs w:val="20"/>
                <w:spacing w:val="7"/>
              </w:rPr>
              <w:t>废催化</w:t>
            </w:r>
          </w:p>
          <w:p>
            <w:pPr>
              <w:pStyle w:val="TableText"/>
              <w:ind w:left="120"/>
              <w:spacing w:before="113" w:line="227" w:lineRule="auto"/>
              <w:rPr>
                <w:sz w:val="20"/>
                <w:szCs w:val="20"/>
              </w:rPr>
            </w:pPr>
            <w:r>
              <w:rPr>
                <w:sz w:val="20"/>
                <w:szCs w:val="20"/>
                <w:spacing w:val="7"/>
              </w:rPr>
              <w:t>剂、废活</w:t>
            </w:r>
          </w:p>
          <w:p>
            <w:pPr>
              <w:pStyle w:val="TableText"/>
              <w:ind w:left="332"/>
              <w:spacing w:before="114" w:line="224" w:lineRule="auto"/>
              <w:rPr>
                <w:sz w:val="20"/>
                <w:szCs w:val="20"/>
              </w:rPr>
            </w:pPr>
            <w:r>
              <w:rPr>
                <w:sz w:val="20"/>
                <w:szCs w:val="20"/>
                <w:spacing w:val="3"/>
              </w:rPr>
              <w:t>性炭</w:t>
            </w:r>
          </w:p>
        </w:tc>
        <w:tc>
          <w:tcPr>
            <w:tcW w:w="2024" w:type="dxa"/>
            <w:vAlign w:val="top"/>
            <w:vMerge w:val="restart"/>
            <w:tcBorders>
              <w:bottom w:val="nil"/>
            </w:tcBorders>
          </w:tcPr>
          <w:p>
            <w:pPr>
              <w:pStyle w:val="TableText"/>
              <w:ind w:left="183"/>
              <w:spacing w:before="295" w:line="228" w:lineRule="auto"/>
              <w:rPr>
                <w:sz w:val="20"/>
                <w:szCs w:val="20"/>
              </w:rPr>
            </w:pPr>
            <w:r>
              <w:rPr>
                <w:sz w:val="20"/>
                <w:szCs w:val="20"/>
                <w:spacing w:val="7"/>
              </w:rPr>
              <w:t>暂存危险废物暂存</w:t>
            </w:r>
          </w:p>
          <w:p>
            <w:pPr>
              <w:pStyle w:val="TableText"/>
              <w:ind w:left="131"/>
              <w:spacing w:before="113" w:line="228" w:lineRule="auto"/>
              <w:rPr>
                <w:sz w:val="20"/>
                <w:szCs w:val="20"/>
              </w:rPr>
            </w:pPr>
            <w:r>
              <w:rPr>
                <w:sz w:val="20"/>
                <w:szCs w:val="20"/>
                <w:spacing w:val="-2"/>
              </w:rPr>
              <w:t>间，委托有资质单位</w:t>
            </w:r>
          </w:p>
          <w:p>
            <w:pPr>
              <w:pStyle w:val="TableText"/>
              <w:ind w:left="393"/>
              <w:spacing w:before="112" w:line="228" w:lineRule="auto"/>
              <w:rPr>
                <w:sz w:val="20"/>
                <w:szCs w:val="20"/>
              </w:rPr>
            </w:pPr>
            <w:r>
              <w:rPr>
                <w:sz w:val="20"/>
                <w:szCs w:val="20"/>
                <w:spacing w:val="7"/>
              </w:rPr>
              <w:t>定期收运处置</w:t>
            </w:r>
          </w:p>
        </w:tc>
        <w:tc>
          <w:tcPr>
            <w:tcW w:w="3047" w:type="dxa"/>
            <w:vAlign w:val="top"/>
            <w:vMerge w:val="restart"/>
            <w:tcBorders>
              <w:bottom w:val="nil"/>
            </w:tcBorders>
          </w:tcPr>
          <w:p>
            <w:pPr>
              <w:spacing w:line="408" w:lineRule="auto"/>
              <w:rPr>
                <w:rFonts w:ascii="Arial"/>
                <w:sz w:val="21"/>
              </w:rPr>
            </w:pPr>
            <w:r/>
          </w:p>
          <w:p>
            <w:pPr>
              <w:pStyle w:val="TableText"/>
              <w:ind w:left="456" w:right="262" w:hanging="181"/>
              <w:spacing w:before="65" w:line="281" w:lineRule="auto"/>
              <w:rPr>
                <w:sz w:val="20"/>
                <w:szCs w:val="20"/>
              </w:rPr>
            </w:pPr>
            <w:r>
              <w:rPr>
                <w:sz w:val="20"/>
                <w:szCs w:val="20"/>
                <w:spacing w:val="8"/>
              </w:rPr>
              <w:t>《危险废物贮存污染控制标</w:t>
            </w:r>
            <w:r>
              <w:rPr>
                <w:sz w:val="20"/>
                <w:szCs w:val="20"/>
                <w:spacing w:val="7"/>
              </w:rPr>
              <w:t xml:space="preserve"> </w:t>
            </w:r>
            <w:r>
              <w:rPr>
                <w:sz w:val="20"/>
                <w:szCs w:val="20"/>
                <w:spacing w:val="5"/>
              </w:rPr>
              <w:t>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5"/>
              </w:rPr>
              <w:t>18597-2023</w:t>
            </w:r>
            <w:r>
              <w:rPr>
                <w:sz w:val="20"/>
                <w:szCs w:val="20"/>
                <w:spacing w:val="5"/>
              </w:rPr>
              <w:t>）</w:t>
            </w:r>
          </w:p>
        </w:tc>
      </w:tr>
      <w:tr>
        <w:trPr>
          <w:trHeight w:val="365" w:hRule="atLeast"/>
        </w:trPr>
        <w:tc>
          <w:tcPr>
            <w:tcW w:w="1234" w:type="dxa"/>
            <w:vAlign w:val="top"/>
            <w:gridSpan w:val="2"/>
            <w:vMerge w:val="continue"/>
            <w:tcBorders>
              <w:top w:val="nil"/>
            </w:tcBorders>
          </w:tcPr>
          <w:p>
            <w:pPr>
              <w:rPr>
                <w:rFonts w:ascii="Arial"/>
                <w:sz w:val="21"/>
              </w:rPr>
            </w:pPr>
            <w:r/>
          </w:p>
        </w:tc>
        <w:tc>
          <w:tcPr>
            <w:tcW w:w="1172" w:type="dxa"/>
            <w:vAlign w:val="top"/>
          </w:tcPr>
          <w:p>
            <w:pPr>
              <w:pStyle w:val="TableText"/>
              <w:ind w:left="169"/>
              <w:spacing w:before="112" w:line="224" w:lineRule="auto"/>
              <w:rPr>
                <w:sz w:val="20"/>
                <w:szCs w:val="20"/>
              </w:rPr>
            </w:pPr>
            <w:r>
              <w:rPr>
                <w:sz w:val="20"/>
                <w:szCs w:val="20"/>
                <w:spacing w:val="7"/>
              </w:rPr>
              <w:t>机械维修</w:t>
            </w:r>
          </w:p>
        </w:tc>
        <w:tc>
          <w:tcPr>
            <w:tcW w:w="1070" w:type="dxa"/>
            <w:vAlign w:val="top"/>
          </w:tcPr>
          <w:p>
            <w:pPr>
              <w:pStyle w:val="TableText"/>
              <w:ind w:left="223"/>
              <w:spacing w:before="112" w:line="224" w:lineRule="auto"/>
              <w:rPr>
                <w:sz w:val="20"/>
                <w:szCs w:val="20"/>
              </w:rPr>
            </w:pPr>
            <w:r>
              <w:rPr>
                <w:sz w:val="20"/>
                <w:szCs w:val="20"/>
                <w:spacing w:val="7"/>
              </w:rPr>
              <w:t>废机油</w:t>
            </w:r>
          </w:p>
        </w:tc>
        <w:tc>
          <w:tcPr>
            <w:tcW w:w="2024" w:type="dxa"/>
            <w:vAlign w:val="top"/>
            <w:vMerge w:val="continue"/>
            <w:tcBorders>
              <w:top w:val="nil"/>
            </w:tcBorders>
          </w:tcPr>
          <w:p>
            <w:pPr>
              <w:rPr>
                <w:rFonts w:ascii="Arial"/>
                <w:sz w:val="21"/>
              </w:rPr>
            </w:pPr>
            <w:r/>
          </w:p>
        </w:tc>
        <w:tc>
          <w:tcPr>
            <w:tcW w:w="3047" w:type="dxa"/>
            <w:vAlign w:val="top"/>
            <w:vMerge w:val="continue"/>
            <w:tcBorders>
              <w:top w:val="nil"/>
            </w:tcBorders>
          </w:tcPr>
          <w:p>
            <w:pPr>
              <w:rPr>
                <w:rFonts w:ascii="Arial"/>
                <w:sz w:val="21"/>
              </w:rPr>
            </w:pPr>
            <w:r/>
          </w:p>
        </w:tc>
      </w:tr>
      <w:tr>
        <w:trPr>
          <w:trHeight w:val="1132" w:hRule="atLeast"/>
        </w:trPr>
        <w:tc>
          <w:tcPr>
            <w:tcW w:w="1234" w:type="dxa"/>
            <w:vAlign w:val="top"/>
            <w:gridSpan w:val="2"/>
          </w:tcPr>
          <w:p>
            <w:pPr>
              <w:spacing w:line="428" w:lineRule="auto"/>
              <w:rPr>
                <w:rFonts w:ascii="Arial"/>
                <w:sz w:val="21"/>
              </w:rPr>
            </w:pPr>
            <w:r/>
          </w:p>
          <w:p>
            <w:pPr>
              <w:pStyle w:val="TableText"/>
              <w:ind w:left="432"/>
              <w:spacing w:before="65" w:line="228" w:lineRule="auto"/>
              <w:rPr>
                <w:sz w:val="20"/>
                <w:szCs w:val="20"/>
              </w:rPr>
            </w:pPr>
            <w:r>
              <w:rPr>
                <w:sz w:val="20"/>
                <w:szCs w:val="20"/>
                <w:spacing w:val="-1"/>
              </w:rPr>
              <w:t>噪声</w:t>
            </w:r>
          </w:p>
        </w:tc>
        <w:tc>
          <w:tcPr>
            <w:tcW w:w="1172" w:type="dxa"/>
            <w:vAlign w:val="top"/>
          </w:tcPr>
          <w:p>
            <w:pPr>
              <w:spacing w:line="427" w:lineRule="auto"/>
              <w:rPr>
                <w:rFonts w:ascii="Arial"/>
                <w:sz w:val="21"/>
              </w:rPr>
            </w:pPr>
            <w:r/>
          </w:p>
          <w:p>
            <w:pPr>
              <w:pStyle w:val="TableText"/>
              <w:ind w:left="172"/>
              <w:spacing w:before="65" w:line="228" w:lineRule="auto"/>
              <w:rPr>
                <w:sz w:val="20"/>
                <w:szCs w:val="20"/>
              </w:rPr>
            </w:pPr>
            <w:r>
              <w:rPr>
                <w:sz w:val="20"/>
                <w:szCs w:val="20"/>
                <w:spacing w:val="6"/>
              </w:rPr>
              <w:t>生产车间</w:t>
            </w:r>
          </w:p>
        </w:tc>
        <w:tc>
          <w:tcPr>
            <w:tcW w:w="1070" w:type="dxa"/>
            <w:vAlign w:val="top"/>
          </w:tcPr>
          <w:p>
            <w:pPr>
              <w:spacing w:line="249" w:lineRule="auto"/>
              <w:rPr>
                <w:rFonts w:ascii="Arial"/>
                <w:sz w:val="21"/>
              </w:rPr>
            </w:pPr>
            <w:r/>
          </w:p>
          <w:p>
            <w:pPr>
              <w:pStyle w:val="TableText"/>
              <w:ind w:left="128" w:right="116" w:hanging="8"/>
              <w:spacing w:before="65" w:line="280" w:lineRule="auto"/>
              <w:rPr>
                <w:sz w:val="20"/>
                <w:szCs w:val="20"/>
              </w:rPr>
            </w:pPr>
            <w:r>
              <w:rPr>
                <w:sz w:val="20"/>
                <w:szCs w:val="20"/>
                <w:spacing w:val="6"/>
              </w:rPr>
              <w:t>主要产生</w:t>
            </w:r>
            <w:r>
              <w:rPr>
                <w:sz w:val="20"/>
                <w:szCs w:val="20"/>
                <w:spacing w:val="2"/>
              </w:rPr>
              <w:t xml:space="preserve"> </w:t>
            </w:r>
            <w:r>
              <w:rPr>
                <w:sz w:val="20"/>
                <w:szCs w:val="20"/>
                <w:spacing w:val="4"/>
              </w:rPr>
              <w:t>噪声设备</w:t>
            </w:r>
          </w:p>
        </w:tc>
        <w:tc>
          <w:tcPr>
            <w:tcW w:w="2024" w:type="dxa"/>
            <w:vAlign w:val="top"/>
          </w:tcPr>
          <w:p>
            <w:pPr>
              <w:pStyle w:val="TableText"/>
              <w:ind w:left="176"/>
              <w:spacing w:before="135" w:line="228" w:lineRule="auto"/>
              <w:rPr>
                <w:sz w:val="20"/>
                <w:szCs w:val="20"/>
              </w:rPr>
            </w:pPr>
            <w:r>
              <w:rPr>
                <w:sz w:val="20"/>
                <w:szCs w:val="20"/>
                <w:spacing w:val="10"/>
              </w:rPr>
              <w:t>选用具有减震、降</w:t>
            </w:r>
          </w:p>
          <w:p>
            <w:pPr>
              <w:pStyle w:val="TableText"/>
              <w:ind w:left="124"/>
              <w:spacing w:before="113" w:line="228" w:lineRule="auto"/>
              <w:rPr>
                <w:sz w:val="20"/>
                <w:szCs w:val="20"/>
              </w:rPr>
            </w:pPr>
            <w:r>
              <w:rPr>
                <w:sz w:val="20"/>
                <w:szCs w:val="20"/>
                <w:spacing w:val="-2"/>
              </w:rPr>
              <w:t>噪、隔声、消声设计</w:t>
            </w:r>
          </w:p>
          <w:p>
            <w:pPr>
              <w:pStyle w:val="TableText"/>
              <w:ind w:left="719"/>
              <w:spacing w:before="112" w:line="229" w:lineRule="auto"/>
              <w:rPr>
                <w:sz w:val="20"/>
                <w:szCs w:val="20"/>
              </w:rPr>
            </w:pPr>
            <w:r>
              <w:rPr>
                <w:sz w:val="20"/>
                <w:szCs w:val="20"/>
                <w:spacing w:val="1"/>
              </w:rPr>
              <w:t>的设备</w:t>
            </w:r>
          </w:p>
        </w:tc>
        <w:tc>
          <w:tcPr>
            <w:tcW w:w="3047" w:type="dxa"/>
            <w:vAlign w:val="top"/>
          </w:tcPr>
          <w:p>
            <w:pPr>
              <w:pStyle w:val="TableText"/>
              <w:ind w:left="114" w:right="107" w:firstLine="54"/>
              <w:spacing w:before="136" w:line="280" w:lineRule="auto"/>
              <w:rPr>
                <w:rFonts w:ascii="Times New Roman" w:hAnsi="Times New Roman" w:eastAsia="Times New Roman" w:cs="Times New Roman"/>
                <w:sz w:val="20"/>
                <w:szCs w:val="20"/>
              </w:rPr>
            </w:pPr>
            <w:r>
              <w:rPr>
                <w:sz w:val="20"/>
                <w:szCs w:val="20"/>
                <w:spacing w:val="8"/>
              </w:rPr>
              <w:t>《工业企业厂界环境噪声排放</w:t>
            </w:r>
            <w:r>
              <w:rPr>
                <w:sz w:val="20"/>
                <w:szCs w:val="20"/>
                <w:spacing w:val="10"/>
              </w:rPr>
              <w:t xml:space="preserve"> </w:t>
            </w:r>
            <w:r>
              <w:rPr>
                <w:sz w:val="20"/>
                <w:szCs w:val="20"/>
                <w:spacing w:val="4"/>
              </w:rPr>
              <w:t>标准》（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4"/>
              </w:rPr>
              <w:t>12348-2008</w:t>
            </w:r>
            <w:r>
              <w:rPr>
                <w:sz w:val="20"/>
                <w:szCs w:val="20"/>
                <w:spacing w:val="4"/>
              </w:rPr>
              <w:t>）中的</w:t>
            </w:r>
            <w:r>
              <w:rPr>
                <w:rFonts w:ascii="Times New Roman" w:hAnsi="Times New Roman" w:eastAsia="Times New Roman" w:cs="Times New Roman"/>
                <w:sz w:val="20"/>
                <w:szCs w:val="20"/>
                <w:spacing w:val="4"/>
              </w:rPr>
              <w:t>2</w:t>
            </w:r>
          </w:p>
          <w:p>
            <w:pPr>
              <w:pStyle w:val="TableText"/>
              <w:ind w:left="1213"/>
              <w:spacing w:before="112" w:line="228" w:lineRule="auto"/>
              <w:rPr>
                <w:sz w:val="20"/>
                <w:szCs w:val="20"/>
              </w:rPr>
            </w:pPr>
            <w:r>
              <w:rPr>
                <w:sz w:val="20"/>
                <w:szCs w:val="20"/>
                <w:spacing w:val="6"/>
              </w:rPr>
              <w:t>类标准</w:t>
            </w:r>
          </w:p>
        </w:tc>
      </w:tr>
      <w:tr>
        <w:trPr>
          <w:trHeight w:val="405" w:hRule="atLeast"/>
        </w:trPr>
        <w:tc>
          <w:tcPr>
            <w:tcW w:w="1234" w:type="dxa"/>
            <w:vAlign w:val="top"/>
            <w:gridSpan w:val="2"/>
          </w:tcPr>
          <w:p>
            <w:pPr>
              <w:pStyle w:val="TableText"/>
              <w:ind w:left="238"/>
              <w:spacing w:before="133" w:line="228" w:lineRule="auto"/>
              <w:rPr>
                <w:sz w:val="20"/>
                <w:szCs w:val="20"/>
              </w:rPr>
            </w:pPr>
            <w:r>
              <w:rPr>
                <w:sz w:val="20"/>
                <w:szCs w:val="20"/>
                <w:spacing w:val="1"/>
              </w:rPr>
              <w:t>电磁辐射</w:t>
            </w:r>
          </w:p>
        </w:tc>
        <w:tc>
          <w:tcPr>
            <w:tcW w:w="7313" w:type="dxa"/>
            <w:vAlign w:val="top"/>
            <w:gridSpan w:val="4"/>
          </w:tcPr>
          <w:p>
            <w:pPr>
              <w:pStyle w:val="TableText"/>
              <w:ind w:left="3556"/>
              <w:spacing w:before="146" w:line="228" w:lineRule="auto"/>
              <w:rPr>
                <w:sz w:val="20"/>
                <w:szCs w:val="20"/>
              </w:rPr>
            </w:pPr>
            <w:r>
              <w:rPr>
                <w:sz w:val="20"/>
                <w:szCs w:val="20"/>
              </w:rPr>
              <w:t>无</w:t>
            </w:r>
          </w:p>
        </w:tc>
      </w:tr>
      <w:tr>
        <w:trPr>
          <w:trHeight w:val="1085" w:hRule="atLeast"/>
        </w:trPr>
        <w:tc>
          <w:tcPr>
            <w:tcW w:w="1234" w:type="dxa"/>
            <w:vAlign w:val="top"/>
            <w:gridSpan w:val="2"/>
          </w:tcPr>
          <w:p>
            <w:pPr>
              <w:pStyle w:val="TableText"/>
              <w:ind w:left="219" w:right="185" w:hanging="5"/>
              <w:spacing w:before="112" w:line="296" w:lineRule="auto"/>
              <w:jc w:val="both"/>
              <w:rPr>
                <w:sz w:val="20"/>
                <w:szCs w:val="20"/>
              </w:rPr>
            </w:pPr>
            <w:r>
              <w:rPr>
                <w:sz w:val="20"/>
                <w:szCs w:val="20"/>
                <w:spacing w:val="7"/>
              </w:rPr>
              <w:t>土壤及地</w:t>
            </w:r>
            <w:r>
              <w:rPr>
                <w:sz w:val="20"/>
                <w:szCs w:val="20"/>
              </w:rPr>
              <w:t xml:space="preserve"> </w:t>
            </w:r>
            <w:r>
              <w:rPr>
                <w:sz w:val="20"/>
                <w:szCs w:val="20"/>
                <w:spacing w:val="5"/>
              </w:rPr>
              <w:t>下水污染</w:t>
            </w:r>
            <w:r>
              <w:rPr>
                <w:sz w:val="20"/>
                <w:szCs w:val="20"/>
                <w:spacing w:val="2"/>
              </w:rPr>
              <w:t xml:space="preserve"> </w:t>
            </w:r>
            <w:r>
              <w:rPr>
                <w:sz w:val="20"/>
                <w:szCs w:val="20"/>
                <w:spacing w:val="5"/>
              </w:rPr>
              <w:t>防治措施</w:t>
            </w:r>
          </w:p>
        </w:tc>
        <w:tc>
          <w:tcPr>
            <w:tcW w:w="7313" w:type="dxa"/>
            <w:vAlign w:val="top"/>
            <w:gridSpan w:val="4"/>
          </w:tcPr>
          <w:p>
            <w:pPr>
              <w:spacing w:line="416" w:lineRule="auto"/>
              <w:rPr>
                <w:rFonts w:ascii="Arial"/>
                <w:sz w:val="21"/>
              </w:rPr>
            </w:pPr>
            <w:r/>
          </w:p>
          <w:p>
            <w:pPr>
              <w:pStyle w:val="TableText"/>
              <w:ind w:left="1454"/>
              <w:spacing w:before="65" w:line="228" w:lineRule="auto"/>
              <w:rPr>
                <w:sz w:val="20"/>
                <w:szCs w:val="20"/>
              </w:rPr>
            </w:pPr>
            <w:r>
              <w:rPr>
                <w:sz w:val="20"/>
                <w:szCs w:val="20"/>
                <w:spacing w:val="9"/>
              </w:rPr>
              <w:t>相关内容见水环境影响分析及固废环境影响分析</w:t>
            </w:r>
          </w:p>
        </w:tc>
      </w:tr>
      <w:tr>
        <w:trPr>
          <w:trHeight w:val="725" w:hRule="atLeast"/>
        </w:trPr>
        <w:tc>
          <w:tcPr>
            <w:tcW w:w="1234" w:type="dxa"/>
            <w:vAlign w:val="top"/>
            <w:gridSpan w:val="2"/>
          </w:tcPr>
          <w:p>
            <w:pPr>
              <w:pStyle w:val="TableText"/>
              <w:ind w:left="422" w:right="185" w:hanging="207"/>
              <w:spacing w:before="112" w:line="278" w:lineRule="auto"/>
              <w:rPr>
                <w:sz w:val="20"/>
                <w:szCs w:val="20"/>
              </w:rPr>
            </w:pPr>
            <w:r>
              <w:rPr>
                <w:sz w:val="20"/>
                <w:szCs w:val="20"/>
                <w:spacing w:val="6"/>
              </w:rPr>
              <w:t>生态保护</w:t>
            </w:r>
            <w:r>
              <w:rPr>
                <w:sz w:val="20"/>
                <w:szCs w:val="20"/>
                <w:spacing w:val="2"/>
              </w:rPr>
              <w:t xml:space="preserve"> </w:t>
            </w:r>
            <w:r>
              <w:rPr>
                <w:sz w:val="20"/>
                <w:szCs w:val="20"/>
                <w:spacing w:val="4"/>
              </w:rPr>
              <w:t>措施</w:t>
            </w:r>
          </w:p>
        </w:tc>
        <w:tc>
          <w:tcPr>
            <w:tcW w:w="7313" w:type="dxa"/>
            <w:vAlign w:val="top"/>
            <w:gridSpan w:val="4"/>
          </w:tcPr>
          <w:p>
            <w:pPr>
              <w:spacing w:line="268" w:lineRule="auto"/>
              <w:rPr>
                <w:rFonts w:ascii="Arial"/>
                <w:sz w:val="21"/>
              </w:rPr>
            </w:pPr>
            <w:r/>
          </w:p>
          <w:p>
            <w:pPr>
              <w:pStyle w:val="TableText"/>
              <w:ind w:left="2505"/>
              <w:spacing w:before="65" w:line="228" w:lineRule="auto"/>
              <w:rPr>
                <w:sz w:val="20"/>
                <w:szCs w:val="20"/>
              </w:rPr>
            </w:pPr>
            <w:r>
              <w:rPr>
                <w:sz w:val="20"/>
                <w:szCs w:val="20"/>
                <w:spacing w:val="7"/>
              </w:rPr>
              <w:t>相关内容见</w:t>
            </w:r>
            <w:r>
              <w:rPr>
                <w:rFonts w:ascii="Times New Roman" w:hAnsi="Times New Roman" w:eastAsia="Times New Roman" w:cs="Times New Roman"/>
                <w:sz w:val="20"/>
                <w:szCs w:val="20"/>
                <w:spacing w:val="7"/>
              </w:rPr>
              <w:t>4.2.5</w:t>
            </w:r>
            <w:r>
              <w:rPr>
                <w:sz w:val="20"/>
                <w:szCs w:val="20"/>
                <w:spacing w:val="7"/>
              </w:rPr>
              <w:t>生态环境影响</w:t>
            </w:r>
          </w:p>
        </w:tc>
      </w:tr>
      <w:tr>
        <w:trPr>
          <w:trHeight w:val="725" w:hRule="atLeast"/>
        </w:trPr>
        <w:tc>
          <w:tcPr>
            <w:tcW w:w="1234" w:type="dxa"/>
            <w:vAlign w:val="top"/>
            <w:gridSpan w:val="2"/>
          </w:tcPr>
          <w:p>
            <w:pPr>
              <w:pStyle w:val="TableText"/>
              <w:ind w:left="226" w:right="185" w:hanging="13"/>
              <w:spacing w:before="112" w:line="278" w:lineRule="auto"/>
              <w:rPr>
                <w:sz w:val="20"/>
                <w:szCs w:val="20"/>
              </w:rPr>
            </w:pPr>
            <w:r>
              <w:rPr>
                <w:sz w:val="20"/>
                <w:szCs w:val="20"/>
                <w:spacing w:val="7"/>
              </w:rPr>
              <w:t>环境风险</w:t>
            </w:r>
            <w:r>
              <w:rPr>
                <w:sz w:val="20"/>
                <w:szCs w:val="20"/>
              </w:rPr>
              <w:t xml:space="preserve"> </w:t>
            </w:r>
            <w:r>
              <w:rPr>
                <w:sz w:val="20"/>
                <w:szCs w:val="20"/>
                <w:spacing w:val="4"/>
              </w:rPr>
              <w:t>防范措施</w:t>
            </w:r>
          </w:p>
        </w:tc>
        <w:tc>
          <w:tcPr>
            <w:tcW w:w="7313" w:type="dxa"/>
            <w:vAlign w:val="top"/>
            <w:gridSpan w:val="4"/>
          </w:tcPr>
          <w:p>
            <w:pPr>
              <w:spacing w:line="268" w:lineRule="auto"/>
              <w:rPr>
                <w:rFonts w:ascii="Arial"/>
                <w:sz w:val="21"/>
              </w:rPr>
            </w:pPr>
            <w:r/>
          </w:p>
          <w:p>
            <w:pPr>
              <w:pStyle w:val="TableText"/>
              <w:ind w:left="2085"/>
              <w:spacing w:before="65" w:line="228" w:lineRule="auto"/>
              <w:rPr>
                <w:sz w:val="20"/>
                <w:szCs w:val="20"/>
              </w:rPr>
            </w:pPr>
            <w:r>
              <w:rPr>
                <w:sz w:val="20"/>
                <w:szCs w:val="20"/>
                <w:spacing w:val="7"/>
              </w:rPr>
              <w:t>相关内容见</w:t>
            </w:r>
            <w:r>
              <w:rPr>
                <w:rFonts w:ascii="Times New Roman" w:hAnsi="Times New Roman" w:eastAsia="Times New Roman" w:cs="Times New Roman"/>
                <w:sz w:val="20"/>
                <w:szCs w:val="20"/>
                <w:spacing w:val="7"/>
              </w:rPr>
              <w:t>4.2.6</w:t>
            </w:r>
            <w:r>
              <w:rPr>
                <w:sz w:val="20"/>
                <w:szCs w:val="20"/>
                <w:spacing w:val="7"/>
              </w:rPr>
              <w:t>环境风险防范措施实施</w:t>
            </w:r>
          </w:p>
        </w:tc>
      </w:tr>
      <w:tr>
        <w:trPr>
          <w:trHeight w:val="1017" w:hRule="atLeast"/>
        </w:trPr>
        <w:tc>
          <w:tcPr>
            <w:tcW w:w="1234" w:type="dxa"/>
            <w:vAlign w:val="top"/>
            <w:gridSpan w:val="2"/>
          </w:tcPr>
          <w:p>
            <w:pPr>
              <w:pStyle w:val="TableText"/>
              <w:ind w:left="156"/>
              <w:spacing w:before="200" w:line="499" w:lineRule="exact"/>
              <w:rPr/>
            </w:pPr>
            <w:r>
              <w:rPr>
                <w:spacing w:val="-3"/>
                <w:position w:val="19"/>
              </w:rPr>
              <w:t>其他环境</w:t>
            </w:r>
          </w:p>
          <w:p>
            <w:pPr>
              <w:pStyle w:val="TableText"/>
              <w:ind w:left="160"/>
              <w:spacing w:line="219" w:lineRule="auto"/>
              <w:rPr/>
            </w:pPr>
            <w:r>
              <w:rPr>
                <w:spacing w:val="-4"/>
              </w:rPr>
              <w:t>管理要求</w:t>
            </w:r>
          </w:p>
        </w:tc>
        <w:tc>
          <w:tcPr>
            <w:tcW w:w="7313" w:type="dxa"/>
            <w:vAlign w:val="top"/>
            <w:gridSpan w:val="4"/>
          </w:tcPr>
          <w:p>
            <w:pPr>
              <w:pStyle w:val="TableText"/>
              <w:ind w:left="114"/>
              <w:spacing w:before="164" w:line="220" w:lineRule="auto"/>
              <w:outlineLvl w:val="1"/>
              <w:rPr>
                <w:sz w:val="28"/>
                <w:szCs w:val="28"/>
              </w:rPr>
            </w:pPr>
            <w:r>
              <w:rPr>
                <w:rFonts w:ascii="Times New Roman" w:hAnsi="Times New Roman" w:eastAsia="Times New Roman" w:cs="Times New Roman"/>
                <w:sz w:val="28"/>
                <w:szCs w:val="28"/>
                <w:b/>
                <w:bCs/>
                <w:spacing w:val="-1"/>
              </w:rPr>
              <w:t>5.1“</w:t>
            </w:r>
            <w:r>
              <w:rPr>
                <w:sz w:val="28"/>
                <w:szCs w:val="28"/>
                <w14:textOutline w14:w="5103" w14:cap="sq" w14:cmpd="sng">
                  <w14:solidFill>
                    <w14:srgbClr w14:val="000000"/>
                  </w14:solidFill>
                  <w14:prstDash w14:val="solid"/>
                  <w14:bevel/>
                </w14:textOutline>
                <w:spacing w:val="-1"/>
              </w:rPr>
              <w:t>三同时</w:t>
            </w:r>
            <w:r>
              <w:rPr>
                <w:rFonts w:ascii="Times New Roman" w:hAnsi="Times New Roman" w:eastAsia="Times New Roman" w:cs="Times New Roman"/>
                <w:sz w:val="28"/>
                <w:szCs w:val="28"/>
                <w:b/>
                <w:bCs/>
                <w:spacing w:val="-1"/>
              </w:rPr>
              <w:t>”</w:t>
            </w:r>
            <w:r>
              <w:rPr>
                <w:sz w:val="28"/>
                <w:szCs w:val="28"/>
                <w14:textOutline w14:w="5103" w14:cap="sq" w14:cmpd="sng">
                  <w14:solidFill>
                    <w14:srgbClr w14:val="000000"/>
                  </w14:solidFill>
                  <w14:prstDash w14:val="solid"/>
                  <w14:bevel/>
                </w14:textOutline>
                <w:spacing w:val="-1"/>
              </w:rPr>
              <w:t>验收</w:t>
            </w:r>
          </w:p>
          <w:p>
            <w:pPr>
              <w:pStyle w:val="TableText"/>
              <w:ind w:left="596"/>
              <w:spacing w:before="200" w:line="219" w:lineRule="auto"/>
              <w:rPr/>
            </w:pPr>
            <w:r>
              <w:rPr>
                <w:spacing w:val="-4"/>
              </w:rPr>
              <w:t>建设单位在本项目建成投产后生产工况达到设计规模</w:t>
            </w:r>
            <w:r>
              <w:rPr>
                <w:spacing w:val="-5"/>
              </w:rPr>
              <w:t>时，应按照</w:t>
            </w:r>
          </w:p>
        </w:tc>
      </w:tr>
    </w:tbl>
    <w:p>
      <w:pPr>
        <w:pStyle w:val="BodyText"/>
        <w:rPr/>
      </w:pPr>
      <w:r/>
    </w:p>
    <w:p>
      <w:pPr>
        <w:sectPr>
          <w:footerReference w:type="default" r:id="rId238"/>
          <w:pgSz w:w="11906" w:h="16839"/>
          <w:pgMar w:top="400" w:right="1687" w:bottom="1211" w:left="1665"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3"/>
        <w:gridCol w:w="7313"/>
      </w:tblGrid>
      <w:tr>
        <w:trPr>
          <w:trHeight w:val="13818" w:hRule="atLeast"/>
        </w:trPr>
        <w:tc>
          <w:tcPr>
            <w:tcW w:w="1213" w:type="dxa"/>
            <w:vAlign w:val="top"/>
          </w:tcPr>
          <w:p>
            <w:pPr>
              <w:rPr>
                <w:rFonts w:ascii="Arial"/>
                <w:sz w:val="21"/>
              </w:rPr>
            </w:pPr>
            <w:r/>
          </w:p>
        </w:tc>
        <w:tc>
          <w:tcPr>
            <w:tcW w:w="7313" w:type="dxa"/>
            <w:vAlign w:val="top"/>
          </w:tcPr>
          <w:p>
            <w:pPr>
              <w:pStyle w:val="TableText"/>
              <w:ind w:right="3"/>
              <w:spacing w:before="200" w:line="499" w:lineRule="exact"/>
              <w:jc w:val="right"/>
              <w:rPr/>
            </w:pPr>
            <w:r>
              <w:rPr>
                <w:spacing w:val="-1"/>
                <w:position w:val="19"/>
              </w:rPr>
              <w:t>《建设项目竣工环境保护验收暂行办法》，及时组织竣工验收申请，</w:t>
            </w:r>
          </w:p>
          <w:p>
            <w:pPr>
              <w:pStyle w:val="TableText"/>
              <w:ind w:left="111"/>
              <w:spacing w:line="219" w:lineRule="auto"/>
              <w:rPr/>
            </w:pPr>
            <w:r>
              <w:rPr>
                <w:spacing w:val="-2"/>
              </w:rPr>
              <w:t>进行验收。</w:t>
            </w:r>
          </w:p>
          <w:p>
            <w:pPr>
              <w:pStyle w:val="TableText"/>
              <w:ind w:left="593"/>
              <w:spacing w:before="214" w:line="219" w:lineRule="auto"/>
              <w:rPr/>
            </w:pPr>
            <w:r>
              <w:rPr>
                <w:spacing w:val="-3"/>
              </w:rPr>
              <w:t>环评建议的验收一览表见表</w:t>
            </w:r>
            <w:r>
              <w:rPr>
                <w:rFonts w:ascii="Times New Roman" w:hAnsi="Times New Roman" w:eastAsia="Times New Roman" w:cs="Times New Roman"/>
                <w:spacing w:val="-3"/>
              </w:rPr>
              <w:t>5.1-</w:t>
            </w:r>
            <w:r>
              <w:rPr>
                <w:rFonts w:ascii="Times New Roman" w:hAnsi="Times New Roman" w:eastAsia="Times New Roman" w:cs="Times New Roman"/>
                <w:spacing w:val="-18"/>
              </w:rPr>
              <w:t xml:space="preserve"> </w:t>
            </w:r>
            <w:r>
              <w:rPr>
                <w:rFonts w:ascii="Times New Roman" w:hAnsi="Times New Roman" w:eastAsia="Times New Roman" w:cs="Times New Roman"/>
                <w:spacing w:val="-3"/>
              </w:rPr>
              <w:t>1</w:t>
            </w:r>
            <w:r>
              <w:rPr>
                <w:spacing w:val="-3"/>
              </w:rPr>
              <w:t>。</w:t>
            </w:r>
          </w:p>
          <w:p>
            <w:pPr>
              <w:pStyle w:val="TableText"/>
              <w:ind w:left="1427"/>
              <w:spacing w:before="65" w:line="212" w:lineRule="auto"/>
              <w:rPr/>
            </w:pPr>
            <w:r>
              <w:rPr>
                <w14:textOutline w14:w="4358" w14:cap="sq" w14:cmpd="sng">
                  <w14:solidFill>
                    <w14:srgbClr w14:val="000000"/>
                  </w14:solidFill>
                  <w14:prstDash w14:val="solid"/>
                  <w14:bevel/>
                </w14:textOutline>
                <w:spacing w:val="-1"/>
              </w:rPr>
              <w:t>表5.1-1</w:t>
            </w:r>
            <w:r>
              <w:rPr>
                <w:spacing w:val="-1"/>
              </w:rPr>
              <w:t xml:space="preserve">  </w:t>
            </w:r>
            <w:r>
              <w:rPr>
                <w14:textOutline w14:w="4358" w14:cap="sq" w14:cmpd="sng">
                  <w14:solidFill>
                    <w14:srgbClr w14:val="000000"/>
                  </w14:solidFill>
                  <w14:prstDash w14:val="solid"/>
                  <w14:bevel/>
                </w14:textOutline>
                <w:spacing w:val="-1"/>
              </w:rPr>
              <w:t>环保设施“三同时</w:t>
            </w:r>
            <w:r>
              <w:rPr>
                <w:spacing w:val="-84"/>
              </w:rPr>
              <w:t xml:space="preserve"> </w:t>
            </w:r>
            <w:r>
              <w:rPr>
                <w14:textOutline w14:w="4358" w14:cap="sq" w14:cmpd="sng">
                  <w14:solidFill>
                    <w14:srgbClr w14:val="000000"/>
                  </w14:solidFill>
                  <w14:prstDash w14:val="solid"/>
                  <w14:bevel/>
                </w14:textOutline>
                <w:spacing w:val="-1"/>
              </w:rPr>
              <w:t>”竣工验收一览表</w:t>
            </w:r>
          </w:p>
          <w:tbl>
            <w:tblPr>
              <w:tblStyle w:val="TableNormal"/>
              <w:tblW w:w="7096" w:type="dxa"/>
              <w:tblInd w:w="10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3"/>
              <w:gridCol w:w="1108"/>
              <w:gridCol w:w="1460"/>
              <w:gridCol w:w="680"/>
              <w:gridCol w:w="3195"/>
            </w:tblGrid>
            <w:tr>
              <w:trPr>
                <w:trHeight w:val="727" w:hRule="atLeast"/>
              </w:trPr>
              <w:tc>
                <w:tcPr>
                  <w:tcW w:w="653" w:type="dxa"/>
                  <w:vAlign w:val="top"/>
                  <w:tcBorders>
                    <w:left w:val="nil"/>
                    <w:top w:val="single" w:color="000000" w:sz="10" w:space="0"/>
                  </w:tcBorders>
                </w:tcPr>
                <w:p>
                  <w:pPr>
                    <w:pStyle w:val="TableText"/>
                    <w:ind w:left="234" w:right="13" w:hanging="214"/>
                    <w:spacing w:before="114" w:line="278" w:lineRule="auto"/>
                    <w:rPr>
                      <w:sz w:val="20"/>
                      <w:szCs w:val="20"/>
                    </w:rPr>
                  </w:pPr>
                  <w:r>
                    <w:rPr>
                      <w:sz w:val="20"/>
                      <w:szCs w:val="20"/>
                      <w:spacing w:val="5"/>
                    </w:rPr>
                    <w:t>处理对</w:t>
                  </w:r>
                  <w:r>
                    <w:rPr>
                      <w:sz w:val="20"/>
                      <w:szCs w:val="20"/>
                    </w:rPr>
                    <w:t xml:space="preserve"> </w:t>
                  </w:r>
                  <w:r>
                    <w:rPr>
                      <w:sz w:val="20"/>
                      <w:szCs w:val="20"/>
                    </w:rPr>
                    <w:t>象</w:t>
                  </w:r>
                </w:p>
              </w:tc>
              <w:tc>
                <w:tcPr>
                  <w:tcW w:w="1108" w:type="dxa"/>
                  <w:vAlign w:val="top"/>
                  <w:tcBorders>
                    <w:top w:val="single" w:color="000000" w:sz="10" w:space="0"/>
                  </w:tcBorders>
                </w:tcPr>
                <w:p>
                  <w:pPr>
                    <w:pStyle w:val="TableText"/>
                    <w:ind w:left="245"/>
                    <w:spacing w:before="294" w:line="228" w:lineRule="auto"/>
                    <w:rPr>
                      <w:sz w:val="20"/>
                      <w:szCs w:val="20"/>
                    </w:rPr>
                  </w:pPr>
                  <w:r>
                    <w:rPr>
                      <w:sz w:val="20"/>
                      <w:szCs w:val="20"/>
                      <w:spacing w:val="6"/>
                    </w:rPr>
                    <w:t>污染源</w:t>
                  </w:r>
                </w:p>
              </w:tc>
              <w:tc>
                <w:tcPr>
                  <w:tcW w:w="1460" w:type="dxa"/>
                  <w:vAlign w:val="top"/>
                  <w:tcBorders>
                    <w:top w:val="single" w:color="000000" w:sz="10" w:space="0"/>
                  </w:tcBorders>
                </w:tcPr>
                <w:p>
                  <w:pPr>
                    <w:pStyle w:val="TableText"/>
                    <w:ind w:left="106"/>
                    <w:spacing w:before="294" w:line="228" w:lineRule="auto"/>
                    <w:rPr>
                      <w:sz w:val="20"/>
                      <w:szCs w:val="20"/>
                    </w:rPr>
                  </w:pPr>
                  <w:r>
                    <w:rPr>
                      <w:sz w:val="20"/>
                      <w:szCs w:val="20"/>
                      <w:spacing w:val="7"/>
                    </w:rPr>
                    <w:t>污染防治措施</w:t>
                  </w:r>
                </w:p>
              </w:tc>
              <w:tc>
                <w:tcPr>
                  <w:tcW w:w="680" w:type="dxa"/>
                  <w:vAlign w:val="top"/>
                  <w:tcBorders>
                    <w:top w:val="single" w:color="000000" w:sz="10" w:space="0"/>
                  </w:tcBorders>
                </w:tcPr>
                <w:p>
                  <w:pPr>
                    <w:pStyle w:val="TableText"/>
                    <w:ind w:left="31"/>
                    <w:spacing w:before="113" w:line="231" w:lineRule="auto"/>
                    <w:rPr>
                      <w:sz w:val="20"/>
                      <w:szCs w:val="20"/>
                    </w:rPr>
                  </w:pPr>
                  <w:r>
                    <w:rPr>
                      <w:sz w:val="20"/>
                      <w:szCs w:val="20"/>
                      <w:spacing w:val="6"/>
                    </w:rPr>
                    <w:t>主要污</w:t>
                  </w:r>
                </w:p>
                <w:p>
                  <w:pPr>
                    <w:pStyle w:val="TableText"/>
                    <w:ind w:left="138"/>
                    <w:spacing w:before="110" w:line="224" w:lineRule="auto"/>
                    <w:rPr>
                      <w:sz w:val="20"/>
                      <w:szCs w:val="20"/>
                    </w:rPr>
                  </w:pPr>
                  <w:r>
                    <w:rPr>
                      <w:sz w:val="20"/>
                      <w:szCs w:val="20"/>
                      <w:spacing w:val="3"/>
                    </w:rPr>
                    <w:t>染物</w:t>
                  </w:r>
                </w:p>
              </w:tc>
              <w:tc>
                <w:tcPr>
                  <w:tcW w:w="3195" w:type="dxa"/>
                  <w:vAlign w:val="top"/>
                  <w:tcBorders>
                    <w:right w:val="nil"/>
                    <w:top w:val="single" w:color="000000" w:sz="10" w:space="0"/>
                  </w:tcBorders>
                </w:tcPr>
                <w:p>
                  <w:pPr>
                    <w:pStyle w:val="TableText"/>
                    <w:ind w:left="1185"/>
                    <w:spacing w:before="294" w:line="228" w:lineRule="auto"/>
                    <w:rPr>
                      <w:sz w:val="20"/>
                      <w:szCs w:val="20"/>
                    </w:rPr>
                  </w:pPr>
                  <w:r>
                    <w:rPr>
                      <w:sz w:val="20"/>
                      <w:szCs w:val="20"/>
                      <w:spacing w:val="7"/>
                    </w:rPr>
                    <w:t>验收要求</w:t>
                  </w:r>
                </w:p>
              </w:tc>
            </w:tr>
            <w:tr>
              <w:trPr>
                <w:trHeight w:val="1201" w:hRule="atLeast"/>
              </w:trPr>
              <w:tc>
                <w:tcPr>
                  <w:tcW w:w="653" w:type="dxa"/>
                  <w:vAlign w:val="top"/>
                  <w:vMerge w:val="restart"/>
                  <w:tcBorders>
                    <w:left w:val="nil"/>
                    <w:bottom w:val="nil"/>
                  </w:tcBorders>
                </w:tcPr>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120"/>
                    <w:spacing w:before="65" w:line="228" w:lineRule="auto"/>
                    <w:rPr>
                      <w:sz w:val="20"/>
                      <w:szCs w:val="20"/>
                    </w:rPr>
                  </w:pPr>
                  <w:r>
                    <w:rPr>
                      <w:sz w:val="20"/>
                      <w:szCs w:val="20"/>
                      <w:spacing w:val="5"/>
                    </w:rPr>
                    <w:t>废气</w:t>
                  </w:r>
                </w:p>
              </w:tc>
              <w:tc>
                <w:tcPr>
                  <w:tcW w:w="1108" w:type="dxa"/>
                  <w:vAlign w:val="top"/>
                </w:tcPr>
                <w:p>
                  <w:pPr>
                    <w:spacing w:line="284" w:lineRule="auto"/>
                    <w:rPr>
                      <w:rFonts w:ascii="Arial"/>
                      <w:sz w:val="21"/>
                    </w:rPr>
                  </w:pPr>
                  <w:r/>
                </w:p>
                <w:p>
                  <w:pPr>
                    <w:pStyle w:val="TableText"/>
                    <w:ind w:left="348" w:right="27" w:hanging="314"/>
                    <w:spacing w:before="65" w:line="281" w:lineRule="auto"/>
                    <w:rPr>
                      <w:sz w:val="20"/>
                      <w:szCs w:val="20"/>
                    </w:rPr>
                  </w:pPr>
                  <w:r>
                    <w:rPr>
                      <w:sz w:val="20"/>
                      <w:szCs w:val="20"/>
                      <w:spacing w:val="8"/>
                    </w:rPr>
                    <w:t>地膜生产排</w:t>
                  </w:r>
                  <w:r>
                    <w:rPr>
                      <w:sz w:val="20"/>
                      <w:szCs w:val="20"/>
                    </w:rPr>
                    <w:t xml:space="preserve"> </w:t>
                  </w:r>
                  <w:r>
                    <w:rPr>
                      <w:sz w:val="20"/>
                      <w:szCs w:val="20"/>
                      <w:spacing w:val="4"/>
                    </w:rPr>
                    <w:t>放口</w:t>
                  </w:r>
                </w:p>
              </w:tc>
              <w:tc>
                <w:tcPr>
                  <w:tcW w:w="1460" w:type="dxa"/>
                  <w:vAlign w:val="top"/>
                </w:tcPr>
                <w:p>
                  <w:pPr>
                    <w:pStyle w:val="TableText"/>
                    <w:ind w:left="50"/>
                    <w:spacing w:before="212" w:line="227" w:lineRule="auto"/>
                    <w:rPr>
                      <w:sz w:val="20"/>
                      <w:szCs w:val="20"/>
                    </w:rPr>
                  </w:pPr>
                  <w:r>
                    <w:rPr>
                      <w:sz w:val="20"/>
                      <w:szCs w:val="20"/>
                      <w:spacing w:val="7"/>
                    </w:rPr>
                    <w:t>活性炭吸附</w:t>
                  </w:r>
                  <w:r>
                    <w:rPr>
                      <w:rFonts w:ascii="Times New Roman" w:hAnsi="Times New Roman" w:eastAsia="Times New Roman" w:cs="Times New Roman"/>
                      <w:sz w:val="20"/>
                      <w:szCs w:val="20"/>
                      <w:spacing w:val="7"/>
                    </w:rPr>
                    <w:t>+</w:t>
                  </w:r>
                  <w:r>
                    <w:rPr>
                      <w:sz w:val="20"/>
                      <w:szCs w:val="20"/>
                      <w:spacing w:val="7"/>
                    </w:rPr>
                    <w:t>直</w:t>
                  </w:r>
                </w:p>
                <w:p>
                  <w:pPr>
                    <w:pStyle w:val="TableText"/>
                    <w:ind w:left="104"/>
                    <w:spacing w:before="54" w:line="227" w:lineRule="auto"/>
                    <w:rPr>
                      <w:sz w:val="20"/>
                      <w:szCs w:val="20"/>
                    </w:rPr>
                  </w:pPr>
                  <w:r>
                    <w:rPr>
                      <w:sz w:val="20"/>
                      <w:szCs w:val="20"/>
                      <w:spacing w:val="8"/>
                    </w:rPr>
                    <w:t>接催化燃烧法</w:t>
                  </w:r>
                </w:p>
                <w:p>
                  <w:pPr>
                    <w:pStyle w:val="TableText"/>
                    <w:ind w:left="170"/>
                    <w:spacing w:before="53" w:line="228" w:lineRule="auto"/>
                    <w:rPr>
                      <w:sz w:val="20"/>
                      <w:szCs w:val="20"/>
                    </w:rPr>
                  </w:pPr>
                  <w:r>
                    <w:rPr>
                      <w:rFonts w:ascii="Times New Roman" w:hAnsi="Times New Roman" w:eastAsia="Times New Roman" w:cs="Times New Roman"/>
                      <w:sz w:val="20"/>
                      <w:szCs w:val="20"/>
                      <w:spacing w:val="6"/>
                    </w:rPr>
                    <w:t>+15m</w:t>
                  </w:r>
                  <w:r>
                    <w:rPr>
                      <w:sz w:val="20"/>
                      <w:szCs w:val="20"/>
                      <w:spacing w:val="6"/>
                    </w:rPr>
                    <w:t>排气筒</w:t>
                  </w:r>
                </w:p>
              </w:tc>
              <w:tc>
                <w:tcPr>
                  <w:tcW w:w="680" w:type="dxa"/>
                  <w:vAlign w:val="top"/>
                </w:tcPr>
                <w:p>
                  <w:pPr>
                    <w:spacing w:line="285" w:lineRule="auto"/>
                    <w:rPr>
                      <w:rFonts w:ascii="Arial"/>
                      <w:sz w:val="21"/>
                    </w:rPr>
                  </w:pPr>
                  <w:r/>
                </w:p>
                <w:p>
                  <w:pPr>
                    <w:pStyle w:val="TableText"/>
                    <w:ind w:left="33"/>
                    <w:spacing w:before="65" w:line="228" w:lineRule="auto"/>
                    <w:rPr>
                      <w:sz w:val="20"/>
                      <w:szCs w:val="20"/>
                    </w:rPr>
                  </w:pPr>
                  <w:r>
                    <w:rPr>
                      <w:sz w:val="20"/>
                      <w:szCs w:val="20"/>
                      <w:spacing w:val="5"/>
                    </w:rPr>
                    <w:t>非甲烷</w:t>
                  </w:r>
                </w:p>
                <w:p>
                  <w:pPr>
                    <w:pStyle w:val="TableText"/>
                    <w:ind w:left="141"/>
                    <w:spacing w:before="113" w:line="228" w:lineRule="auto"/>
                    <w:rPr>
                      <w:sz w:val="20"/>
                      <w:szCs w:val="20"/>
                    </w:rPr>
                  </w:pPr>
                  <w:r>
                    <w:rPr>
                      <w:sz w:val="20"/>
                      <w:szCs w:val="20"/>
                      <w:spacing w:val="2"/>
                    </w:rPr>
                    <w:t>总烃</w:t>
                  </w:r>
                </w:p>
              </w:tc>
              <w:tc>
                <w:tcPr>
                  <w:tcW w:w="3195" w:type="dxa"/>
                  <w:vAlign w:val="top"/>
                  <w:tcBorders>
                    <w:right w:val="nil"/>
                  </w:tcBorders>
                </w:tcPr>
                <w:p>
                  <w:pPr>
                    <w:pStyle w:val="TableText"/>
                    <w:ind w:left="36"/>
                    <w:spacing w:before="61" w:line="228" w:lineRule="auto"/>
                    <w:rPr>
                      <w:sz w:val="20"/>
                      <w:szCs w:val="20"/>
                    </w:rPr>
                  </w:pPr>
                  <w:r>
                    <w:rPr>
                      <w:sz w:val="20"/>
                      <w:szCs w:val="20"/>
                      <w:spacing w:val="8"/>
                    </w:rPr>
                    <w:t>《合成树脂工业污染物排放标准》</w:t>
                  </w:r>
                </w:p>
                <w:p>
                  <w:pPr>
                    <w:pStyle w:val="TableText"/>
                    <w:ind w:left="70"/>
                    <w:spacing w:before="53" w:line="228" w:lineRule="auto"/>
                    <w:rPr>
                      <w:sz w:val="20"/>
                      <w:szCs w:val="20"/>
                    </w:rPr>
                  </w:pPr>
                  <w:r>
                    <w:rPr>
                      <w:sz w:val="20"/>
                      <w:szCs w:val="20"/>
                      <w:spacing w:val="6"/>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31572-2015</w:t>
                  </w:r>
                  <w:r>
                    <w:rPr>
                      <w:sz w:val="20"/>
                      <w:szCs w:val="20"/>
                      <w:spacing w:val="6"/>
                    </w:rPr>
                    <w:t>）中表</w:t>
                  </w:r>
                  <w:r>
                    <w:rPr>
                      <w:rFonts w:ascii="Times New Roman" w:hAnsi="Times New Roman" w:eastAsia="Times New Roman" w:cs="Times New Roman"/>
                      <w:sz w:val="20"/>
                      <w:szCs w:val="20"/>
                      <w:spacing w:val="6"/>
                    </w:rPr>
                    <w:t>5</w:t>
                  </w:r>
                  <w:r>
                    <w:rPr>
                      <w:sz w:val="20"/>
                      <w:szCs w:val="20"/>
                      <w:spacing w:val="6"/>
                    </w:rPr>
                    <w:t>大气污染</w:t>
                  </w:r>
                </w:p>
                <w:p>
                  <w:pPr>
                    <w:pStyle w:val="TableText"/>
                    <w:ind w:left="660"/>
                    <w:spacing w:before="52" w:line="228" w:lineRule="auto"/>
                    <w:rPr>
                      <w:sz w:val="20"/>
                      <w:szCs w:val="20"/>
                    </w:rPr>
                  </w:pPr>
                  <w:r>
                    <w:rPr>
                      <w:sz w:val="20"/>
                      <w:szCs w:val="20"/>
                      <w:spacing w:val="8"/>
                    </w:rPr>
                    <w:t>物特别排放限值要求</w:t>
                  </w:r>
                </w:p>
                <w:p>
                  <w:pPr>
                    <w:pStyle w:val="TableText"/>
                    <w:ind w:left="372"/>
                    <w:spacing w:before="53" w:line="212" w:lineRule="auto"/>
                    <w:rPr>
                      <w:sz w:val="20"/>
                      <w:szCs w:val="20"/>
                    </w:rPr>
                  </w:pPr>
                  <w:r>
                    <w:rPr>
                      <w:sz w:val="20"/>
                      <w:szCs w:val="20"/>
                      <w:spacing w:val="6"/>
                    </w:rPr>
                    <w:t>（非甲烷总烃≤</w:t>
                  </w:r>
                  <w:r>
                    <w:rPr>
                      <w:rFonts w:ascii="Times New Roman" w:hAnsi="Times New Roman" w:eastAsia="Times New Roman" w:cs="Times New Roman"/>
                      <w:sz w:val="20"/>
                      <w:szCs w:val="20"/>
                      <w:spacing w:val="6"/>
                    </w:rPr>
                    <w:t>60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6"/>
                    </w:rPr>
                    <w:t>/m</w:t>
                  </w:r>
                  <w:r>
                    <w:rPr>
                      <w:sz w:val="20"/>
                      <w:szCs w:val="20"/>
                      <w:spacing w:val="6"/>
                    </w:rPr>
                    <w:t>³)</w:t>
                  </w:r>
                </w:p>
              </w:tc>
            </w:tr>
            <w:tr>
              <w:trPr>
                <w:trHeight w:val="2517" w:hRule="atLeast"/>
              </w:trPr>
              <w:tc>
                <w:tcPr>
                  <w:tcW w:w="653" w:type="dxa"/>
                  <w:vAlign w:val="top"/>
                  <w:vMerge w:val="continue"/>
                  <w:tcBorders>
                    <w:left w:val="nil"/>
                    <w:top w:val="nil"/>
                  </w:tcBorders>
                </w:tcPr>
                <w:p>
                  <w:pPr>
                    <w:rPr>
                      <w:rFonts w:ascii="Arial"/>
                      <w:sz w:val="21"/>
                    </w:rPr>
                  </w:pPr>
                  <w:r/>
                </w:p>
              </w:tc>
              <w:tc>
                <w:tcPr>
                  <w:tcW w:w="1108" w:type="dxa"/>
                  <w:vAlign w:val="top"/>
                </w:tcPr>
                <w:p>
                  <w:pPr>
                    <w:spacing w:line="280" w:lineRule="auto"/>
                    <w:rPr>
                      <w:rFonts w:ascii="Arial"/>
                      <w:sz w:val="21"/>
                    </w:rPr>
                  </w:pPr>
                  <w:r/>
                </w:p>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pStyle w:val="TableText"/>
                    <w:ind w:left="142"/>
                    <w:spacing w:before="65" w:line="228" w:lineRule="auto"/>
                    <w:rPr>
                      <w:sz w:val="20"/>
                      <w:szCs w:val="20"/>
                    </w:rPr>
                  </w:pPr>
                  <w:r>
                    <w:rPr>
                      <w:sz w:val="20"/>
                      <w:szCs w:val="20"/>
                      <w:spacing w:val="6"/>
                    </w:rPr>
                    <w:t>生产车间</w:t>
                  </w:r>
                </w:p>
              </w:tc>
              <w:tc>
                <w:tcPr>
                  <w:tcW w:w="1460" w:type="dxa"/>
                  <w:vAlign w:val="top"/>
                </w:tcPr>
                <w:p>
                  <w:pPr>
                    <w:spacing w:line="317" w:lineRule="auto"/>
                    <w:rPr>
                      <w:rFonts w:ascii="Arial"/>
                      <w:sz w:val="21"/>
                    </w:rPr>
                  </w:pPr>
                  <w:r/>
                </w:p>
                <w:p>
                  <w:pPr>
                    <w:spacing w:line="318" w:lineRule="auto"/>
                    <w:rPr>
                      <w:rFonts w:ascii="Arial"/>
                      <w:sz w:val="21"/>
                    </w:rPr>
                  </w:pPr>
                  <w:r/>
                </w:p>
                <w:p>
                  <w:pPr>
                    <w:spacing w:line="318" w:lineRule="auto"/>
                    <w:rPr>
                      <w:rFonts w:ascii="Arial"/>
                      <w:sz w:val="21"/>
                    </w:rPr>
                  </w:pPr>
                  <w:r/>
                </w:p>
                <w:p>
                  <w:pPr>
                    <w:pStyle w:val="TableText"/>
                    <w:ind w:left="32" w:right="4" w:firstLine="73"/>
                    <w:spacing w:before="65" w:line="253" w:lineRule="auto"/>
                    <w:rPr>
                      <w:sz w:val="20"/>
                      <w:szCs w:val="20"/>
                    </w:rPr>
                  </w:pPr>
                  <w:r>
                    <w:rPr>
                      <w:sz w:val="20"/>
                      <w:szCs w:val="20"/>
                      <w:spacing w:val="8"/>
                    </w:rPr>
                    <w:t>加强集气罩密</w:t>
                  </w:r>
                  <w:r>
                    <w:rPr>
                      <w:sz w:val="20"/>
                      <w:szCs w:val="20"/>
                    </w:rPr>
                    <w:t xml:space="preserve">  </w:t>
                  </w:r>
                  <w:r>
                    <w:rPr>
                      <w:sz w:val="20"/>
                      <w:szCs w:val="20"/>
                      <w:spacing w:val="2"/>
                    </w:rPr>
                    <w:t>闭性，定期通风</w:t>
                  </w:r>
                </w:p>
              </w:tc>
              <w:tc>
                <w:tcPr>
                  <w:tcW w:w="680" w:type="dxa"/>
                  <w:vAlign w:val="top"/>
                </w:tcPr>
                <w:p>
                  <w:pPr>
                    <w:spacing w:line="315" w:lineRule="auto"/>
                    <w:rPr>
                      <w:rFonts w:ascii="Arial"/>
                      <w:sz w:val="21"/>
                    </w:rPr>
                  </w:pPr>
                  <w:r/>
                </w:p>
                <w:p>
                  <w:pPr>
                    <w:spacing w:line="315" w:lineRule="auto"/>
                    <w:rPr>
                      <w:rFonts w:ascii="Arial"/>
                      <w:sz w:val="21"/>
                    </w:rPr>
                  </w:pPr>
                  <w:r/>
                </w:p>
                <w:p>
                  <w:pPr>
                    <w:spacing w:line="315" w:lineRule="auto"/>
                    <w:rPr>
                      <w:rFonts w:ascii="Arial"/>
                      <w:sz w:val="21"/>
                    </w:rPr>
                  </w:pPr>
                  <w:r/>
                </w:p>
                <w:p>
                  <w:pPr>
                    <w:pStyle w:val="TableText"/>
                    <w:ind w:left="33"/>
                    <w:spacing w:before="65" w:line="228" w:lineRule="auto"/>
                    <w:rPr>
                      <w:sz w:val="20"/>
                      <w:szCs w:val="20"/>
                    </w:rPr>
                  </w:pPr>
                  <w:r>
                    <w:rPr>
                      <w:sz w:val="20"/>
                      <w:szCs w:val="20"/>
                      <w:spacing w:val="5"/>
                    </w:rPr>
                    <w:t>非甲烷</w:t>
                  </w:r>
                </w:p>
                <w:p>
                  <w:pPr>
                    <w:pStyle w:val="TableText"/>
                    <w:ind w:left="141"/>
                    <w:spacing w:before="113" w:line="228" w:lineRule="auto"/>
                    <w:rPr>
                      <w:sz w:val="20"/>
                      <w:szCs w:val="20"/>
                    </w:rPr>
                  </w:pPr>
                  <w:r>
                    <w:rPr>
                      <w:sz w:val="20"/>
                      <w:szCs w:val="20"/>
                      <w:spacing w:val="2"/>
                    </w:rPr>
                    <w:t>总烃</w:t>
                  </w:r>
                </w:p>
              </w:tc>
              <w:tc>
                <w:tcPr>
                  <w:tcW w:w="3195" w:type="dxa"/>
                  <w:vAlign w:val="top"/>
                  <w:tcBorders>
                    <w:right w:val="nil"/>
                  </w:tcBorders>
                </w:tcPr>
                <w:p>
                  <w:pPr>
                    <w:pStyle w:val="TableText"/>
                    <w:ind w:left="34" w:right="15" w:firstLine="2"/>
                    <w:spacing w:before="116" w:line="311" w:lineRule="auto"/>
                    <w:rPr>
                      <w:sz w:val="20"/>
                      <w:szCs w:val="20"/>
                    </w:rPr>
                  </w:pPr>
                  <w:r>
                    <w:rPr>
                      <w:sz w:val="20"/>
                      <w:szCs w:val="20"/>
                      <w:spacing w:val="8"/>
                    </w:rPr>
                    <w:t>《合成树脂工业污染物排放标准》</w:t>
                  </w:r>
                  <w:r>
                    <w:rPr>
                      <w:sz w:val="20"/>
                      <w:szCs w:val="20"/>
                      <w:spacing w:val="1"/>
                    </w:rPr>
                    <w:t xml:space="preserve"> </w:t>
                  </w:r>
                  <w:r>
                    <w:rPr>
                      <w:sz w:val="20"/>
                      <w:szCs w:val="20"/>
                      <w:spacing w:val="8"/>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8"/>
                    </w:rPr>
                    <w:t>31572-2015</w:t>
                  </w:r>
                  <w:r>
                    <w:rPr>
                      <w:sz w:val="20"/>
                      <w:szCs w:val="20"/>
                      <w:spacing w:val="8"/>
                    </w:rPr>
                    <w:t>）中表</w:t>
                  </w:r>
                  <w:r>
                    <w:rPr>
                      <w:rFonts w:ascii="Times New Roman" w:hAnsi="Times New Roman" w:eastAsia="Times New Roman" w:cs="Times New Roman"/>
                      <w:sz w:val="20"/>
                      <w:szCs w:val="20"/>
                      <w:spacing w:val="8"/>
                    </w:rPr>
                    <w:t>9</w:t>
                  </w:r>
                  <w:r>
                    <w:rPr>
                      <w:sz w:val="20"/>
                      <w:szCs w:val="20"/>
                      <w:spacing w:val="8"/>
                    </w:rPr>
                    <w:t>企业边界</w:t>
                  </w:r>
                  <w:r>
                    <w:rPr>
                      <w:sz w:val="20"/>
                      <w:szCs w:val="20"/>
                      <w:spacing w:val="9"/>
                    </w:rPr>
                    <w:t xml:space="preserve"> </w:t>
                  </w:r>
                  <w:r>
                    <w:rPr>
                      <w:sz w:val="20"/>
                      <w:szCs w:val="20"/>
                      <w:spacing w:val="9"/>
                    </w:rPr>
                    <w:t>大气污染物浓度限值（非甲烷总烃</w:t>
                  </w:r>
                  <w:r>
                    <w:rPr>
                      <w:sz w:val="20"/>
                      <w:szCs w:val="20"/>
                      <w:spacing w:val="2"/>
                    </w:rPr>
                    <w:t xml:space="preserve"> </w:t>
                  </w:r>
                  <w:r>
                    <w:rPr>
                      <w:sz w:val="20"/>
                      <w:szCs w:val="20"/>
                    </w:rPr>
                    <w:t>≤</w:t>
                  </w:r>
                  <w:r>
                    <w:rPr>
                      <w:rFonts w:ascii="Times New Roman" w:hAnsi="Times New Roman" w:eastAsia="Times New Roman" w:cs="Times New Roman"/>
                      <w:sz w:val="20"/>
                      <w:szCs w:val="20"/>
                    </w:rPr>
                    <w:t>4.0mg/m</w:t>
                  </w:r>
                  <w:r>
                    <w:rPr>
                      <w:sz w:val="20"/>
                      <w:szCs w:val="20"/>
                    </w:rPr>
                    <w:t>³)</w:t>
                  </w:r>
                  <w:r>
                    <w:rPr>
                      <w:sz w:val="20"/>
                      <w:szCs w:val="20"/>
                      <w:spacing w:val="59"/>
                    </w:rPr>
                    <w:t xml:space="preserve"> </w:t>
                  </w:r>
                  <w:r>
                    <w:rPr>
                      <w:sz w:val="20"/>
                      <w:szCs w:val="20"/>
                    </w:rPr>
                    <w:t>;</w:t>
                  </w:r>
                  <w:r>
                    <w:rPr>
                      <w:sz w:val="20"/>
                      <w:szCs w:val="20"/>
                      <w:spacing w:val="66"/>
                    </w:rPr>
                    <w:t xml:space="preserve"> </w:t>
                  </w:r>
                  <w:r>
                    <w:rPr>
                      <w:sz w:val="20"/>
                      <w:szCs w:val="20"/>
                    </w:rPr>
                    <w:t>厂区内执行《挥发 </w:t>
                  </w:r>
                  <w:r>
                    <w:rPr>
                      <w:sz w:val="20"/>
                      <w:szCs w:val="20"/>
                      <w:spacing w:val="15"/>
                    </w:rPr>
                    <w:t>性有机物无组织排放控制标准》</w:t>
                  </w:r>
                </w:p>
                <w:p>
                  <w:pPr>
                    <w:pStyle w:val="TableText"/>
                    <w:ind w:left="127" w:hanging="107"/>
                    <w:spacing w:before="114" w:line="273" w:lineRule="auto"/>
                    <w:rPr>
                      <w:sz w:val="20"/>
                      <w:szCs w:val="20"/>
                    </w:rPr>
                  </w:pPr>
                  <w:r>
                    <w:rPr>
                      <w:sz w:val="20"/>
                      <w:szCs w:val="20"/>
                    </w:rPr>
                    <w:t>（</w:t>
                  </w:r>
                  <w:r>
                    <w:rPr>
                      <w:rFonts w:ascii="Times New Roman" w:hAnsi="Times New Roman" w:eastAsia="Times New Roman" w:cs="Times New Roman"/>
                      <w:sz w:val="20"/>
                      <w:szCs w:val="20"/>
                    </w:rPr>
                    <w:t>GB37822-2019</w:t>
                  </w:r>
                  <w:r>
                    <w:rPr>
                      <w:sz w:val="20"/>
                      <w:szCs w:val="20"/>
                    </w:rPr>
                    <w:t>）表</w:t>
                  </w:r>
                  <w:r>
                    <w:rPr>
                      <w:rFonts w:ascii="Times New Roman" w:hAnsi="Times New Roman" w:eastAsia="Times New Roman" w:cs="Times New Roman"/>
                      <w:sz w:val="20"/>
                      <w:szCs w:val="20"/>
                    </w:rPr>
                    <w:t>A.</w:t>
                  </w:r>
                  <w:r>
                    <w:rPr>
                      <w:rFonts w:ascii="Times New Roman" w:hAnsi="Times New Roman" w:eastAsia="Times New Roman" w:cs="Times New Roman"/>
                      <w:sz w:val="20"/>
                      <w:szCs w:val="20"/>
                      <w:spacing w:val="-19"/>
                    </w:rPr>
                    <w:t xml:space="preserve"> </w:t>
                  </w:r>
                  <w:r>
                    <w:rPr>
                      <w:rFonts w:ascii="Times New Roman" w:hAnsi="Times New Roman" w:eastAsia="Times New Roman" w:cs="Times New Roman"/>
                      <w:sz w:val="20"/>
                      <w:szCs w:val="20"/>
                    </w:rPr>
                    <w:t>1</w:t>
                  </w:r>
                  <w:r>
                    <w:rPr>
                      <w:sz w:val="20"/>
                      <w:szCs w:val="20"/>
                    </w:rPr>
                    <w:t>特别排放限 </w:t>
                  </w:r>
                  <w:r>
                    <w:rPr>
                      <w:sz w:val="20"/>
                      <w:szCs w:val="20"/>
                      <w:spacing w:val="7"/>
                    </w:rPr>
                    <w:t>值（非甲烷总烃≤</w:t>
                  </w:r>
                  <w:r>
                    <w:rPr>
                      <w:rFonts w:ascii="Times New Roman" w:hAnsi="Times New Roman" w:eastAsia="Times New Roman" w:cs="Times New Roman"/>
                      <w:sz w:val="20"/>
                      <w:szCs w:val="20"/>
                      <w:spacing w:val="7"/>
                    </w:rPr>
                    <w:t>6.0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7"/>
                    </w:rPr>
                    <w:t>/m</w:t>
                  </w:r>
                  <w:r>
                    <w:rPr>
                      <w:sz w:val="20"/>
                      <w:szCs w:val="20"/>
                      <w:spacing w:val="7"/>
                    </w:rPr>
                    <w:t>³) 。</w:t>
                  </w:r>
                </w:p>
              </w:tc>
            </w:tr>
            <w:tr>
              <w:trPr>
                <w:trHeight w:val="493" w:hRule="atLeast"/>
              </w:trPr>
              <w:tc>
                <w:tcPr>
                  <w:tcW w:w="653" w:type="dxa"/>
                  <w:vAlign w:val="top"/>
                  <w:vMerge w:val="restart"/>
                  <w:tcBorders>
                    <w:left w:val="nil"/>
                    <w:bottom w:val="nil"/>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139"/>
                    <w:spacing w:before="65" w:line="228" w:lineRule="auto"/>
                    <w:rPr>
                      <w:sz w:val="20"/>
                      <w:szCs w:val="20"/>
                    </w:rPr>
                  </w:pPr>
                  <w:r>
                    <w:rPr>
                      <w:sz w:val="20"/>
                      <w:szCs w:val="20"/>
                      <w:spacing w:val="-5"/>
                    </w:rPr>
                    <w:t>固废</w:t>
                  </w:r>
                </w:p>
              </w:tc>
              <w:tc>
                <w:tcPr>
                  <w:tcW w:w="1108" w:type="dxa"/>
                  <w:vAlign w:val="top"/>
                </w:tcPr>
                <w:p>
                  <w:pPr>
                    <w:pStyle w:val="TableText"/>
                    <w:ind w:left="33"/>
                    <w:spacing w:before="187" w:line="228" w:lineRule="auto"/>
                    <w:rPr>
                      <w:sz w:val="20"/>
                      <w:szCs w:val="20"/>
                    </w:rPr>
                  </w:pPr>
                  <w:r>
                    <w:rPr>
                      <w:sz w:val="20"/>
                      <w:szCs w:val="20"/>
                      <w:spacing w:val="8"/>
                    </w:rPr>
                    <w:t>废弃包装物</w:t>
                  </w:r>
                </w:p>
              </w:tc>
              <w:tc>
                <w:tcPr>
                  <w:tcW w:w="2140" w:type="dxa"/>
                  <w:vAlign w:val="top"/>
                  <w:gridSpan w:val="2"/>
                </w:tcPr>
                <w:p>
                  <w:pPr>
                    <w:pStyle w:val="TableText"/>
                    <w:ind w:left="450"/>
                    <w:spacing w:before="187" w:line="228" w:lineRule="auto"/>
                    <w:rPr>
                      <w:sz w:val="20"/>
                      <w:szCs w:val="20"/>
                    </w:rPr>
                  </w:pPr>
                  <w:r>
                    <w:rPr>
                      <w:sz w:val="20"/>
                      <w:szCs w:val="20"/>
                      <w:spacing w:val="7"/>
                    </w:rPr>
                    <w:t>外售回收单位</w:t>
                  </w:r>
                </w:p>
              </w:tc>
              <w:tc>
                <w:tcPr>
                  <w:tcW w:w="3195" w:type="dxa"/>
                  <w:vAlign w:val="top"/>
                  <w:vMerge w:val="restart"/>
                  <w:tcBorders>
                    <w:right w:val="nil"/>
                    <w:bottom w:val="nil"/>
                  </w:tcBorders>
                </w:tcPr>
                <w:p>
                  <w:pPr>
                    <w:pStyle w:val="TableText"/>
                    <w:ind w:left="115" w:right="20" w:hanging="79"/>
                    <w:spacing w:before="203" w:line="280" w:lineRule="auto"/>
                    <w:rPr>
                      <w:sz w:val="20"/>
                      <w:szCs w:val="20"/>
                    </w:rPr>
                  </w:pPr>
                  <w:r>
                    <w:rPr>
                      <w:sz w:val="20"/>
                      <w:szCs w:val="20"/>
                      <w:spacing w:val="9"/>
                    </w:rPr>
                    <w:t>《一般工业固体废物贮存和填埋污</w:t>
                  </w:r>
                  <w:r>
                    <w:rPr>
                      <w:sz w:val="20"/>
                      <w:szCs w:val="20"/>
                    </w:rPr>
                    <w:t xml:space="preserve"> </w:t>
                  </w:r>
                  <w:r>
                    <w:rPr>
                      <w:sz w:val="20"/>
                      <w:szCs w:val="20"/>
                      <w:spacing w:val="6"/>
                    </w:rPr>
                    <w:t>染控制标准》（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18599-2020</w:t>
                  </w:r>
                  <w:r>
                    <w:rPr>
                      <w:sz w:val="20"/>
                      <w:szCs w:val="20"/>
                      <w:spacing w:val="6"/>
                    </w:rPr>
                    <w:t>）</w:t>
                  </w:r>
                </w:p>
              </w:tc>
            </w:tr>
            <w:tr>
              <w:trPr>
                <w:trHeight w:val="384" w:hRule="atLeast"/>
              </w:trPr>
              <w:tc>
                <w:tcPr>
                  <w:tcW w:w="653" w:type="dxa"/>
                  <w:vAlign w:val="top"/>
                  <w:vMerge w:val="continue"/>
                  <w:tcBorders>
                    <w:left w:val="nil"/>
                    <w:top w:val="nil"/>
                    <w:bottom w:val="nil"/>
                  </w:tcBorders>
                </w:tcPr>
                <w:p>
                  <w:pPr>
                    <w:rPr>
                      <w:rFonts w:ascii="Arial"/>
                      <w:sz w:val="21"/>
                    </w:rPr>
                  </w:pPr>
                  <w:r/>
                </w:p>
              </w:tc>
              <w:tc>
                <w:tcPr>
                  <w:tcW w:w="1108" w:type="dxa"/>
                  <w:vAlign w:val="top"/>
                </w:tcPr>
                <w:p>
                  <w:pPr>
                    <w:pStyle w:val="TableText"/>
                    <w:ind w:left="143"/>
                    <w:spacing w:before="136" w:line="219" w:lineRule="auto"/>
                    <w:rPr>
                      <w:sz w:val="20"/>
                      <w:szCs w:val="20"/>
                    </w:rPr>
                  </w:pPr>
                  <w:r>
                    <w:rPr>
                      <w:sz w:val="20"/>
                      <w:szCs w:val="20"/>
                      <w:spacing w:val="6"/>
                    </w:rPr>
                    <w:t>不合格品</w:t>
                  </w:r>
                </w:p>
              </w:tc>
              <w:tc>
                <w:tcPr>
                  <w:tcW w:w="2140" w:type="dxa"/>
                  <w:vAlign w:val="top"/>
                  <w:gridSpan w:val="2"/>
                </w:tcPr>
                <w:p>
                  <w:pPr>
                    <w:pStyle w:val="TableText"/>
                    <w:ind w:left="675"/>
                    <w:spacing w:before="136" w:line="219" w:lineRule="auto"/>
                    <w:rPr>
                      <w:sz w:val="20"/>
                      <w:szCs w:val="20"/>
                    </w:rPr>
                  </w:pPr>
                  <w:r>
                    <w:rPr>
                      <w:sz w:val="20"/>
                      <w:szCs w:val="20"/>
                      <w:spacing w:val="2"/>
                    </w:rPr>
                    <w:t>回用生产</w:t>
                  </w:r>
                </w:p>
              </w:tc>
              <w:tc>
                <w:tcPr>
                  <w:tcW w:w="3195" w:type="dxa"/>
                  <w:vAlign w:val="top"/>
                  <w:vMerge w:val="continue"/>
                  <w:tcBorders>
                    <w:right w:val="nil"/>
                    <w:top w:val="nil"/>
                  </w:tcBorders>
                </w:tcPr>
                <w:p>
                  <w:pPr>
                    <w:rPr>
                      <w:rFonts w:ascii="Arial"/>
                      <w:sz w:val="21"/>
                    </w:rPr>
                  </w:pPr>
                  <w:r/>
                </w:p>
              </w:tc>
            </w:tr>
            <w:tr>
              <w:trPr>
                <w:trHeight w:val="1441" w:hRule="atLeast"/>
              </w:trPr>
              <w:tc>
                <w:tcPr>
                  <w:tcW w:w="653" w:type="dxa"/>
                  <w:vAlign w:val="top"/>
                  <w:vMerge w:val="continue"/>
                  <w:tcBorders>
                    <w:left w:val="nil"/>
                    <w:top w:val="nil"/>
                  </w:tcBorders>
                </w:tcPr>
                <w:p>
                  <w:pPr>
                    <w:rPr>
                      <w:rFonts w:ascii="Arial"/>
                      <w:sz w:val="21"/>
                    </w:rPr>
                  </w:pPr>
                  <w:r/>
                </w:p>
              </w:tc>
              <w:tc>
                <w:tcPr>
                  <w:tcW w:w="1108" w:type="dxa"/>
                  <w:vAlign w:val="top"/>
                </w:tcPr>
                <w:p>
                  <w:pPr>
                    <w:spacing w:line="299" w:lineRule="auto"/>
                    <w:rPr>
                      <w:rFonts w:ascii="Arial"/>
                      <w:sz w:val="21"/>
                    </w:rPr>
                  </w:pPr>
                  <w:r/>
                </w:p>
                <w:p>
                  <w:pPr>
                    <w:spacing w:line="299" w:lineRule="auto"/>
                    <w:rPr>
                      <w:rFonts w:ascii="Arial"/>
                      <w:sz w:val="21"/>
                    </w:rPr>
                  </w:pPr>
                  <w:r/>
                </w:p>
                <w:p>
                  <w:pPr>
                    <w:pStyle w:val="TableText"/>
                    <w:ind w:left="139"/>
                    <w:spacing w:before="65" w:line="228" w:lineRule="auto"/>
                    <w:rPr>
                      <w:sz w:val="20"/>
                      <w:szCs w:val="20"/>
                    </w:rPr>
                  </w:pPr>
                  <w:r>
                    <w:rPr>
                      <w:sz w:val="20"/>
                      <w:szCs w:val="20"/>
                      <w:spacing w:val="7"/>
                    </w:rPr>
                    <w:t>废气治理</w:t>
                  </w:r>
                </w:p>
              </w:tc>
              <w:tc>
                <w:tcPr>
                  <w:tcW w:w="2140" w:type="dxa"/>
                  <w:vAlign w:val="top"/>
                  <w:gridSpan w:val="2"/>
                </w:tcPr>
                <w:p>
                  <w:pPr>
                    <w:pStyle w:val="TableText"/>
                    <w:ind w:left="25" w:right="19"/>
                    <w:spacing w:before="128" w:line="297" w:lineRule="auto"/>
                    <w:rPr>
                      <w:sz w:val="20"/>
                      <w:szCs w:val="20"/>
                    </w:rPr>
                  </w:pPr>
                  <w:r>
                    <w:rPr>
                      <w:sz w:val="20"/>
                      <w:szCs w:val="20"/>
                      <w:spacing w:val="9"/>
                    </w:rPr>
                    <w:t>废催化剂、废活性炭、</w:t>
                  </w:r>
                  <w:r>
                    <w:rPr>
                      <w:sz w:val="20"/>
                      <w:szCs w:val="20"/>
                    </w:rPr>
                    <w:t xml:space="preserve"> </w:t>
                  </w:r>
                  <w:r>
                    <w:rPr>
                      <w:sz w:val="20"/>
                      <w:szCs w:val="20"/>
                      <w:spacing w:val="9"/>
                    </w:rPr>
                    <w:t>废机油：暂存危险废物</w:t>
                  </w:r>
                  <w:r>
                    <w:rPr>
                      <w:sz w:val="20"/>
                      <w:szCs w:val="20"/>
                    </w:rPr>
                    <w:t xml:space="preserve"> </w:t>
                  </w:r>
                  <w:r>
                    <w:rPr>
                      <w:sz w:val="20"/>
                      <w:szCs w:val="20"/>
                      <w:spacing w:val="9"/>
                    </w:rPr>
                    <w:t>暂存间，委托有资质单</w:t>
                  </w:r>
                </w:p>
                <w:p>
                  <w:pPr>
                    <w:pStyle w:val="TableText"/>
                    <w:ind w:left="340"/>
                    <w:spacing w:before="113" w:line="207" w:lineRule="auto"/>
                    <w:rPr>
                      <w:sz w:val="20"/>
                      <w:szCs w:val="20"/>
                    </w:rPr>
                  </w:pPr>
                  <w:r>
                    <w:rPr>
                      <w:sz w:val="20"/>
                      <w:szCs w:val="20"/>
                      <w:spacing w:val="8"/>
                    </w:rPr>
                    <w:t>位定期收运处置</w:t>
                  </w:r>
                </w:p>
              </w:tc>
              <w:tc>
                <w:tcPr>
                  <w:tcW w:w="3195" w:type="dxa"/>
                  <w:vAlign w:val="top"/>
                  <w:tcBorders>
                    <w:right w:val="nil"/>
                  </w:tcBorders>
                </w:tcPr>
                <w:p>
                  <w:pPr>
                    <w:spacing w:line="418" w:lineRule="auto"/>
                    <w:rPr>
                      <w:rFonts w:ascii="Arial"/>
                      <w:sz w:val="21"/>
                    </w:rPr>
                  </w:pPr>
                  <w:r/>
                </w:p>
                <w:p>
                  <w:pPr>
                    <w:pStyle w:val="TableText"/>
                    <w:ind w:left="140"/>
                    <w:spacing w:before="65" w:line="228" w:lineRule="auto"/>
                    <w:rPr>
                      <w:sz w:val="20"/>
                      <w:szCs w:val="20"/>
                    </w:rPr>
                  </w:pPr>
                  <w:r>
                    <w:rPr>
                      <w:sz w:val="20"/>
                      <w:szCs w:val="20"/>
                      <w:spacing w:val="8"/>
                    </w:rPr>
                    <w:t>《危险废物贮存污染控制标准》</w:t>
                  </w:r>
                </w:p>
                <w:p>
                  <w:pPr>
                    <w:pStyle w:val="TableText"/>
                    <w:ind w:left="752"/>
                    <w:spacing w:before="113"/>
                    <w:rPr>
                      <w:sz w:val="20"/>
                      <w:szCs w:val="20"/>
                    </w:rPr>
                  </w:pPr>
                  <w:r>
                    <w:rPr>
                      <w:sz w:val="20"/>
                      <w:szCs w:val="20"/>
                      <w:spacing w:val="4"/>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4"/>
                    </w:rPr>
                    <w:t>18597-2023</w:t>
                  </w:r>
                  <w:r>
                    <w:rPr>
                      <w:sz w:val="20"/>
                      <w:szCs w:val="20"/>
                      <w:spacing w:val="4"/>
                    </w:rPr>
                    <w:t>）</w:t>
                  </w:r>
                </w:p>
              </w:tc>
            </w:tr>
            <w:tr>
              <w:trPr>
                <w:trHeight w:val="1082" w:hRule="atLeast"/>
              </w:trPr>
              <w:tc>
                <w:tcPr>
                  <w:tcW w:w="653" w:type="dxa"/>
                  <w:vAlign w:val="top"/>
                  <w:tcBorders>
                    <w:left w:val="nil"/>
                  </w:tcBorders>
                </w:tcPr>
                <w:p>
                  <w:pPr>
                    <w:spacing w:line="423" w:lineRule="auto"/>
                    <w:rPr>
                      <w:rFonts w:ascii="Arial"/>
                      <w:sz w:val="21"/>
                    </w:rPr>
                  </w:pPr>
                  <w:r/>
                </w:p>
                <w:p>
                  <w:pPr>
                    <w:pStyle w:val="TableText"/>
                    <w:ind w:left="131"/>
                    <w:spacing w:before="65" w:line="228" w:lineRule="auto"/>
                    <w:rPr>
                      <w:sz w:val="20"/>
                      <w:szCs w:val="20"/>
                    </w:rPr>
                  </w:pPr>
                  <w:r>
                    <w:rPr>
                      <w:sz w:val="20"/>
                      <w:szCs w:val="20"/>
                      <w:spacing w:val="-1"/>
                    </w:rPr>
                    <w:t>噪声</w:t>
                  </w:r>
                </w:p>
              </w:tc>
              <w:tc>
                <w:tcPr>
                  <w:tcW w:w="3248" w:type="dxa"/>
                  <w:vAlign w:val="top"/>
                  <w:gridSpan w:val="3"/>
                </w:tcPr>
                <w:p>
                  <w:pPr>
                    <w:spacing w:line="243" w:lineRule="auto"/>
                    <w:rPr>
                      <w:rFonts w:ascii="Arial"/>
                      <w:sz w:val="21"/>
                    </w:rPr>
                  </w:pPr>
                  <w:r/>
                </w:p>
                <w:p>
                  <w:pPr>
                    <w:pStyle w:val="TableText"/>
                    <w:ind w:left="1108" w:right="48" w:hanging="1055"/>
                    <w:spacing w:before="65" w:line="281" w:lineRule="auto"/>
                    <w:rPr>
                      <w:sz w:val="20"/>
                      <w:szCs w:val="20"/>
                    </w:rPr>
                  </w:pPr>
                  <w:r>
                    <w:rPr>
                      <w:sz w:val="20"/>
                      <w:szCs w:val="20"/>
                      <w:spacing w:val="9"/>
                    </w:rPr>
                    <w:t>选用具有减震、降噪、隔声、消声</w:t>
                  </w:r>
                  <w:r>
                    <w:rPr>
                      <w:sz w:val="20"/>
                      <w:szCs w:val="20"/>
                      <w:spacing w:val="5"/>
                    </w:rPr>
                    <w:t xml:space="preserve"> </w:t>
                  </w:r>
                  <w:r>
                    <w:rPr>
                      <w:sz w:val="20"/>
                      <w:szCs w:val="20"/>
                      <w:spacing w:val="7"/>
                    </w:rPr>
                    <w:t>设计的设备</w:t>
                  </w:r>
                </w:p>
              </w:tc>
              <w:tc>
                <w:tcPr>
                  <w:tcW w:w="3195" w:type="dxa"/>
                  <w:vAlign w:val="top"/>
                  <w:tcBorders>
                    <w:right w:val="nil"/>
                  </w:tcBorders>
                </w:tcPr>
                <w:p>
                  <w:pPr>
                    <w:pStyle w:val="TableText"/>
                    <w:ind w:left="140"/>
                    <w:spacing w:before="130" w:line="228" w:lineRule="auto"/>
                    <w:rPr>
                      <w:sz w:val="20"/>
                      <w:szCs w:val="20"/>
                    </w:rPr>
                  </w:pPr>
                  <w:r>
                    <w:rPr>
                      <w:sz w:val="20"/>
                      <w:szCs w:val="20"/>
                      <w:spacing w:val="8"/>
                    </w:rPr>
                    <w:t>《工业企业厂界环境噪声排放标</w:t>
                  </w:r>
                </w:p>
                <w:p>
                  <w:pPr>
                    <w:pStyle w:val="TableText"/>
                    <w:ind w:left="62"/>
                    <w:spacing w:before="112" w:line="228" w:lineRule="auto"/>
                    <w:rPr>
                      <w:sz w:val="20"/>
                      <w:szCs w:val="20"/>
                    </w:rPr>
                  </w:pPr>
                  <w:r>
                    <w:rPr>
                      <w:sz w:val="20"/>
                      <w:szCs w:val="20"/>
                      <w:spacing w:val="7"/>
                    </w:rPr>
                    <w:t>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7"/>
                    </w:rPr>
                    <w:t>12348-2008</w:t>
                  </w:r>
                  <w:r>
                    <w:rPr>
                      <w:sz w:val="20"/>
                      <w:szCs w:val="20"/>
                      <w:spacing w:val="7"/>
                    </w:rPr>
                    <w:t>）中的</w:t>
                  </w:r>
                  <w:r>
                    <w:rPr>
                      <w:rFonts w:ascii="Times New Roman" w:hAnsi="Times New Roman" w:eastAsia="Times New Roman" w:cs="Times New Roman"/>
                      <w:sz w:val="20"/>
                      <w:szCs w:val="20"/>
                      <w:spacing w:val="7"/>
                    </w:rPr>
                    <w:t>2</w:t>
                  </w:r>
                  <w:r>
                    <w:rPr>
                      <w:sz w:val="20"/>
                      <w:szCs w:val="20"/>
                      <w:spacing w:val="7"/>
                    </w:rPr>
                    <w:t>类标</w:t>
                  </w:r>
                </w:p>
                <w:p>
                  <w:pPr>
                    <w:pStyle w:val="TableText"/>
                    <w:ind w:left="1502"/>
                    <w:spacing w:before="113" w:line="205" w:lineRule="auto"/>
                    <w:rPr>
                      <w:sz w:val="20"/>
                      <w:szCs w:val="20"/>
                    </w:rPr>
                  </w:pPr>
                  <w:r>
                    <w:rPr>
                      <w:sz w:val="20"/>
                      <w:szCs w:val="20"/>
                    </w:rPr>
                    <w:t>准</w:t>
                  </w:r>
                </w:p>
              </w:tc>
            </w:tr>
            <w:tr>
              <w:trPr>
                <w:trHeight w:val="388" w:hRule="atLeast"/>
              </w:trPr>
              <w:tc>
                <w:tcPr>
                  <w:tcW w:w="653" w:type="dxa"/>
                  <w:vAlign w:val="top"/>
                  <w:tcBorders>
                    <w:left w:val="nil"/>
                    <w:bottom w:val="single" w:color="000000" w:sz="10" w:space="0"/>
                  </w:tcBorders>
                </w:tcPr>
                <w:p>
                  <w:pPr>
                    <w:pStyle w:val="TableText"/>
                    <w:ind w:left="15"/>
                    <w:spacing w:before="133" w:line="226" w:lineRule="auto"/>
                    <w:rPr>
                      <w:sz w:val="20"/>
                      <w:szCs w:val="20"/>
                    </w:rPr>
                  </w:pPr>
                  <w:r>
                    <w:rPr>
                      <w:sz w:val="20"/>
                      <w:szCs w:val="20"/>
                      <w:spacing w:val="6"/>
                    </w:rPr>
                    <w:t>地下水</w:t>
                  </w:r>
                </w:p>
              </w:tc>
              <w:tc>
                <w:tcPr>
                  <w:tcW w:w="3248" w:type="dxa"/>
                  <w:vAlign w:val="top"/>
                  <w:gridSpan w:val="3"/>
                  <w:tcBorders>
                    <w:bottom w:val="single" w:color="000000" w:sz="10" w:space="0"/>
                  </w:tcBorders>
                </w:tcPr>
                <w:p>
                  <w:pPr>
                    <w:pStyle w:val="TableText"/>
                    <w:ind w:left="1210"/>
                    <w:spacing w:before="133" w:line="226" w:lineRule="auto"/>
                    <w:rPr>
                      <w:sz w:val="20"/>
                      <w:szCs w:val="20"/>
                    </w:rPr>
                  </w:pPr>
                  <w:r>
                    <w:rPr>
                      <w:sz w:val="20"/>
                      <w:szCs w:val="20"/>
                      <w:spacing w:val="6"/>
                    </w:rPr>
                    <w:t>分区防渗</w:t>
                  </w:r>
                </w:p>
              </w:tc>
              <w:tc>
                <w:tcPr>
                  <w:tcW w:w="3195" w:type="dxa"/>
                  <w:vAlign w:val="top"/>
                  <w:tcBorders>
                    <w:right w:val="nil"/>
                    <w:bottom w:val="single" w:color="000000" w:sz="10" w:space="0"/>
                  </w:tcBorders>
                </w:tcPr>
                <w:p>
                  <w:pPr>
                    <w:ind w:left="1569"/>
                    <w:spacing w:before="16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bl>
          <w:p>
            <w:pPr>
              <w:pStyle w:val="TableText"/>
              <w:ind w:left="113"/>
              <w:spacing w:before="161" w:line="220" w:lineRule="auto"/>
              <w:outlineLvl w:val="1"/>
              <w:rPr>
                <w:sz w:val="28"/>
                <w:szCs w:val="28"/>
              </w:rPr>
            </w:pPr>
            <w:r>
              <w:rPr>
                <w:rFonts w:ascii="Times New Roman" w:hAnsi="Times New Roman" w:eastAsia="Times New Roman" w:cs="Times New Roman"/>
                <w:sz w:val="28"/>
                <w:szCs w:val="28"/>
                <w:b/>
                <w:bCs/>
                <w:spacing w:val="-1"/>
              </w:rPr>
              <w:t>5.2</w:t>
            </w:r>
            <w:r>
              <w:rPr>
                <w:sz w:val="28"/>
                <w:szCs w:val="28"/>
                <w14:textOutline w14:w="5103" w14:cap="sq" w14:cmpd="sng">
                  <w14:solidFill>
                    <w14:srgbClr w14:val="000000"/>
                  </w14:solidFill>
                  <w14:prstDash w14:val="solid"/>
                  <w14:bevel/>
                </w14:textOutline>
                <w:spacing w:val="-1"/>
              </w:rPr>
              <w:t>环保投资概算</w:t>
            </w:r>
          </w:p>
          <w:p>
            <w:pPr>
              <w:pStyle w:val="TableText"/>
              <w:spacing w:before="200" w:line="500" w:lineRule="exact"/>
              <w:jc w:val="right"/>
              <w:rPr/>
            </w:pPr>
            <w:r>
              <w:rPr>
                <w:spacing w:val="-7"/>
                <w:position w:val="19"/>
              </w:rPr>
              <w:t>本项目总投资</w:t>
            </w:r>
            <w:r>
              <w:rPr>
                <w:rFonts w:ascii="Times New Roman" w:hAnsi="Times New Roman" w:eastAsia="Times New Roman" w:cs="Times New Roman"/>
                <w:spacing w:val="-7"/>
                <w:position w:val="19"/>
              </w:rPr>
              <w:t>50</w:t>
            </w:r>
            <w:r>
              <w:rPr>
                <w:spacing w:val="-7"/>
                <w:position w:val="19"/>
              </w:rPr>
              <w:t>万元，其中环保投资</w:t>
            </w:r>
            <w:r>
              <w:rPr>
                <w:rFonts w:ascii="Times New Roman" w:hAnsi="Times New Roman" w:eastAsia="Times New Roman" w:cs="Times New Roman"/>
                <w:spacing w:val="-7"/>
                <w:position w:val="19"/>
              </w:rPr>
              <w:t>13</w:t>
            </w:r>
            <w:r>
              <w:rPr>
                <w:spacing w:val="-7"/>
                <w:position w:val="19"/>
              </w:rPr>
              <w:t>万元</w:t>
            </w:r>
            <w:r>
              <w:rPr>
                <w:spacing w:val="-8"/>
                <w:position w:val="19"/>
              </w:rPr>
              <w:t>，占总投资额的</w:t>
            </w:r>
            <w:r>
              <w:rPr>
                <w:rFonts w:ascii="Times New Roman" w:hAnsi="Times New Roman" w:eastAsia="Times New Roman" w:cs="Times New Roman"/>
                <w:spacing w:val="-8"/>
                <w:position w:val="19"/>
              </w:rPr>
              <w:t>26%</w:t>
            </w:r>
            <w:r>
              <w:rPr>
                <w:spacing w:val="-8"/>
                <w:position w:val="19"/>
              </w:rPr>
              <w:t>。</w:t>
            </w:r>
          </w:p>
          <w:p>
            <w:pPr>
              <w:pStyle w:val="TableText"/>
              <w:ind w:left="116"/>
              <w:spacing w:line="219" w:lineRule="auto"/>
              <w:rPr/>
            </w:pPr>
            <w:r>
              <w:rPr>
                <w:spacing w:val="-5"/>
              </w:rPr>
              <w:t>详见表</w:t>
            </w:r>
            <w:r>
              <w:rPr>
                <w:rFonts w:ascii="Times New Roman" w:hAnsi="Times New Roman" w:eastAsia="Times New Roman" w:cs="Times New Roman"/>
                <w:spacing w:val="-5"/>
              </w:rPr>
              <w:t>5.2-</w:t>
            </w:r>
            <w:r>
              <w:rPr>
                <w:rFonts w:ascii="Times New Roman" w:hAnsi="Times New Roman" w:eastAsia="Times New Roman" w:cs="Times New Roman"/>
                <w:spacing w:val="-29"/>
              </w:rPr>
              <w:t xml:space="preserve"> </w:t>
            </w:r>
            <w:r>
              <w:rPr>
                <w:rFonts w:ascii="Times New Roman" w:hAnsi="Times New Roman" w:eastAsia="Times New Roman" w:cs="Times New Roman"/>
                <w:spacing w:val="-5"/>
              </w:rPr>
              <w:t>1</w:t>
            </w:r>
            <w:r>
              <w:rPr>
                <w:spacing w:val="-5"/>
              </w:rPr>
              <w:t>。</w:t>
            </w:r>
          </w:p>
          <w:p>
            <w:pPr>
              <w:pStyle w:val="TableText"/>
              <w:ind w:left="1550"/>
              <w:spacing w:before="66" w:line="212" w:lineRule="auto"/>
              <w:rPr/>
            </w:pPr>
            <w:r>
              <w:rPr>
                <w14:textOutline w14:w="4358" w14:cap="sq" w14:cmpd="sng">
                  <w14:solidFill>
                    <w14:srgbClr w14:val="000000"/>
                  </w14:solidFill>
                  <w14:prstDash w14:val="solid"/>
                  <w14:bevel/>
                </w14:textOutline>
              </w:rPr>
              <w:t>表5.2-1环保投资概算一览表（单位：万元）</w:t>
            </w:r>
          </w:p>
          <w:tbl>
            <w:tblPr>
              <w:tblStyle w:val="TableNormal"/>
              <w:tblW w:w="7096" w:type="dxa"/>
              <w:tblInd w:w="103"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968"/>
              <w:gridCol w:w="1603"/>
              <w:gridCol w:w="3931"/>
              <w:gridCol w:w="594"/>
            </w:tblGrid>
            <w:tr>
              <w:trPr>
                <w:trHeight w:val="411" w:hRule="atLeast"/>
              </w:trPr>
              <w:tc>
                <w:tcPr>
                  <w:tcW w:w="968" w:type="dxa"/>
                  <w:vAlign w:val="top"/>
                  <w:tcBorders>
                    <w:bottom w:val="single" w:color="000000" w:sz="2" w:space="0"/>
                    <w:top w:val="single" w:color="000000" w:sz="10" w:space="0"/>
                  </w:tcBorders>
                </w:tcPr>
                <w:p>
                  <w:pPr>
                    <w:pStyle w:val="TableText"/>
                    <w:ind w:left="187"/>
                    <w:spacing w:before="136" w:line="228" w:lineRule="auto"/>
                    <w:rPr>
                      <w:sz w:val="20"/>
                      <w:szCs w:val="20"/>
                    </w:rPr>
                  </w:pPr>
                  <w:r>
                    <w:rPr>
                      <w:sz w:val="20"/>
                      <w:szCs w:val="20"/>
                      <w:spacing w:val="-2"/>
                    </w:rPr>
                    <w:t>项</w:t>
                  </w:r>
                  <w:r>
                    <w:rPr>
                      <w:sz w:val="20"/>
                      <w:szCs w:val="20"/>
                      <w:spacing w:val="29"/>
                    </w:rPr>
                    <w:t xml:space="preserve">  </w:t>
                  </w:r>
                  <w:r>
                    <w:rPr>
                      <w:sz w:val="20"/>
                      <w:szCs w:val="20"/>
                      <w:spacing w:val="-2"/>
                    </w:rPr>
                    <w:t>目</w:t>
                  </w:r>
                </w:p>
              </w:tc>
              <w:tc>
                <w:tcPr>
                  <w:tcW w:w="1603" w:type="dxa"/>
                  <w:vAlign w:val="top"/>
                  <w:tcBorders>
                    <w:bottom w:val="single" w:color="000000" w:sz="2" w:space="0"/>
                    <w:top w:val="single" w:color="000000" w:sz="10" w:space="0"/>
                  </w:tcBorders>
                </w:tcPr>
                <w:p>
                  <w:pPr>
                    <w:pStyle w:val="TableText"/>
                    <w:ind w:left="487"/>
                    <w:spacing w:before="136" w:line="228" w:lineRule="auto"/>
                    <w:rPr>
                      <w:sz w:val="20"/>
                      <w:szCs w:val="20"/>
                    </w:rPr>
                  </w:pPr>
                  <w:r>
                    <w:rPr>
                      <w:sz w:val="20"/>
                      <w:szCs w:val="20"/>
                      <w:spacing w:val="6"/>
                    </w:rPr>
                    <w:t>污染源</w:t>
                  </w:r>
                </w:p>
              </w:tc>
              <w:tc>
                <w:tcPr>
                  <w:tcW w:w="3931" w:type="dxa"/>
                  <w:vAlign w:val="top"/>
                  <w:tcBorders>
                    <w:bottom w:val="single" w:color="000000" w:sz="2" w:space="0"/>
                    <w:top w:val="single" w:color="000000" w:sz="10" w:space="0"/>
                  </w:tcBorders>
                </w:tcPr>
                <w:p>
                  <w:pPr>
                    <w:pStyle w:val="TableText"/>
                    <w:ind w:left="1783"/>
                    <w:spacing w:before="135" w:line="228" w:lineRule="auto"/>
                    <w:rPr>
                      <w:sz w:val="20"/>
                      <w:szCs w:val="20"/>
                    </w:rPr>
                  </w:pPr>
                  <w:r>
                    <w:rPr>
                      <w:sz w:val="20"/>
                      <w:szCs w:val="20"/>
                      <w:spacing w:val="-8"/>
                    </w:rPr>
                    <w:t>内容</w:t>
                  </w:r>
                </w:p>
              </w:tc>
              <w:tc>
                <w:tcPr>
                  <w:tcW w:w="594" w:type="dxa"/>
                  <w:vAlign w:val="top"/>
                  <w:tcBorders>
                    <w:bottom w:val="single" w:color="000000" w:sz="2" w:space="0"/>
                    <w:top w:val="single" w:color="000000" w:sz="10" w:space="0"/>
                  </w:tcBorders>
                </w:tcPr>
                <w:p>
                  <w:pPr>
                    <w:pStyle w:val="TableText"/>
                    <w:ind w:left="106"/>
                    <w:spacing w:before="136" w:line="228" w:lineRule="auto"/>
                    <w:rPr>
                      <w:sz w:val="20"/>
                      <w:szCs w:val="20"/>
                    </w:rPr>
                  </w:pPr>
                  <w:r>
                    <w:rPr>
                      <w:sz w:val="20"/>
                      <w:szCs w:val="20"/>
                      <w:spacing w:val="3"/>
                    </w:rPr>
                    <w:t>投资</w:t>
                  </w:r>
                </w:p>
              </w:tc>
            </w:tr>
            <w:tr>
              <w:trPr>
                <w:trHeight w:val="569" w:hRule="atLeast"/>
              </w:trPr>
              <w:tc>
                <w:tcPr>
                  <w:tcW w:w="968" w:type="dxa"/>
                  <w:vAlign w:val="top"/>
                  <w:tcBorders>
                    <w:bottom w:val="single" w:color="000000" w:sz="2" w:space="0"/>
                    <w:top w:val="single" w:color="000000" w:sz="2" w:space="0"/>
                  </w:tcBorders>
                </w:tcPr>
                <w:p>
                  <w:pPr>
                    <w:pStyle w:val="TableText"/>
                    <w:ind w:left="79"/>
                    <w:spacing w:before="212" w:line="228" w:lineRule="auto"/>
                    <w:rPr>
                      <w:sz w:val="20"/>
                      <w:szCs w:val="20"/>
                    </w:rPr>
                  </w:pPr>
                  <w:r>
                    <w:rPr>
                      <w:sz w:val="20"/>
                      <w:szCs w:val="20"/>
                      <w:spacing w:val="7"/>
                    </w:rPr>
                    <w:t>废气处理</w:t>
                  </w:r>
                </w:p>
              </w:tc>
              <w:tc>
                <w:tcPr>
                  <w:tcW w:w="1603" w:type="dxa"/>
                  <w:vAlign w:val="top"/>
                  <w:tcBorders>
                    <w:bottom w:val="single" w:color="000000" w:sz="2" w:space="0"/>
                    <w:top w:val="single" w:color="000000" w:sz="2" w:space="0"/>
                  </w:tcBorders>
                </w:tcPr>
                <w:p>
                  <w:pPr>
                    <w:pStyle w:val="TableText"/>
                    <w:ind w:left="65"/>
                    <w:spacing w:before="211" w:line="228" w:lineRule="auto"/>
                    <w:rPr>
                      <w:sz w:val="20"/>
                      <w:szCs w:val="20"/>
                    </w:rPr>
                  </w:pPr>
                  <w:r>
                    <w:rPr>
                      <w:sz w:val="20"/>
                      <w:szCs w:val="20"/>
                      <w:spacing w:val="8"/>
                    </w:rPr>
                    <w:t>地膜生产线废气</w:t>
                  </w:r>
                </w:p>
              </w:tc>
              <w:tc>
                <w:tcPr>
                  <w:tcW w:w="3931" w:type="dxa"/>
                  <w:vAlign w:val="top"/>
                  <w:tcBorders>
                    <w:bottom w:val="single" w:color="000000" w:sz="2" w:space="0"/>
                    <w:top w:val="single" w:color="000000" w:sz="2" w:space="0"/>
                  </w:tcBorders>
                </w:tcPr>
                <w:p>
                  <w:pPr>
                    <w:pStyle w:val="TableText"/>
                    <w:ind w:left="90"/>
                    <w:spacing w:before="211" w:line="227" w:lineRule="auto"/>
                    <w:rPr>
                      <w:sz w:val="20"/>
                      <w:szCs w:val="20"/>
                    </w:rPr>
                  </w:pPr>
                  <w:r>
                    <w:rPr>
                      <w:sz w:val="20"/>
                      <w:szCs w:val="20"/>
                      <w:spacing w:val="8"/>
                    </w:rPr>
                    <w:t>活性炭吸附</w:t>
                  </w:r>
                  <w:r>
                    <w:rPr>
                      <w:rFonts w:ascii="Times New Roman" w:hAnsi="Times New Roman" w:eastAsia="Times New Roman" w:cs="Times New Roman"/>
                      <w:sz w:val="20"/>
                      <w:szCs w:val="20"/>
                      <w:spacing w:val="8"/>
                    </w:rPr>
                    <w:t>+</w:t>
                  </w:r>
                  <w:r>
                    <w:rPr>
                      <w:sz w:val="20"/>
                      <w:szCs w:val="20"/>
                      <w:spacing w:val="8"/>
                    </w:rPr>
                    <w:t>直接催化燃烧法</w:t>
                  </w:r>
                  <w:r>
                    <w:rPr>
                      <w:rFonts w:ascii="Times New Roman" w:hAnsi="Times New Roman" w:eastAsia="Times New Roman" w:cs="Times New Roman"/>
                      <w:sz w:val="20"/>
                      <w:szCs w:val="20"/>
                      <w:spacing w:val="8"/>
                    </w:rPr>
                    <w:t>+15m</w:t>
                  </w:r>
                  <w:r>
                    <w:rPr>
                      <w:sz w:val="20"/>
                      <w:szCs w:val="20"/>
                      <w:spacing w:val="8"/>
                    </w:rPr>
                    <w:t>排气筒</w:t>
                  </w:r>
                </w:p>
              </w:tc>
              <w:tc>
                <w:tcPr>
                  <w:tcW w:w="594" w:type="dxa"/>
                  <w:vAlign w:val="top"/>
                  <w:tcBorders>
                    <w:bottom w:val="single" w:color="000000" w:sz="2" w:space="0"/>
                    <w:top w:val="single" w:color="000000" w:sz="2" w:space="0"/>
                  </w:tcBorders>
                </w:tcPr>
                <w:p>
                  <w:pPr>
                    <w:ind w:left="267"/>
                    <w:spacing w:before="2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bl>
          <w:p>
            <w:pPr>
              <w:pStyle w:val="TableText"/>
              <w:ind w:left="183"/>
              <w:spacing w:before="148" w:line="216" w:lineRule="auto"/>
              <w:rPr>
                <w:rFonts w:ascii="Times New Roman" w:hAnsi="Times New Roman" w:eastAsia="Times New Roman" w:cs="Times New Roman"/>
                <w:sz w:val="20"/>
                <w:szCs w:val="20"/>
              </w:rPr>
            </w:pPr>
            <w:r>
              <w:pict>
                <v:shape id="_x0000_s144" style="position:absolute;margin-left:53.15pt;margin-top:-50.3404pt;mso-position-vertical-relative:text;mso-position-horizontal-relative:text;width:279.35pt;height:92.55pt;z-index:254516224;" filled="false" stroked="false" type="#_x0000_t202">
                  <v:fill on="false"/>
                  <v:stroke on="false"/>
                  <v:path/>
                  <v:imagedata o:title=""/>
                  <o:lock v:ext="edit" aspectratio="false"/>
                  <v:textbox inset="0mm,0mm,0mm,0mm">
                    <w:txbxContent>
                      <w:p>
                        <w:pPr>
                          <w:spacing w:line="20" w:lineRule="exact"/>
                          <w:rPr/>
                        </w:pPr>
                        <w:r/>
                      </w:p>
                      <w:tbl>
                        <w:tblPr>
                          <w:tblStyle w:val="TableNormal"/>
                          <w:tblW w:w="5541" w:type="dxa"/>
                          <w:tblInd w:w="2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58"/>
                          <w:gridCol w:w="3983"/>
                        </w:tblGrid>
                        <w:tr>
                          <w:trPr>
                            <w:trHeight w:val="1810" w:hRule="atLeast"/>
                          </w:trPr>
                          <w:tc>
                            <w:tcPr>
                              <w:tcW w:w="1558" w:type="dxa"/>
                              <w:vAlign w:val="top"/>
                              <w:tcBorders>
                                <w:bottom w:val="nil"/>
                                <w:top w:val="nil"/>
                              </w:tcBorders>
                            </w:tcPr>
                            <w:p>
                              <w:pPr>
                                <w:rPr>
                                  <w:rFonts w:ascii="Arial"/>
                                  <w:sz w:val="21"/>
                                </w:rPr>
                              </w:pPr>
                              <w:r/>
                            </w:p>
                          </w:tc>
                          <w:tc>
                            <w:tcPr>
                              <w:tcW w:w="3983" w:type="dxa"/>
                              <w:vAlign w:val="top"/>
                              <w:tcBorders>
                                <w:bottom w:val="nil"/>
                                <w:top w:val="nil"/>
                              </w:tcBorders>
                            </w:tcPr>
                            <w:p>
                              <w:pPr>
                                <w:rPr>
                                  <w:rFonts w:ascii="Arial"/>
                                  <w:sz w:val="21"/>
                                </w:rPr>
                              </w:pPr>
                              <w:r/>
                            </w:p>
                          </w:tc>
                        </w:tr>
                      </w:tbl>
                      <w:p>
                        <w:pPr>
                          <w:rPr>
                            <w:rFonts w:ascii="Arial"/>
                            <w:sz w:val="21"/>
                          </w:rPr>
                        </w:pPr>
                        <w:r/>
                      </w:p>
                    </w:txbxContent>
                  </v:textbox>
                </v:shape>
              </w:pict>
            </w:r>
            <w:r>
              <w:rPr>
                <w:sz w:val="20"/>
                <w:szCs w:val="20"/>
                <w:spacing w:val="1"/>
                <w:position w:val="4"/>
              </w:rPr>
              <w:t>废固治理</w:t>
            </w:r>
            <w:r>
              <w:rPr>
                <w:sz w:val="20"/>
                <w:szCs w:val="20"/>
                <w:spacing w:val="14"/>
                <w:position w:val="4"/>
              </w:rPr>
              <w:t xml:space="preserve">    </w:t>
            </w:r>
            <w:r>
              <w:ruby>
                <w:rubyPr>
                  <w:rubyAlign w:val="left"/>
                  <w:hpsRaise w:val="22"/>
                  <w:hps w:val="20"/>
                  <w:hpsBaseText w:val="20"/>
                </w:rubyPr>
                <w:rt>
                  <w:r>
                    <w:rPr>
                      <w:sz w:val="20"/>
                      <w:szCs w:val="20"/>
                      <w:w w:val="103"/>
                    </w:rPr>
                    <w:t>一般固废</w:t>
                  </w:r>
                </w:rt>
                <w:rubyBase>
                  <w:r>
                    <w:rPr>
                      <w:sz w:val="20"/>
                      <w:szCs w:val="20"/>
                      <w:w w:val="103"/>
                      <w:position w:val="-17"/>
                    </w:rPr>
                    <w:t>危险废物</w:t>
                  </w:r>
                </w:rubyBase>
              </w:ruby>
            </w:r>
            <w:r>
              <w:rPr>
                <w:sz w:val="20"/>
                <w:szCs w:val="20"/>
                <w:spacing w:val="2"/>
                <w:position w:val="-17"/>
              </w:rPr>
              <w:t xml:space="preserve">                 </w:t>
            </w:r>
            <w:r>
              <w:rPr>
                <w:sz w:val="20"/>
                <w:szCs w:val="20"/>
                <w:spacing w:val="1"/>
                <w:position w:val="-17"/>
              </w:rPr>
              <w:t>危</w:t>
            </w:r>
            <w:r>
              <w:ruby>
                <w:rubyPr>
                  <w:rubyAlign w:val="left"/>
                  <w:hpsRaise w:val="22"/>
                  <w:hps w:val="20"/>
                  <w:hpsBaseText w:val="20"/>
                </w:rubyPr>
                <w:rt>
                  <w:r>
                    <w:rPr>
                      <w:sz w:val="20"/>
                      <w:szCs w:val="20"/>
                      <w:w w:val="122"/>
                    </w:rPr>
                    <w:t>收集箱</w:t>
                  </w:r>
                </w:rt>
                <w:rubyBase>
                  <w:r>
                    <w:rPr>
                      <w:sz w:val="20"/>
                      <w:szCs w:val="20"/>
                      <w:w w:val="104"/>
                      <w:position w:val="-17"/>
                    </w:rPr>
                    <w:t>废委托处</w:t>
                  </w:r>
                </w:rubyBase>
              </w:ruby>
            </w:r>
            <w:r>
              <w:rPr>
                <w:sz w:val="20"/>
                <w:szCs w:val="20"/>
                <w:spacing w:val="1"/>
                <w:position w:val="-17"/>
              </w:rPr>
              <w:t>置               </w:t>
            </w:r>
            <w:r>
              <w:rPr>
                <w:rFonts w:ascii="Times New Roman" w:hAnsi="Times New Roman" w:eastAsia="Times New Roman" w:cs="Times New Roman"/>
                <w:sz w:val="20"/>
                <w:szCs w:val="20"/>
                <w:spacing w:val="1"/>
                <w:position w:val="23"/>
              </w:rPr>
              <w:t>0</w:t>
            </w:r>
            <w:r>
              <w:ruby>
                <w:rubyPr>
                  <w:rubyAlign w:val="left"/>
                  <w:hpsRaise w:val="22"/>
                  <w:hps w:val="20"/>
                  <w:hpsBaseText w:val="20"/>
                </w:rubyPr>
                <w:rt>
                  <w:r>
                    <w:rPr>
                      <w:rFonts w:ascii="Times New Roman" w:hAnsi="Times New Roman" w:eastAsia="Times New Roman" w:cs="Times New Roman"/>
                      <w:sz w:val="20"/>
                      <w:szCs w:val="20"/>
                      <w:w w:val="106"/>
                    </w:rPr>
                    <w:t>.</w:t>
                  </w:r>
                </w:rt>
                <w:rubyBase>
                  <w:r>
                    <w:rPr>
                      <w:rFonts w:ascii="Times New Roman" w:hAnsi="Times New Roman" w:eastAsia="Times New Roman" w:cs="Times New Roman"/>
                      <w:sz w:val="20"/>
                      <w:szCs w:val="20"/>
                      <w:w w:val="79"/>
                      <w:position w:val="-17"/>
                    </w:rPr>
                    <w:t>1</w:t>
                  </w:r>
                </w:rubyBase>
              </w:ruby>
            </w:r>
            <w:r>
              <w:rPr>
                <w:rFonts w:ascii="Times New Roman" w:hAnsi="Times New Roman" w:eastAsia="Times New Roman" w:cs="Times New Roman"/>
                <w:sz w:val="20"/>
                <w:szCs w:val="20"/>
                <w:spacing w:val="1"/>
                <w:position w:val="23"/>
              </w:rPr>
              <w:t>5</w:t>
            </w:r>
            <w:r>
              <w:rPr>
                <w:rFonts w:ascii="Times New Roman" w:hAnsi="Times New Roman" w:eastAsia="Times New Roman" w:cs="Times New Roman"/>
                <w:sz w:val="20"/>
                <w:szCs w:val="20"/>
                <w:position w:val="23"/>
              </w:rPr>
              <w:t xml:space="preserve">    </w:t>
            </w:r>
          </w:p>
        </w:tc>
      </w:tr>
    </w:tbl>
    <w:p>
      <w:pPr>
        <w:pStyle w:val="BodyText"/>
        <w:rPr/>
      </w:pPr>
      <w:r/>
    </w:p>
    <w:p>
      <w:pPr>
        <w:sectPr>
          <w:footerReference w:type="default" r:id="rId240"/>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3"/>
        <w:gridCol w:w="7313"/>
      </w:tblGrid>
      <w:tr>
        <w:trPr>
          <w:trHeight w:val="2064" w:hRule="atLeast"/>
        </w:trPr>
        <w:tc>
          <w:tcPr>
            <w:tcW w:w="1213" w:type="dxa"/>
            <w:vAlign w:val="top"/>
            <w:vMerge w:val="restart"/>
            <w:tcBorders>
              <w:bottom w:val="nil"/>
            </w:tcBorders>
          </w:tcPr>
          <w:p>
            <w:pPr>
              <w:rPr>
                <w:rFonts w:ascii="Arial"/>
                <w:sz w:val="21"/>
              </w:rPr>
            </w:pPr>
            <w:r/>
          </w:p>
        </w:tc>
        <w:tc>
          <w:tcPr>
            <w:tcW w:w="7313" w:type="dxa"/>
            <w:vAlign w:val="top"/>
            <w:tcBorders>
              <w:bottom w:val="nil"/>
            </w:tcBorders>
          </w:tcPr>
          <w:p>
            <w:pPr>
              <w:pStyle w:val="TableText"/>
              <w:ind w:left="1450"/>
              <w:spacing w:before="152" w:line="227" w:lineRule="auto"/>
              <w:rPr>
                <w:rFonts w:ascii="Times New Roman" w:hAnsi="Times New Roman" w:eastAsia="Times New Roman" w:cs="Times New Roman"/>
                <w:sz w:val="20"/>
                <w:szCs w:val="20"/>
              </w:rPr>
            </w:pPr>
            <w:r>
              <w:pict>
                <v:shape id="_x0000_s146" style="position:absolute;margin-left:8.71869pt;margin-top:6.61872pt;mso-position-vertical-relative:text;mso-position-horizontal-relative:text;width:43pt;height:14.4pt;z-index:254544896;" filled="false" stroked="false" type="#_x0000_t202">
                  <v:fill on="false"/>
                  <v:stroke on="false"/>
                  <v:path/>
                  <v:imagedata o:title=""/>
                  <o:lock v:ext="edit" aspectratio="false"/>
                  <v:textbox inset="0mm,0mm,0mm,0mm">
                    <w:txbxContent>
                      <w:p>
                        <w:pPr>
                          <w:pStyle w:val="TableText"/>
                          <w:ind w:left="20"/>
                          <w:spacing w:before="20" w:line="228" w:lineRule="auto"/>
                          <w:rPr>
                            <w:sz w:val="20"/>
                            <w:szCs w:val="20"/>
                          </w:rPr>
                        </w:pPr>
                        <w:r>
                          <w:rPr>
                            <w:sz w:val="20"/>
                            <w:szCs w:val="20"/>
                            <w:spacing w:val="4"/>
                          </w:rPr>
                          <w:t>噪声治理</w:t>
                        </w:r>
                      </w:p>
                    </w:txbxContent>
                  </v:textbox>
                </v:shape>
              </w:pict>
            </w:r>
            <w:r>
              <w:pict>
                <v:shape id="_x0000_s148" style="position:absolute;margin-left:-311.25pt;margin-top:1.69pt;mso-position-vertical-relative:top-margin-area;mso-position-horizontal-relative:right-margin-area;width:0.5pt;height:18.95pt;z-index:254543872;" filled="false" strokecolor="#000000" strokeweight="0.48pt" coordsize="10,379" coordorigin="0,0" path="m4,0l4,378e">
                  <v:stroke joinstyle="bevel" miterlimit="2"/>
                </v:shape>
              </w:pict>
            </w:r>
            <w:r>
              <w:pict>
                <v:shape id="_x0000_s150" style="position:absolute;margin-left:-233.5pt;margin-top:1.69pt;mso-position-vertical-relative:top-margin-area;mso-position-horizontal-relative:right-margin-area;width:199.6pt;height:96.15pt;z-index:254545920;" filled="false" strokecolor="#000000" strokeweight="0.48pt" coordsize="3992,1923" coordorigin="0,0" path="m4,0l4,1495m3986,0l3986,1922e">
                  <v:stroke joinstyle="bevel" miterlimit="2"/>
                </v:shape>
              </w:pict>
            </w:r>
            <w:r>
              <w:rPr>
                <w:sz w:val="20"/>
                <w:szCs w:val="20"/>
                <w:spacing w:val="6"/>
              </w:rPr>
              <w:t>机械噪声</w:t>
            </w:r>
            <w:r>
              <w:rPr>
                <w:sz w:val="20"/>
                <w:szCs w:val="20"/>
                <w:spacing w:val="2"/>
              </w:rPr>
              <w:t xml:space="preserve">              </w:t>
            </w:r>
            <w:r>
              <w:rPr>
                <w:sz w:val="20"/>
                <w:szCs w:val="20"/>
                <w:spacing w:val="6"/>
              </w:rPr>
              <w:t>隔声降噪、绿化措施</w:t>
            </w:r>
            <w:r>
              <w:rPr>
                <w:sz w:val="20"/>
                <w:szCs w:val="20"/>
                <w:spacing w:val="1"/>
              </w:rPr>
              <w:t xml:space="preserve">            </w:t>
            </w:r>
            <w:r>
              <w:rPr>
                <w:rFonts w:ascii="Times New Roman" w:hAnsi="Times New Roman" w:eastAsia="Times New Roman" w:cs="Times New Roman"/>
                <w:sz w:val="20"/>
                <w:szCs w:val="20"/>
                <w:spacing w:val="6"/>
              </w:rPr>
              <w:t>0.5</w:t>
            </w:r>
          </w:p>
          <w:p>
            <w:pPr>
              <w:spacing w:line="143" w:lineRule="auto"/>
              <w:rPr>
                <w:rFonts w:ascii="Arial"/>
                <w:sz w:val="2"/>
              </w:rPr>
            </w:pPr>
            <w:r>
              <w:rPr>
                <w:rFonts w:ascii="Arial"/>
                <w:sz w:val="2"/>
              </w:rPr>
            </w:r>
          </w:p>
          <w:tbl>
            <w:tblPr>
              <w:tblStyle w:val="TableNormal"/>
              <w:tblW w:w="7095" w:type="dxa"/>
              <w:tblInd w:w="103"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2125"/>
              <w:gridCol w:w="4479"/>
              <w:gridCol w:w="491"/>
            </w:tblGrid>
            <w:tr>
              <w:trPr>
                <w:trHeight w:val="380" w:hRule="atLeast"/>
              </w:trPr>
              <w:tc>
                <w:tcPr>
                  <w:tcW w:w="2125" w:type="dxa"/>
                  <w:vAlign w:val="top"/>
                  <w:tcBorders>
                    <w:bottom w:val="single" w:color="000000" w:sz="2" w:space="0"/>
                    <w:top w:val="single" w:color="000000" w:sz="2" w:space="0"/>
                  </w:tcBorders>
                </w:tcPr>
                <w:p>
                  <w:pPr>
                    <w:pStyle w:val="TableText"/>
                    <w:ind w:left="855"/>
                    <w:spacing w:before="122" w:line="228" w:lineRule="auto"/>
                    <w:rPr>
                      <w:sz w:val="20"/>
                      <w:szCs w:val="20"/>
                    </w:rPr>
                  </w:pPr>
                  <w:r>
                    <w:rPr>
                      <w:sz w:val="20"/>
                      <w:szCs w:val="20"/>
                      <w:spacing w:val="7"/>
                    </w:rPr>
                    <w:t>环境风险</w:t>
                  </w:r>
                </w:p>
              </w:tc>
              <w:tc>
                <w:tcPr>
                  <w:tcW w:w="4479" w:type="dxa"/>
                  <w:vAlign w:val="top"/>
                  <w:tcBorders>
                    <w:bottom w:val="single" w:color="000000" w:sz="2" w:space="0"/>
                    <w:top w:val="single" w:color="000000" w:sz="2" w:space="0"/>
                  </w:tcBorders>
                </w:tcPr>
                <w:p>
                  <w:pPr>
                    <w:pStyle w:val="TableText"/>
                    <w:ind w:left="1258"/>
                    <w:spacing w:before="122" w:line="228" w:lineRule="auto"/>
                    <w:rPr>
                      <w:sz w:val="20"/>
                      <w:szCs w:val="20"/>
                    </w:rPr>
                  </w:pPr>
                  <w:r>
                    <w:rPr>
                      <w:sz w:val="20"/>
                      <w:szCs w:val="20"/>
                      <w:spacing w:val="9"/>
                    </w:rPr>
                    <w:t>环境风险防范及应急措施</w:t>
                  </w:r>
                </w:p>
              </w:tc>
              <w:tc>
                <w:tcPr>
                  <w:tcW w:w="491" w:type="dxa"/>
                  <w:vAlign w:val="top"/>
                  <w:tcBorders>
                    <w:bottom w:val="single" w:color="000000" w:sz="2" w:space="0"/>
                    <w:top w:val="single" w:color="000000" w:sz="2" w:space="0"/>
                  </w:tcBorders>
                </w:tcPr>
                <w:p>
                  <w:pPr>
                    <w:ind w:left="156"/>
                    <w:spacing w:before="1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trPr>
                <w:trHeight w:val="713" w:hRule="atLeast"/>
              </w:trPr>
              <w:tc>
                <w:tcPr>
                  <w:tcW w:w="2125" w:type="dxa"/>
                  <w:vAlign w:val="top"/>
                  <w:tcBorders>
                    <w:bottom w:val="single" w:color="000000" w:sz="2" w:space="0"/>
                    <w:top w:val="single" w:color="000000" w:sz="2" w:space="0"/>
                  </w:tcBorders>
                </w:tcPr>
                <w:p>
                  <w:pPr>
                    <w:pStyle w:val="TableText"/>
                    <w:ind w:left="1067"/>
                    <w:spacing w:before="296" w:line="228" w:lineRule="auto"/>
                    <w:rPr>
                      <w:sz w:val="20"/>
                      <w:szCs w:val="20"/>
                    </w:rPr>
                  </w:pPr>
                  <w:r>
                    <w:rPr>
                      <w:sz w:val="20"/>
                      <w:szCs w:val="20"/>
                      <w:spacing w:val="4"/>
                    </w:rPr>
                    <w:t>其他</w:t>
                  </w:r>
                </w:p>
              </w:tc>
              <w:tc>
                <w:tcPr>
                  <w:tcW w:w="4479" w:type="dxa"/>
                  <w:vAlign w:val="top"/>
                  <w:tcBorders>
                    <w:bottom w:val="single" w:color="000000" w:sz="2" w:space="0"/>
                    <w:top w:val="single" w:color="000000" w:sz="2" w:space="0"/>
                  </w:tcBorders>
                </w:tcPr>
                <w:p>
                  <w:pPr>
                    <w:pStyle w:val="TableText"/>
                    <w:ind w:left="449" w:right="42" w:firstLine="2"/>
                    <w:spacing w:before="115" w:line="271" w:lineRule="auto"/>
                    <w:rPr>
                      <w:sz w:val="20"/>
                      <w:szCs w:val="20"/>
                    </w:rPr>
                  </w:pPr>
                  <w:r>
                    <w:rPr>
                      <w:sz w:val="20"/>
                      <w:szCs w:val="20"/>
                      <w:spacing w:val="-1"/>
                    </w:rPr>
                    <w:t>水土保持、厂区绿化、施工期污染防治措施、</w:t>
                  </w:r>
                  <w:r>
                    <w:rPr>
                      <w:sz w:val="20"/>
                      <w:szCs w:val="20"/>
                      <w:spacing w:val="3"/>
                    </w:rPr>
                    <w:t xml:space="preserve"> </w:t>
                  </w:r>
                  <w:r>
                    <w:rPr>
                      <w:sz w:val="20"/>
                      <w:szCs w:val="20"/>
                      <w:spacing w:val="6"/>
                    </w:rPr>
                    <w:t>环境管理与监控、消防系统、排污口规范化</w:t>
                  </w:r>
                </w:p>
              </w:tc>
              <w:tc>
                <w:tcPr>
                  <w:tcW w:w="491" w:type="dxa"/>
                  <w:vAlign w:val="top"/>
                  <w:tcBorders>
                    <w:bottom w:val="single" w:color="000000" w:sz="2" w:space="0"/>
                    <w:top w:val="single" w:color="000000" w:sz="2" w:space="0"/>
                  </w:tcBorders>
                </w:tcPr>
                <w:p>
                  <w:pPr>
                    <w:spacing w:line="272" w:lineRule="auto"/>
                    <w:rPr>
                      <w:rFonts w:ascii="Arial"/>
                      <w:sz w:val="21"/>
                    </w:rPr>
                  </w:pPr>
                  <w:r/>
                </w:p>
                <w:p>
                  <w:pPr>
                    <w:ind w:left="177"/>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rPr>
                <w:trHeight w:val="439" w:hRule="atLeast"/>
              </w:trPr>
              <w:tc>
                <w:tcPr>
                  <w:tcW w:w="2125" w:type="dxa"/>
                  <w:vAlign w:val="top"/>
                  <w:tcBorders>
                    <w:top w:val="single" w:color="000000" w:sz="2" w:space="0"/>
                    <w:bottom w:val="single" w:color="000000" w:sz="10" w:space="0"/>
                  </w:tcBorders>
                </w:tcPr>
                <w:p>
                  <w:pPr>
                    <w:rPr>
                      <w:rFonts w:ascii="Arial"/>
                      <w:sz w:val="21"/>
                    </w:rPr>
                  </w:pPr>
                  <w:r/>
                </w:p>
              </w:tc>
              <w:tc>
                <w:tcPr>
                  <w:tcW w:w="4479" w:type="dxa"/>
                  <w:vAlign w:val="top"/>
                  <w:tcBorders>
                    <w:top w:val="single" w:color="000000" w:sz="2" w:space="0"/>
                    <w:bottom w:val="single" w:color="000000" w:sz="10" w:space="0"/>
                  </w:tcBorders>
                </w:tcPr>
                <w:p>
                  <w:pPr>
                    <w:pStyle w:val="TableText"/>
                    <w:ind w:left="829"/>
                    <w:spacing w:before="156" w:line="229" w:lineRule="auto"/>
                    <w:rPr>
                      <w:sz w:val="20"/>
                      <w:szCs w:val="20"/>
                    </w:rPr>
                  </w:pPr>
                  <w:r>
                    <w:rPr>
                      <w:sz w:val="20"/>
                      <w:szCs w:val="20"/>
                    </w:rPr>
                    <w:t>合</w:t>
                  </w:r>
                  <w:r>
                    <w:rPr>
                      <w:sz w:val="20"/>
                      <w:szCs w:val="20"/>
                      <w:spacing w:val="9"/>
                    </w:rPr>
                    <w:t xml:space="preserve">  </w:t>
                  </w:r>
                  <w:r>
                    <w:rPr>
                      <w:sz w:val="20"/>
                      <w:szCs w:val="20"/>
                    </w:rPr>
                    <w:t>计</w:t>
                  </w:r>
                </w:p>
              </w:tc>
              <w:tc>
                <w:tcPr>
                  <w:tcW w:w="491" w:type="dxa"/>
                  <w:vAlign w:val="top"/>
                  <w:tcBorders>
                    <w:top w:val="single" w:color="000000" w:sz="2" w:space="0"/>
                    <w:bottom w:val="single" w:color="000000" w:sz="10" w:space="0"/>
                  </w:tcBorders>
                </w:tcPr>
                <w:p>
                  <w:pPr>
                    <w:ind w:left="124"/>
                    <w:spacing w:before="1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13</w:t>
                  </w:r>
                </w:p>
              </w:tc>
            </w:tr>
          </w:tbl>
          <w:p>
            <w:pPr>
              <w:spacing w:line="69" w:lineRule="exact"/>
              <w:rPr>
                <w:rFonts w:ascii="Arial"/>
                <w:sz w:val="6"/>
              </w:rPr>
            </w:pPr>
            <w:r/>
          </w:p>
        </w:tc>
      </w:tr>
      <w:tr>
        <w:trPr>
          <w:trHeight w:val="11434" w:hRule="atLeast"/>
        </w:trPr>
        <w:tc>
          <w:tcPr>
            <w:tcW w:w="1213" w:type="dxa"/>
            <w:vAlign w:val="top"/>
            <w:vMerge w:val="continue"/>
            <w:tcBorders>
              <w:top w:val="nil"/>
            </w:tcBorders>
          </w:tcPr>
          <w:p>
            <w:pPr>
              <w:rPr>
                <w:rFonts w:ascii="Arial"/>
                <w:sz w:val="21"/>
              </w:rPr>
            </w:pPr>
            <w:r/>
          </w:p>
        </w:tc>
        <w:tc>
          <w:tcPr>
            <w:tcW w:w="7313" w:type="dxa"/>
            <w:vAlign w:val="top"/>
            <w:tcBorders>
              <w:top w:val="nil"/>
            </w:tcBorders>
          </w:tcPr>
          <w:p>
            <w:pPr>
              <w:pStyle w:val="TableText"/>
              <w:ind w:left="113"/>
              <w:spacing w:before="81" w:line="220" w:lineRule="auto"/>
              <w:outlineLvl w:val="1"/>
              <w:rPr>
                <w:sz w:val="28"/>
                <w:szCs w:val="28"/>
              </w:rPr>
            </w:pPr>
            <w:r>
              <w:rPr>
                <w:rFonts w:ascii="Times New Roman" w:hAnsi="Times New Roman" w:eastAsia="Times New Roman" w:cs="Times New Roman"/>
                <w:sz w:val="28"/>
                <w:szCs w:val="28"/>
                <w:b/>
                <w:bCs/>
                <w:spacing w:val="-1"/>
              </w:rPr>
              <w:t>5.3</w:t>
            </w:r>
            <w:r>
              <w:rPr>
                <w:sz w:val="28"/>
                <w:szCs w:val="28"/>
                <w14:textOutline w14:w="5103" w14:cap="sq" w14:cmpd="sng">
                  <w14:solidFill>
                    <w14:srgbClr w14:val="000000"/>
                  </w14:solidFill>
                  <w14:prstDash w14:val="solid"/>
                  <w14:bevel/>
                </w14:textOutline>
                <w:spacing w:val="-1"/>
              </w:rPr>
              <w:t>环境管理要求</w:t>
            </w:r>
          </w:p>
          <w:p>
            <w:pPr>
              <w:pStyle w:val="TableText"/>
              <w:ind w:left="596"/>
              <w:spacing w:before="203" w:line="499" w:lineRule="exact"/>
              <w:rPr/>
            </w:pPr>
            <w:r>
              <w:rPr>
                <w:spacing w:val="-4"/>
                <w:position w:val="19"/>
              </w:rPr>
              <w:t>为了落实各项污染防治措施，加强环境保护工作管理</w:t>
            </w:r>
            <w:r>
              <w:rPr>
                <w:spacing w:val="-5"/>
                <w:position w:val="19"/>
              </w:rPr>
              <w:t>，应当根据</w:t>
            </w:r>
          </w:p>
          <w:p>
            <w:pPr>
              <w:pStyle w:val="TableText"/>
              <w:ind w:left="119"/>
              <w:spacing w:line="219" w:lineRule="auto"/>
              <w:rPr/>
            </w:pPr>
            <w:r>
              <w:rPr>
                <w:spacing w:val="-1"/>
              </w:rPr>
              <w:t>实际特点，制定各种类型的环保制度。</w:t>
            </w:r>
          </w:p>
          <w:p>
            <w:pPr>
              <w:pStyle w:val="TableText"/>
              <w:ind w:left="605"/>
              <w:spacing w:before="214" w:line="219" w:lineRule="auto"/>
              <w:rPr/>
            </w:pPr>
            <w:r>
              <w:rPr>
                <w:spacing w:val="-1"/>
              </w:rPr>
              <w:t>（</w:t>
            </w:r>
            <w:r>
              <w:rPr>
                <w:rFonts w:ascii="Times New Roman" w:hAnsi="Times New Roman" w:eastAsia="Times New Roman" w:cs="Times New Roman"/>
                <w:spacing w:val="-1"/>
              </w:rPr>
              <w:t>1</w:t>
            </w:r>
            <w:r>
              <w:rPr>
                <w:spacing w:val="-1"/>
              </w:rPr>
              <w:t>）环保设施的建设、运行及维护费用保障制度</w:t>
            </w:r>
          </w:p>
          <w:p>
            <w:pPr>
              <w:pStyle w:val="TableText"/>
              <w:ind w:left="113" w:right="62" w:firstLine="479"/>
              <w:spacing w:before="216" w:line="384" w:lineRule="auto"/>
              <w:rPr/>
            </w:pPr>
            <w:r>
              <w:rPr>
                <w:spacing w:val="-3"/>
              </w:rPr>
              <w:t>在项目的建设、运行、维护的过程中，要设立专项的环保资金，</w:t>
            </w:r>
            <w:r>
              <w:rPr>
                <w:spacing w:val="16"/>
              </w:rPr>
              <w:t xml:space="preserve"> </w:t>
            </w:r>
            <w:r>
              <w:rPr>
                <w:spacing w:val="-4"/>
              </w:rPr>
              <w:t>所有环保投支出该专项资金投入，并定时、定量对该环保资金进行补</w:t>
            </w:r>
          </w:p>
          <w:p>
            <w:pPr>
              <w:pStyle w:val="TableText"/>
              <w:ind w:left="116"/>
              <w:spacing w:line="220" w:lineRule="auto"/>
              <w:rPr/>
            </w:pPr>
            <w:r>
              <w:rPr>
                <w:spacing w:val="-1"/>
              </w:rPr>
              <w:t>充，以保证环保设施的正常建设、运行和维护。</w:t>
            </w:r>
          </w:p>
          <w:p>
            <w:pPr>
              <w:pStyle w:val="TableText"/>
              <w:ind w:left="605"/>
              <w:spacing w:before="215" w:line="219" w:lineRule="auto"/>
              <w:rPr/>
            </w:pPr>
            <w:r>
              <w:rPr>
                <w:spacing w:val="-3"/>
              </w:rPr>
              <w:t>（</w:t>
            </w:r>
            <w:r>
              <w:rPr>
                <w:rFonts w:ascii="Times New Roman" w:hAnsi="Times New Roman" w:eastAsia="Times New Roman" w:cs="Times New Roman"/>
                <w:spacing w:val="-3"/>
              </w:rPr>
              <w:t>2</w:t>
            </w:r>
            <w:r>
              <w:rPr>
                <w:spacing w:val="-3"/>
              </w:rPr>
              <w:t>）申请排污许可证</w:t>
            </w:r>
          </w:p>
          <w:p>
            <w:pPr>
              <w:pStyle w:val="TableText"/>
              <w:ind w:left="112" w:right="45" w:firstLine="476"/>
              <w:spacing w:before="211" w:line="385" w:lineRule="auto"/>
              <w:rPr/>
            </w:pPr>
            <w:r>
              <w:rPr>
                <w:rFonts w:ascii="Times New Roman" w:hAnsi="Times New Roman" w:eastAsia="Times New Roman" w:cs="Times New Roman"/>
                <w:spacing w:val="-4"/>
              </w:rPr>
              <w:t>2016</w:t>
            </w:r>
            <w:r>
              <w:rPr>
                <w:spacing w:val="-4"/>
              </w:rPr>
              <w:t>年</w:t>
            </w:r>
            <w:r>
              <w:rPr>
                <w:rFonts w:ascii="Times New Roman" w:hAnsi="Times New Roman" w:eastAsia="Times New Roman" w:cs="Times New Roman"/>
                <w:spacing w:val="-4"/>
              </w:rPr>
              <w:t>11</w:t>
            </w:r>
            <w:r>
              <w:rPr>
                <w:spacing w:val="-4"/>
              </w:rPr>
              <w:t>月，国务院办公厅发布了《控制污染物排放许可制实施</w:t>
            </w:r>
            <w:r>
              <w:rPr>
                <w:spacing w:val="14"/>
              </w:rPr>
              <w:t xml:space="preserve"> </w:t>
            </w:r>
            <w:r>
              <w:rPr>
                <w:spacing w:val="-5"/>
              </w:rPr>
              <w:t>方案》，方案指出：</w:t>
            </w:r>
            <w:r>
              <w:rPr>
                <w:rFonts w:ascii="Times New Roman" w:hAnsi="Times New Roman" w:eastAsia="Times New Roman" w:cs="Times New Roman"/>
                <w:spacing w:val="-5"/>
              </w:rPr>
              <w:t>“</w:t>
            </w:r>
            <w:r>
              <w:rPr>
                <w:spacing w:val="-5"/>
              </w:rPr>
              <w:t>环境影响评价制度是建设项目的环境准入</w:t>
            </w:r>
            <w:r>
              <w:rPr>
                <w:spacing w:val="-6"/>
              </w:rPr>
              <w:t>门槛，</w:t>
            </w:r>
            <w:r>
              <w:rPr/>
              <w:t xml:space="preserve"> </w:t>
            </w:r>
            <w:r>
              <w:rPr>
                <w:spacing w:val="-4"/>
              </w:rPr>
              <w:t>排污许可制是企事业单位生产运营期排污的法律依据，必须做好充分</w:t>
            </w:r>
            <w:r>
              <w:rPr>
                <w:spacing w:val="7"/>
              </w:rPr>
              <w:t xml:space="preserve"> </w:t>
            </w:r>
            <w:r>
              <w:rPr>
                <w:spacing w:val="-4"/>
              </w:rPr>
              <w:t>衔接，实现从污染预防到污染治理和排放控制的全过程监管。新建项</w:t>
            </w:r>
            <w:r>
              <w:rPr>
                <w:spacing w:val="7"/>
              </w:rPr>
              <w:t xml:space="preserve"> </w:t>
            </w:r>
            <w:r>
              <w:rPr>
                <w:spacing w:val="-4"/>
              </w:rPr>
              <w:t>目必须在发生实际排污行为之前申领排污许可证，环境影响评价文件</w:t>
            </w:r>
            <w:r>
              <w:rPr>
                <w:spacing w:val="7"/>
              </w:rPr>
              <w:t xml:space="preserve"> </w:t>
            </w:r>
            <w:r>
              <w:rPr>
                <w:spacing w:val="-4"/>
              </w:rPr>
              <w:t>及批复中与污染物排放相关的主要内容应当纳入排污许可证，其排污</w:t>
            </w:r>
          </w:p>
          <w:p>
            <w:pPr>
              <w:pStyle w:val="TableText"/>
              <w:ind w:left="114"/>
              <w:spacing w:before="2" w:line="217" w:lineRule="auto"/>
              <w:rPr/>
            </w:pPr>
            <w:r>
              <w:rPr>
                <w:spacing w:val="-1"/>
              </w:rPr>
              <w:t>许可证执行情况应作为环境影响后评价的重要依据</w:t>
            </w:r>
            <w:r>
              <w:rPr>
                <w:rFonts w:ascii="Times New Roman" w:hAnsi="Times New Roman" w:eastAsia="Times New Roman" w:cs="Times New Roman"/>
                <w:spacing w:val="-1"/>
              </w:rPr>
              <w:t>”</w:t>
            </w:r>
            <w:r>
              <w:rPr>
                <w:spacing w:val="-1"/>
              </w:rPr>
              <w:t>。</w:t>
            </w:r>
          </w:p>
          <w:p>
            <w:pPr>
              <w:pStyle w:val="TableText"/>
              <w:ind w:left="594"/>
              <w:spacing w:before="215" w:line="502" w:lineRule="exact"/>
              <w:rPr/>
            </w:pPr>
            <w:r>
              <w:rPr>
                <w:spacing w:val="-4"/>
                <w:position w:val="20"/>
              </w:rPr>
              <w:t>本项目建设完成后，在实际投运生产前，应尽快完成项目</w:t>
            </w:r>
            <w:r>
              <w:rPr>
                <w:spacing w:val="-5"/>
                <w:position w:val="20"/>
              </w:rPr>
              <w:t>排污许</w:t>
            </w:r>
          </w:p>
          <w:p>
            <w:pPr>
              <w:pStyle w:val="TableText"/>
              <w:ind w:left="115"/>
              <w:spacing w:before="1" w:line="218" w:lineRule="auto"/>
              <w:rPr/>
            </w:pPr>
            <w:r>
              <w:rPr>
                <w:spacing w:val="-1"/>
              </w:rPr>
              <w:t>可变更，增加本项目实际污染物排放情况。</w:t>
            </w:r>
          </w:p>
          <w:p>
            <w:pPr>
              <w:pStyle w:val="TableText"/>
              <w:ind w:left="605"/>
              <w:spacing w:before="215" w:line="219" w:lineRule="auto"/>
              <w:rPr/>
            </w:pPr>
            <w:r>
              <w:rPr>
                <w:spacing w:val="-2"/>
              </w:rPr>
              <w:t>（</w:t>
            </w:r>
            <w:r>
              <w:rPr>
                <w:rFonts w:ascii="Times New Roman" w:hAnsi="Times New Roman" w:eastAsia="Times New Roman" w:cs="Times New Roman"/>
                <w:spacing w:val="-2"/>
              </w:rPr>
              <w:t>3</w:t>
            </w:r>
            <w:r>
              <w:rPr>
                <w:spacing w:val="-2"/>
              </w:rPr>
              <w:t>）污染处理设施的管理制度</w:t>
            </w:r>
          </w:p>
          <w:p>
            <w:pPr>
              <w:pStyle w:val="TableText"/>
              <w:ind w:left="592"/>
              <w:spacing w:before="214" w:line="502" w:lineRule="exact"/>
              <w:rPr/>
            </w:pPr>
            <w:r>
              <w:rPr>
                <w:spacing w:val="5"/>
                <w:position w:val="19"/>
              </w:rPr>
              <w:t>对污染治理设施的管理必须与生产经营活动</w:t>
            </w:r>
            <w:r>
              <w:rPr>
                <w:spacing w:val="4"/>
                <w:position w:val="19"/>
              </w:rPr>
              <w:t>一起纳入企业的日</w:t>
            </w:r>
          </w:p>
          <w:p>
            <w:pPr>
              <w:pStyle w:val="TableText"/>
              <w:ind w:right="3"/>
              <w:spacing w:line="219" w:lineRule="auto"/>
              <w:jc w:val="right"/>
              <w:rPr/>
            </w:pPr>
            <w:r>
              <w:rPr>
                <w:spacing w:val="-1"/>
              </w:rPr>
              <w:t>常管理中，要建立岗位责任制，制定操作规程，建立环境管理台帐。</w:t>
            </w:r>
          </w:p>
          <w:p>
            <w:pPr>
              <w:pStyle w:val="TableText"/>
              <w:ind w:left="605"/>
              <w:spacing w:before="215" w:line="220" w:lineRule="auto"/>
              <w:rPr/>
            </w:pPr>
            <w:r>
              <w:rPr>
                <w:spacing w:val="-3"/>
              </w:rPr>
              <w:t>（</w:t>
            </w:r>
            <w:r>
              <w:rPr>
                <w:rFonts w:ascii="Times New Roman" w:hAnsi="Times New Roman" w:eastAsia="Times New Roman" w:cs="Times New Roman"/>
                <w:spacing w:val="-3"/>
              </w:rPr>
              <w:t>4</w:t>
            </w:r>
            <w:r>
              <w:rPr>
                <w:spacing w:val="-3"/>
              </w:rPr>
              <w:t>）奖惩制度</w:t>
            </w:r>
          </w:p>
          <w:p>
            <w:pPr>
              <w:pStyle w:val="TableText"/>
              <w:ind w:left="597"/>
              <w:spacing w:before="213" w:line="501" w:lineRule="exact"/>
              <w:rPr/>
            </w:pPr>
            <w:r>
              <w:rPr>
                <w:spacing w:val="-4"/>
                <w:position w:val="19"/>
              </w:rPr>
              <w:t>企业应设置环境保护奖惩制度，对爱护环保设施，节能降耗、改</w:t>
            </w:r>
          </w:p>
          <w:p>
            <w:pPr>
              <w:pStyle w:val="TableText"/>
              <w:ind w:left="115"/>
              <w:spacing w:before="1" w:line="219" w:lineRule="auto"/>
              <w:rPr/>
            </w:pPr>
            <w:r>
              <w:rPr>
                <w:spacing w:val="-4"/>
              </w:rPr>
              <w:t>善环境者实行奖励；对不按环保要求管理，造成环保设施损坏、环境</w:t>
            </w:r>
          </w:p>
        </w:tc>
      </w:tr>
    </w:tbl>
    <w:p>
      <w:pPr>
        <w:pStyle w:val="BodyText"/>
        <w:rPr/>
      </w:pPr>
      <w:r/>
    </w:p>
    <w:p>
      <w:pPr>
        <w:sectPr>
          <w:footerReference w:type="default" r:id="rId241"/>
          <w:pgSz w:w="11906" w:h="16839"/>
          <w:pgMar w:top="400" w:right="1687" w:bottom="1211" w:left="1687" w:header="0" w:footer="1049" w:gutter="0"/>
        </w:sectPr>
        <w:rPr/>
      </w:pPr>
    </w:p>
    <w:p>
      <w:pPr>
        <w:spacing w:before="19"/>
        <w:rPr/>
      </w:pPr>
      <w:r/>
    </w:p>
    <w:p>
      <w:pPr>
        <w:spacing w:before="19"/>
        <w:rPr/>
      </w:pPr>
      <w:r/>
    </w:p>
    <w:p>
      <w:pPr>
        <w:spacing w:before="18"/>
        <w:rPr/>
      </w:pPr>
      <w:r/>
    </w:p>
    <w:p>
      <w:pPr>
        <w:spacing w:before="1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3"/>
        <w:gridCol w:w="7313"/>
      </w:tblGrid>
      <w:tr>
        <w:trPr>
          <w:trHeight w:val="13470" w:hRule="atLeast"/>
        </w:trPr>
        <w:tc>
          <w:tcPr>
            <w:tcW w:w="1213" w:type="dxa"/>
            <w:vAlign w:val="top"/>
          </w:tcPr>
          <w:p>
            <w:pPr>
              <w:rPr>
                <w:rFonts w:ascii="Arial"/>
                <w:sz w:val="21"/>
              </w:rPr>
            </w:pPr>
            <w:r/>
          </w:p>
        </w:tc>
        <w:tc>
          <w:tcPr>
            <w:tcW w:w="7313" w:type="dxa"/>
            <w:vAlign w:val="top"/>
          </w:tcPr>
          <w:p>
            <w:pPr>
              <w:pStyle w:val="TableText"/>
              <w:ind w:left="115"/>
              <w:spacing w:before="200" w:line="499" w:lineRule="exact"/>
              <w:rPr/>
            </w:pPr>
            <w:r>
              <w:rPr>
                <w:spacing w:val="-1"/>
                <w:position w:val="19"/>
              </w:rPr>
              <w:t>污染和资源、能源浪费者予以处罚。</w:t>
            </w:r>
          </w:p>
          <w:p>
            <w:pPr>
              <w:pStyle w:val="TableText"/>
              <w:ind w:left="605"/>
              <w:spacing w:line="221" w:lineRule="auto"/>
              <w:rPr/>
            </w:pPr>
            <w:r>
              <w:rPr>
                <w:spacing w:val="-3"/>
              </w:rPr>
              <w:t>（</w:t>
            </w:r>
            <w:r>
              <w:rPr>
                <w:rFonts w:ascii="Times New Roman" w:hAnsi="Times New Roman" w:eastAsia="Times New Roman" w:cs="Times New Roman"/>
                <w:spacing w:val="-3"/>
              </w:rPr>
              <w:t>5</w:t>
            </w:r>
            <w:r>
              <w:rPr>
                <w:spacing w:val="-3"/>
              </w:rPr>
              <w:t>）规范排污口</w:t>
            </w:r>
          </w:p>
          <w:p>
            <w:pPr>
              <w:pStyle w:val="TableText"/>
              <w:ind w:left="114" w:right="107" w:firstLine="480"/>
              <w:spacing w:before="211" w:line="385" w:lineRule="auto"/>
              <w:rPr/>
            </w:pPr>
            <w:r>
              <w:rPr>
                <w:spacing w:val="-1"/>
              </w:rPr>
              <w:t>本项目应按《环境保护图形标志—排放口（源）》（</w:t>
            </w:r>
            <w:r>
              <w:rPr>
                <w:rFonts w:ascii="Times New Roman" w:hAnsi="Times New Roman" w:eastAsia="Times New Roman" w:cs="Times New Roman"/>
                <w:spacing w:val="-1"/>
              </w:rPr>
              <w:t>GB15562.1</w:t>
            </w:r>
            <w:r>
              <w:rPr>
                <w:rFonts w:ascii="Times New Roman" w:hAnsi="Times New Roman" w:eastAsia="Times New Roman" w:cs="Times New Roman"/>
                <w:spacing w:val="1"/>
              </w:rPr>
              <w:t xml:space="preserve"> </w:t>
            </w:r>
            <w:r>
              <w:rPr>
                <w:rFonts w:ascii="Times New Roman" w:hAnsi="Times New Roman" w:eastAsia="Times New Roman" w:cs="Times New Roman"/>
              </w:rPr>
              <w:t>-</w:t>
            </w:r>
            <w:r>
              <w:rPr>
                <w:rFonts w:ascii="Times New Roman" w:hAnsi="Times New Roman" w:eastAsia="Times New Roman" w:cs="Times New Roman"/>
                <w:spacing w:val="-15"/>
              </w:rPr>
              <w:t xml:space="preserve"> </w:t>
            </w:r>
            <w:r>
              <w:rPr>
                <w:rFonts w:ascii="Times New Roman" w:hAnsi="Times New Roman" w:eastAsia="Times New Roman" w:cs="Times New Roman"/>
              </w:rPr>
              <w:t>1995</w:t>
            </w:r>
            <w:r>
              <w:rPr/>
              <w:t>）规定的图形，在各气、水、声排污口（源）挂牌标识，做到</w:t>
            </w:r>
          </w:p>
          <w:p>
            <w:pPr>
              <w:pStyle w:val="TableText"/>
              <w:ind w:left="116"/>
              <w:spacing w:line="219" w:lineRule="auto"/>
              <w:rPr/>
            </w:pPr>
            <w:r>
              <w:rPr>
                <w:spacing w:val="-1"/>
              </w:rPr>
              <w:t>各排污口（源）的环保标志明显，便于企业管理和公众监督。</w:t>
            </w:r>
          </w:p>
          <w:p>
            <w:pPr>
              <w:pStyle w:val="TableText"/>
              <w:ind w:left="118" w:right="106" w:firstLine="480"/>
              <w:spacing w:before="213" w:line="385" w:lineRule="auto"/>
              <w:rPr/>
            </w:pPr>
            <w:r>
              <w:rPr>
                <w:spacing w:val="-4"/>
              </w:rPr>
              <w:t>列入总量控制污染物的排污口为管理的重点，排</w:t>
            </w:r>
            <w:r>
              <w:rPr>
                <w:spacing w:val="-5"/>
              </w:rPr>
              <w:t>污口应便于采样</w:t>
            </w:r>
            <w:r>
              <w:rPr/>
              <w:t xml:space="preserve"> </w:t>
            </w:r>
            <w:r>
              <w:rPr>
                <w:spacing w:val="-4"/>
              </w:rPr>
              <w:t>与计量监测，便于日常现场监督检查。排污口位置必须合理确定，按</w:t>
            </w:r>
          </w:p>
          <w:p>
            <w:pPr>
              <w:pStyle w:val="TableText"/>
              <w:ind w:left="113"/>
              <w:spacing w:line="219" w:lineRule="auto"/>
              <w:rPr/>
            </w:pPr>
            <w:r>
              <w:rPr>
                <w:spacing w:val="-1"/>
              </w:rPr>
              <w:t>环监〔</w:t>
            </w:r>
            <w:r>
              <w:rPr>
                <w:rFonts w:ascii="Times New Roman" w:hAnsi="Times New Roman" w:eastAsia="Times New Roman" w:cs="Times New Roman"/>
                <w:spacing w:val="-1"/>
              </w:rPr>
              <w:t>1996</w:t>
            </w:r>
            <w:r>
              <w:rPr>
                <w:spacing w:val="-1"/>
              </w:rPr>
              <w:t>〕</w:t>
            </w:r>
            <w:r>
              <w:rPr>
                <w:rFonts w:ascii="Times New Roman" w:hAnsi="Times New Roman" w:eastAsia="Times New Roman" w:cs="Times New Roman"/>
                <w:spacing w:val="-1"/>
              </w:rPr>
              <w:t>470</w:t>
            </w:r>
            <w:r>
              <w:rPr>
                <w:spacing w:val="-1"/>
              </w:rPr>
              <w:t>号文件要求进行规范化管理。</w:t>
            </w:r>
          </w:p>
          <w:p>
            <w:pPr>
              <w:pStyle w:val="TableText"/>
              <w:ind w:left="595"/>
              <w:spacing w:before="214" w:line="502" w:lineRule="exact"/>
              <w:rPr/>
            </w:pPr>
            <w:r>
              <w:rPr>
                <w:spacing w:val="4"/>
                <w:position w:val="20"/>
              </w:rPr>
              <w:t>污染物排放口的环保图形标志牌应设置在靠近采样点的醒目位</w:t>
            </w:r>
          </w:p>
          <w:p>
            <w:pPr>
              <w:pStyle w:val="TableText"/>
              <w:ind w:left="111"/>
              <w:spacing w:line="219" w:lineRule="auto"/>
              <w:rPr/>
            </w:pPr>
            <w:r>
              <w:rPr>
                <w:spacing w:val="-1"/>
              </w:rPr>
              <w:t>置处，标志牌设置高度为其上缘距地面约</w:t>
            </w:r>
            <w:r>
              <w:rPr>
                <w:rFonts w:ascii="Times New Roman" w:hAnsi="Times New Roman" w:eastAsia="Times New Roman" w:cs="Times New Roman"/>
                <w:spacing w:val="-1"/>
              </w:rPr>
              <w:t>2m</w:t>
            </w:r>
            <w:r>
              <w:rPr>
                <w:spacing w:val="-1"/>
              </w:rPr>
              <w:t>。</w:t>
            </w:r>
          </w:p>
          <w:p>
            <w:pPr>
              <w:pStyle w:val="TableText"/>
              <w:ind w:left="112" w:right="106" w:firstLine="484"/>
              <w:spacing w:before="214" w:line="385" w:lineRule="auto"/>
              <w:rPr/>
            </w:pPr>
            <w:r>
              <w:rPr>
                <w:spacing w:val="4"/>
              </w:rPr>
              <w:t>一般排污单位的污染物排放口或固体废物贮存处置场地可以根</w:t>
            </w:r>
            <w:r>
              <w:rPr>
                <w:spacing w:val="14"/>
              </w:rPr>
              <w:t xml:space="preserve"> </w:t>
            </w:r>
            <w:r>
              <w:rPr>
                <w:spacing w:val="-4"/>
              </w:rPr>
              <w:t>据情况设置立式或平面固定式标志牌。一般污染物排放口或固体废物</w:t>
            </w:r>
          </w:p>
          <w:p>
            <w:pPr>
              <w:pStyle w:val="TableText"/>
              <w:ind w:left="114"/>
              <w:spacing w:before="1" w:line="219" w:lineRule="auto"/>
              <w:rPr/>
            </w:pPr>
            <w:r>
              <w:rPr>
                <w:spacing w:val="-1"/>
              </w:rPr>
              <w:t>贮存堆放场地设置提示性环境保护图形标志牌。</w:t>
            </w:r>
          </w:p>
        </w:tc>
      </w:tr>
    </w:tbl>
    <w:p>
      <w:pPr>
        <w:pStyle w:val="BodyText"/>
        <w:rPr/>
      </w:pPr>
      <w:r/>
    </w:p>
    <w:p>
      <w:pPr>
        <w:sectPr>
          <w:footerReference w:type="default" r:id="rId242"/>
          <w:pgSz w:w="11906" w:h="16839"/>
          <w:pgMar w:top="400" w:right="1687" w:bottom="1211" w:left="1687" w:header="0" w:footer="1049" w:gutter="0"/>
        </w:sectPr>
        <w:rPr/>
      </w:pPr>
    </w:p>
    <w:p>
      <w:pPr>
        <w:pStyle w:val="BodyText"/>
        <w:spacing w:line="287" w:lineRule="auto"/>
        <w:rPr/>
      </w:pPr>
      <w:r/>
    </w:p>
    <w:p>
      <w:pPr>
        <w:pStyle w:val="BodyText"/>
        <w:spacing w:line="287" w:lineRule="auto"/>
        <w:rPr/>
      </w:pPr>
      <w:r/>
    </w:p>
    <w:p>
      <w:pPr>
        <w:pStyle w:val="BodyText"/>
        <w:spacing w:line="288" w:lineRule="auto"/>
        <w:rPr/>
      </w:pPr>
      <w:r/>
    </w:p>
    <w:p>
      <w:pPr>
        <w:pStyle w:val="BodyText"/>
        <w:spacing w:line="288" w:lineRule="auto"/>
        <w:rPr/>
      </w:pPr>
      <w:r/>
    </w:p>
    <w:p>
      <w:pPr>
        <w:ind w:left="3716"/>
        <w:spacing w:before="91" w:line="221" w:lineRule="auto"/>
        <w:outlineLvl w:val="0"/>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3"/>
        </w:rPr>
        <w:t>六、结论</w:t>
      </w:r>
    </w:p>
    <w:p>
      <w:pPr>
        <w:spacing w:line="15" w:lineRule="exact"/>
        <w:rPr/>
      </w:pPr>
      <w:r/>
    </w:p>
    <w:tbl>
      <w:tblPr>
        <w:tblStyle w:val="TableNormal"/>
        <w:tblW w:w="8526" w:type="dxa"/>
        <w:tblInd w:w="2" w:type="dxa"/>
        <w:tblLayout w:type="fixed"/>
        <w:tblBorders>
          <w:left w:val="single" w:color="000000" w:sz="2" w:space="0"/>
          <w:bottom w:val="single" w:color="000000" w:sz="2" w:space="0"/>
          <w:right w:val="single" w:color="000000" w:sz="2" w:space="0"/>
          <w:top w:val="single" w:color="000000" w:sz="2" w:space="0"/>
        </w:tblBorders>
      </w:tblPr>
      <w:tblGrid>
        <w:gridCol w:w="8526"/>
      </w:tblGrid>
      <w:tr>
        <w:trPr>
          <w:trHeight w:val="13209" w:hRule="atLeast"/>
        </w:trPr>
        <w:tc>
          <w:tcPr>
            <w:tcW w:w="8526" w:type="dxa"/>
            <w:vAlign w:val="top"/>
          </w:tcPr>
          <w:p>
            <w:pPr>
              <w:pStyle w:val="TableText"/>
              <w:ind w:left="679"/>
              <w:spacing w:before="164" w:line="221" w:lineRule="auto"/>
              <w:outlineLvl w:val="1"/>
              <w:rPr>
                <w:sz w:val="28"/>
                <w:szCs w:val="28"/>
              </w:rPr>
            </w:pPr>
            <w:r>
              <w:rPr>
                <w:rFonts w:ascii="Times New Roman" w:hAnsi="Times New Roman" w:eastAsia="Times New Roman" w:cs="Times New Roman"/>
                <w:sz w:val="28"/>
                <w:szCs w:val="28"/>
                <w:b/>
                <w:bCs/>
                <w:spacing w:val="-2"/>
              </w:rPr>
              <w:t>6.1</w:t>
            </w:r>
            <w:r>
              <w:rPr>
                <w:sz w:val="28"/>
                <w:szCs w:val="28"/>
                <w14:textOutline w14:w="5103" w14:cap="sq" w14:cmpd="sng">
                  <w14:solidFill>
                    <w14:srgbClr w14:val="000000"/>
                  </w14:solidFill>
                  <w14:prstDash w14:val="solid"/>
                  <w14:bevel/>
                </w14:textOutline>
                <w:spacing w:val="-2"/>
              </w:rPr>
              <w:t>结论</w:t>
            </w:r>
          </w:p>
          <w:p>
            <w:pPr>
              <w:pStyle w:val="TableText"/>
              <w:ind w:left="120" w:right="45" w:firstLine="480"/>
              <w:spacing w:before="198" w:line="385" w:lineRule="auto"/>
              <w:jc w:val="both"/>
              <w:rPr/>
            </w:pPr>
            <w:r>
              <w:rPr>
                <w:spacing w:val="-1"/>
              </w:rPr>
              <w:t>综上所述，本项目具有较明显的社会经济效益</w:t>
            </w:r>
            <w:r>
              <w:rPr>
                <w:spacing w:val="-2"/>
              </w:rPr>
              <w:t>，项目所在地环境质量较好，</w:t>
            </w:r>
            <w:r>
              <w:rPr/>
              <w:t xml:space="preserve"> </w:t>
            </w:r>
            <w:r>
              <w:rPr>
                <w:spacing w:val="-3"/>
              </w:rPr>
              <w:t>项目对周围环境的污染程度较轻，本项目所产生的废气、废水、噪声、固废</w:t>
            </w:r>
            <w:r>
              <w:rPr>
                <w:spacing w:val="-4"/>
              </w:rPr>
              <w:t>在采</w:t>
            </w:r>
            <w:r>
              <w:rPr/>
              <w:t xml:space="preserve"> </w:t>
            </w:r>
            <w:r>
              <w:rPr>
                <w:spacing w:val="-8"/>
              </w:rPr>
              <w:t>取相应的治理措施后，可满足相应的国家排放标准。通过对本项目环境影响评价，</w:t>
            </w:r>
            <w:r>
              <w:rPr>
                <w:spacing w:val="2"/>
              </w:rPr>
              <w:t xml:space="preserve"> </w:t>
            </w:r>
            <w:r>
              <w:rPr>
                <w:spacing w:val="-4"/>
              </w:rPr>
              <w:t>只要在本项目的建设中认真执行环保“三同时</w:t>
            </w:r>
            <w:r>
              <w:rPr>
                <w:spacing w:val="-88"/>
              </w:rPr>
              <w:t xml:space="preserve"> </w:t>
            </w:r>
            <w:r>
              <w:rPr>
                <w:spacing w:val="-4"/>
              </w:rPr>
              <w:t>”，具体落实本环评中提出的</w:t>
            </w:r>
            <w:r>
              <w:rPr>
                <w:spacing w:val="-5"/>
              </w:rPr>
              <w:t>各污</w:t>
            </w:r>
          </w:p>
          <w:p>
            <w:pPr>
              <w:pStyle w:val="TableText"/>
              <w:ind w:left="121"/>
              <w:spacing w:line="218" w:lineRule="auto"/>
              <w:rPr/>
            </w:pPr>
            <w:r>
              <w:rPr>
                <w:spacing w:val="-1"/>
              </w:rPr>
              <w:t>染防治措施，从环保角度看，本项目的建设是可行的。</w:t>
            </w:r>
          </w:p>
          <w:p>
            <w:pPr>
              <w:pStyle w:val="TableText"/>
              <w:ind w:left="679"/>
              <w:spacing w:before="179" w:line="221" w:lineRule="auto"/>
              <w:outlineLvl w:val="1"/>
              <w:rPr>
                <w:sz w:val="28"/>
                <w:szCs w:val="28"/>
              </w:rPr>
            </w:pPr>
            <w:r>
              <w:rPr>
                <w:rFonts w:ascii="Times New Roman" w:hAnsi="Times New Roman" w:eastAsia="Times New Roman" w:cs="Times New Roman"/>
                <w:sz w:val="28"/>
                <w:szCs w:val="28"/>
                <w:b/>
                <w:bCs/>
                <w:spacing w:val="-2"/>
              </w:rPr>
              <w:t>6.2</w:t>
            </w:r>
            <w:r>
              <w:rPr>
                <w:sz w:val="28"/>
                <w:szCs w:val="28"/>
                <w14:textOutline w14:w="5103" w14:cap="sq" w14:cmpd="sng">
                  <w14:solidFill>
                    <w14:srgbClr w14:val="000000"/>
                  </w14:solidFill>
                  <w14:prstDash w14:val="solid"/>
                  <w14:bevel/>
                </w14:textOutline>
                <w:spacing w:val="-2"/>
              </w:rPr>
              <w:t>建议</w:t>
            </w:r>
          </w:p>
          <w:p>
            <w:pPr>
              <w:pStyle w:val="TableText"/>
              <w:ind w:left="615"/>
              <w:spacing w:before="199" w:line="502" w:lineRule="exact"/>
              <w:rPr/>
            </w:pPr>
            <w:r>
              <w:rPr>
                <w:rFonts w:ascii="Times New Roman" w:hAnsi="Times New Roman" w:eastAsia="Times New Roman" w:cs="Times New Roman"/>
                <w:spacing w:val="-1"/>
                <w:position w:val="19"/>
              </w:rPr>
              <w:t>1</w:t>
            </w:r>
            <w:r>
              <w:rPr>
                <w:rFonts w:ascii="Times New Roman" w:hAnsi="Times New Roman" w:eastAsia="Times New Roman" w:cs="Times New Roman"/>
                <w:spacing w:val="-33"/>
                <w:position w:val="19"/>
              </w:rPr>
              <w:t xml:space="preserve"> </w:t>
            </w:r>
            <w:r>
              <w:rPr>
                <w:spacing w:val="-1"/>
                <w:position w:val="19"/>
              </w:rPr>
              <w:t>、建设单位要严格执行</w:t>
            </w:r>
            <w:r>
              <w:rPr>
                <w:rFonts w:ascii="Times New Roman" w:hAnsi="Times New Roman" w:eastAsia="Times New Roman" w:cs="Times New Roman"/>
                <w:spacing w:val="-1"/>
                <w:position w:val="19"/>
              </w:rPr>
              <w:t>“</w:t>
            </w:r>
            <w:r>
              <w:rPr>
                <w:spacing w:val="-1"/>
                <w:position w:val="19"/>
              </w:rPr>
              <w:t>三同时</w:t>
            </w:r>
            <w:r>
              <w:rPr>
                <w:rFonts w:ascii="Times New Roman" w:hAnsi="Times New Roman" w:eastAsia="Times New Roman" w:cs="Times New Roman"/>
                <w:spacing w:val="-1"/>
                <w:position w:val="19"/>
              </w:rPr>
              <w:t>”</w:t>
            </w:r>
            <w:r>
              <w:rPr>
                <w:rFonts w:ascii="Times New Roman" w:hAnsi="Times New Roman" w:eastAsia="Times New Roman" w:cs="Times New Roman"/>
                <w:spacing w:val="-30"/>
                <w:position w:val="19"/>
              </w:rPr>
              <w:t xml:space="preserve"> </w:t>
            </w:r>
            <w:r>
              <w:rPr>
                <w:spacing w:val="-1"/>
                <w:position w:val="19"/>
              </w:rPr>
              <w:t>，切实做到环保治理设施与主体工程</w:t>
            </w:r>
            <w:r>
              <w:rPr>
                <w:spacing w:val="-2"/>
                <w:position w:val="19"/>
              </w:rPr>
              <w:t>同时</w:t>
            </w:r>
          </w:p>
          <w:p>
            <w:pPr>
              <w:pStyle w:val="TableText"/>
              <w:ind w:left="121"/>
              <w:spacing w:line="219" w:lineRule="auto"/>
              <w:rPr/>
            </w:pPr>
            <w:r>
              <w:rPr>
                <w:spacing w:val="-1"/>
              </w:rPr>
              <w:t>设计、同时施工、同时投产使用。</w:t>
            </w:r>
          </w:p>
          <w:p>
            <w:pPr>
              <w:pStyle w:val="TableText"/>
              <w:ind w:left="592"/>
              <w:spacing w:before="215" w:line="219" w:lineRule="auto"/>
              <w:rPr/>
            </w:pPr>
            <w:r>
              <w:rPr>
                <w:rFonts w:ascii="Times New Roman" w:hAnsi="Times New Roman" w:eastAsia="Times New Roman" w:cs="Times New Roman"/>
                <w:spacing w:val="-2"/>
              </w:rPr>
              <w:t>2</w:t>
            </w:r>
            <w:r>
              <w:rPr>
                <w:rFonts w:ascii="Times New Roman" w:hAnsi="Times New Roman" w:eastAsia="Times New Roman" w:cs="Times New Roman"/>
                <w:spacing w:val="-33"/>
              </w:rPr>
              <w:t xml:space="preserve"> </w:t>
            </w:r>
            <w:r>
              <w:rPr>
                <w:spacing w:val="-2"/>
              </w:rPr>
              <w:t>、固体废弃物设置专用的堆放场所；</w:t>
            </w:r>
          </w:p>
          <w:p>
            <w:pPr>
              <w:pStyle w:val="TableText"/>
              <w:spacing w:before="214" w:line="502" w:lineRule="exact"/>
              <w:jc w:val="right"/>
              <w:rPr/>
            </w:pPr>
            <w:r>
              <w:rPr>
                <w:rFonts w:ascii="Times New Roman" w:hAnsi="Times New Roman" w:eastAsia="Times New Roman" w:cs="Times New Roman"/>
                <w:spacing w:val="-5"/>
                <w:position w:val="20"/>
              </w:rPr>
              <w:t>3</w:t>
            </w:r>
            <w:r>
              <w:rPr>
                <w:spacing w:val="-5"/>
                <w:position w:val="20"/>
              </w:rPr>
              <w:t>、加强管理，建立各种健全的生产环保规章制度，严格在岗人员操作管理，</w:t>
            </w:r>
          </w:p>
          <w:p>
            <w:pPr>
              <w:pStyle w:val="TableText"/>
              <w:ind w:left="121"/>
              <w:spacing w:line="219" w:lineRule="auto"/>
              <w:rPr/>
            </w:pPr>
            <w:r>
              <w:rPr>
                <w:spacing w:val="-1"/>
              </w:rPr>
              <w:t>与此同时，加强设备、管道、各项治污措施的定期检修和维护工作。</w:t>
            </w:r>
          </w:p>
        </w:tc>
      </w:tr>
    </w:tbl>
    <w:p>
      <w:pPr>
        <w:pStyle w:val="BodyText"/>
        <w:rPr/>
      </w:pPr>
      <w:r/>
    </w:p>
    <w:p>
      <w:pPr>
        <w:sectPr>
          <w:footerReference w:type="default" r:id="rId243"/>
          <w:pgSz w:w="11906" w:h="16839"/>
          <w:pgMar w:top="400" w:right="1687" w:bottom="1211" w:left="1687" w:header="0" w:footer="1049" w:gutter="0"/>
        </w:sectPr>
        <w:rPr/>
      </w:pP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2" w:lineRule="auto"/>
        <w:rPr/>
      </w:pPr>
      <w:r/>
    </w:p>
    <w:p>
      <w:pPr>
        <w:pStyle w:val="BodyText"/>
        <w:spacing w:line="252" w:lineRule="auto"/>
        <w:rPr/>
      </w:pPr>
      <w:r/>
    </w:p>
    <w:p>
      <w:pPr>
        <w:ind w:left="145"/>
        <w:spacing w:before="91" w:line="219" w:lineRule="auto"/>
        <w:outlineLvl w:val="0"/>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6"/>
        </w:rPr>
        <w:t>附表</w:t>
      </w:r>
    </w:p>
    <w:p>
      <w:pPr>
        <w:ind w:left="5777"/>
        <w:spacing w:before="213" w:line="220"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
        </w:rPr>
        <w:t>建设项目污染物排放量汇总表</w:t>
      </w:r>
    </w:p>
    <w:p>
      <w:pPr>
        <w:spacing w:line="19" w:lineRule="exact"/>
        <w:rPr/>
      </w:pPr>
      <w:r/>
    </w:p>
    <w:tbl>
      <w:tblPr>
        <w:tblStyle w:val="TableNormal"/>
        <w:tblW w:w="1417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2"/>
        <w:gridCol w:w="2112"/>
        <w:gridCol w:w="1403"/>
        <w:gridCol w:w="1574"/>
        <w:gridCol w:w="1574"/>
        <w:gridCol w:w="1574"/>
        <w:gridCol w:w="1575"/>
        <w:gridCol w:w="1575"/>
        <w:gridCol w:w="1579"/>
      </w:tblGrid>
      <w:tr>
        <w:trPr>
          <w:trHeight w:val="1448" w:hRule="atLeast"/>
        </w:trPr>
        <w:tc>
          <w:tcPr>
            <w:tcW w:w="1212" w:type="dxa"/>
            <w:vAlign w:val="top"/>
          </w:tcPr>
          <w:p>
            <w:pPr>
              <w:pStyle w:val="TableText"/>
              <w:ind w:firstLine="16"/>
              <w:spacing w:line="1215" w:lineRule="exact"/>
              <w:rPr/>
            </w:pPr>
            <w:r>
              <w:rPr>
                <w:position w:val="-24"/>
              </w:rPr>
              <w:pict>
                <v:group id="_x0000_s152" style="mso-position-vertical-relative:line;mso-position-horizontal-relative:char;width:60.5pt;height:61pt;" filled="false" stroked="false" coordsize="1210,1220" coordorigin="0,0">
                  <v:shape id="_x0000_s154" style="position:absolute;left:0;top:0;width:1210;height:1220;" filled="false" stroked="false" type="#_x0000_t75">
                    <v:imagedata o:title="" r:id="rId245"/>
                  </v:shape>
                  <v:shape id="_x0000_s156" style="position:absolute;left:-20;top:-20;width:1250;height:1260;" filled="false" stroked="false" type="#_x0000_t202">
                    <v:fill on="false"/>
                    <v:stroke on="false"/>
                    <v:path/>
                    <v:imagedata o:title=""/>
                    <o:lock v:ext="edit" aspectratio="false"/>
                    <v:textbox inset="0mm,0mm,0mm,0mm">
                      <w:txbxContent>
                        <w:p>
                          <w:pPr>
                            <w:ind w:left="408"/>
                            <w:spacing w:before="136" w:line="360" w:lineRule="exact"/>
                            <w:rPr>
                              <w:rFonts w:ascii="SimSun" w:hAnsi="SimSun" w:eastAsia="SimSun" w:cs="SimSun"/>
                              <w:sz w:val="20"/>
                              <w:szCs w:val="20"/>
                            </w:rPr>
                          </w:pPr>
                          <w:r>
                            <w:rPr>
                              <w:rFonts w:ascii="SimSun" w:hAnsi="SimSun" w:eastAsia="SimSun" w:cs="SimSun"/>
                              <w:sz w:val="20"/>
                              <w:szCs w:val="20"/>
                              <w:spacing w:val="3"/>
                              <w:position w:val="11"/>
                            </w:rPr>
                            <w:t>项目</w:t>
                          </w:r>
                        </w:p>
                        <w:p>
                          <w:pPr>
                            <w:ind w:left="407"/>
                            <w:spacing w:line="227" w:lineRule="auto"/>
                            <w:rPr>
                              <w:rFonts w:ascii="SimSun" w:hAnsi="SimSun" w:eastAsia="SimSun" w:cs="SimSun"/>
                              <w:sz w:val="20"/>
                              <w:szCs w:val="20"/>
                            </w:rPr>
                          </w:pPr>
                          <w:r>
                            <w:rPr>
                              <w:rFonts w:ascii="SimSun" w:hAnsi="SimSun" w:eastAsia="SimSun" w:cs="SimSun"/>
                              <w:sz w:val="20"/>
                              <w:szCs w:val="20"/>
                              <w:spacing w:val="3"/>
                            </w:rPr>
                            <w:t>分类</w:t>
                          </w:r>
                        </w:p>
                      </w:txbxContent>
                    </v:textbox>
                  </v:shape>
                </v:group>
              </w:pict>
            </w:r>
          </w:p>
        </w:tc>
        <w:tc>
          <w:tcPr>
            <w:tcW w:w="2112" w:type="dxa"/>
            <w:vAlign w:val="top"/>
          </w:tcPr>
          <w:p>
            <w:pPr>
              <w:pStyle w:val="TableText"/>
              <w:ind w:left="537"/>
              <w:spacing w:before="112" w:line="228" w:lineRule="auto"/>
              <w:rPr>
                <w:sz w:val="20"/>
                <w:szCs w:val="20"/>
              </w:rPr>
            </w:pPr>
            <w:r>
              <w:rPr>
                <w:sz w:val="20"/>
                <w:szCs w:val="20"/>
                <w:spacing w:val="7"/>
              </w:rPr>
              <w:t>污染物名称</w:t>
            </w:r>
          </w:p>
        </w:tc>
        <w:tc>
          <w:tcPr>
            <w:tcW w:w="1403" w:type="dxa"/>
            <w:vAlign w:val="top"/>
          </w:tcPr>
          <w:p>
            <w:pPr>
              <w:pStyle w:val="TableText"/>
              <w:ind w:left="288"/>
              <w:spacing w:before="112" w:line="228" w:lineRule="auto"/>
              <w:rPr>
                <w:sz w:val="20"/>
                <w:szCs w:val="20"/>
              </w:rPr>
            </w:pPr>
            <w:r>
              <w:rPr>
                <w:sz w:val="20"/>
                <w:szCs w:val="20"/>
                <w:spacing w:val="6"/>
              </w:rPr>
              <w:t>现有工程</w:t>
            </w:r>
          </w:p>
          <w:p>
            <w:pPr>
              <w:pStyle w:val="TableText"/>
              <w:ind w:left="113"/>
              <w:spacing w:before="113" w:line="228" w:lineRule="auto"/>
              <w:rPr>
                <w:sz w:val="20"/>
                <w:szCs w:val="20"/>
              </w:rPr>
            </w:pPr>
            <w:r>
              <w:rPr>
                <w:sz w:val="20"/>
                <w:szCs w:val="20"/>
                <w:spacing w:val="-5"/>
              </w:rPr>
              <w:t>排放量（固体</w:t>
            </w:r>
          </w:p>
          <w:p>
            <w:pPr>
              <w:pStyle w:val="TableText"/>
              <w:ind w:left="112"/>
              <w:spacing w:before="112" w:line="228" w:lineRule="auto"/>
              <w:rPr>
                <w:sz w:val="20"/>
                <w:szCs w:val="20"/>
              </w:rPr>
            </w:pPr>
            <w:r>
              <w:rPr>
                <w:sz w:val="20"/>
                <w:szCs w:val="20"/>
                <w:spacing w:val="6"/>
              </w:rPr>
              <w:t>废物产生量）</w:t>
            </w:r>
          </w:p>
          <w:p>
            <w:pPr>
              <w:pStyle w:val="TableText"/>
              <w:ind w:left="599"/>
              <w:spacing w:before="113" w:line="225" w:lineRule="auto"/>
              <w:rPr>
                <w:sz w:val="20"/>
                <w:szCs w:val="20"/>
              </w:rPr>
            </w:pPr>
            <w:r>
              <w:rPr>
                <w:sz w:val="20"/>
                <w:szCs w:val="20"/>
                <w:spacing w:val="1"/>
              </w:rPr>
              <w:t>①</w:t>
            </w:r>
          </w:p>
        </w:tc>
        <w:tc>
          <w:tcPr>
            <w:tcW w:w="1574" w:type="dxa"/>
            <w:vAlign w:val="top"/>
          </w:tcPr>
          <w:p>
            <w:pPr>
              <w:pStyle w:val="TableText"/>
              <w:ind w:left="373"/>
              <w:spacing w:before="112" w:line="228" w:lineRule="auto"/>
              <w:rPr>
                <w:sz w:val="20"/>
                <w:szCs w:val="20"/>
              </w:rPr>
            </w:pPr>
            <w:r>
              <w:rPr>
                <w:sz w:val="20"/>
                <w:szCs w:val="20"/>
                <w:spacing w:val="6"/>
              </w:rPr>
              <w:t>现有工程</w:t>
            </w:r>
          </w:p>
          <w:p>
            <w:pPr>
              <w:pStyle w:val="TableText"/>
              <w:ind w:left="266"/>
              <w:spacing w:before="113" w:line="228" w:lineRule="auto"/>
              <w:rPr>
                <w:sz w:val="20"/>
                <w:szCs w:val="20"/>
              </w:rPr>
            </w:pPr>
            <w:r>
              <w:rPr>
                <w:sz w:val="20"/>
                <w:szCs w:val="20"/>
                <w:spacing w:val="7"/>
              </w:rPr>
              <w:t>许可排放量</w:t>
            </w:r>
          </w:p>
          <w:p>
            <w:pPr>
              <w:pStyle w:val="TableText"/>
              <w:ind w:left="684"/>
              <w:spacing w:before="113" w:line="225" w:lineRule="auto"/>
              <w:rPr>
                <w:sz w:val="20"/>
                <w:szCs w:val="20"/>
              </w:rPr>
            </w:pPr>
            <w:r>
              <w:rPr>
                <w:sz w:val="20"/>
                <w:szCs w:val="20"/>
                <w:spacing w:val="2"/>
              </w:rPr>
              <w:t>②</w:t>
            </w:r>
          </w:p>
        </w:tc>
        <w:tc>
          <w:tcPr>
            <w:tcW w:w="1574" w:type="dxa"/>
            <w:vAlign w:val="top"/>
          </w:tcPr>
          <w:p>
            <w:pPr>
              <w:pStyle w:val="TableText"/>
              <w:ind w:left="370"/>
              <w:spacing w:before="112" w:line="228" w:lineRule="auto"/>
              <w:rPr>
                <w:sz w:val="20"/>
                <w:szCs w:val="20"/>
              </w:rPr>
            </w:pPr>
            <w:r>
              <w:rPr>
                <w:sz w:val="20"/>
                <w:szCs w:val="20"/>
                <w:spacing w:val="7"/>
              </w:rPr>
              <w:t>在建工程</w:t>
            </w:r>
          </w:p>
          <w:p>
            <w:pPr>
              <w:pStyle w:val="TableText"/>
              <w:ind w:left="162" w:right="156"/>
              <w:spacing w:before="112" w:line="280" w:lineRule="auto"/>
              <w:rPr>
                <w:sz w:val="20"/>
                <w:szCs w:val="20"/>
              </w:rPr>
            </w:pPr>
            <w:r>
              <w:rPr>
                <w:sz w:val="20"/>
                <w:szCs w:val="20"/>
                <w:spacing w:val="8"/>
              </w:rPr>
              <w:t>排放量（固体</w:t>
            </w:r>
            <w:r>
              <w:rPr>
                <w:sz w:val="20"/>
                <w:szCs w:val="20"/>
              </w:rPr>
              <w:t xml:space="preserve"> </w:t>
            </w:r>
            <w:r>
              <w:rPr>
                <w:sz w:val="20"/>
                <w:szCs w:val="20"/>
                <w:spacing w:val="6"/>
              </w:rPr>
              <w:t>废物产生量）</w:t>
            </w:r>
          </w:p>
          <w:p>
            <w:pPr>
              <w:pStyle w:val="TableText"/>
              <w:ind w:left="686"/>
              <w:spacing w:before="113" w:line="225" w:lineRule="auto"/>
              <w:rPr>
                <w:sz w:val="20"/>
                <w:szCs w:val="20"/>
              </w:rPr>
            </w:pPr>
            <w:r>
              <w:rPr>
                <w:sz w:val="20"/>
                <w:szCs w:val="20"/>
                <w:spacing w:val="2"/>
              </w:rPr>
              <w:t>③</w:t>
            </w:r>
          </w:p>
        </w:tc>
        <w:tc>
          <w:tcPr>
            <w:tcW w:w="1574" w:type="dxa"/>
            <w:vAlign w:val="top"/>
          </w:tcPr>
          <w:p>
            <w:pPr>
              <w:pStyle w:val="TableText"/>
              <w:ind w:left="164"/>
              <w:spacing w:before="112" w:line="227" w:lineRule="auto"/>
              <w:rPr>
                <w:sz w:val="20"/>
                <w:szCs w:val="20"/>
              </w:rPr>
            </w:pPr>
            <w:r>
              <w:rPr>
                <w:sz w:val="20"/>
                <w:szCs w:val="20"/>
                <w:spacing w:val="8"/>
              </w:rPr>
              <w:t>本项目排放量</w:t>
            </w:r>
          </w:p>
          <w:p>
            <w:pPr>
              <w:pStyle w:val="TableText"/>
              <w:ind w:left="173"/>
              <w:spacing w:before="113" w:line="228" w:lineRule="auto"/>
              <w:rPr>
                <w:sz w:val="20"/>
                <w:szCs w:val="20"/>
              </w:rPr>
            </w:pPr>
            <w:r>
              <w:rPr>
                <w:sz w:val="20"/>
                <w:szCs w:val="20"/>
                <w:spacing w:val="6"/>
              </w:rPr>
              <w:t>（固体废物产</w:t>
            </w:r>
          </w:p>
          <w:p>
            <w:pPr>
              <w:pStyle w:val="TableText"/>
              <w:ind w:left="376"/>
              <w:spacing w:before="113" w:line="225" w:lineRule="auto"/>
              <w:rPr>
                <w:sz w:val="20"/>
                <w:szCs w:val="20"/>
              </w:rPr>
            </w:pPr>
            <w:r>
              <w:rPr>
                <w:sz w:val="20"/>
                <w:szCs w:val="20"/>
                <w:spacing w:val="6"/>
              </w:rPr>
              <w:t>生量）④</w:t>
            </w:r>
          </w:p>
        </w:tc>
        <w:tc>
          <w:tcPr>
            <w:tcW w:w="1575" w:type="dxa"/>
            <w:vAlign w:val="top"/>
          </w:tcPr>
          <w:p>
            <w:pPr>
              <w:pStyle w:val="TableText"/>
              <w:ind w:left="187"/>
              <w:spacing w:before="112" w:line="228" w:lineRule="auto"/>
              <w:rPr>
                <w:sz w:val="20"/>
                <w:szCs w:val="20"/>
              </w:rPr>
            </w:pPr>
            <w:r>
              <w:rPr>
                <w:sz w:val="20"/>
                <w:szCs w:val="20"/>
                <w:spacing w:val="4"/>
              </w:rPr>
              <w:t>以新带老削减</w:t>
            </w:r>
          </w:p>
          <w:p>
            <w:pPr>
              <w:pStyle w:val="TableText"/>
              <w:ind w:left="163"/>
              <w:spacing w:before="113" w:line="228" w:lineRule="auto"/>
              <w:rPr>
                <w:sz w:val="20"/>
                <w:szCs w:val="20"/>
              </w:rPr>
            </w:pPr>
            <w:r>
              <w:rPr>
                <w:sz w:val="20"/>
                <w:szCs w:val="20"/>
                <w:spacing w:val="8"/>
              </w:rPr>
              <w:t>量（新建项目</w:t>
            </w:r>
          </w:p>
          <w:p>
            <w:pPr>
              <w:pStyle w:val="TableText"/>
              <w:ind w:left="378"/>
              <w:spacing w:before="113" w:line="225" w:lineRule="auto"/>
              <w:rPr>
                <w:sz w:val="20"/>
                <w:szCs w:val="20"/>
              </w:rPr>
            </w:pPr>
            <w:r>
              <w:rPr>
                <w:sz w:val="20"/>
                <w:szCs w:val="20"/>
                <w:spacing w:val="6"/>
              </w:rPr>
              <w:t>不填）⑤</w:t>
            </w:r>
          </w:p>
        </w:tc>
        <w:tc>
          <w:tcPr>
            <w:tcW w:w="1575" w:type="dxa"/>
            <w:vAlign w:val="top"/>
          </w:tcPr>
          <w:p>
            <w:pPr>
              <w:pStyle w:val="TableText"/>
              <w:ind w:left="166"/>
              <w:spacing w:before="112" w:line="227" w:lineRule="auto"/>
              <w:rPr>
                <w:sz w:val="20"/>
                <w:szCs w:val="20"/>
              </w:rPr>
            </w:pPr>
            <w:r>
              <w:rPr>
                <w:sz w:val="20"/>
                <w:szCs w:val="20"/>
                <w:spacing w:val="8"/>
              </w:rPr>
              <w:t>本项目建成后</w:t>
            </w:r>
          </w:p>
          <w:p>
            <w:pPr>
              <w:pStyle w:val="TableText"/>
              <w:ind w:left="268"/>
              <w:spacing w:before="114" w:line="228" w:lineRule="auto"/>
              <w:rPr>
                <w:sz w:val="20"/>
                <w:szCs w:val="20"/>
              </w:rPr>
            </w:pPr>
            <w:r>
              <w:rPr>
                <w:sz w:val="20"/>
                <w:szCs w:val="20"/>
                <w:spacing w:val="8"/>
              </w:rPr>
              <w:t>全厂排放量</w:t>
            </w:r>
          </w:p>
          <w:p>
            <w:pPr>
              <w:pStyle w:val="TableText"/>
              <w:ind w:left="175"/>
              <w:spacing w:before="112" w:line="228" w:lineRule="auto"/>
              <w:rPr>
                <w:sz w:val="20"/>
                <w:szCs w:val="20"/>
              </w:rPr>
            </w:pPr>
            <w:r>
              <w:rPr>
                <w:sz w:val="20"/>
                <w:szCs w:val="20"/>
                <w:spacing w:val="6"/>
              </w:rPr>
              <w:t>（固体废物产</w:t>
            </w:r>
          </w:p>
          <w:p>
            <w:pPr>
              <w:pStyle w:val="TableText"/>
              <w:ind w:left="376"/>
              <w:spacing w:before="113" w:line="225" w:lineRule="auto"/>
              <w:rPr>
                <w:sz w:val="20"/>
                <w:szCs w:val="20"/>
              </w:rPr>
            </w:pPr>
            <w:r>
              <w:rPr>
                <w:sz w:val="20"/>
                <w:szCs w:val="20"/>
                <w:spacing w:val="7"/>
              </w:rPr>
              <w:t>生量）⑥</w:t>
            </w:r>
          </w:p>
        </w:tc>
        <w:tc>
          <w:tcPr>
            <w:tcW w:w="1579" w:type="dxa"/>
            <w:vAlign w:val="top"/>
          </w:tcPr>
          <w:p>
            <w:pPr>
              <w:pStyle w:val="TableText"/>
              <w:ind w:left="479"/>
              <w:spacing w:before="112" w:line="360" w:lineRule="exact"/>
              <w:rPr>
                <w:sz w:val="20"/>
                <w:szCs w:val="20"/>
              </w:rPr>
            </w:pPr>
            <w:r>
              <w:rPr>
                <w:sz w:val="20"/>
                <w:szCs w:val="20"/>
                <w:spacing w:val="6"/>
                <w:position w:val="11"/>
              </w:rPr>
              <w:t>变化量</w:t>
            </w:r>
          </w:p>
          <w:p>
            <w:pPr>
              <w:pStyle w:val="TableText"/>
              <w:ind w:left="688"/>
              <w:spacing w:line="225" w:lineRule="auto"/>
              <w:rPr>
                <w:sz w:val="20"/>
                <w:szCs w:val="20"/>
              </w:rPr>
            </w:pPr>
            <w:r>
              <w:rPr>
                <w:sz w:val="20"/>
                <w:szCs w:val="20"/>
                <w:spacing w:val="2"/>
              </w:rPr>
              <w:t>⑦</w:t>
            </w:r>
          </w:p>
        </w:tc>
      </w:tr>
      <w:tr>
        <w:trPr>
          <w:trHeight w:val="379" w:hRule="atLeast"/>
        </w:trPr>
        <w:tc>
          <w:tcPr>
            <w:tcW w:w="1212" w:type="dxa"/>
            <w:vAlign w:val="top"/>
          </w:tcPr>
          <w:p>
            <w:pPr>
              <w:pStyle w:val="TableText"/>
              <w:ind w:left="400"/>
              <w:spacing w:before="111" w:line="228" w:lineRule="auto"/>
              <w:rPr>
                <w:sz w:val="20"/>
                <w:szCs w:val="20"/>
              </w:rPr>
            </w:pPr>
            <w:r>
              <w:rPr>
                <w:sz w:val="20"/>
                <w:szCs w:val="20"/>
                <w:spacing w:val="5"/>
              </w:rPr>
              <w:t>废气</w:t>
            </w:r>
          </w:p>
        </w:tc>
        <w:tc>
          <w:tcPr>
            <w:tcW w:w="2112" w:type="dxa"/>
            <w:vAlign w:val="top"/>
          </w:tcPr>
          <w:p>
            <w:pPr>
              <w:pStyle w:val="TableText"/>
              <w:ind w:left="539"/>
              <w:spacing w:before="111" w:line="228" w:lineRule="auto"/>
              <w:rPr>
                <w:sz w:val="20"/>
                <w:szCs w:val="20"/>
              </w:rPr>
            </w:pPr>
            <w:r>
              <w:rPr>
                <w:sz w:val="20"/>
                <w:szCs w:val="20"/>
                <w:spacing w:val="7"/>
              </w:rPr>
              <w:t>非甲烷总烃</w:t>
            </w:r>
          </w:p>
        </w:tc>
        <w:tc>
          <w:tcPr>
            <w:tcW w:w="1403" w:type="dxa"/>
            <w:vAlign w:val="top"/>
          </w:tcPr>
          <w:p>
            <w:pPr>
              <w:ind w:left="312"/>
              <w:spacing w:before="14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0.0603t/a</w:t>
            </w:r>
          </w:p>
        </w:tc>
        <w:tc>
          <w:tcPr>
            <w:tcW w:w="1574" w:type="dxa"/>
            <w:vAlign w:val="top"/>
          </w:tcPr>
          <w:p>
            <w:pPr>
              <w:ind w:left="754"/>
              <w:spacing w:before="14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4" w:type="dxa"/>
            <w:vAlign w:val="top"/>
          </w:tcPr>
          <w:p>
            <w:pPr>
              <w:ind w:left="755"/>
              <w:spacing w:before="14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4" w:type="dxa"/>
            <w:vAlign w:val="top"/>
          </w:tcPr>
          <w:p>
            <w:pPr>
              <w:ind w:left="505"/>
              <w:spacing w:before="14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spacing w:val="-2"/>
              </w:rPr>
              <w:t>15t/a</w:t>
            </w:r>
          </w:p>
        </w:tc>
        <w:tc>
          <w:tcPr>
            <w:tcW w:w="1575" w:type="dxa"/>
            <w:vAlign w:val="top"/>
          </w:tcPr>
          <w:p>
            <w:pPr>
              <w:ind w:left="758"/>
              <w:spacing w:before="14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5" w:type="dxa"/>
            <w:vAlign w:val="top"/>
          </w:tcPr>
          <w:p>
            <w:pPr>
              <w:ind w:left="400"/>
              <w:spacing w:before="14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0.3103t/a</w:t>
            </w:r>
          </w:p>
        </w:tc>
        <w:tc>
          <w:tcPr>
            <w:tcW w:w="1579" w:type="dxa"/>
            <w:vAlign w:val="top"/>
          </w:tcPr>
          <w:p>
            <w:pPr>
              <w:ind w:left="441"/>
              <w:spacing w:before="14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rPr>
              <w:t>15t/a</w:t>
            </w:r>
          </w:p>
        </w:tc>
      </w:tr>
      <w:tr>
        <w:trPr>
          <w:trHeight w:val="364" w:hRule="atLeast"/>
        </w:trPr>
        <w:tc>
          <w:tcPr>
            <w:tcW w:w="1212" w:type="dxa"/>
            <w:vAlign w:val="top"/>
            <w:vMerge w:val="restart"/>
            <w:tcBorders>
              <w:bottom w:val="nil"/>
            </w:tcBorders>
          </w:tcPr>
          <w:p>
            <w:pPr>
              <w:pStyle w:val="TableText"/>
              <w:ind w:left="400"/>
              <w:spacing w:before="111" w:line="228" w:lineRule="auto"/>
              <w:rPr>
                <w:sz w:val="20"/>
                <w:szCs w:val="20"/>
              </w:rPr>
            </w:pPr>
            <w:r>
              <w:rPr>
                <w:sz w:val="20"/>
                <w:szCs w:val="20"/>
                <w:spacing w:val="5"/>
              </w:rPr>
              <w:t>废水</w:t>
            </w:r>
          </w:p>
        </w:tc>
        <w:tc>
          <w:tcPr>
            <w:tcW w:w="2112" w:type="dxa"/>
            <w:vAlign w:val="top"/>
          </w:tcPr>
          <w:p>
            <w:pPr>
              <w:ind w:left="756"/>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CODcr</w:t>
            </w:r>
          </w:p>
        </w:tc>
        <w:tc>
          <w:tcPr>
            <w:tcW w:w="1403" w:type="dxa"/>
            <w:vAlign w:val="top"/>
          </w:tcPr>
          <w:p>
            <w:pPr>
              <w:ind w:left="547"/>
              <w:spacing w:before="14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0t/a</w:t>
            </w:r>
          </w:p>
        </w:tc>
        <w:tc>
          <w:tcPr>
            <w:tcW w:w="1574" w:type="dxa"/>
            <w:vAlign w:val="top"/>
          </w:tcPr>
          <w:p>
            <w:pPr>
              <w:ind w:left="754"/>
              <w:spacing w:before="14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4" w:type="dxa"/>
            <w:vAlign w:val="top"/>
          </w:tcPr>
          <w:p>
            <w:pPr>
              <w:ind w:left="755"/>
              <w:spacing w:before="14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4" w:type="dxa"/>
            <w:vAlign w:val="top"/>
          </w:tcPr>
          <w:p>
            <w:pPr>
              <w:ind w:left="635"/>
              <w:spacing w:before="14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0t/a</w:t>
            </w:r>
          </w:p>
        </w:tc>
        <w:tc>
          <w:tcPr>
            <w:tcW w:w="1575" w:type="dxa"/>
            <w:vAlign w:val="top"/>
          </w:tcPr>
          <w:p>
            <w:pPr>
              <w:ind w:left="758"/>
              <w:spacing w:before="14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5" w:type="dxa"/>
            <w:vAlign w:val="top"/>
          </w:tcPr>
          <w:p>
            <w:pPr>
              <w:ind w:left="637"/>
              <w:spacing w:before="14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0t/a</w:t>
            </w:r>
          </w:p>
        </w:tc>
        <w:tc>
          <w:tcPr>
            <w:tcW w:w="1579" w:type="dxa"/>
            <w:vAlign w:val="top"/>
          </w:tcPr>
          <w:p>
            <w:pPr>
              <w:ind w:left="637"/>
              <w:spacing w:before="14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0t/a</w:t>
            </w:r>
          </w:p>
        </w:tc>
      </w:tr>
      <w:tr>
        <w:trPr>
          <w:trHeight w:val="365" w:hRule="atLeast"/>
        </w:trPr>
        <w:tc>
          <w:tcPr>
            <w:tcW w:w="1212" w:type="dxa"/>
            <w:vAlign w:val="top"/>
            <w:vMerge w:val="continue"/>
            <w:tcBorders>
              <w:top w:val="nil"/>
            </w:tcBorders>
          </w:tcPr>
          <w:p>
            <w:pPr>
              <w:rPr>
                <w:rFonts w:ascii="Arial"/>
                <w:sz w:val="21"/>
              </w:rPr>
            </w:pPr>
            <w:r/>
          </w:p>
        </w:tc>
        <w:tc>
          <w:tcPr>
            <w:tcW w:w="2112" w:type="dxa"/>
            <w:vAlign w:val="top"/>
          </w:tcPr>
          <w:p>
            <w:pPr>
              <w:pStyle w:val="TableText"/>
              <w:ind w:left="850"/>
              <w:spacing w:before="112" w:line="224" w:lineRule="auto"/>
              <w:rPr>
                <w:sz w:val="20"/>
                <w:szCs w:val="20"/>
              </w:rPr>
            </w:pPr>
            <w:r>
              <w:rPr>
                <w:sz w:val="20"/>
                <w:szCs w:val="20"/>
                <w:spacing w:val="4"/>
              </w:rPr>
              <w:t>氨氮</w:t>
            </w:r>
          </w:p>
        </w:tc>
        <w:tc>
          <w:tcPr>
            <w:tcW w:w="1403" w:type="dxa"/>
            <w:vAlign w:val="top"/>
          </w:tcPr>
          <w:p>
            <w:pPr>
              <w:ind w:left="547"/>
              <w:spacing w:before="14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0t/a</w:t>
            </w:r>
          </w:p>
        </w:tc>
        <w:tc>
          <w:tcPr>
            <w:tcW w:w="1574" w:type="dxa"/>
            <w:vAlign w:val="top"/>
          </w:tcPr>
          <w:p>
            <w:pPr>
              <w:ind w:left="754"/>
              <w:spacing w:before="14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4" w:type="dxa"/>
            <w:vAlign w:val="top"/>
          </w:tcPr>
          <w:p>
            <w:pPr>
              <w:ind w:left="755"/>
              <w:spacing w:before="14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4" w:type="dxa"/>
            <w:vAlign w:val="top"/>
          </w:tcPr>
          <w:p>
            <w:pPr>
              <w:ind w:left="635"/>
              <w:spacing w:before="14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0t/a</w:t>
            </w:r>
          </w:p>
        </w:tc>
        <w:tc>
          <w:tcPr>
            <w:tcW w:w="1575" w:type="dxa"/>
            <w:vAlign w:val="top"/>
          </w:tcPr>
          <w:p>
            <w:pPr>
              <w:ind w:left="758"/>
              <w:spacing w:before="14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5" w:type="dxa"/>
            <w:vAlign w:val="top"/>
          </w:tcPr>
          <w:p>
            <w:pPr>
              <w:ind w:left="637"/>
              <w:spacing w:before="14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0t/a</w:t>
            </w:r>
          </w:p>
        </w:tc>
        <w:tc>
          <w:tcPr>
            <w:tcW w:w="1579" w:type="dxa"/>
            <w:vAlign w:val="top"/>
          </w:tcPr>
          <w:p>
            <w:pPr>
              <w:ind w:left="637"/>
              <w:spacing w:before="14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0t/a</w:t>
            </w:r>
          </w:p>
        </w:tc>
      </w:tr>
      <w:tr>
        <w:trPr>
          <w:trHeight w:val="365" w:hRule="atLeast"/>
        </w:trPr>
        <w:tc>
          <w:tcPr>
            <w:tcW w:w="1212" w:type="dxa"/>
            <w:vAlign w:val="top"/>
            <w:vMerge w:val="restart"/>
            <w:tcBorders>
              <w:bottom w:val="nil"/>
            </w:tcBorders>
          </w:tcPr>
          <w:p>
            <w:pPr>
              <w:pStyle w:val="TableText"/>
              <w:ind w:left="210" w:right="184" w:hanging="14"/>
              <w:spacing w:before="112" w:line="280" w:lineRule="auto"/>
              <w:rPr>
                <w:sz w:val="20"/>
                <w:szCs w:val="20"/>
              </w:rPr>
            </w:pPr>
            <w:r>
              <w:rPr>
                <w:sz w:val="20"/>
                <w:szCs w:val="20"/>
                <w:spacing w:val="6"/>
              </w:rPr>
              <w:t>一般工业</w:t>
            </w:r>
            <w:r>
              <w:rPr>
                <w:sz w:val="20"/>
                <w:szCs w:val="20"/>
                <w:spacing w:val="1"/>
              </w:rPr>
              <w:t xml:space="preserve"> </w:t>
            </w:r>
            <w:r>
              <w:rPr>
                <w:sz w:val="20"/>
                <w:szCs w:val="20"/>
                <w:spacing w:val="2"/>
              </w:rPr>
              <w:t>固体废物</w:t>
            </w:r>
          </w:p>
        </w:tc>
        <w:tc>
          <w:tcPr>
            <w:tcW w:w="2112" w:type="dxa"/>
            <w:vAlign w:val="top"/>
          </w:tcPr>
          <w:p>
            <w:pPr>
              <w:pStyle w:val="TableText"/>
              <w:ind w:left="535"/>
              <w:spacing w:before="99" w:line="228" w:lineRule="auto"/>
              <w:rPr>
                <w:sz w:val="20"/>
                <w:szCs w:val="20"/>
              </w:rPr>
            </w:pPr>
            <w:r>
              <w:rPr>
                <w:sz w:val="20"/>
                <w:szCs w:val="20"/>
                <w:spacing w:val="8"/>
              </w:rPr>
              <w:t>废弃包装袋</w:t>
            </w:r>
          </w:p>
        </w:tc>
        <w:tc>
          <w:tcPr>
            <w:tcW w:w="1403" w:type="dxa"/>
            <w:vAlign w:val="top"/>
          </w:tcPr>
          <w:p>
            <w:pPr>
              <w:ind w:left="547"/>
              <w:spacing w:before="13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0t/a</w:t>
            </w:r>
          </w:p>
        </w:tc>
        <w:tc>
          <w:tcPr>
            <w:tcW w:w="1574" w:type="dxa"/>
            <w:vAlign w:val="top"/>
          </w:tcPr>
          <w:p>
            <w:pPr>
              <w:ind w:left="754"/>
              <w:spacing w:before="14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4" w:type="dxa"/>
            <w:vAlign w:val="top"/>
          </w:tcPr>
          <w:p>
            <w:pPr>
              <w:ind w:left="755"/>
              <w:spacing w:before="14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4" w:type="dxa"/>
            <w:vAlign w:val="top"/>
          </w:tcPr>
          <w:p>
            <w:pPr>
              <w:ind w:left="522"/>
              <w:spacing w:before="14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1.54t/a</w:t>
            </w:r>
          </w:p>
        </w:tc>
        <w:tc>
          <w:tcPr>
            <w:tcW w:w="1575" w:type="dxa"/>
            <w:vAlign w:val="top"/>
          </w:tcPr>
          <w:p>
            <w:pPr>
              <w:ind w:left="758"/>
              <w:spacing w:before="14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5" w:type="dxa"/>
            <w:vAlign w:val="top"/>
          </w:tcPr>
          <w:p>
            <w:pPr>
              <w:ind w:left="522"/>
              <w:spacing w:before="14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1.54t/a</w:t>
            </w:r>
          </w:p>
        </w:tc>
        <w:tc>
          <w:tcPr>
            <w:tcW w:w="1579" w:type="dxa"/>
            <w:vAlign w:val="top"/>
          </w:tcPr>
          <w:p>
            <w:pPr>
              <w:ind w:left="441"/>
              <w:spacing w:before="14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+1.54t/a</w:t>
            </w:r>
          </w:p>
        </w:tc>
      </w:tr>
      <w:tr>
        <w:trPr>
          <w:trHeight w:val="391" w:hRule="atLeast"/>
        </w:trPr>
        <w:tc>
          <w:tcPr>
            <w:tcW w:w="1212" w:type="dxa"/>
            <w:vAlign w:val="top"/>
            <w:vMerge w:val="continue"/>
            <w:tcBorders>
              <w:top w:val="nil"/>
            </w:tcBorders>
          </w:tcPr>
          <w:p>
            <w:pPr>
              <w:rPr>
                <w:rFonts w:ascii="Arial"/>
                <w:sz w:val="21"/>
              </w:rPr>
            </w:pPr>
            <w:r/>
          </w:p>
        </w:tc>
        <w:tc>
          <w:tcPr>
            <w:tcW w:w="2112" w:type="dxa"/>
            <w:vAlign w:val="top"/>
          </w:tcPr>
          <w:p>
            <w:pPr>
              <w:pStyle w:val="TableText"/>
              <w:ind w:left="743"/>
              <w:spacing w:before="113" w:line="227" w:lineRule="auto"/>
              <w:rPr>
                <w:sz w:val="20"/>
                <w:szCs w:val="20"/>
              </w:rPr>
            </w:pPr>
            <w:r>
              <w:rPr>
                <w:sz w:val="20"/>
                <w:szCs w:val="20"/>
                <w:spacing w:val="7"/>
              </w:rPr>
              <w:t>边角料</w:t>
            </w:r>
          </w:p>
        </w:tc>
        <w:tc>
          <w:tcPr>
            <w:tcW w:w="1403" w:type="dxa"/>
            <w:vAlign w:val="top"/>
          </w:tcPr>
          <w:p>
            <w:pPr>
              <w:ind w:left="548"/>
              <w:spacing w:before="14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3t/a</w:t>
            </w:r>
          </w:p>
        </w:tc>
        <w:tc>
          <w:tcPr>
            <w:tcW w:w="1574" w:type="dxa"/>
            <w:vAlign w:val="top"/>
          </w:tcPr>
          <w:p>
            <w:pPr>
              <w:rPr>
                <w:rFonts w:ascii="Arial"/>
                <w:sz w:val="21"/>
              </w:rPr>
            </w:pPr>
            <w:r/>
          </w:p>
        </w:tc>
        <w:tc>
          <w:tcPr>
            <w:tcW w:w="1574" w:type="dxa"/>
            <w:vAlign w:val="top"/>
          </w:tcPr>
          <w:p>
            <w:pPr>
              <w:rPr>
                <w:rFonts w:ascii="Arial"/>
                <w:sz w:val="21"/>
              </w:rPr>
            </w:pPr>
            <w:r/>
          </w:p>
        </w:tc>
        <w:tc>
          <w:tcPr>
            <w:tcW w:w="1574" w:type="dxa"/>
            <w:vAlign w:val="top"/>
          </w:tcPr>
          <w:p>
            <w:pPr>
              <w:ind w:left="599"/>
              <w:spacing w:before="1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10t/a</w:t>
            </w:r>
          </w:p>
        </w:tc>
        <w:tc>
          <w:tcPr>
            <w:tcW w:w="1575" w:type="dxa"/>
            <w:vAlign w:val="top"/>
          </w:tcPr>
          <w:p>
            <w:pPr>
              <w:rPr>
                <w:rFonts w:ascii="Arial"/>
                <w:sz w:val="21"/>
              </w:rPr>
            </w:pPr>
            <w:r/>
          </w:p>
        </w:tc>
        <w:tc>
          <w:tcPr>
            <w:tcW w:w="1575" w:type="dxa"/>
            <w:vAlign w:val="top"/>
          </w:tcPr>
          <w:p>
            <w:pPr>
              <w:ind w:left="601"/>
              <w:spacing w:before="1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13t/a</w:t>
            </w:r>
          </w:p>
        </w:tc>
        <w:tc>
          <w:tcPr>
            <w:tcW w:w="1579" w:type="dxa"/>
            <w:vAlign w:val="top"/>
          </w:tcPr>
          <w:p>
            <w:pPr>
              <w:ind w:left="573"/>
              <w:spacing w:before="1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+3t/a</w:t>
            </w:r>
          </w:p>
        </w:tc>
      </w:tr>
      <w:tr>
        <w:trPr>
          <w:trHeight w:val="365" w:hRule="atLeast"/>
        </w:trPr>
        <w:tc>
          <w:tcPr>
            <w:tcW w:w="1212" w:type="dxa"/>
            <w:vAlign w:val="top"/>
          </w:tcPr>
          <w:p>
            <w:pPr>
              <w:pStyle w:val="TableText"/>
              <w:ind w:left="194"/>
              <w:spacing w:before="113" w:line="223" w:lineRule="auto"/>
              <w:rPr>
                <w:sz w:val="20"/>
                <w:szCs w:val="20"/>
              </w:rPr>
            </w:pPr>
            <w:r>
              <w:rPr>
                <w:sz w:val="20"/>
                <w:szCs w:val="20"/>
                <w:spacing w:val="6"/>
              </w:rPr>
              <w:t>生活垃圾</w:t>
            </w:r>
          </w:p>
        </w:tc>
        <w:tc>
          <w:tcPr>
            <w:tcW w:w="2112" w:type="dxa"/>
            <w:vAlign w:val="top"/>
          </w:tcPr>
          <w:p>
            <w:pPr>
              <w:pStyle w:val="TableText"/>
              <w:ind w:left="640"/>
              <w:spacing w:before="102" w:line="228" w:lineRule="auto"/>
              <w:rPr>
                <w:sz w:val="20"/>
                <w:szCs w:val="20"/>
              </w:rPr>
            </w:pPr>
            <w:r>
              <w:rPr>
                <w:sz w:val="20"/>
                <w:szCs w:val="20"/>
                <w:spacing w:val="6"/>
              </w:rPr>
              <w:t>生活垃圾</w:t>
            </w:r>
          </w:p>
        </w:tc>
        <w:tc>
          <w:tcPr>
            <w:tcW w:w="1403" w:type="dxa"/>
            <w:vAlign w:val="top"/>
          </w:tcPr>
          <w:p>
            <w:pPr>
              <w:ind w:left="468"/>
              <w:spacing w:before="13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7.5t/a</w:t>
            </w:r>
          </w:p>
        </w:tc>
        <w:tc>
          <w:tcPr>
            <w:tcW w:w="1574" w:type="dxa"/>
            <w:vAlign w:val="top"/>
          </w:tcPr>
          <w:p>
            <w:pPr>
              <w:ind w:left="754"/>
              <w:spacing w:before="14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4" w:type="dxa"/>
            <w:vAlign w:val="top"/>
          </w:tcPr>
          <w:p>
            <w:pPr>
              <w:ind w:left="755"/>
              <w:spacing w:before="14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4" w:type="dxa"/>
            <w:vAlign w:val="top"/>
          </w:tcPr>
          <w:p>
            <w:pPr>
              <w:ind w:left="635"/>
              <w:spacing w:before="14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0t/a</w:t>
            </w:r>
          </w:p>
        </w:tc>
        <w:tc>
          <w:tcPr>
            <w:tcW w:w="1575" w:type="dxa"/>
            <w:vAlign w:val="top"/>
          </w:tcPr>
          <w:p>
            <w:pPr>
              <w:ind w:left="758"/>
              <w:spacing w:before="14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5" w:type="dxa"/>
            <w:vAlign w:val="top"/>
          </w:tcPr>
          <w:p>
            <w:pPr>
              <w:ind w:left="558"/>
              <w:spacing w:before="13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7.5t/a</w:t>
            </w:r>
          </w:p>
        </w:tc>
        <w:tc>
          <w:tcPr>
            <w:tcW w:w="1579" w:type="dxa"/>
            <w:vAlign w:val="top"/>
          </w:tcPr>
          <w:p>
            <w:pPr>
              <w:ind w:left="637"/>
              <w:spacing w:before="14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0t/a</w:t>
            </w:r>
          </w:p>
        </w:tc>
      </w:tr>
      <w:tr>
        <w:trPr>
          <w:trHeight w:val="365" w:hRule="atLeast"/>
        </w:trPr>
        <w:tc>
          <w:tcPr>
            <w:tcW w:w="1212" w:type="dxa"/>
            <w:vAlign w:val="top"/>
            <w:vMerge w:val="restart"/>
            <w:tcBorders>
              <w:bottom w:val="nil"/>
            </w:tcBorders>
          </w:tcPr>
          <w:p>
            <w:pPr>
              <w:pStyle w:val="TableText"/>
              <w:ind w:left="195"/>
              <w:spacing w:before="113" w:line="228" w:lineRule="auto"/>
              <w:rPr>
                <w:sz w:val="20"/>
                <w:szCs w:val="20"/>
              </w:rPr>
            </w:pPr>
            <w:r>
              <w:rPr>
                <w:sz w:val="20"/>
                <w:szCs w:val="20"/>
                <w:spacing w:val="6"/>
              </w:rPr>
              <w:t>危险废物</w:t>
            </w:r>
          </w:p>
        </w:tc>
        <w:tc>
          <w:tcPr>
            <w:tcW w:w="2112" w:type="dxa"/>
            <w:vAlign w:val="top"/>
          </w:tcPr>
          <w:p>
            <w:pPr>
              <w:pStyle w:val="TableText"/>
              <w:ind w:left="383"/>
              <w:spacing w:before="101" w:line="227" w:lineRule="auto"/>
              <w:rPr>
                <w:sz w:val="20"/>
                <w:szCs w:val="20"/>
              </w:rPr>
            </w:pPr>
            <w:r>
              <w:rPr>
                <w:sz w:val="20"/>
                <w:szCs w:val="20"/>
                <w:spacing w:val="10"/>
              </w:rPr>
              <w:t>废</w:t>
            </w:r>
            <w:r>
              <w:rPr>
                <w:rFonts w:ascii="Times New Roman" w:hAnsi="Times New Roman" w:eastAsia="Times New Roman" w:cs="Times New Roman"/>
                <w:sz w:val="20"/>
                <w:szCs w:val="20"/>
              </w:rPr>
              <w:t>UV</w:t>
            </w:r>
            <w:r>
              <w:rPr>
                <w:sz w:val="20"/>
                <w:szCs w:val="20"/>
                <w:spacing w:val="10"/>
              </w:rPr>
              <w:t>光氧灯管</w:t>
            </w:r>
          </w:p>
        </w:tc>
        <w:tc>
          <w:tcPr>
            <w:tcW w:w="1403" w:type="dxa"/>
            <w:vAlign w:val="top"/>
          </w:tcPr>
          <w:p>
            <w:pPr>
              <w:ind w:left="468"/>
              <w:spacing w:before="13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0.5t/a</w:t>
            </w:r>
          </w:p>
        </w:tc>
        <w:tc>
          <w:tcPr>
            <w:tcW w:w="1574" w:type="dxa"/>
            <w:vAlign w:val="top"/>
          </w:tcPr>
          <w:p>
            <w:pPr>
              <w:ind w:left="754"/>
              <w:spacing w:before="14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4" w:type="dxa"/>
            <w:vAlign w:val="top"/>
          </w:tcPr>
          <w:p>
            <w:pPr>
              <w:ind w:left="755"/>
              <w:spacing w:before="14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4" w:type="dxa"/>
            <w:vAlign w:val="top"/>
          </w:tcPr>
          <w:p>
            <w:pPr>
              <w:ind w:left="635"/>
              <w:spacing w:before="14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0t/a</w:t>
            </w:r>
          </w:p>
        </w:tc>
        <w:tc>
          <w:tcPr>
            <w:tcW w:w="1575" w:type="dxa"/>
            <w:vAlign w:val="top"/>
          </w:tcPr>
          <w:p>
            <w:pPr>
              <w:ind w:left="758"/>
              <w:spacing w:before="14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5" w:type="dxa"/>
            <w:vAlign w:val="top"/>
          </w:tcPr>
          <w:p>
            <w:pPr>
              <w:ind w:left="558"/>
              <w:spacing w:before="13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0.5t/a</w:t>
            </w:r>
          </w:p>
        </w:tc>
        <w:tc>
          <w:tcPr>
            <w:tcW w:w="1579" w:type="dxa"/>
            <w:vAlign w:val="top"/>
          </w:tcPr>
          <w:p>
            <w:pPr>
              <w:ind w:left="637"/>
              <w:spacing w:before="14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0t/a</w:t>
            </w:r>
          </w:p>
        </w:tc>
      </w:tr>
      <w:tr>
        <w:trPr>
          <w:trHeight w:val="365" w:hRule="atLeast"/>
        </w:trPr>
        <w:tc>
          <w:tcPr>
            <w:tcW w:w="1212" w:type="dxa"/>
            <w:vAlign w:val="top"/>
            <w:vMerge w:val="continue"/>
            <w:tcBorders>
              <w:top w:val="nil"/>
              <w:bottom w:val="nil"/>
            </w:tcBorders>
          </w:tcPr>
          <w:p>
            <w:pPr>
              <w:rPr>
                <w:rFonts w:ascii="Arial"/>
                <w:sz w:val="21"/>
              </w:rPr>
            </w:pPr>
            <w:r/>
          </w:p>
        </w:tc>
        <w:tc>
          <w:tcPr>
            <w:tcW w:w="2112" w:type="dxa"/>
            <w:vAlign w:val="top"/>
          </w:tcPr>
          <w:p>
            <w:pPr>
              <w:pStyle w:val="TableText"/>
              <w:ind w:left="638"/>
              <w:spacing w:before="112" w:line="224" w:lineRule="auto"/>
              <w:rPr>
                <w:sz w:val="20"/>
                <w:szCs w:val="20"/>
              </w:rPr>
            </w:pPr>
            <w:r>
              <w:rPr>
                <w:sz w:val="20"/>
                <w:szCs w:val="20"/>
                <w:spacing w:val="7"/>
              </w:rPr>
              <w:t>废催化剂</w:t>
            </w:r>
          </w:p>
        </w:tc>
        <w:tc>
          <w:tcPr>
            <w:tcW w:w="1403" w:type="dxa"/>
            <w:vAlign w:val="top"/>
          </w:tcPr>
          <w:p>
            <w:pPr>
              <w:ind w:left="669"/>
              <w:spacing w:before="14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4" w:type="dxa"/>
            <w:vAlign w:val="top"/>
          </w:tcPr>
          <w:p>
            <w:pPr>
              <w:ind w:left="754"/>
              <w:spacing w:before="14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4" w:type="dxa"/>
            <w:vAlign w:val="top"/>
          </w:tcPr>
          <w:p>
            <w:pPr>
              <w:ind w:left="755"/>
              <w:spacing w:before="14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4" w:type="dxa"/>
            <w:vAlign w:val="top"/>
          </w:tcPr>
          <w:p>
            <w:pPr>
              <w:ind w:left="556"/>
              <w:spacing w:before="14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0.5t/a</w:t>
            </w:r>
          </w:p>
        </w:tc>
        <w:tc>
          <w:tcPr>
            <w:tcW w:w="1575" w:type="dxa"/>
            <w:vAlign w:val="top"/>
          </w:tcPr>
          <w:p>
            <w:pPr>
              <w:ind w:left="758"/>
              <w:spacing w:before="14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5" w:type="dxa"/>
            <w:vAlign w:val="top"/>
          </w:tcPr>
          <w:p>
            <w:pPr>
              <w:ind w:left="558"/>
              <w:spacing w:before="14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0.5t/a</w:t>
            </w:r>
          </w:p>
        </w:tc>
        <w:tc>
          <w:tcPr>
            <w:tcW w:w="1579" w:type="dxa"/>
            <w:vAlign w:val="top"/>
          </w:tcPr>
          <w:p>
            <w:pPr>
              <w:ind w:left="496"/>
              <w:spacing w:before="14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+0.5t/a</w:t>
            </w:r>
          </w:p>
        </w:tc>
      </w:tr>
      <w:tr>
        <w:trPr>
          <w:trHeight w:val="365" w:hRule="atLeast"/>
        </w:trPr>
        <w:tc>
          <w:tcPr>
            <w:tcW w:w="1212" w:type="dxa"/>
            <w:vAlign w:val="top"/>
            <w:vMerge w:val="continue"/>
            <w:tcBorders>
              <w:top w:val="nil"/>
              <w:bottom w:val="nil"/>
            </w:tcBorders>
          </w:tcPr>
          <w:p>
            <w:pPr>
              <w:rPr>
                <w:rFonts w:ascii="Arial"/>
                <w:sz w:val="21"/>
              </w:rPr>
            </w:pPr>
            <w:r/>
          </w:p>
        </w:tc>
        <w:tc>
          <w:tcPr>
            <w:tcW w:w="2112" w:type="dxa"/>
            <w:vAlign w:val="top"/>
          </w:tcPr>
          <w:p>
            <w:pPr>
              <w:pStyle w:val="TableText"/>
              <w:ind w:left="638"/>
              <w:spacing w:before="112" w:line="224" w:lineRule="auto"/>
              <w:rPr>
                <w:sz w:val="20"/>
                <w:szCs w:val="20"/>
              </w:rPr>
            </w:pPr>
            <w:r>
              <w:rPr>
                <w:sz w:val="20"/>
                <w:szCs w:val="20"/>
                <w:spacing w:val="7"/>
              </w:rPr>
              <w:t>废活性炭</w:t>
            </w:r>
          </w:p>
        </w:tc>
        <w:tc>
          <w:tcPr>
            <w:tcW w:w="1403" w:type="dxa"/>
            <w:vAlign w:val="top"/>
          </w:tcPr>
          <w:p>
            <w:pPr>
              <w:ind w:left="669"/>
              <w:spacing w:before="14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4" w:type="dxa"/>
            <w:vAlign w:val="top"/>
          </w:tcPr>
          <w:p>
            <w:pPr>
              <w:ind w:left="754"/>
              <w:spacing w:before="14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4" w:type="dxa"/>
            <w:vAlign w:val="top"/>
          </w:tcPr>
          <w:p>
            <w:pPr>
              <w:ind w:left="755"/>
              <w:spacing w:before="14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4" w:type="dxa"/>
            <w:vAlign w:val="top"/>
          </w:tcPr>
          <w:p>
            <w:pPr>
              <w:ind w:left="505"/>
              <w:spacing w:before="14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0.51t/a</w:t>
            </w:r>
          </w:p>
        </w:tc>
        <w:tc>
          <w:tcPr>
            <w:tcW w:w="1575" w:type="dxa"/>
            <w:vAlign w:val="top"/>
          </w:tcPr>
          <w:p>
            <w:pPr>
              <w:ind w:left="758"/>
              <w:spacing w:before="14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5" w:type="dxa"/>
            <w:vAlign w:val="top"/>
          </w:tcPr>
          <w:p>
            <w:pPr>
              <w:ind w:left="505"/>
              <w:spacing w:before="14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0.51t/a</w:t>
            </w:r>
          </w:p>
        </w:tc>
        <w:tc>
          <w:tcPr>
            <w:tcW w:w="1579" w:type="dxa"/>
            <w:vAlign w:val="top"/>
          </w:tcPr>
          <w:p>
            <w:pPr>
              <w:ind w:left="441"/>
              <w:spacing w:before="14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+0.51t/a</w:t>
            </w:r>
          </w:p>
        </w:tc>
      </w:tr>
      <w:tr>
        <w:trPr>
          <w:trHeight w:val="369" w:hRule="atLeast"/>
        </w:trPr>
        <w:tc>
          <w:tcPr>
            <w:tcW w:w="1212" w:type="dxa"/>
            <w:vAlign w:val="top"/>
            <w:vMerge w:val="continue"/>
            <w:tcBorders>
              <w:top w:val="nil"/>
            </w:tcBorders>
          </w:tcPr>
          <w:p>
            <w:pPr>
              <w:rPr>
                <w:rFonts w:ascii="Arial"/>
                <w:sz w:val="21"/>
              </w:rPr>
            </w:pPr>
            <w:r/>
          </w:p>
        </w:tc>
        <w:tc>
          <w:tcPr>
            <w:tcW w:w="2112" w:type="dxa"/>
            <w:vAlign w:val="top"/>
          </w:tcPr>
          <w:p>
            <w:pPr>
              <w:pStyle w:val="TableText"/>
              <w:ind w:left="743"/>
              <w:spacing w:before="114" w:line="226" w:lineRule="auto"/>
              <w:rPr>
                <w:sz w:val="20"/>
                <w:szCs w:val="20"/>
              </w:rPr>
            </w:pPr>
            <w:r>
              <w:rPr>
                <w:sz w:val="20"/>
                <w:szCs w:val="20"/>
                <w:spacing w:val="7"/>
              </w:rPr>
              <w:t>废机油</w:t>
            </w:r>
          </w:p>
        </w:tc>
        <w:tc>
          <w:tcPr>
            <w:tcW w:w="1403" w:type="dxa"/>
            <w:vAlign w:val="top"/>
          </w:tcPr>
          <w:p>
            <w:pPr>
              <w:ind w:left="669"/>
              <w:spacing w:before="14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4" w:type="dxa"/>
            <w:vAlign w:val="top"/>
          </w:tcPr>
          <w:p>
            <w:pPr>
              <w:ind w:left="754"/>
              <w:spacing w:before="14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4" w:type="dxa"/>
            <w:vAlign w:val="top"/>
          </w:tcPr>
          <w:p>
            <w:pPr>
              <w:ind w:left="755"/>
              <w:spacing w:before="14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4" w:type="dxa"/>
            <w:vAlign w:val="top"/>
          </w:tcPr>
          <w:p>
            <w:pPr>
              <w:ind w:left="556"/>
              <w:spacing w:before="14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0.5t/a</w:t>
            </w:r>
          </w:p>
        </w:tc>
        <w:tc>
          <w:tcPr>
            <w:tcW w:w="1575" w:type="dxa"/>
            <w:vAlign w:val="top"/>
          </w:tcPr>
          <w:p>
            <w:pPr>
              <w:ind w:left="758"/>
              <w:spacing w:before="14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5" w:type="dxa"/>
            <w:vAlign w:val="top"/>
          </w:tcPr>
          <w:p>
            <w:pPr>
              <w:ind w:left="558"/>
              <w:spacing w:before="14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0.5t/a</w:t>
            </w:r>
          </w:p>
        </w:tc>
        <w:tc>
          <w:tcPr>
            <w:tcW w:w="1579" w:type="dxa"/>
            <w:vAlign w:val="top"/>
          </w:tcPr>
          <w:p>
            <w:pPr>
              <w:ind w:left="496"/>
              <w:spacing w:before="14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+0.5t/a</w:t>
            </w:r>
          </w:p>
        </w:tc>
      </w:tr>
    </w:tbl>
    <w:p>
      <w:pPr>
        <w:ind w:left="602"/>
        <w:spacing w:before="195" w:line="217" w:lineRule="auto"/>
        <w:rPr>
          <w:rFonts w:ascii="SimSun" w:hAnsi="SimSun" w:eastAsia="SimSun" w:cs="SimSun"/>
          <w:sz w:val="24"/>
          <w:szCs w:val="24"/>
        </w:rPr>
      </w:pPr>
      <w:r>
        <w:rPr>
          <w:rFonts w:ascii="SimSun" w:hAnsi="SimSun" w:eastAsia="SimSun" w:cs="SimSun"/>
          <w:sz w:val="24"/>
          <w:szCs w:val="24"/>
          <w:spacing w:val="-5"/>
        </w:rPr>
        <w:t>注：⑥=①+③+④-⑤;</w:t>
      </w:r>
      <w:r>
        <w:rPr>
          <w:rFonts w:ascii="SimSun" w:hAnsi="SimSun" w:eastAsia="SimSun" w:cs="SimSun"/>
          <w:sz w:val="24"/>
          <w:szCs w:val="24"/>
          <w:spacing w:val="74"/>
        </w:rPr>
        <w:t xml:space="preserve"> </w:t>
      </w:r>
      <w:r>
        <w:rPr>
          <w:rFonts w:ascii="SimSun" w:hAnsi="SimSun" w:eastAsia="SimSun" w:cs="SimSun"/>
          <w:sz w:val="24"/>
          <w:szCs w:val="24"/>
          <w:spacing w:val="-5"/>
        </w:rPr>
        <w:t>⑦=⑥-①</w:t>
      </w:r>
    </w:p>
    <w:p>
      <w:pPr>
        <w:spacing w:line="217" w:lineRule="auto"/>
        <w:sectPr>
          <w:footerReference w:type="default" r:id="rId244"/>
          <w:pgSz w:w="16839" w:h="11906"/>
          <w:pgMar w:top="400" w:right="1327" w:bottom="1211" w:left="1327" w:header="0" w:footer="1049" w:gutter="0"/>
        </w:sectPr>
        <w:rPr>
          <w:rFonts w:ascii="SimSun" w:hAnsi="SimSun" w:eastAsia="SimSun" w:cs="SimSun"/>
          <w:sz w:val="24"/>
          <w:szCs w:val="24"/>
        </w:rPr>
      </w:pPr>
    </w:p>
    <w:p>
      <w:pPr>
        <w:pStyle w:val="BodyText"/>
        <w:spacing w:line="287" w:lineRule="auto"/>
        <w:rPr/>
      </w:pPr>
      <w:r/>
    </w:p>
    <w:p>
      <w:pPr>
        <w:pStyle w:val="BodyText"/>
        <w:spacing w:line="287" w:lineRule="auto"/>
        <w:rPr/>
      </w:pPr>
      <w:r/>
    </w:p>
    <w:p>
      <w:pPr>
        <w:pStyle w:val="BodyText"/>
        <w:spacing w:line="288" w:lineRule="auto"/>
        <w:rPr/>
      </w:pPr>
      <w:r/>
    </w:p>
    <w:p>
      <w:pPr>
        <w:pStyle w:val="BodyText"/>
        <w:spacing w:line="288" w:lineRule="auto"/>
        <w:rPr/>
      </w:pPr>
      <w:r/>
    </w:p>
    <w:p>
      <w:pPr>
        <w:ind w:left="522"/>
        <w:spacing w:before="78" w:line="219" w:lineRule="auto"/>
        <w:rPr>
          <w:rFonts w:ascii="SimSun" w:hAnsi="SimSun" w:eastAsia="SimSun" w:cs="SimSun"/>
          <w:sz w:val="24"/>
          <w:szCs w:val="24"/>
        </w:rPr>
      </w:pPr>
      <w:r>
        <w:rPr>
          <w:rFonts w:ascii="SimSun" w:hAnsi="SimSun" w:eastAsia="SimSun" w:cs="SimSun"/>
          <w:sz w:val="24"/>
          <w:szCs w:val="24"/>
          <w:spacing w:val="-6"/>
        </w:rPr>
        <w:t>附件</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4"/>
        </w:rPr>
        <w:t xml:space="preserve">    </w:t>
      </w:r>
      <w:r>
        <w:rPr>
          <w:rFonts w:ascii="SimSun" w:hAnsi="SimSun" w:eastAsia="SimSun" w:cs="SimSun"/>
          <w:sz w:val="24"/>
          <w:szCs w:val="24"/>
          <w:spacing w:val="-6"/>
        </w:rPr>
        <w:t>项目委托书</w:t>
      </w: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ind w:left="3626"/>
        <w:spacing w:before="113" w:line="224" w:lineRule="auto"/>
        <w:rPr>
          <w:rFonts w:ascii="SimSun" w:hAnsi="SimSun" w:eastAsia="SimSun" w:cs="SimSun"/>
          <w:sz w:val="35"/>
          <w:szCs w:val="35"/>
        </w:rPr>
      </w:pPr>
      <w:r>
        <w:rPr>
          <w:rFonts w:ascii="SimSun" w:hAnsi="SimSun" w:eastAsia="SimSun" w:cs="SimSun"/>
          <w:sz w:val="35"/>
          <w:szCs w:val="35"/>
          <w14:textOutline w14:w="6537" w14:cap="sq" w14:cmpd="sng">
            <w14:solidFill>
              <w14:srgbClr w14:val="000000"/>
            </w14:solidFill>
            <w14:prstDash w14:val="solid"/>
            <w14:bevel/>
          </w14:textOutline>
          <w:spacing w:val="-3"/>
        </w:rPr>
        <w:t>委</w:t>
      </w:r>
      <w:r>
        <w:rPr>
          <w:rFonts w:ascii="SimSun" w:hAnsi="SimSun" w:eastAsia="SimSun" w:cs="SimSun"/>
          <w:sz w:val="35"/>
          <w:szCs w:val="35"/>
          <w:spacing w:val="20"/>
        </w:rPr>
        <w:t xml:space="preserve"> </w:t>
      </w:r>
      <w:r>
        <w:rPr>
          <w:rFonts w:ascii="SimSun" w:hAnsi="SimSun" w:eastAsia="SimSun" w:cs="SimSun"/>
          <w:sz w:val="35"/>
          <w:szCs w:val="35"/>
          <w14:textOutline w14:w="6537" w14:cap="sq" w14:cmpd="sng">
            <w14:solidFill>
              <w14:srgbClr w14:val="000000"/>
            </w14:solidFill>
            <w14:prstDash w14:val="solid"/>
            <w14:bevel/>
          </w14:textOutline>
          <w:spacing w:val="-3"/>
        </w:rPr>
        <w:t>托</w:t>
      </w:r>
      <w:r>
        <w:rPr>
          <w:rFonts w:ascii="SimSun" w:hAnsi="SimSun" w:eastAsia="SimSun" w:cs="SimSun"/>
          <w:sz w:val="35"/>
          <w:szCs w:val="35"/>
          <w:spacing w:val="29"/>
        </w:rPr>
        <w:t xml:space="preserve"> </w:t>
      </w:r>
      <w:r>
        <w:rPr>
          <w:rFonts w:ascii="SimSun" w:hAnsi="SimSun" w:eastAsia="SimSun" w:cs="SimSun"/>
          <w:sz w:val="35"/>
          <w:szCs w:val="35"/>
          <w14:textOutline w14:w="6537" w14:cap="sq" w14:cmpd="sng">
            <w14:solidFill>
              <w14:srgbClr w14:val="000000"/>
            </w14:solidFill>
            <w14:prstDash w14:val="solid"/>
            <w14:bevel/>
          </w14:textOutline>
          <w:spacing w:val="-3"/>
        </w:rPr>
        <w:t>书</w:t>
      </w:r>
    </w:p>
    <w:p>
      <w:pPr>
        <w:pStyle w:val="BodyText"/>
        <w:spacing w:line="309" w:lineRule="auto"/>
        <w:rPr/>
      </w:pPr>
      <w:r/>
    </w:p>
    <w:p>
      <w:pPr>
        <w:pStyle w:val="BodyText"/>
        <w:spacing w:line="310" w:lineRule="auto"/>
        <w:rPr/>
      </w:pPr>
      <w:r/>
    </w:p>
    <w:p>
      <w:pPr>
        <w:pStyle w:val="BodyText"/>
        <w:spacing w:line="310" w:lineRule="auto"/>
        <w:rPr/>
      </w:pPr>
      <w:r/>
    </w:p>
    <w:p>
      <w:pPr>
        <w:ind w:left="27"/>
        <w:spacing w:before="91" w:line="220" w:lineRule="auto"/>
        <w:rPr>
          <w:rFonts w:ascii="SimSun" w:hAnsi="SimSun" w:eastAsia="SimSun" w:cs="SimSun"/>
          <w:sz w:val="28"/>
          <w:szCs w:val="28"/>
        </w:rPr>
      </w:pPr>
      <w:r>
        <w:rPr>
          <w:rFonts w:ascii="SimSun" w:hAnsi="SimSun" w:eastAsia="SimSun" w:cs="SimSun"/>
          <w:sz w:val="28"/>
          <w:szCs w:val="28"/>
          <w:spacing w:val="-1"/>
        </w:rPr>
        <w:t>乌鲁木齐汇翔达工程咨询服务有限公司：</w:t>
      </w:r>
    </w:p>
    <w:p>
      <w:pPr>
        <w:ind w:left="26" w:firstLine="557"/>
        <w:spacing w:before="328" w:line="330" w:lineRule="auto"/>
        <w:jc w:val="both"/>
        <w:rPr>
          <w:rFonts w:ascii="SimSun" w:hAnsi="SimSun" w:eastAsia="SimSun" w:cs="SimSun"/>
          <w:sz w:val="28"/>
          <w:szCs w:val="28"/>
        </w:rPr>
      </w:pPr>
      <w:r>
        <w:rPr>
          <w:rFonts w:ascii="SimSun" w:hAnsi="SimSun" w:eastAsia="SimSun" w:cs="SimSun"/>
          <w:sz w:val="28"/>
          <w:szCs w:val="28"/>
          <w:spacing w:val="-4"/>
        </w:rPr>
        <w:t>根据《中华人民共和国环境影响评价法》、《建设项目环境管理</w:t>
      </w:r>
      <w:r>
        <w:rPr>
          <w:rFonts w:ascii="SimSun" w:hAnsi="SimSun" w:eastAsia="SimSun" w:cs="SimSun"/>
          <w:sz w:val="28"/>
          <w:szCs w:val="28"/>
          <w:spacing w:val="3"/>
        </w:rPr>
        <w:t xml:space="preserve">  </w:t>
      </w:r>
      <w:r>
        <w:rPr>
          <w:rFonts w:ascii="SimSun" w:hAnsi="SimSun" w:eastAsia="SimSun" w:cs="SimSun"/>
          <w:sz w:val="28"/>
          <w:szCs w:val="28"/>
          <w:spacing w:val="-8"/>
        </w:rPr>
        <w:t>条例》（国务院 682号令）、《建设项目环境影响评价分类管理名录》</w:t>
      </w:r>
      <w:r>
        <w:rPr>
          <w:rFonts w:ascii="SimSun" w:hAnsi="SimSun" w:eastAsia="SimSun" w:cs="SimSun"/>
          <w:sz w:val="28"/>
          <w:szCs w:val="28"/>
          <w:spacing w:val="4"/>
        </w:rPr>
        <w:t xml:space="preserve"> </w:t>
      </w:r>
      <w:r>
        <w:rPr>
          <w:rFonts w:ascii="SimSun" w:hAnsi="SimSun" w:eastAsia="SimSun" w:cs="SimSun"/>
          <w:sz w:val="28"/>
          <w:szCs w:val="28"/>
          <w:spacing w:val="-4"/>
        </w:rPr>
        <w:t>（中华人民共和国环境保护部令第44号）等规定，兹委托贵单位负责</w:t>
      </w:r>
      <w:r>
        <w:rPr>
          <w:rFonts w:ascii="SimSun" w:hAnsi="SimSun" w:eastAsia="SimSun" w:cs="SimSun"/>
          <w:sz w:val="28"/>
          <w:szCs w:val="28"/>
          <w:spacing w:val="8"/>
        </w:rPr>
        <w:t xml:space="preserve">  </w:t>
      </w:r>
      <w:r>
        <w:rPr>
          <w:rFonts w:ascii="SimSun" w:hAnsi="SimSun" w:eastAsia="SimSun" w:cs="SimSun"/>
          <w:sz w:val="28"/>
          <w:szCs w:val="28"/>
          <w:spacing w:val="-4"/>
        </w:rPr>
        <w:t>《呼图壁县丰收塑料制品厂农用地膜加工项目环境影响报告表》的编</w:t>
      </w:r>
    </w:p>
    <w:p>
      <w:pPr>
        <w:ind w:left="26"/>
        <w:spacing w:before="1" w:line="219" w:lineRule="auto"/>
        <w:rPr>
          <w:rFonts w:ascii="SimSun" w:hAnsi="SimSun" w:eastAsia="SimSun" w:cs="SimSun"/>
          <w:sz w:val="28"/>
          <w:szCs w:val="28"/>
        </w:rPr>
      </w:pPr>
      <w:r>
        <w:rPr>
          <w:rFonts w:ascii="SimSun" w:hAnsi="SimSun" w:eastAsia="SimSun" w:cs="SimSun"/>
          <w:sz w:val="28"/>
          <w:szCs w:val="28"/>
          <w:spacing w:val="-1"/>
        </w:rPr>
        <w:t>制工作，委托期至获得环境保护主管部门环评批复为止。</w:t>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ind w:left="5265"/>
        <w:spacing w:before="91" w:line="499" w:lineRule="exact"/>
        <w:rPr>
          <w:rFonts w:ascii="SimSun" w:hAnsi="SimSun" w:eastAsia="SimSun" w:cs="SimSun"/>
          <w:sz w:val="28"/>
          <w:szCs w:val="28"/>
        </w:rPr>
      </w:pPr>
      <w:r>
        <w:drawing>
          <wp:anchor distT="0" distB="0" distL="0" distR="0" simplePos="0" relativeHeight="254654464" behindDoc="1" locked="0" layoutInCell="1" allowOverlap="1">
            <wp:simplePos x="0" y="0"/>
            <wp:positionH relativeFrom="column">
              <wp:posOffset>3518725</wp:posOffset>
            </wp:positionH>
            <wp:positionV relativeFrom="paragraph">
              <wp:posOffset>-912311</wp:posOffset>
            </wp:positionV>
            <wp:extent cx="1511808" cy="1562100"/>
            <wp:effectExtent l="0" t="0" r="0" b="0"/>
            <wp:wrapNone/>
            <wp:docPr id="198" name="IM 198"/>
            <wp:cNvGraphicFramePr/>
            <a:graphic>
              <a:graphicData uri="http://schemas.openxmlformats.org/drawingml/2006/picture">
                <pic:pic>
                  <pic:nvPicPr>
                    <pic:cNvPr id="198" name="IM 198"/>
                    <pic:cNvPicPr/>
                  </pic:nvPicPr>
                  <pic:blipFill>
                    <a:blip r:embed="rId2"/>
                    <a:stretch>
                      <a:fillRect/>
                    </a:stretch>
                  </pic:blipFill>
                  <pic:spPr>
                    <a:xfrm rot="0">
                      <a:off x="0" y="0"/>
                      <a:ext cx="1511808" cy="1562100"/>
                    </a:xfrm>
                    <a:prstGeom prst="rect">
                      <a:avLst/>
                    </a:prstGeom>
                  </pic:spPr>
                </pic:pic>
              </a:graphicData>
            </a:graphic>
          </wp:anchor>
        </w:drawing>
      </w:r>
      <w:r>
        <w:rPr>
          <w:rFonts w:ascii="SimSun" w:hAnsi="SimSun" w:eastAsia="SimSun" w:cs="SimSun"/>
          <w:sz w:val="28"/>
          <w:szCs w:val="28"/>
          <w:spacing w:val="-3"/>
          <w:position w:val="16"/>
        </w:rPr>
        <w:t>呼图壁县丰收塑料制品厂</w:t>
      </w:r>
    </w:p>
    <w:p>
      <w:pPr>
        <w:ind w:left="6513"/>
        <w:spacing w:before="2" w:line="219" w:lineRule="auto"/>
        <w:rPr>
          <w:rFonts w:ascii="SimSun" w:hAnsi="SimSun" w:eastAsia="SimSun" w:cs="SimSun"/>
          <w:sz w:val="28"/>
          <w:szCs w:val="28"/>
        </w:rPr>
      </w:pPr>
      <w:r>
        <w:rPr>
          <w:rFonts w:ascii="SimSun" w:hAnsi="SimSun" w:eastAsia="SimSun" w:cs="SimSun"/>
          <w:sz w:val="28"/>
          <w:szCs w:val="28"/>
          <w:spacing w:val="-2"/>
        </w:rPr>
        <w:t>2023年8月20日</w:t>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ind w:left="4263"/>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71</w:t>
      </w:r>
    </w:p>
    <w:p>
      <w:pPr>
        <w:spacing w:line="188" w:lineRule="auto"/>
        <w:sectPr>
          <w:footerReference w:type="default" r:id="rId16"/>
          <w:pgSz w:w="11906" w:h="16839"/>
          <w:pgMar w:top="400" w:right="1671" w:bottom="400" w:left="1785" w:header="0" w:footer="0" w:gutter="0"/>
        </w:sectPr>
        <w:rPr>
          <w:rFonts w:ascii="Times New Roman" w:hAnsi="Times New Roman" w:eastAsia="Times New Roman" w:cs="Times New Roman"/>
          <w:sz w:val="18"/>
          <w:szCs w:val="18"/>
        </w:rPr>
      </w:pPr>
    </w:p>
    <w:p>
      <w:pPr>
        <w:pStyle w:val="BodyText"/>
        <w:spacing w:line="359" w:lineRule="auto"/>
        <w:rPr/>
      </w:pPr>
      <w:r/>
    </w:p>
    <w:p>
      <w:pPr>
        <w:ind w:left="1047"/>
        <w:spacing w:before="78" w:line="219" w:lineRule="auto"/>
        <w:rPr>
          <w:rFonts w:ascii="SimSun" w:hAnsi="SimSun" w:eastAsia="SimSun" w:cs="SimSun"/>
          <w:sz w:val="24"/>
          <w:szCs w:val="24"/>
        </w:rPr>
      </w:pPr>
      <w:r>
        <w:rPr>
          <w:rFonts w:ascii="SimSun" w:hAnsi="SimSun" w:eastAsia="SimSun" w:cs="SimSun"/>
          <w:sz w:val="24"/>
          <w:szCs w:val="24"/>
          <w:spacing w:val="-3"/>
        </w:rPr>
        <w:t>附件2 现有项目环评批复</w:t>
      </w:r>
    </w:p>
    <w:p>
      <w:pPr>
        <w:spacing w:line="219" w:lineRule="auto"/>
        <w:sectPr>
          <w:headerReference w:type="default" r:id="rId246"/>
          <w:pgSz w:w="11907" w:h="16840"/>
          <w:pgMar w:top="400" w:right="0" w:bottom="400" w:left="0" w:header="0" w:footer="0" w:gutter="0"/>
        </w:sectPr>
        <w:rPr>
          <w:rFonts w:ascii="SimSun" w:hAnsi="SimSun" w:eastAsia="SimSun" w:cs="SimSun"/>
          <w:sz w:val="24"/>
          <w:szCs w:val="24"/>
        </w:rPr>
      </w:pPr>
    </w:p>
    <w:p>
      <w:pPr>
        <w:spacing w:before="85" w:line="15869" w:lineRule="exact"/>
        <w:rPr/>
      </w:pPr>
      <w:r>
        <w:rPr>
          <w:position w:val="-317"/>
        </w:rPr>
        <w:drawing>
          <wp:inline distT="0" distB="0" distL="0" distR="0">
            <wp:extent cx="7560944" cy="10077323"/>
            <wp:effectExtent l="0" t="0" r="0" b="0"/>
            <wp:docPr id="202" name="IM 202"/>
            <wp:cNvGraphicFramePr/>
            <a:graphic>
              <a:graphicData uri="http://schemas.openxmlformats.org/drawingml/2006/picture">
                <pic:pic>
                  <pic:nvPicPr>
                    <pic:cNvPr id="202" name="IM 202"/>
                    <pic:cNvPicPr/>
                  </pic:nvPicPr>
                  <pic:blipFill>
                    <a:blip r:embed="rId247"/>
                    <a:stretch>
                      <a:fillRect/>
                    </a:stretch>
                  </pic:blipFill>
                  <pic:spPr>
                    <a:xfrm rot="0">
                      <a:off x="0" y="0"/>
                      <a:ext cx="7560944" cy="10077323"/>
                    </a:xfrm>
                    <a:prstGeom prst="rect">
                      <a:avLst/>
                    </a:prstGeom>
                  </pic:spPr>
                </pic:pic>
              </a:graphicData>
            </a:graphic>
          </wp:inline>
        </w:drawing>
      </w:r>
    </w:p>
    <w:p>
      <w:pPr>
        <w:spacing w:line="15869" w:lineRule="exact"/>
        <w:sectPr>
          <w:headerReference w:type="default" r:id="rId3"/>
          <w:pgSz w:w="11907" w:h="16840"/>
          <w:pgMar w:top="400" w:right="0" w:bottom="400" w:left="0" w:header="0" w:footer="0" w:gutter="0"/>
        </w:sectPr>
        <w:rPr/>
      </w:pPr>
    </w:p>
    <w:p>
      <w:pPr>
        <w:spacing w:before="300" w:line="219" w:lineRule="auto"/>
        <w:rPr>
          <w:rFonts w:ascii="SimSun" w:hAnsi="SimSun" w:eastAsia="SimSun" w:cs="SimSun"/>
          <w:sz w:val="24"/>
          <w:szCs w:val="24"/>
        </w:rPr>
      </w:pPr>
      <w:r>
        <w:rPr>
          <w:rFonts w:ascii="SimSun" w:hAnsi="SimSun" w:eastAsia="SimSun" w:cs="SimSun"/>
          <w:sz w:val="24"/>
          <w:szCs w:val="24"/>
          <w:spacing w:val="-3"/>
        </w:rPr>
        <w:t>附件3 现有项目竣工验收意见</w:t>
      </w:r>
    </w:p>
    <w:p>
      <w:pPr>
        <w:pStyle w:val="BodyText"/>
        <w:spacing w:line="271" w:lineRule="auto"/>
        <w:rPr/>
      </w:pPr>
      <w:r/>
    </w:p>
    <w:p>
      <w:pPr>
        <w:pStyle w:val="BodyText"/>
        <w:spacing w:line="272" w:lineRule="auto"/>
        <w:rPr/>
      </w:pPr>
      <w:r/>
    </w:p>
    <w:p>
      <w:pPr>
        <w:pStyle w:val="BodyText"/>
        <w:spacing w:line="272" w:lineRule="auto"/>
        <w:rPr/>
      </w:pPr>
      <w:r/>
    </w:p>
    <w:p>
      <w:pPr>
        <w:pStyle w:val="BodyText"/>
        <w:spacing w:line="272" w:lineRule="auto"/>
        <w:rPr/>
      </w:pPr>
      <w:r/>
    </w:p>
    <w:p>
      <w:pPr>
        <w:ind w:left="850"/>
        <w:spacing w:before="113" w:line="701" w:lineRule="exact"/>
        <w:rPr>
          <w:rFonts w:ascii="SimHei" w:hAnsi="SimHei" w:eastAsia="SimHei" w:cs="SimHei"/>
          <w:sz w:val="35"/>
          <w:szCs w:val="35"/>
        </w:rPr>
      </w:pPr>
      <w:r>
        <w:rPr>
          <w:rFonts w:ascii="SimHei" w:hAnsi="SimHei" w:eastAsia="SimHei" w:cs="SimHei"/>
          <w:sz w:val="35"/>
          <w:szCs w:val="35"/>
          <w14:textOutline w14:w="6540" w14:cap="sq" w14:cmpd="sng">
            <w14:solidFill>
              <w14:srgbClr w14:val="000000"/>
            </w14:solidFill>
            <w14:prstDash w14:val="solid"/>
            <w14:bevel/>
          </w14:textOutline>
          <w:spacing w:val="10"/>
          <w:position w:val="25"/>
        </w:rPr>
        <w:t>呼图壁县丰收塑料制品厂滴灌带生产线建设项目</w:t>
      </w:r>
    </w:p>
    <w:p>
      <w:pPr>
        <w:ind w:left="2830"/>
        <w:spacing w:line="226" w:lineRule="auto"/>
        <w:rPr>
          <w:rFonts w:ascii="SimHei" w:hAnsi="SimHei" w:eastAsia="SimHei" w:cs="SimHei"/>
          <w:sz w:val="35"/>
          <w:szCs w:val="35"/>
        </w:rPr>
      </w:pPr>
      <w:r>
        <w:rPr>
          <w:rFonts w:ascii="SimHei" w:hAnsi="SimHei" w:eastAsia="SimHei" w:cs="SimHei"/>
          <w:sz w:val="35"/>
          <w:szCs w:val="35"/>
          <w14:textOutline w14:w="6540" w14:cap="sq" w14:cmpd="sng">
            <w14:solidFill>
              <w14:srgbClr w14:val="000000"/>
            </w14:solidFill>
            <w14:prstDash w14:val="solid"/>
            <w14:bevel/>
          </w14:textOutline>
          <w:spacing w:val="10"/>
        </w:rPr>
        <w:t>竣工环境保护验收意见</w:t>
      </w:r>
    </w:p>
    <w:p>
      <w:pPr>
        <w:pStyle w:val="BodyText"/>
        <w:spacing w:line="304" w:lineRule="auto"/>
        <w:rPr/>
      </w:pPr>
      <w:r/>
    </w:p>
    <w:p>
      <w:pPr>
        <w:pStyle w:val="BodyText"/>
        <w:spacing w:line="305" w:lineRule="auto"/>
        <w:rPr/>
      </w:pPr>
      <w:r/>
    </w:p>
    <w:p>
      <w:pPr>
        <w:pStyle w:val="BodyText"/>
        <w:spacing w:line="305" w:lineRule="auto"/>
        <w:rPr/>
      </w:pPr>
      <w:r/>
    </w:p>
    <w:p>
      <w:pPr>
        <w:ind w:left="492" w:firstLine="554"/>
        <w:spacing w:before="91" w:line="396" w:lineRule="auto"/>
        <w:rPr>
          <w:rFonts w:ascii="FangSong" w:hAnsi="FangSong" w:eastAsia="FangSong" w:cs="FangSong"/>
          <w:sz w:val="28"/>
          <w:szCs w:val="28"/>
        </w:rPr>
      </w:pPr>
      <w:r>
        <w:rPr>
          <w:rFonts w:ascii="FangSong" w:hAnsi="FangSong" w:eastAsia="FangSong" w:cs="FangSong"/>
          <w:sz w:val="28"/>
          <w:szCs w:val="28"/>
          <w:spacing w:val="-1"/>
        </w:rPr>
        <w:t>2022年7月21日，呼图壁县丰收塑料制品厂根据《建设项目环境</w:t>
      </w:r>
      <w:r>
        <w:rPr>
          <w:rFonts w:ascii="FangSong" w:hAnsi="FangSong" w:eastAsia="FangSong" w:cs="FangSong"/>
          <w:sz w:val="28"/>
          <w:szCs w:val="28"/>
          <w:spacing w:val="9"/>
        </w:rPr>
        <w:t xml:space="preserve">  </w:t>
      </w:r>
      <w:r>
        <w:rPr>
          <w:rFonts w:ascii="FangSong" w:hAnsi="FangSong" w:eastAsia="FangSong" w:cs="FangSong"/>
          <w:sz w:val="28"/>
          <w:szCs w:val="28"/>
          <w:spacing w:val="-13"/>
        </w:rPr>
        <w:t>保护管理条例》、《建设项目竣工环境保护验收暂行办法》在呼图</w:t>
      </w:r>
      <w:r>
        <w:rPr>
          <w:rFonts w:ascii="FangSong" w:hAnsi="FangSong" w:eastAsia="FangSong" w:cs="FangSong"/>
          <w:sz w:val="28"/>
          <w:szCs w:val="28"/>
          <w:spacing w:val="-14"/>
        </w:rPr>
        <w:t>壁县</w:t>
      </w:r>
      <w:r>
        <w:rPr>
          <w:rFonts w:ascii="FangSong" w:hAnsi="FangSong" w:eastAsia="FangSong" w:cs="FangSong"/>
          <w:sz w:val="28"/>
          <w:szCs w:val="28"/>
          <w:spacing w:val="-14"/>
        </w:rPr>
        <w:t xml:space="preserve"> </w:t>
      </w:r>
      <w:r>
        <w:rPr>
          <w:rFonts w:ascii="FangSong" w:hAnsi="FangSong" w:eastAsia="FangSong" w:cs="FangSong"/>
          <w:sz w:val="28"/>
          <w:szCs w:val="28"/>
          <w:spacing w:val="-1"/>
        </w:rPr>
        <w:t>丰收塑料制品厂组织召开了呼图壁县丰收塑料制品厂滴灌带生产线</w:t>
      </w:r>
      <w:r>
        <w:rPr>
          <w:rFonts w:ascii="FangSong" w:hAnsi="FangSong" w:eastAsia="FangSong" w:cs="FangSong"/>
          <w:sz w:val="28"/>
          <w:szCs w:val="28"/>
          <w:spacing w:val="4"/>
        </w:rPr>
        <w:t xml:space="preserve">   </w:t>
      </w:r>
      <w:r>
        <w:rPr>
          <w:rFonts w:ascii="FangSong" w:hAnsi="FangSong" w:eastAsia="FangSong" w:cs="FangSong"/>
          <w:sz w:val="28"/>
          <w:szCs w:val="28"/>
          <w:spacing w:val="-4"/>
        </w:rPr>
        <w:t>建设项目竣工环境保护验收视频会议。验收组由建设单位呼图壁县丰</w:t>
      </w:r>
      <w:r>
        <w:rPr>
          <w:rFonts w:ascii="FangSong" w:hAnsi="FangSong" w:eastAsia="FangSong" w:cs="FangSong"/>
          <w:sz w:val="28"/>
          <w:szCs w:val="28"/>
          <w:spacing w:val="7"/>
        </w:rPr>
        <w:t xml:space="preserve"> </w:t>
      </w:r>
      <w:r>
        <w:rPr>
          <w:rFonts w:ascii="FangSong" w:hAnsi="FangSong" w:eastAsia="FangSong" w:cs="FangSong"/>
          <w:sz w:val="28"/>
          <w:szCs w:val="28"/>
          <w:spacing w:val="-1"/>
        </w:rPr>
        <w:t>收塑料制品厂，特邀3名技术专家（验收组名单附后）组成。验收组</w:t>
      </w:r>
      <w:r>
        <w:rPr>
          <w:rFonts w:ascii="FangSong" w:hAnsi="FangSong" w:eastAsia="FangSong" w:cs="FangSong"/>
          <w:sz w:val="28"/>
          <w:szCs w:val="28"/>
          <w:spacing w:val="6"/>
        </w:rPr>
        <w:t xml:space="preserve">  </w:t>
      </w:r>
      <w:r>
        <w:rPr>
          <w:rFonts w:ascii="FangSong" w:hAnsi="FangSong" w:eastAsia="FangSong" w:cs="FangSong"/>
          <w:sz w:val="28"/>
          <w:szCs w:val="28"/>
          <w:spacing w:val="-1"/>
        </w:rPr>
        <w:t>根据呼图壁县丰收塑料制品厂滴灌带生产线建设项目竣工环境保护</w:t>
      </w:r>
      <w:r>
        <w:rPr>
          <w:rFonts w:ascii="FangSong" w:hAnsi="FangSong" w:eastAsia="FangSong" w:cs="FangSong"/>
          <w:sz w:val="28"/>
          <w:szCs w:val="28"/>
          <w:spacing w:val="4"/>
        </w:rPr>
        <w:t xml:space="preserve">   </w:t>
      </w:r>
      <w:r>
        <w:rPr>
          <w:rFonts w:ascii="FangSong" w:hAnsi="FangSong" w:eastAsia="FangSong" w:cs="FangSong"/>
          <w:sz w:val="28"/>
          <w:szCs w:val="28"/>
          <w:spacing w:val="-5"/>
        </w:rPr>
        <w:t>验收监测报告表，并对照《建设项目竣工环境保护验收暂行办法》，</w:t>
      </w:r>
      <w:r>
        <w:rPr>
          <w:rFonts w:ascii="FangSong" w:hAnsi="FangSong" w:eastAsia="FangSong" w:cs="FangSong"/>
          <w:sz w:val="28"/>
          <w:szCs w:val="28"/>
          <w:spacing w:val="-5"/>
        </w:rPr>
        <w:t xml:space="preserve"> </w:t>
      </w:r>
      <w:r>
        <w:rPr>
          <w:rFonts w:ascii="FangSong" w:hAnsi="FangSong" w:eastAsia="FangSong" w:cs="FangSong"/>
          <w:sz w:val="28"/>
          <w:szCs w:val="28"/>
          <w:spacing w:val="-5"/>
        </w:rPr>
        <w:t>依照国家有关法律法规、建设项目竣工环境保护验收技术规范</w:t>
      </w:r>
      <w:r>
        <w:rPr>
          <w:rFonts w:ascii="FangSong" w:hAnsi="FangSong" w:eastAsia="FangSong" w:cs="FangSong"/>
          <w:sz w:val="28"/>
          <w:szCs w:val="28"/>
          <w:spacing w:val="-6"/>
        </w:rPr>
        <w:t>/指南、</w:t>
      </w:r>
      <w:r>
        <w:rPr>
          <w:rFonts w:ascii="FangSong" w:hAnsi="FangSong" w:eastAsia="FangSong" w:cs="FangSong"/>
          <w:sz w:val="28"/>
          <w:szCs w:val="28"/>
        </w:rPr>
        <w:t xml:space="preserve"> </w:t>
      </w:r>
      <w:r>
        <w:rPr>
          <w:rFonts w:ascii="FangSong" w:hAnsi="FangSong" w:eastAsia="FangSong" w:cs="FangSong"/>
          <w:sz w:val="28"/>
          <w:szCs w:val="28"/>
          <w:spacing w:val="-4"/>
        </w:rPr>
        <w:t>项目环境影响报告表及其批复等要求，经现场检查、查验环保档案资</w:t>
      </w:r>
    </w:p>
    <w:p>
      <w:pPr>
        <w:ind w:left="492"/>
        <w:spacing w:before="1" w:line="220" w:lineRule="auto"/>
        <w:rPr>
          <w:rFonts w:ascii="FangSong" w:hAnsi="FangSong" w:eastAsia="FangSong" w:cs="FangSong"/>
          <w:sz w:val="28"/>
          <w:szCs w:val="28"/>
        </w:rPr>
      </w:pPr>
      <w:r>
        <w:rPr>
          <w:rFonts w:ascii="FangSong" w:hAnsi="FangSong" w:eastAsia="FangSong" w:cs="FangSong"/>
          <w:sz w:val="28"/>
          <w:szCs w:val="28"/>
          <w:spacing w:val="-2"/>
        </w:rPr>
        <w:t>料，充分讨论评议后形成验收意见如下：</w:t>
      </w:r>
    </w:p>
    <w:p>
      <w:pPr>
        <w:pStyle w:val="BodyText"/>
        <w:spacing w:line="357" w:lineRule="auto"/>
        <w:rPr/>
      </w:pPr>
      <w:r/>
    </w:p>
    <w:p>
      <w:pPr>
        <w:pStyle w:val="BodyText"/>
        <w:spacing w:line="357" w:lineRule="auto"/>
        <w:rPr/>
      </w:pPr>
      <w:r/>
    </w:p>
    <w:p>
      <w:pPr>
        <w:ind w:left="491"/>
        <w:spacing w:before="98" w:line="222" w:lineRule="auto"/>
        <w:outlineLvl w:val="0"/>
        <w:rPr>
          <w:rFonts w:ascii="SimHei" w:hAnsi="SimHei" w:eastAsia="SimHei" w:cs="SimHei"/>
          <w:sz w:val="30"/>
          <w:szCs w:val="30"/>
        </w:rPr>
      </w:pPr>
      <w:r>
        <w:rPr>
          <w:rFonts w:ascii="SimHei" w:hAnsi="SimHei" w:eastAsia="SimHei" w:cs="SimHei"/>
          <w:sz w:val="30"/>
          <w:szCs w:val="30"/>
          <w:spacing w:val="-2"/>
        </w:rPr>
        <w:t>一、工程建设基本情况</w:t>
      </w:r>
    </w:p>
    <w:p>
      <w:pPr>
        <w:ind w:left="1053"/>
        <w:spacing w:before="249" w:line="223" w:lineRule="auto"/>
        <w:rPr>
          <w:rFonts w:ascii="FangSong" w:hAnsi="FangSong" w:eastAsia="FangSong" w:cs="FangSong"/>
          <w:sz w:val="28"/>
          <w:szCs w:val="28"/>
        </w:rPr>
      </w:pPr>
      <w:r>
        <w:rPr>
          <w:rFonts w:ascii="FangSong" w:hAnsi="FangSong" w:eastAsia="FangSong" w:cs="FangSong"/>
          <w:sz w:val="28"/>
          <w:szCs w:val="28"/>
          <w:spacing w:val="-2"/>
        </w:rPr>
        <w:t>（一）建设地点、规模、主要建设内容</w:t>
      </w:r>
    </w:p>
    <w:p>
      <w:pPr>
        <w:ind w:left="492" w:right="93" w:firstLine="561"/>
        <w:spacing w:before="260" w:line="396" w:lineRule="auto"/>
        <w:rPr>
          <w:rFonts w:ascii="FangSong" w:hAnsi="FangSong" w:eastAsia="FangSong" w:cs="FangSong"/>
          <w:sz w:val="28"/>
          <w:szCs w:val="28"/>
        </w:rPr>
      </w:pPr>
      <w:r>
        <w:rPr>
          <w:rFonts w:ascii="FangSong" w:hAnsi="FangSong" w:eastAsia="FangSong" w:cs="FangSong"/>
          <w:sz w:val="28"/>
          <w:szCs w:val="28"/>
          <w:spacing w:val="6"/>
        </w:rPr>
        <w:t>项目位于新疆维吾尔自治区昌吉回族自治州呼图壁种牛场良种</w:t>
      </w:r>
      <w:r>
        <w:rPr>
          <w:rFonts w:ascii="FangSong" w:hAnsi="FangSong" w:eastAsia="FangSong" w:cs="FangSong"/>
          <w:sz w:val="28"/>
          <w:szCs w:val="28"/>
          <w:spacing w:val="4"/>
        </w:rPr>
        <w:t xml:space="preserve"> </w:t>
      </w:r>
      <w:r>
        <w:rPr>
          <w:rFonts w:ascii="FangSong" w:hAnsi="FangSong" w:eastAsia="FangSong" w:cs="FangSong"/>
          <w:sz w:val="28"/>
          <w:szCs w:val="28"/>
          <w:spacing w:val="-3"/>
        </w:rPr>
        <w:t>队以东。项目占地地面积为4420㎡(约6.63亩)。其</w:t>
      </w:r>
      <w:r>
        <w:rPr>
          <w:rFonts w:ascii="FangSong" w:hAnsi="FangSong" w:eastAsia="FangSong" w:cs="FangSong"/>
          <w:sz w:val="28"/>
          <w:szCs w:val="28"/>
          <w:spacing w:val="-4"/>
        </w:rPr>
        <w:t>中主要建设内容包</w:t>
      </w:r>
      <w:r>
        <w:rPr>
          <w:rFonts w:ascii="FangSong" w:hAnsi="FangSong" w:eastAsia="FangSong" w:cs="FangSong"/>
          <w:sz w:val="28"/>
          <w:szCs w:val="28"/>
        </w:rPr>
        <w:t xml:space="preserve"> </w:t>
      </w:r>
      <w:r>
        <w:rPr>
          <w:rFonts w:ascii="FangSong" w:hAnsi="FangSong" w:eastAsia="FangSong" w:cs="FangSong"/>
          <w:sz w:val="28"/>
          <w:szCs w:val="28"/>
          <w:spacing w:val="1"/>
        </w:rPr>
        <w:t>括:联合生产厂房、原料及产品库房、办公楼、化验室、机修</w:t>
      </w:r>
      <w:r>
        <w:rPr>
          <w:rFonts w:ascii="FangSong" w:hAnsi="FangSong" w:eastAsia="FangSong" w:cs="FangSong"/>
          <w:sz w:val="28"/>
          <w:szCs w:val="28"/>
        </w:rPr>
        <w:t>车间、</w:t>
      </w:r>
      <w:r>
        <w:rPr>
          <w:rFonts w:ascii="FangSong" w:hAnsi="FangSong" w:eastAsia="FangSong" w:cs="FangSong"/>
          <w:sz w:val="28"/>
          <w:szCs w:val="28"/>
        </w:rPr>
        <w:t xml:space="preserve"> </w:t>
      </w:r>
      <w:r>
        <w:rPr>
          <w:rFonts w:ascii="FangSong" w:hAnsi="FangSong" w:eastAsia="FangSong" w:cs="FangSong"/>
          <w:sz w:val="28"/>
          <w:szCs w:val="28"/>
          <w:spacing w:val="-3"/>
        </w:rPr>
        <w:t>职工宿舍、职工食堂、门卫室等工程建设。</w:t>
      </w:r>
      <w:r>
        <w:rPr>
          <w:rFonts w:ascii="FangSong" w:hAnsi="FangSong" w:eastAsia="FangSong" w:cs="FangSong"/>
          <w:sz w:val="28"/>
          <w:szCs w:val="28"/>
          <w:spacing w:val="-4"/>
        </w:rPr>
        <w:t>建设总投资1613.7万元人</w:t>
      </w:r>
    </w:p>
    <w:p>
      <w:pPr>
        <w:ind w:right="27"/>
        <w:spacing w:before="1" w:line="220" w:lineRule="auto"/>
        <w:jc w:val="right"/>
        <w:rPr>
          <w:rFonts w:ascii="FangSong" w:hAnsi="FangSong" w:eastAsia="FangSong" w:cs="FangSong"/>
          <w:sz w:val="28"/>
          <w:szCs w:val="28"/>
        </w:rPr>
      </w:pPr>
      <w:r>
        <w:rPr>
          <w:rFonts w:ascii="FangSong" w:hAnsi="FangSong" w:eastAsia="FangSong" w:cs="FangSong"/>
          <w:sz w:val="28"/>
          <w:szCs w:val="28"/>
        </w:rPr>
        <w:t>民币。年产单翼迷宫式滴灌灌带6800万m。其</w:t>
      </w:r>
      <w:r>
        <w:rPr>
          <w:rFonts w:ascii="FangSong" w:hAnsi="FangSong" w:eastAsia="FangSong" w:cs="FangSong"/>
          <w:sz w:val="28"/>
          <w:szCs w:val="28"/>
          <w:spacing w:val="-1"/>
        </w:rPr>
        <w:t>中环保投资39万元，</w:t>
      </w:r>
      <w:r>
        <w:rPr>
          <w:rFonts w:ascii="FangSong" w:hAnsi="FangSong" w:eastAsia="FangSong" w:cs="FangSong"/>
          <w:sz w:val="28"/>
          <w:szCs w:val="28"/>
          <w:spacing w:val="-73"/>
        </w:rPr>
        <w:t xml:space="preserve"> </w:t>
      </w:r>
      <w:r>
        <w:rPr>
          <w:rFonts w:ascii="FangSong" w:hAnsi="FangSong" w:eastAsia="FangSong" w:cs="FangSong"/>
          <w:sz w:val="28"/>
          <w:szCs w:val="28"/>
          <w:spacing w:val="-1"/>
        </w:rPr>
        <w:t>占</w:t>
      </w:r>
    </w:p>
    <w:p>
      <w:pPr>
        <w:spacing w:line="220" w:lineRule="auto"/>
        <w:sectPr>
          <w:footerReference w:type="default" r:id="rId248"/>
          <w:pgSz w:w="11906" w:h="16839"/>
          <w:pgMar w:top="400" w:right="1705" w:bottom="1156" w:left="1324" w:header="0" w:footer="994" w:gutter="0"/>
        </w:sectPr>
        <w:rPr>
          <w:rFonts w:ascii="FangSong" w:hAnsi="FangSong" w:eastAsia="FangSong" w:cs="FangSong"/>
          <w:sz w:val="28"/>
          <w:szCs w:val="28"/>
        </w:rPr>
      </w:pPr>
    </w:p>
    <w:p>
      <w:pPr>
        <w:pStyle w:val="BodyText"/>
        <w:spacing w:line="295" w:lineRule="auto"/>
        <w:rPr/>
      </w:pPr>
      <w:r/>
    </w:p>
    <w:p>
      <w:pPr>
        <w:pStyle w:val="BodyText"/>
        <w:spacing w:line="295" w:lineRule="auto"/>
        <w:rPr/>
      </w:pPr>
      <w:r/>
    </w:p>
    <w:p>
      <w:pPr>
        <w:pStyle w:val="BodyText"/>
        <w:spacing w:line="296" w:lineRule="auto"/>
        <w:rPr/>
      </w:pPr>
      <w:r/>
    </w:p>
    <w:p>
      <w:pPr>
        <w:pStyle w:val="BodyText"/>
        <w:spacing w:line="296" w:lineRule="auto"/>
        <w:rPr/>
      </w:pPr>
      <w:r/>
    </w:p>
    <w:p>
      <w:pPr>
        <w:ind w:left="44"/>
        <w:spacing w:before="91" w:line="224" w:lineRule="auto"/>
        <w:rPr>
          <w:rFonts w:ascii="FangSong" w:hAnsi="FangSong" w:eastAsia="FangSong" w:cs="FangSong"/>
          <w:sz w:val="28"/>
          <w:szCs w:val="28"/>
        </w:rPr>
      </w:pPr>
      <w:r>
        <w:rPr>
          <w:rFonts w:ascii="FangSong" w:hAnsi="FangSong" w:eastAsia="FangSong" w:cs="FangSong"/>
          <w:sz w:val="28"/>
          <w:szCs w:val="28"/>
          <w:spacing w:val="-4"/>
        </w:rPr>
        <w:t>总投资2.42%。</w:t>
      </w:r>
    </w:p>
    <w:p>
      <w:pPr>
        <w:ind w:left="592"/>
        <w:spacing w:before="258" w:line="222" w:lineRule="auto"/>
        <w:rPr>
          <w:rFonts w:ascii="FangSong" w:hAnsi="FangSong" w:eastAsia="FangSong" w:cs="FangSong"/>
          <w:sz w:val="28"/>
          <w:szCs w:val="28"/>
        </w:rPr>
      </w:pPr>
      <w:r>
        <w:rPr>
          <w:rFonts w:ascii="FangSong" w:hAnsi="FangSong" w:eastAsia="FangSong" w:cs="FangSong"/>
          <w:sz w:val="28"/>
          <w:szCs w:val="28"/>
          <w:spacing w:val="-2"/>
        </w:rPr>
        <w:t>（二）建设过程及环保审批情况</w:t>
      </w:r>
    </w:p>
    <w:p>
      <w:pPr>
        <w:ind w:right="13"/>
        <w:spacing w:before="263" w:line="600" w:lineRule="exact"/>
        <w:jc w:val="right"/>
        <w:rPr>
          <w:rFonts w:ascii="FangSong" w:hAnsi="FangSong" w:eastAsia="FangSong" w:cs="FangSong"/>
          <w:sz w:val="28"/>
          <w:szCs w:val="28"/>
        </w:rPr>
      </w:pPr>
      <w:r>
        <w:rPr>
          <w:rFonts w:ascii="FangSong" w:hAnsi="FangSong" w:eastAsia="FangSong" w:cs="FangSong"/>
          <w:sz w:val="28"/>
          <w:szCs w:val="28"/>
          <w:spacing w:val="-9"/>
          <w:position w:val="24"/>
        </w:rPr>
        <w:t>（1）新疆奥邦科技有限公司，《呼图壁县丰收塑料制品厂滴灌带</w:t>
      </w:r>
    </w:p>
    <w:p>
      <w:pPr>
        <w:ind w:left="49"/>
        <w:spacing w:before="1" w:line="222" w:lineRule="auto"/>
        <w:rPr>
          <w:rFonts w:ascii="FangSong" w:hAnsi="FangSong" w:eastAsia="FangSong" w:cs="FangSong"/>
          <w:sz w:val="28"/>
          <w:szCs w:val="28"/>
        </w:rPr>
      </w:pPr>
      <w:r>
        <w:rPr>
          <w:rFonts w:ascii="FangSong" w:hAnsi="FangSong" w:eastAsia="FangSong" w:cs="FangSong"/>
          <w:sz w:val="28"/>
          <w:szCs w:val="28"/>
          <w:spacing w:val="-8"/>
        </w:rPr>
        <w:t>生产线建设项目环境影响报告表》，2015年8月;</w:t>
      </w:r>
    </w:p>
    <w:p>
      <w:pPr>
        <w:ind w:left="37" w:right="12" w:firstLine="555"/>
        <w:spacing w:before="261" w:line="396" w:lineRule="auto"/>
        <w:rPr>
          <w:rFonts w:ascii="FangSong" w:hAnsi="FangSong" w:eastAsia="FangSong" w:cs="FangSong"/>
          <w:sz w:val="28"/>
          <w:szCs w:val="28"/>
        </w:rPr>
      </w:pPr>
      <w:r>
        <w:rPr>
          <w:rFonts w:ascii="FangSong" w:hAnsi="FangSong" w:eastAsia="FangSong" w:cs="FangSong"/>
          <w:sz w:val="28"/>
          <w:szCs w:val="28"/>
          <w:spacing w:val="-9"/>
        </w:rPr>
        <w:t>（2）原呼图壁县环境保护局，《关于呼图壁县丰收塑料制品厂滴</w:t>
      </w:r>
      <w:r>
        <w:rPr>
          <w:rFonts w:ascii="FangSong" w:hAnsi="FangSong" w:eastAsia="FangSong" w:cs="FangSong"/>
          <w:sz w:val="28"/>
          <w:szCs w:val="28"/>
          <w:spacing w:val="8"/>
        </w:rPr>
        <w:t xml:space="preserve"> </w:t>
      </w:r>
      <w:r>
        <w:rPr>
          <w:rFonts w:ascii="FangSong" w:hAnsi="FangSong" w:eastAsia="FangSong" w:cs="FangSong"/>
          <w:sz w:val="28"/>
          <w:szCs w:val="28"/>
          <w:spacing w:val="-4"/>
        </w:rPr>
        <w:t>灌带生产线建设项目环境影响报告表的批复》（呼环评字〔2015〕59</w:t>
      </w:r>
    </w:p>
    <w:p>
      <w:pPr>
        <w:ind w:left="39"/>
        <w:spacing w:before="1" w:line="222" w:lineRule="auto"/>
        <w:rPr>
          <w:rFonts w:ascii="FangSong" w:hAnsi="FangSong" w:eastAsia="FangSong" w:cs="FangSong"/>
          <w:sz w:val="28"/>
          <w:szCs w:val="28"/>
        </w:rPr>
      </w:pPr>
      <w:r>
        <w:rPr>
          <w:rFonts w:ascii="FangSong" w:hAnsi="FangSong" w:eastAsia="FangSong" w:cs="FangSong"/>
          <w:sz w:val="28"/>
          <w:szCs w:val="28"/>
          <w:spacing w:val="-2"/>
        </w:rPr>
        <w:t>号）2015年10月27日。</w:t>
      </w:r>
    </w:p>
    <w:p>
      <w:pPr>
        <w:ind w:left="592"/>
        <w:spacing w:before="262" w:line="223" w:lineRule="auto"/>
        <w:rPr>
          <w:rFonts w:ascii="FangSong" w:hAnsi="FangSong" w:eastAsia="FangSong" w:cs="FangSong"/>
          <w:sz w:val="28"/>
          <w:szCs w:val="28"/>
        </w:rPr>
      </w:pPr>
      <w:r>
        <w:rPr>
          <w:rFonts w:ascii="FangSong" w:hAnsi="FangSong" w:eastAsia="FangSong" w:cs="FangSong"/>
          <w:sz w:val="28"/>
          <w:szCs w:val="28"/>
          <w:spacing w:val="-3"/>
        </w:rPr>
        <w:t>（三）投资情况</w:t>
      </w:r>
    </w:p>
    <w:p>
      <w:pPr>
        <w:ind w:right="13"/>
        <w:spacing w:before="262" w:line="600" w:lineRule="exact"/>
        <w:jc w:val="right"/>
        <w:rPr>
          <w:rFonts w:ascii="FangSong" w:hAnsi="FangSong" w:eastAsia="FangSong" w:cs="FangSong"/>
          <w:sz w:val="28"/>
          <w:szCs w:val="28"/>
        </w:rPr>
      </w:pPr>
      <w:r>
        <w:rPr>
          <w:rFonts w:ascii="FangSong" w:hAnsi="FangSong" w:eastAsia="FangSong" w:cs="FangSong"/>
          <w:sz w:val="28"/>
          <w:szCs w:val="28"/>
          <w:spacing w:val="-4"/>
          <w:position w:val="24"/>
        </w:rPr>
        <w:t>工程设计总投资：1613.7万元，其中环保投资39万元，环保投资</w:t>
      </w:r>
    </w:p>
    <w:p>
      <w:pPr>
        <w:ind w:left="80"/>
        <w:spacing w:before="1" w:line="223" w:lineRule="auto"/>
        <w:rPr>
          <w:rFonts w:ascii="FangSong" w:hAnsi="FangSong" w:eastAsia="FangSong" w:cs="FangSong"/>
          <w:sz w:val="28"/>
          <w:szCs w:val="28"/>
        </w:rPr>
      </w:pPr>
      <w:r>
        <w:rPr>
          <w:rFonts w:ascii="FangSong" w:hAnsi="FangSong" w:eastAsia="FangSong" w:cs="FangSong"/>
          <w:sz w:val="28"/>
          <w:szCs w:val="28"/>
          <w:spacing w:val="-6"/>
        </w:rPr>
        <w:t>占总投资比例2.42%。</w:t>
      </w:r>
    </w:p>
    <w:p>
      <w:pPr>
        <w:ind w:left="592"/>
        <w:spacing w:before="260" w:line="224" w:lineRule="auto"/>
        <w:rPr>
          <w:rFonts w:ascii="FangSong" w:hAnsi="FangSong" w:eastAsia="FangSong" w:cs="FangSong"/>
          <w:sz w:val="28"/>
          <w:szCs w:val="28"/>
        </w:rPr>
      </w:pPr>
      <w:r>
        <w:rPr>
          <w:rFonts w:ascii="FangSong" w:hAnsi="FangSong" w:eastAsia="FangSong" w:cs="FangSong"/>
          <w:sz w:val="28"/>
          <w:szCs w:val="28"/>
          <w:spacing w:val="-3"/>
        </w:rPr>
        <w:t>（四）验收范围</w:t>
      </w:r>
    </w:p>
    <w:p>
      <w:pPr>
        <w:ind w:left="31" w:right="13" w:firstLine="561"/>
        <w:spacing w:before="258" w:line="396" w:lineRule="auto"/>
        <w:rPr>
          <w:rFonts w:ascii="FangSong" w:hAnsi="FangSong" w:eastAsia="FangSong" w:cs="FangSong"/>
          <w:sz w:val="28"/>
          <w:szCs w:val="28"/>
        </w:rPr>
      </w:pPr>
      <w:r>
        <w:rPr>
          <w:rFonts w:ascii="FangSong" w:hAnsi="FangSong" w:eastAsia="FangSong" w:cs="FangSong"/>
          <w:sz w:val="28"/>
          <w:szCs w:val="28"/>
          <w:spacing w:val="6"/>
        </w:rPr>
        <w:t>本次验收范围：1座联合生产厂房、1座成品</w:t>
      </w:r>
      <w:r>
        <w:rPr>
          <w:rFonts w:ascii="FangSong" w:hAnsi="FangSong" w:eastAsia="FangSong" w:cs="FangSong"/>
          <w:sz w:val="28"/>
          <w:szCs w:val="28"/>
          <w:spacing w:val="5"/>
        </w:rPr>
        <w:t>库、1座原料库、1</w:t>
      </w:r>
      <w:r>
        <w:rPr>
          <w:rFonts w:ascii="FangSong" w:hAnsi="FangSong" w:eastAsia="FangSong" w:cs="FangSong"/>
          <w:sz w:val="28"/>
          <w:szCs w:val="28"/>
        </w:rPr>
        <w:t xml:space="preserve"> </w:t>
      </w:r>
      <w:r>
        <w:rPr>
          <w:rFonts w:ascii="FangSong" w:hAnsi="FangSong" w:eastAsia="FangSong" w:cs="FangSong"/>
          <w:sz w:val="28"/>
          <w:szCs w:val="28"/>
          <w:spacing w:val="-4"/>
        </w:rPr>
        <w:t>座职工宿舍和办公区，并配套公用工程、辅助工程、环保工程。建设</w:t>
      </w:r>
      <w:r>
        <w:rPr>
          <w:rFonts w:ascii="FangSong" w:hAnsi="FangSong" w:eastAsia="FangSong" w:cs="FangSong"/>
          <w:sz w:val="28"/>
          <w:szCs w:val="28"/>
          <w:spacing w:val="7"/>
        </w:rPr>
        <w:t xml:space="preserve"> </w:t>
      </w:r>
      <w:r>
        <w:rPr>
          <w:rFonts w:ascii="FangSong" w:hAnsi="FangSong" w:eastAsia="FangSong" w:cs="FangSong"/>
          <w:sz w:val="28"/>
          <w:szCs w:val="28"/>
          <w:spacing w:val="5"/>
        </w:rPr>
        <w:t>规模：建设1条破碎生产线、1条造粒生产线、2条滴灌带生产线和1</w:t>
      </w:r>
      <w:r>
        <w:rPr>
          <w:rFonts w:ascii="FangSong" w:hAnsi="FangSong" w:eastAsia="FangSong" w:cs="FangSong"/>
          <w:sz w:val="28"/>
          <w:szCs w:val="28"/>
          <w:spacing w:val="11"/>
        </w:rPr>
        <w:t xml:space="preserve"> </w:t>
      </w:r>
      <w:r>
        <w:rPr>
          <w:rFonts w:ascii="FangSong" w:hAnsi="FangSong" w:eastAsia="FangSong" w:cs="FangSong"/>
          <w:sz w:val="28"/>
          <w:szCs w:val="28"/>
          <w:spacing w:val="-3"/>
        </w:rPr>
        <w:t>条PE水带生产线，年产700吨塑料颗粒，塑料颗</w:t>
      </w:r>
      <w:r>
        <w:rPr>
          <w:rFonts w:ascii="FangSong" w:hAnsi="FangSong" w:eastAsia="FangSong" w:cs="FangSong"/>
          <w:sz w:val="28"/>
          <w:szCs w:val="28"/>
          <w:spacing w:val="-4"/>
        </w:rPr>
        <w:t>粒用于生产600吨滴灌</w:t>
      </w:r>
    </w:p>
    <w:p>
      <w:pPr>
        <w:ind w:left="46"/>
        <w:spacing w:before="2" w:line="220" w:lineRule="auto"/>
        <w:rPr>
          <w:rFonts w:ascii="FangSong" w:hAnsi="FangSong" w:eastAsia="FangSong" w:cs="FangSong"/>
          <w:sz w:val="28"/>
          <w:szCs w:val="28"/>
        </w:rPr>
      </w:pPr>
      <w:r>
        <w:rPr>
          <w:rFonts w:ascii="FangSong" w:hAnsi="FangSong" w:eastAsia="FangSong" w:cs="FangSong"/>
          <w:sz w:val="28"/>
          <w:szCs w:val="28"/>
          <w:spacing w:val="-3"/>
        </w:rPr>
        <w:t>带和100吨PE水带。</w:t>
      </w:r>
    </w:p>
    <w:p>
      <w:pPr>
        <w:pStyle w:val="BodyText"/>
        <w:spacing w:line="357" w:lineRule="auto"/>
        <w:rPr/>
      </w:pPr>
      <w:r/>
    </w:p>
    <w:p>
      <w:pPr>
        <w:pStyle w:val="BodyText"/>
        <w:spacing w:line="357" w:lineRule="auto"/>
        <w:rPr/>
      </w:pPr>
      <w:r/>
    </w:p>
    <w:p>
      <w:pPr>
        <w:ind w:left="30"/>
        <w:spacing w:before="98" w:line="222" w:lineRule="auto"/>
        <w:outlineLvl w:val="0"/>
        <w:rPr>
          <w:rFonts w:ascii="SimHei" w:hAnsi="SimHei" w:eastAsia="SimHei" w:cs="SimHei"/>
          <w:sz w:val="30"/>
          <w:szCs w:val="30"/>
        </w:rPr>
      </w:pPr>
      <w:r>
        <w:rPr>
          <w:rFonts w:ascii="SimHei" w:hAnsi="SimHei" w:eastAsia="SimHei" w:cs="SimHei"/>
          <w:sz w:val="30"/>
          <w:szCs w:val="30"/>
          <w:spacing w:val="-3"/>
        </w:rPr>
        <w:t>二、工程变动情况</w:t>
      </w:r>
    </w:p>
    <w:p>
      <w:pPr>
        <w:ind w:left="592"/>
        <w:spacing w:before="247" w:line="220" w:lineRule="auto"/>
        <w:rPr>
          <w:rFonts w:ascii="FangSong" w:hAnsi="FangSong" w:eastAsia="FangSong" w:cs="FangSong"/>
          <w:sz w:val="28"/>
          <w:szCs w:val="28"/>
        </w:rPr>
      </w:pPr>
      <w:r>
        <w:rPr>
          <w:rFonts w:ascii="FangSong" w:hAnsi="FangSong" w:eastAsia="FangSong" w:cs="FangSong"/>
          <w:sz w:val="28"/>
          <w:szCs w:val="28"/>
          <w:spacing w:val="-2"/>
        </w:rPr>
        <w:t>本项目不存在重大变动。</w:t>
      </w:r>
    </w:p>
    <w:p>
      <w:pPr>
        <w:pStyle w:val="BodyText"/>
        <w:spacing w:line="358" w:lineRule="auto"/>
        <w:rPr/>
      </w:pPr>
      <w:r/>
    </w:p>
    <w:p>
      <w:pPr>
        <w:pStyle w:val="BodyText"/>
        <w:spacing w:line="358" w:lineRule="auto"/>
        <w:rPr/>
      </w:pPr>
      <w:r/>
    </w:p>
    <w:p>
      <w:pPr>
        <w:ind w:left="31"/>
        <w:spacing w:before="97" w:line="222" w:lineRule="auto"/>
        <w:outlineLvl w:val="0"/>
        <w:rPr>
          <w:rFonts w:ascii="SimHei" w:hAnsi="SimHei" w:eastAsia="SimHei" w:cs="SimHei"/>
          <w:sz w:val="30"/>
          <w:szCs w:val="30"/>
        </w:rPr>
      </w:pPr>
      <w:r>
        <w:rPr>
          <w:rFonts w:ascii="SimHei" w:hAnsi="SimHei" w:eastAsia="SimHei" w:cs="SimHei"/>
          <w:sz w:val="30"/>
          <w:szCs w:val="30"/>
          <w:spacing w:val="-2"/>
        </w:rPr>
        <w:t>三、环境保护设施建设情况</w:t>
      </w:r>
    </w:p>
    <w:p>
      <w:pPr>
        <w:ind w:left="513"/>
        <w:spacing w:before="250" w:line="225" w:lineRule="auto"/>
        <w:rPr>
          <w:rFonts w:ascii="FangSong" w:hAnsi="FangSong" w:eastAsia="FangSong" w:cs="FangSong"/>
          <w:sz w:val="28"/>
          <w:szCs w:val="28"/>
        </w:rPr>
      </w:pPr>
      <w:r>
        <w:rPr>
          <w:rFonts w:ascii="FangSong" w:hAnsi="FangSong" w:eastAsia="FangSong" w:cs="FangSong"/>
          <w:sz w:val="28"/>
          <w:szCs w:val="28"/>
          <w:spacing w:val="-4"/>
        </w:rPr>
        <w:t>（一）废气</w:t>
      </w:r>
    </w:p>
    <w:p>
      <w:pPr>
        <w:ind w:right="13"/>
        <w:spacing w:before="258" w:line="220" w:lineRule="auto"/>
        <w:jc w:val="right"/>
        <w:rPr>
          <w:rFonts w:ascii="FangSong" w:hAnsi="FangSong" w:eastAsia="FangSong" w:cs="FangSong"/>
          <w:sz w:val="28"/>
          <w:szCs w:val="28"/>
        </w:rPr>
      </w:pPr>
      <w:r>
        <w:rPr>
          <w:rFonts w:ascii="FangSong" w:hAnsi="FangSong" w:eastAsia="FangSong" w:cs="FangSong"/>
          <w:sz w:val="28"/>
          <w:szCs w:val="28"/>
          <w:spacing w:val="-1"/>
        </w:rPr>
        <w:t>造粒车间、滴灌带及软水带生产车间内主要产生挥发</w:t>
      </w:r>
      <w:r>
        <w:rPr>
          <w:rFonts w:ascii="FangSong" w:hAnsi="FangSong" w:eastAsia="FangSong" w:cs="FangSong"/>
          <w:sz w:val="28"/>
          <w:szCs w:val="28"/>
          <w:spacing w:val="-2"/>
        </w:rPr>
        <w:t>性有机废气</w:t>
      </w:r>
    </w:p>
    <w:p>
      <w:pPr>
        <w:spacing w:line="220" w:lineRule="auto"/>
        <w:sectPr>
          <w:footerReference w:type="default" r:id="rId249"/>
          <w:pgSz w:w="11906" w:h="16839"/>
          <w:pgMar w:top="400" w:right="1785" w:bottom="1156" w:left="1785" w:header="0" w:footer="994" w:gutter="0"/>
        </w:sectPr>
        <w:rPr>
          <w:rFonts w:ascii="FangSong" w:hAnsi="FangSong" w:eastAsia="FangSong" w:cs="FangSong"/>
          <w:sz w:val="28"/>
          <w:szCs w:val="28"/>
        </w:rPr>
      </w:pPr>
    </w:p>
    <w:p>
      <w:pPr>
        <w:pStyle w:val="BodyText"/>
        <w:spacing w:line="295" w:lineRule="auto"/>
        <w:rPr/>
      </w:pPr>
      <w:r/>
    </w:p>
    <w:p>
      <w:pPr>
        <w:pStyle w:val="BodyText"/>
        <w:spacing w:line="295" w:lineRule="auto"/>
        <w:rPr/>
      </w:pPr>
      <w:r/>
    </w:p>
    <w:p>
      <w:pPr>
        <w:pStyle w:val="BodyText"/>
        <w:spacing w:line="295" w:lineRule="auto"/>
        <w:rPr/>
      </w:pPr>
      <w:r/>
    </w:p>
    <w:p>
      <w:pPr>
        <w:pStyle w:val="BodyText"/>
        <w:spacing w:line="296" w:lineRule="auto"/>
        <w:rPr/>
      </w:pPr>
      <w:r/>
    </w:p>
    <w:p>
      <w:pPr>
        <w:ind w:left="31"/>
        <w:spacing w:before="91" w:line="600" w:lineRule="exact"/>
        <w:rPr>
          <w:rFonts w:ascii="FangSong" w:hAnsi="FangSong" w:eastAsia="FangSong" w:cs="FangSong"/>
          <w:sz w:val="28"/>
          <w:szCs w:val="28"/>
        </w:rPr>
      </w:pPr>
      <w:r>
        <w:rPr>
          <w:rFonts w:ascii="FangSong" w:hAnsi="FangSong" w:eastAsia="FangSong" w:cs="FangSong"/>
          <w:sz w:val="28"/>
          <w:szCs w:val="28"/>
          <w:position w:val="24"/>
        </w:rPr>
        <w:t>设备上方安装集气罩,两个生产车间各安装一套“</w:t>
      </w:r>
      <w:r>
        <w:rPr>
          <w:rFonts w:ascii="FangSong" w:hAnsi="FangSong" w:eastAsia="FangSong" w:cs="FangSong"/>
          <w:sz w:val="28"/>
          <w:szCs w:val="28"/>
          <w:spacing w:val="-108"/>
          <w:position w:val="24"/>
        </w:rPr>
        <w:t xml:space="preserve"> </w:t>
      </w:r>
      <w:r>
        <w:rPr>
          <w:rFonts w:ascii="FangSong" w:hAnsi="FangSong" w:eastAsia="FangSong" w:cs="FangSong"/>
          <w:sz w:val="28"/>
          <w:szCs w:val="28"/>
          <w:position w:val="24"/>
        </w:rPr>
        <w:t>两级UV</w:t>
      </w:r>
      <w:r>
        <w:rPr>
          <w:rFonts w:ascii="FangSong" w:hAnsi="FangSong" w:eastAsia="FangSong" w:cs="FangSong"/>
          <w:sz w:val="28"/>
          <w:szCs w:val="28"/>
          <w:spacing w:val="-1"/>
          <w:position w:val="24"/>
        </w:rPr>
        <w:t>光氧净化装</w:t>
      </w:r>
    </w:p>
    <w:p>
      <w:pPr>
        <w:ind w:left="33"/>
        <w:spacing w:line="221" w:lineRule="auto"/>
        <w:rPr>
          <w:rFonts w:ascii="FangSong" w:hAnsi="FangSong" w:eastAsia="FangSong" w:cs="FangSong"/>
          <w:sz w:val="28"/>
          <w:szCs w:val="28"/>
        </w:rPr>
      </w:pPr>
      <w:r>
        <w:rPr>
          <w:rFonts w:ascii="FangSong" w:hAnsi="FangSong" w:eastAsia="FangSong" w:cs="FangSong"/>
          <w:sz w:val="28"/>
          <w:szCs w:val="28"/>
          <w:spacing w:val="-10"/>
        </w:rPr>
        <w:t>置</w:t>
      </w:r>
      <w:r>
        <w:rPr>
          <w:rFonts w:ascii="FangSong" w:hAnsi="FangSong" w:eastAsia="FangSong" w:cs="FangSong"/>
          <w:sz w:val="28"/>
          <w:szCs w:val="28"/>
          <w:spacing w:val="-89"/>
        </w:rPr>
        <w:t xml:space="preserve"> </w:t>
      </w:r>
      <w:r>
        <w:rPr>
          <w:rFonts w:ascii="FangSong" w:hAnsi="FangSong" w:eastAsia="FangSong" w:cs="FangSong"/>
          <w:sz w:val="28"/>
          <w:szCs w:val="28"/>
          <w:spacing w:val="-10"/>
        </w:rPr>
        <w:t>”，经处理后各通过一根15m排气筒排放。</w:t>
      </w:r>
    </w:p>
    <w:p>
      <w:pPr>
        <w:ind w:left="513"/>
        <w:spacing w:before="263" w:line="224" w:lineRule="auto"/>
        <w:rPr>
          <w:rFonts w:ascii="FangSong" w:hAnsi="FangSong" w:eastAsia="FangSong" w:cs="FangSong"/>
          <w:sz w:val="28"/>
          <w:szCs w:val="28"/>
        </w:rPr>
      </w:pPr>
      <w:r>
        <w:rPr>
          <w:rFonts w:ascii="FangSong" w:hAnsi="FangSong" w:eastAsia="FangSong" w:cs="FangSong"/>
          <w:sz w:val="28"/>
          <w:szCs w:val="28"/>
          <w:spacing w:val="-4"/>
        </w:rPr>
        <w:t>（二）废水</w:t>
      </w:r>
    </w:p>
    <w:p>
      <w:pPr>
        <w:ind w:left="34" w:right="13" w:firstLine="494"/>
        <w:spacing w:before="259" w:line="396" w:lineRule="auto"/>
        <w:rPr>
          <w:rFonts w:ascii="FangSong" w:hAnsi="FangSong" w:eastAsia="FangSong" w:cs="FangSong"/>
          <w:sz w:val="28"/>
          <w:szCs w:val="28"/>
        </w:rPr>
      </w:pPr>
      <w:r>
        <w:rPr>
          <w:rFonts w:ascii="FangSong" w:hAnsi="FangSong" w:eastAsia="FangSong" w:cs="FangSong"/>
          <w:sz w:val="28"/>
          <w:szCs w:val="28"/>
          <w:spacing w:val="-2"/>
        </w:rPr>
        <w:t>生活污水排入厂区建设地埋式一体化污水处理设施处理，净化处</w:t>
      </w:r>
      <w:r>
        <w:rPr>
          <w:rFonts w:ascii="FangSong" w:hAnsi="FangSong" w:eastAsia="FangSong" w:cs="FangSong"/>
          <w:sz w:val="28"/>
          <w:szCs w:val="28"/>
          <w:spacing w:val="6"/>
        </w:rPr>
        <w:t xml:space="preserve"> </w:t>
      </w:r>
      <w:r>
        <w:rPr>
          <w:rFonts w:ascii="FangSong" w:hAnsi="FangSong" w:eastAsia="FangSong" w:cs="FangSong"/>
          <w:sz w:val="28"/>
          <w:szCs w:val="28"/>
          <w:spacing w:val="-4"/>
        </w:rPr>
        <w:t>理后冬储夏灌；生产废水循环使用，每年生产停工后，同生活污水净</w:t>
      </w:r>
    </w:p>
    <w:p>
      <w:pPr>
        <w:ind w:left="33"/>
        <w:spacing w:before="1" w:line="222" w:lineRule="auto"/>
        <w:rPr>
          <w:rFonts w:ascii="FangSong" w:hAnsi="FangSong" w:eastAsia="FangSong" w:cs="FangSong"/>
          <w:sz w:val="28"/>
          <w:szCs w:val="28"/>
        </w:rPr>
      </w:pPr>
      <w:r>
        <w:rPr>
          <w:rFonts w:ascii="FangSong" w:hAnsi="FangSong" w:eastAsia="FangSong" w:cs="FangSong"/>
          <w:sz w:val="28"/>
          <w:szCs w:val="28"/>
          <w:spacing w:val="-2"/>
        </w:rPr>
        <w:t>化处理后用于厂区绿化。</w:t>
      </w:r>
    </w:p>
    <w:p>
      <w:pPr>
        <w:ind w:left="513"/>
        <w:spacing w:before="262" w:line="223" w:lineRule="auto"/>
        <w:rPr>
          <w:rFonts w:ascii="FangSong" w:hAnsi="FangSong" w:eastAsia="FangSong" w:cs="FangSong"/>
          <w:sz w:val="28"/>
          <w:szCs w:val="28"/>
        </w:rPr>
      </w:pPr>
      <w:r>
        <w:rPr>
          <w:rFonts w:ascii="FangSong" w:hAnsi="FangSong" w:eastAsia="FangSong" w:cs="FangSong"/>
          <w:sz w:val="28"/>
          <w:szCs w:val="28"/>
          <w:spacing w:val="-4"/>
        </w:rPr>
        <w:t>（三）噪声</w:t>
      </w:r>
    </w:p>
    <w:p>
      <w:pPr>
        <w:ind w:right="13"/>
        <w:spacing w:before="262" w:line="600" w:lineRule="exact"/>
        <w:jc w:val="right"/>
        <w:rPr>
          <w:rFonts w:ascii="FangSong" w:hAnsi="FangSong" w:eastAsia="FangSong" w:cs="FangSong"/>
          <w:sz w:val="28"/>
          <w:szCs w:val="28"/>
        </w:rPr>
      </w:pPr>
      <w:r>
        <w:rPr>
          <w:rFonts w:ascii="FangSong" w:hAnsi="FangSong" w:eastAsia="FangSong" w:cs="FangSong"/>
          <w:sz w:val="28"/>
          <w:szCs w:val="28"/>
          <w:spacing w:val="-1"/>
          <w:position w:val="24"/>
        </w:rPr>
        <w:t>项目产生噪声源设备设置在室内，主要产生噪声</w:t>
      </w:r>
      <w:r>
        <w:rPr>
          <w:rFonts w:ascii="FangSong" w:hAnsi="FangSong" w:eastAsia="FangSong" w:cs="FangSong"/>
          <w:sz w:val="28"/>
          <w:szCs w:val="28"/>
          <w:spacing w:val="-2"/>
          <w:position w:val="24"/>
        </w:rPr>
        <w:t>源设备采取隔声</w:t>
      </w:r>
    </w:p>
    <w:p>
      <w:pPr>
        <w:ind w:left="46"/>
        <w:spacing w:before="1" w:line="222" w:lineRule="auto"/>
        <w:rPr>
          <w:rFonts w:ascii="FangSong" w:hAnsi="FangSong" w:eastAsia="FangSong" w:cs="FangSong"/>
          <w:sz w:val="28"/>
          <w:szCs w:val="28"/>
        </w:rPr>
      </w:pPr>
      <w:r>
        <w:rPr>
          <w:rFonts w:ascii="FangSong" w:hAnsi="FangSong" w:eastAsia="FangSong" w:cs="FangSong"/>
          <w:sz w:val="28"/>
          <w:szCs w:val="28"/>
          <w:spacing w:val="-7"/>
        </w:rPr>
        <w:t>降噪措施。</w:t>
      </w:r>
    </w:p>
    <w:p>
      <w:pPr>
        <w:ind w:left="513"/>
        <w:spacing w:before="262" w:line="225" w:lineRule="auto"/>
        <w:rPr>
          <w:rFonts w:ascii="FangSong" w:hAnsi="FangSong" w:eastAsia="FangSong" w:cs="FangSong"/>
          <w:sz w:val="28"/>
          <w:szCs w:val="28"/>
        </w:rPr>
      </w:pPr>
      <w:r>
        <w:rPr>
          <w:rFonts w:ascii="FangSong" w:hAnsi="FangSong" w:eastAsia="FangSong" w:cs="FangSong"/>
          <w:sz w:val="28"/>
          <w:szCs w:val="28"/>
          <w:spacing w:val="-4"/>
        </w:rPr>
        <w:t>（四）固废</w:t>
      </w:r>
    </w:p>
    <w:p>
      <w:pPr>
        <w:ind w:left="592"/>
        <w:spacing w:before="258" w:line="222" w:lineRule="auto"/>
        <w:rPr>
          <w:rFonts w:ascii="FangSong" w:hAnsi="FangSong" w:eastAsia="FangSong" w:cs="FangSong"/>
          <w:sz w:val="28"/>
          <w:szCs w:val="28"/>
        </w:rPr>
      </w:pPr>
      <w:r>
        <w:rPr>
          <w:rFonts w:ascii="FangSong" w:hAnsi="FangSong" w:eastAsia="FangSong" w:cs="FangSong"/>
          <w:sz w:val="28"/>
          <w:szCs w:val="28"/>
          <w:spacing w:val="-3"/>
        </w:rPr>
        <w:t>（1）危险废物</w:t>
      </w:r>
    </w:p>
    <w:p>
      <w:pPr>
        <w:ind w:right="13"/>
        <w:spacing w:before="264" w:line="600" w:lineRule="exact"/>
        <w:jc w:val="right"/>
        <w:rPr>
          <w:rFonts w:ascii="FangSong" w:hAnsi="FangSong" w:eastAsia="FangSong" w:cs="FangSong"/>
          <w:sz w:val="28"/>
          <w:szCs w:val="28"/>
        </w:rPr>
      </w:pPr>
      <w:r>
        <w:rPr>
          <w:rFonts w:ascii="FangSong" w:hAnsi="FangSong" w:eastAsia="FangSong" w:cs="FangSong"/>
          <w:sz w:val="28"/>
          <w:szCs w:val="28"/>
          <w:spacing w:val="-4"/>
          <w:position w:val="24"/>
        </w:rPr>
        <w:t>厂区建设危险废物暂存间，生产运营期间产生的废UV光氧净化装</w:t>
      </w:r>
    </w:p>
    <w:p>
      <w:pPr>
        <w:ind w:left="33"/>
        <w:spacing w:line="220" w:lineRule="auto"/>
        <w:rPr>
          <w:rFonts w:ascii="FangSong" w:hAnsi="FangSong" w:eastAsia="FangSong" w:cs="FangSong"/>
          <w:sz w:val="28"/>
          <w:szCs w:val="28"/>
        </w:rPr>
      </w:pPr>
      <w:r>
        <w:rPr>
          <w:rFonts w:ascii="FangSong" w:hAnsi="FangSong" w:eastAsia="FangSong" w:cs="FangSong"/>
          <w:sz w:val="28"/>
          <w:szCs w:val="28"/>
          <w:spacing w:val="-1"/>
        </w:rPr>
        <w:t>置集中收集后暂存于危险废物暂存间，委托有资质单位定期处置。</w:t>
      </w:r>
    </w:p>
    <w:p>
      <w:pPr>
        <w:ind w:left="592"/>
        <w:spacing w:before="267" w:line="224" w:lineRule="auto"/>
        <w:rPr>
          <w:rFonts w:ascii="FangSong" w:hAnsi="FangSong" w:eastAsia="FangSong" w:cs="FangSong"/>
          <w:sz w:val="28"/>
          <w:szCs w:val="28"/>
        </w:rPr>
      </w:pPr>
      <w:r>
        <w:rPr>
          <w:rFonts w:ascii="FangSong" w:hAnsi="FangSong" w:eastAsia="FangSong" w:cs="FangSong"/>
          <w:sz w:val="28"/>
          <w:szCs w:val="28"/>
          <w:spacing w:val="-3"/>
        </w:rPr>
        <w:t>（2）生活垃圾</w:t>
      </w:r>
    </w:p>
    <w:p>
      <w:pPr>
        <w:ind w:left="468"/>
        <w:spacing w:before="260" w:line="219" w:lineRule="auto"/>
        <w:rPr>
          <w:rFonts w:ascii="FangSong" w:hAnsi="FangSong" w:eastAsia="FangSong" w:cs="FangSong"/>
          <w:sz w:val="28"/>
          <w:szCs w:val="28"/>
        </w:rPr>
      </w:pPr>
      <w:r>
        <w:rPr>
          <w:rFonts w:ascii="FangSong" w:hAnsi="FangSong" w:eastAsia="FangSong" w:cs="FangSong"/>
          <w:sz w:val="28"/>
          <w:szCs w:val="28"/>
          <w:spacing w:val="-2"/>
        </w:rPr>
        <w:t>收集后由环卫部门转运垃圾填埋场处置。</w:t>
      </w:r>
    </w:p>
    <w:p>
      <w:pPr>
        <w:ind w:left="592"/>
        <w:spacing w:before="268" w:line="225" w:lineRule="auto"/>
        <w:rPr>
          <w:rFonts w:ascii="FangSong" w:hAnsi="FangSong" w:eastAsia="FangSong" w:cs="FangSong"/>
          <w:sz w:val="28"/>
          <w:szCs w:val="28"/>
        </w:rPr>
      </w:pPr>
      <w:r>
        <w:rPr>
          <w:rFonts w:ascii="FangSong" w:hAnsi="FangSong" w:eastAsia="FangSong" w:cs="FangSong"/>
          <w:sz w:val="28"/>
          <w:szCs w:val="28"/>
          <w:spacing w:val="-3"/>
        </w:rPr>
        <w:t>（3）一般工业固废</w:t>
      </w:r>
    </w:p>
    <w:p>
      <w:pPr>
        <w:ind w:left="32" w:right="13" w:firstLine="562"/>
        <w:spacing w:before="256" w:line="396" w:lineRule="auto"/>
        <w:rPr>
          <w:rFonts w:ascii="FangSong" w:hAnsi="FangSong" w:eastAsia="FangSong" w:cs="FangSong"/>
          <w:sz w:val="28"/>
          <w:szCs w:val="28"/>
        </w:rPr>
      </w:pPr>
      <w:r>
        <w:rPr>
          <w:rFonts w:ascii="FangSong" w:hAnsi="FangSong" w:eastAsia="FangSong" w:cs="FangSong"/>
          <w:sz w:val="28"/>
          <w:szCs w:val="28"/>
          <w:spacing w:val="-4"/>
        </w:rPr>
        <w:t>分拣废物主要混杂于原料中的非塑料物质，如石块、泥</w:t>
      </w:r>
      <w:r>
        <w:rPr>
          <w:rFonts w:ascii="FangSong" w:hAnsi="FangSong" w:eastAsia="FangSong" w:cs="FangSong"/>
          <w:sz w:val="28"/>
          <w:szCs w:val="28"/>
          <w:spacing w:val="-5"/>
        </w:rPr>
        <w:t>土等，外</w:t>
      </w:r>
      <w:r>
        <w:rPr>
          <w:rFonts w:ascii="FangSong" w:hAnsi="FangSong" w:eastAsia="FangSong" w:cs="FangSong"/>
          <w:sz w:val="28"/>
          <w:szCs w:val="28"/>
        </w:rPr>
        <w:t xml:space="preserve"> </w:t>
      </w:r>
      <w:r>
        <w:rPr>
          <w:rFonts w:ascii="FangSong" w:hAnsi="FangSong" w:eastAsia="FangSong" w:cs="FangSong"/>
          <w:sz w:val="28"/>
          <w:szCs w:val="28"/>
          <w:spacing w:val="-4"/>
        </w:rPr>
        <w:t>运填埋。循环沉淀池和污水处理设施污泥主要为泥土，在污泥干化池</w:t>
      </w:r>
      <w:r>
        <w:rPr>
          <w:rFonts w:ascii="FangSong" w:hAnsi="FangSong" w:eastAsia="FangSong" w:cs="FangSong"/>
          <w:sz w:val="28"/>
          <w:szCs w:val="28"/>
          <w:spacing w:val="7"/>
        </w:rPr>
        <w:t xml:space="preserve"> </w:t>
      </w:r>
      <w:r>
        <w:rPr>
          <w:rFonts w:ascii="FangSong" w:hAnsi="FangSong" w:eastAsia="FangSong" w:cs="FangSong"/>
          <w:sz w:val="28"/>
          <w:szCs w:val="28"/>
          <w:spacing w:val="-4"/>
        </w:rPr>
        <w:t>内自然干化后外运填埋。热熔挤出工序所使用的滤网随着使用时间的</w:t>
      </w:r>
      <w:r>
        <w:rPr>
          <w:rFonts w:ascii="FangSong" w:hAnsi="FangSong" w:eastAsia="FangSong" w:cs="FangSong"/>
          <w:sz w:val="28"/>
          <w:szCs w:val="28"/>
          <w:spacing w:val="6"/>
        </w:rPr>
        <w:t xml:space="preserve"> </w:t>
      </w:r>
      <w:r>
        <w:rPr>
          <w:rFonts w:ascii="FangSong" w:hAnsi="FangSong" w:eastAsia="FangSong" w:cs="FangSong"/>
          <w:sz w:val="28"/>
          <w:szCs w:val="28"/>
          <w:spacing w:val="-4"/>
        </w:rPr>
        <w:t>延长，网眼会逐渐变小，直至不能使用，本项目塑料挤出机过滤网片</w:t>
      </w:r>
    </w:p>
    <w:p>
      <w:pPr>
        <w:ind w:left="61"/>
        <w:spacing w:before="1" w:line="220" w:lineRule="auto"/>
        <w:rPr>
          <w:rFonts w:ascii="FangSong" w:hAnsi="FangSong" w:eastAsia="FangSong" w:cs="FangSong"/>
          <w:sz w:val="28"/>
          <w:szCs w:val="28"/>
        </w:rPr>
      </w:pPr>
      <w:r>
        <w:rPr>
          <w:rFonts w:ascii="FangSong" w:hAnsi="FangSong" w:eastAsia="FangSong" w:cs="FangSong"/>
          <w:sz w:val="28"/>
          <w:szCs w:val="28"/>
          <w:spacing w:val="-2"/>
        </w:rPr>
        <w:t>出售给废品收购站。滴灌带残次品和边角料全部回用于造粒工序。</w:t>
      </w:r>
    </w:p>
    <w:p>
      <w:pPr>
        <w:spacing w:line="220" w:lineRule="auto"/>
        <w:sectPr>
          <w:footerReference w:type="default" r:id="rId250"/>
          <w:pgSz w:w="11906" w:h="16839"/>
          <w:pgMar w:top="400" w:right="1785" w:bottom="1156" w:left="1785" w:header="0" w:footer="994" w:gutter="0"/>
        </w:sectPr>
        <w:rPr>
          <w:rFonts w:ascii="FangSong" w:hAnsi="FangSong" w:eastAsia="FangSong" w:cs="FangSong"/>
          <w:sz w:val="28"/>
          <w:szCs w:val="28"/>
        </w:rPr>
      </w:pPr>
    </w:p>
    <w:p>
      <w:pPr>
        <w:pStyle w:val="BodyText"/>
        <w:spacing w:line="281" w:lineRule="auto"/>
        <w:rPr/>
      </w:pPr>
      <w:r/>
    </w:p>
    <w:p>
      <w:pPr>
        <w:pStyle w:val="BodyText"/>
        <w:spacing w:line="281" w:lineRule="auto"/>
        <w:rPr/>
      </w:pPr>
      <w:r/>
    </w:p>
    <w:p>
      <w:pPr>
        <w:pStyle w:val="BodyText"/>
        <w:spacing w:line="282" w:lineRule="auto"/>
        <w:rPr/>
      </w:pPr>
      <w:r/>
    </w:p>
    <w:p>
      <w:pPr>
        <w:pStyle w:val="BodyText"/>
        <w:spacing w:line="282" w:lineRule="auto"/>
        <w:rPr/>
      </w:pPr>
      <w:r/>
    </w:p>
    <w:p>
      <w:pPr>
        <w:ind w:left="43"/>
        <w:spacing w:before="98" w:line="222" w:lineRule="auto"/>
        <w:outlineLvl w:val="0"/>
        <w:rPr>
          <w:rFonts w:ascii="SimHei" w:hAnsi="SimHei" w:eastAsia="SimHei" w:cs="SimHei"/>
          <w:sz w:val="30"/>
          <w:szCs w:val="30"/>
        </w:rPr>
      </w:pPr>
      <w:r>
        <w:rPr>
          <w:rFonts w:ascii="SimHei" w:hAnsi="SimHei" w:eastAsia="SimHei" w:cs="SimHei"/>
          <w:sz w:val="30"/>
          <w:szCs w:val="30"/>
          <w:spacing w:val="-4"/>
        </w:rPr>
        <w:t>四、验收监测结果</w:t>
      </w:r>
    </w:p>
    <w:p>
      <w:pPr>
        <w:ind w:left="592"/>
        <w:spacing w:before="246" w:line="225" w:lineRule="auto"/>
        <w:rPr>
          <w:rFonts w:ascii="FangSong" w:hAnsi="FangSong" w:eastAsia="FangSong" w:cs="FangSong"/>
          <w:sz w:val="28"/>
          <w:szCs w:val="28"/>
        </w:rPr>
      </w:pPr>
      <w:r>
        <w:rPr>
          <w:rFonts w:ascii="FangSong" w:hAnsi="FangSong" w:eastAsia="FangSong" w:cs="FangSong"/>
          <w:sz w:val="28"/>
          <w:szCs w:val="28"/>
          <w:spacing w:val="-4"/>
        </w:rPr>
        <w:t>（一）废气</w:t>
      </w:r>
    </w:p>
    <w:p>
      <w:pPr>
        <w:ind w:left="18" w:firstLine="573"/>
        <w:spacing w:before="260" w:line="357" w:lineRule="auto"/>
        <w:rPr>
          <w:rFonts w:ascii="FangSong" w:hAnsi="FangSong" w:eastAsia="FangSong" w:cs="FangSong"/>
          <w:sz w:val="28"/>
          <w:szCs w:val="28"/>
        </w:rPr>
      </w:pPr>
      <w:r>
        <w:rPr>
          <w:rFonts w:ascii="FangSong" w:hAnsi="FangSong" w:eastAsia="FangSong" w:cs="FangSong"/>
          <w:sz w:val="28"/>
          <w:szCs w:val="28"/>
          <w:spacing w:val="-4"/>
        </w:rPr>
        <w:t>（1）造粒车间排口（2#）中非甲烷总烃最大排放浓度为5.7mg/m</w:t>
      </w:r>
      <w:r>
        <w:rPr>
          <w:rFonts w:ascii="FangSong" w:hAnsi="FangSong" w:eastAsia="FangSong" w:cs="FangSong"/>
          <w:sz w:val="28"/>
          <w:szCs w:val="28"/>
          <w:spacing w:val="9"/>
        </w:rPr>
        <w:t xml:space="preserve">  </w:t>
      </w:r>
      <w:r>
        <w:rPr>
          <w:rFonts w:ascii="Microsoft YaHei" w:hAnsi="Microsoft YaHei" w:eastAsia="Microsoft YaHei" w:cs="Microsoft YaHei"/>
          <w:sz w:val="28"/>
          <w:szCs w:val="28"/>
          <w:spacing w:val="-7"/>
        </w:rPr>
        <w:t>。</w:t>
      </w:r>
      <w:r>
        <w:rPr>
          <w:rFonts w:ascii="FangSong" w:hAnsi="FangSong" w:eastAsia="FangSong" w:cs="FangSong"/>
          <w:sz w:val="28"/>
          <w:szCs w:val="28"/>
          <w:spacing w:val="-7"/>
        </w:rPr>
        <w:t>，最大排放速率为0.0114kg/h符合《合成树脂工业污染物排放标准》</w:t>
      </w:r>
      <w:r>
        <w:rPr>
          <w:rFonts w:ascii="FangSong" w:hAnsi="FangSong" w:eastAsia="FangSong" w:cs="FangSong"/>
          <w:sz w:val="28"/>
          <w:szCs w:val="28"/>
        </w:rPr>
        <w:t xml:space="preserve"> </w:t>
      </w:r>
      <w:r>
        <w:rPr>
          <w:rFonts w:ascii="FangSong" w:hAnsi="FangSong" w:eastAsia="FangSong" w:cs="FangSong"/>
          <w:sz w:val="28"/>
          <w:szCs w:val="28"/>
          <w:spacing w:val="-3"/>
        </w:rPr>
        <w:t>（GB31572-2015）表5中浓度限值。排气筒高度为15m，符合标准要求</w:t>
      </w:r>
    </w:p>
    <w:p>
      <w:pPr>
        <w:ind w:left="173"/>
        <w:spacing w:before="1" w:line="224" w:lineRule="auto"/>
        <w:rPr>
          <w:rFonts w:ascii="FangSong" w:hAnsi="FangSong" w:eastAsia="FangSong" w:cs="FangSong"/>
          <w:sz w:val="28"/>
          <w:szCs w:val="28"/>
        </w:rPr>
      </w:pPr>
      <w:r>
        <w:rPr>
          <w:rFonts w:ascii="FangSong" w:hAnsi="FangSong" w:eastAsia="FangSong" w:cs="FangSong"/>
          <w:sz w:val="28"/>
          <w:szCs w:val="28"/>
          <w:spacing w:val="-17"/>
        </w:rPr>
        <w:t>(≥15m）。</w:t>
      </w:r>
    </w:p>
    <w:p>
      <w:pPr>
        <w:ind w:left="22" w:right="127" w:firstLine="569"/>
        <w:spacing w:before="262" w:line="357" w:lineRule="auto"/>
        <w:rPr>
          <w:rFonts w:ascii="FangSong" w:hAnsi="FangSong" w:eastAsia="FangSong" w:cs="FangSong"/>
          <w:sz w:val="28"/>
          <w:szCs w:val="28"/>
        </w:rPr>
      </w:pPr>
      <w:r>
        <w:rPr>
          <w:rFonts w:ascii="FangSong" w:hAnsi="FangSong" w:eastAsia="FangSong" w:cs="FangSong"/>
          <w:sz w:val="28"/>
          <w:szCs w:val="28"/>
          <w:spacing w:val="1"/>
        </w:rPr>
        <w:t>（2）滴灌带生产车间排口（1#）中非甲烷总烃最大排放浓</w:t>
      </w:r>
      <w:r>
        <w:rPr>
          <w:rFonts w:ascii="FangSong" w:hAnsi="FangSong" w:eastAsia="FangSong" w:cs="FangSong"/>
          <w:sz w:val="28"/>
          <w:szCs w:val="28"/>
        </w:rPr>
        <w:t>度为</w:t>
      </w:r>
      <w:r>
        <w:rPr>
          <w:rFonts w:ascii="FangSong" w:hAnsi="FangSong" w:eastAsia="FangSong" w:cs="FangSong"/>
          <w:sz w:val="28"/>
          <w:szCs w:val="28"/>
        </w:rPr>
        <w:t xml:space="preserve"> </w:t>
      </w:r>
      <w:r>
        <w:rPr>
          <w:rFonts w:ascii="FangSong" w:hAnsi="FangSong" w:eastAsia="FangSong" w:cs="FangSong"/>
          <w:sz w:val="28"/>
          <w:szCs w:val="28"/>
          <w:spacing w:val="-10"/>
        </w:rPr>
        <w:t>4.58mg/m</w:t>
      </w:r>
      <w:r>
        <w:rPr>
          <w:rFonts w:ascii="Microsoft YaHei" w:hAnsi="Microsoft YaHei" w:eastAsia="Microsoft YaHei" w:cs="Microsoft YaHei"/>
          <w:sz w:val="28"/>
          <w:szCs w:val="28"/>
          <w:spacing w:val="-10"/>
        </w:rPr>
        <w:t>。</w:t>
      </w:r>
      <w:r>
        <w:rPr>
          <w:rFonts w:ascii="FangSong" w:hAnsi="FangSong" w:eastAsia="FangSong" w:cs="FangSong"/>
          <w:sz w:val="28"/>
          <w:szCs w:val="28"/>
          <w:spacing w:val="-10"/>
        </w:rPr>
        <w:t>，最大排放速率为0.0252kg/h，《合成树脂工业污染物排放</w:t>
      </w:r>
      <w:r>
        <w:rPr>
          <w:rFonts w:ascii="FangSong" w:hAnsi="FangSong" w:eastAsia="FangSong" w:cs="FangSong"/>
          <w:sz w:val="28"/>
          <w:szCs w:val="28"/>
          <w:spacing w:val="16"/>
        </w:rPr>
        <w:t xml:space="preserve"> </w:t>
      </w:r>
      <w:r>
        <w:rPr>
          <w:rFonts w:ascii="FangSong" w:hAnsi="FangSong" w:eastAsia="FangSong" w:cs="FangSong"/>
          <w:sz w:val="28"/>
          <w:szCs w:val="28"/>
          <w:spacing w:val="-3"/>
        </w:rPr>
        <w:t>标准》（GB31572-2015）表5中浓度限值。排气筒高度为15m，符合标</w:t>
      </w:r>
    </w:p>
    <w:p>
      <w:pPr>
        <w:ind w:left="36"/>
        <w:spacing w:before="1" w:line="222" w:lineRule="auto"/>
        <w:rPr>
          <w:rFonts w:ascii="FangSong" w:hAnsi="FangSong" w:eastAsia="FangSong" w:cs="FangSong"/>
          <w:sz w:val="28"/>
          <w:szCs w:val="28"/>
        </w:rPr>
      </w:pPr>
      <w:r>
        <w:rPr>
          <w:rFonts w:ascii="FangSong" w:hAnsi="FangSong" w:eastAsia="FangSong" w:cs="FangSong"/>
          <w:sz w:val="28"/>
          <w:szCs w:val="28"/>
          <w:spacing w:val="1"/>
        </w:rPr>
        <w:t>准要求(≥15m）。</w:t>
      </w:r>
    </w:p>
    <w:p>
      <w:pPr>
        <w:ind w:left="592"/>
        <w:spacing w:before="262" w:line="600" w:lineRule="exact"/>
        <w:rPr>
          <w:rFonts w:ascii="FangSong" w:hAnsi="FangSong" w:eastAsia="FangSong" w:cs="FangSong"/>
          <w:sz w:val="28"/>
          <w:szCs w:val="28"/>
        </w:rPr>
      </w:pPr>
      <w:r>
        <w:rPr>
          <w:rFonts w:ascii="FangSong" w:hAnsi="FangSong" w:eastAsia="FangSong" w:cs="FangSong"/>
          <w:sz w:val="28"/>
          <w:szCs w:val="28"/>
          <w:spacing w:val="-2"/>
          <w:position w:val="24"/>
        </w:rPr>
        <w:t>（3）验收监测期间，食堂烟气排口最大排放</w:t>
      </w:r>
      <w:r>
        <w:rPr>
          <w:rFonts w:ascii="FangSong" w:hAnsi="FangSong" w:eastAsia="FangSong" w:cs="FangSong"/>
          <w:sz w:val="28"/>
          <w:szCs w:val="28"/>
          <w:spacing w:val="-3"/>
          <w:position w:val="24"/>
        </w:rPr>
        <w:t>浓度为0.3mg/m</w:t>
      </w:r>
      <w:r>
        <w:rPr>
          <w:rFonts w:ascii="Microsoft YaHei" w:hAnsi="Microsoft YaHei" w:eastAsia="Microsoft YaHei" w:cs="Microsoft YaHei"/>
          <w:sz w:val="28"/>
          <w:szCs w:val="28"/>
          <w:spacing w:val="-3"/>
          <w:position w:val="24"/>
        </w:rPr>
        <w:t>。</w:t>
      </w:r>
      <w:r>
        <w:rPr>
          <w:rFonts w:ascii="FangSong" w:hAnsi="FangSong" w:eastAsia="FangSong" w:cs="FangSong"/>
          <w:sz w:val="28"/>
          <w:szCs w:val="28"/>
          <w:spacing w:val="-3"/>
          <w:position w:val="24"/>
        </w:rPr>
        <w:t>，</w:t>
      </w:r>
    </w:p>
    <w:p>
      <w:pPr>
        <w:ind w:left="33"/>
        <w:spacing w:before="1" w:line="222" w:lineRule="auto"/>
        <w:rPr>
          <w:rFonts w:ascii="FangSong" w:hAnsi="FangSong" w:eastAsia="FangSong" w:cs="FangSong"/>
          <w:sz w:val="28"/>
          <w:szCs w:val="28"/>
        </w:rPr>
      </w:pPr>
      <w:r>
        <w:rPr>
          <w:rFonts w:ascii="FangSong" w:hAnsi="FangSong" w:eastAsia="FangSong" w:cs="FangSong"/>
          <w:sz w:val="28"/>
          <w:szCs w:val="28"/>
          <w:spacing w:val="-5"/>
        </w:rPr>
        <w:t>满足《饮食业油烟排放标准》（GB18483-2001）标准限值。</w:t>
      </w:r>
    </w:p>
    <w:p>
      <w:pPr>
        <w:ind w:left="36" w:right="127" w:firstLine="556"/>
        <w:spacing w:before="261" w:line="300" w:lineRule="auto"/>
        <w:rPr>
          <w:rFonts w:ascii="FangSong" w:hAnsi="FangSong" w:eastAsia="FangSong" w:cs="FangSong"/>
          <w:sz w:val="28"/>
          <w:szCs w:val="28"/>
        </w:rPr>
      </w:pPr>
      <w:r>
        <w:rPr>
          <w:rFonts w:ascii="FangSong" w:hAnsi="FangSong" w:eastAsia="FangSong" w:cs="FangSong"/>
          <w:sz w:val="28"/>
          <w:szCs w:val="28"/>
          <w:spacing w:val="-4"/>
        </w:rPr>
        <w:t>（4）本项目厂界无组织排放颗粒物最大浓度为0.6mg/m</w:t>
      </w:r>
      <w:r>
        <w:rPr>
          <w:rFonts w:ascii="Microsoft YaHei" w:hAnsi="Microsoft YaHei" w:eastAsia="Microsoft YaHei" w:cs="Microsoft YaHei"/>
          <w:sz w:val="28"/>
          <w:szCs w:val="28"/>
          <w:spacing w:val="-4"/>
        </w:rPr>
        <w:t>。</w:t>
      </w:r>
      <w:r>
        <w:rPr>
          <w:rFonts w:ascii="FangSong" w:hAnsi="FangSong" w:eastAsia="FangSong" w:cs="FangSong"/>
          <w:sz w:val="28"/>
          <w:szCs w:val="28"/>
          <w:spacing w:val="-4"/>
        </w:rPr>
        <w:t>，非甲</w:t>
      </w:r>
      <w:r>
        <w:rPr>
          <w:rFonts w:ascii="FangSong" w:hAnsi="FangSong" w:eastAsia="FangSong" w:cs="FangSong"/>
          <w:sz w:val="28"/>
          <w:szCs w:val="28"/>
          <w:spacing w:val="12"/>
        </w:rPr>
        <w:t xml:space="preserve"> </w:t>
      </w:r>
      <w:r>
        <w:rPr>
          <w:rFonts w:ascii="FangSong" w:hAnsi="FangSong" w:eastAsia="FangSong" w:cs="FangSong"/>
          <w:sz w:val="28"/>
          <w:szCs w:val="28"/>
          <w:spacing w:val="-3"/>
        </w:rPr>
        <w:t>烷总烃最大浓度值为0.65mg/m</w:t>
      </w:r>
      <w:r>
        <w:rPr>
          <w:rFonts w:ascii="Microsoft YaHei" w:hAnsi="Microsoft YaHei" w:eastAsia="Microsoft YaHei" w:cs="Microsoft YaHei"/>
          <w:sz w:val="28"/>
          <w:szCs w:val="28"/>
          <w:spacing w:val="-3"/>
        </w:rPr>
        <w:t>。</w:t>
      </w:r>
      <w:r>
        <w:rPr>
          <w:rFonts w:ascii="FangSong" w:hAnsi="FangSong" w:eastAsia="FangSong" w:cs="FangSong"/>
          <w:sz w:val="28"/>
          <w:szCs w:val="28"/>
          <w:spacing w:val="-3"/>
        </w:rPr>
        <w:t>，</w:t>
      </w:r>
      <w:r>
        <w:rPr>
          <w:rFonts w:ascii="FangSong" w:hAnsi="FangSong" w:eastAsia="FangSong" w:cs="FangSong"/>
          <w:sz w:val="28"/>
          <w:szCs w:val="28"/>
          <w:spacing w:val="-4"/>
        </w:rPr>
        <w:t>均满足《合成树脂工业污染物排放</w:t>
      </w:r>
    </w:p>
    <w:p>
      <w:pPr>
        <w:ind w:left="31"/>
        <w:spacing w:before="2" w:line="222" w:lineRule="auto"/>
        <w:rPr>
          <w:rFonts w:ascii="FangSong" w:hAnsi="FangSong" w:eastAsia="FangSong" w:cs="FangSong"/>
          <w:sz w:val="28"/>
          <w:szCs w:val="28"/>
        </w:rPr>
      </w:pPr>
      <w:r>
        <w:rPr>
          <w:rFonts w:ascii="FangSong" w:hAnsi="FangSong" w:eastAsia="FangSong" w:cs="FangSong"/>
          <w:sz w:val="28"/>
          <w:szCs w:val="28"/>
          <w:spacing w:val="-6"/>
        </w:rPr>
        <w:t>标准》（GB31572-2015）表9中浓度限值要求。</w:t>
      </w:r>
    </w:p>
    <w:p>
      <w:pPr>
        <w:ind w:left="592"/>
        <w:spacing w:before="261" w:line="223" w:lineRule="auto"/>
        <w:rPr>
          <w:rFonts w:ascii="FangSong" w:hAnsi="FangSong" w:eastAsia="FangSong" w:cs="FangSong"/>
          <w:sz w:val="28"/>
          <w:szCs w:val="28"/>
        </w:rPr>
      </w:pPr>
      <w:r>
        <w:rPr>
          <w:rFonts w:ascii="FangSong" w:hAnsi="FangSong" w:eastAsia="FangSong" w:cs="FangSong"/>
          <w:sz w:val="28"/>
          <w:szCs w:val="28"/>
          <w:spacing w:val="-4"/>
        </w:rPr>
        <w:t>（二）噪声</w:t>
      </w:r>
    </w:p>
    <w:p>
      <w:pPr>
        <w:ind w:left="592"/>
        <w:spacing w:before="262" w:line="600" w:lineRule="exact"/>
        <w:rPr>
          <w:rFonts w:ascii="FangSong" w:hAnsi="FangSong" w:eastAsia="FangSong" w:cs="FangSong"/>
          <w:sz w:val="28"/>
          <w:szCs w:val="28"/>
        </w:rPr>
      </w:pPr>
      <w:r>
        <w:rPr>
          <w:rFonts w:ascii="FangSong" w:hAnsi="FangSong" w:eastAsia="FangSong" w:cs="FangSong"/>
          <w:sz w:val="28"/>
          <w:szCs w:val="28"/>
          <w:spacing w:val="-4"/>
          <w:position w:val="24"/>
        </w:rPr>
        <w:t>项目厂界外各监测点昼、夜间噪声值均达到《工业企业厂界</w:t>
      </w:r>
      <w:r>
        <w:rPr>
          <w:rFonts w:ascii="FangSong" w:hAnsi="FangSong" w:eastAsia="FangSong" w:cs="FangSong"/>
          <w:sz w:val="28"/>
          <w:szCs w:val="28"/>
          <w:spacing w:val="-5"/>
          <w:position w:val="24"/>
        </w:rPr>
        <w:t>环境</w:t>
      </w:r>
    </w:p>
    <w:p>
      <w:pPr>
        <w:ind w:left="44"/>
        <w:spacing w:before="2" w:line="222" w:lineRule="auto"/>
        <w:rPr>
          <w:rFonts w:ascii="FangSong" w:hAnsi="FangSong" w:eastAsia="FangSong" w:cs="FangSong"/>
          <w:sz w:val="28"/>
          <w:szCs w:val="28"/>
        </w:rPr>
      </w:pPr>
      <w:r>
        <w:rPr>
          <w:rFonts w:ascii="FangSong" w:hAnsi="FangSong" w:eastAsia="FangSong" w:cs="FangSong"/>
          <w:sz w:val="28"/>
          <w:szCs w:val="28"/>
          <w:spacing w:val="-1"/>
        </w:rPr>
        <w:t>噪声排放标准》（GB12348-2008）中2类标准要求。</w:t>
      </w:r>
    </w:p>
    <w:p>
      <w:pPr>
        <w:pStyle w:val="BodyText"/>
        <w:spacing w:line="355" w:lineRule="auto"/>
        <w:rPr/>
      </w:pPr>
      <w:r/>
    </w:p>
    <w:p>
      <w:pPr>
        <w:pStyle w:val="BodyText"/>
        <w:spacing w:line="356" w:lineRule="auto"/>
        <w:rPr/>
      </w:pPr>
      <w:r/>
    </w:p>
    <w:p>
      <w:pPr>
        <w:ind w:left="33"/>
        <w:spacing w:before="98" w:line="222" w:lineRule="auto"/>
        <w:outlineLvl w:val="0"/>
        <w:rPr>
          <w:rFonts w:ascii="SimHei" w:hAnsi="SimHei" w:eastAsia="SimHei" w:cs="SimHei"/>
          <w:sz w:val="30"/>
          <w:szCs w:val="30"/>
        </w:rPr>
      </w:pPr>
      <w:r>
        <w:rPr>
          <w:rFonts w:ascii="SimHei" w:hAnsi="SimHei" w:eastAsia="SimHei" w:cs="SimHei"/>
          <w:sz w:val="30"/>
          <w:szCs w:val="30"/>
          <w:spacing w:val="-2"/>
        </w:rPr>
        <w:t>五、工程建设对环境的影响</w:t>
      </w:r>
    </w:p>
    <w:p>
      <w:pPr>
        <w:ind w:left="595"/>
        <w:spacing w:before="249" w:line="600" w:lineRule="exact"/>
        <w:rPr>
          <w:rFonts w:ascii="FangSong" w:hAnsi="FangSong" w:eastAsia="FangSong" w:cs="FangSong"/>
          <w:sz w:val="28"/>
          <w:szCs w:val="28"/>
        </w:rPr>
      </w:pPr>
      <w:r>
        <w:rPr>
          <w:rFonts w:ascii="FangSong" w:hAnsi="FangSong" w:eastAsia="FangSong" w:cs="FangSong"/>
          <w:sz w:val="28"/>
          <w:szCs w:val="28"/>
          <w:spacing w:val="-4"/>
          <w:position w:val="24"/>
        </w:rPr>
        <w:t>项目废气、废水、噪声以及固废处理处置措施均满足环</w:t>
      </w:r>
      <w:r>
        <w:rPr>
          <w:rFonts w:ascii="FangSong" w:hAnsi="FangSong" w:eastAsia="FangSong" w:cs="FangSong"/>
          <w:sz w:val="28"/>
          <w:szCs w:val="28"/>
          <w:spacing w:val="-5"/>
          <w:position w:val="24"/>
        </w:rPr>
        <w:t>评及批复</w:t>
      </w:r>
    </w:p>
    <w:p>
      <w:pPr>
        <w:ind w:left="38"/>
        <w:spacing w:line="222" w:lineRule="auto"/>
        <w:rPr>
          <w:rFonts w:ascii="FangSong" w:hAnsi="FangSong" w:eastAsia="FangSong" w:cs="FangSong"/>
          <w:sz w:val="28"/>
          <w:szCs w:val="28"/>
        </w:rPr>
      </w:pPr>
      <w:r>
        <w:rPr>
          <w:rFonts w:ascii="FangSong" w:hAnsi="FangSong" w:eastAsia="FangSong" w:cs="FangSong"/>
          <w:sz w:val="28"/>
          <w:szCs w:val="28"/>
          <w:spacing w:val="-1"/>
        </w:rPr>
        <w:t>要求，对周围环境影响较小。工程建设对环境的影响较小。</w:t>
      </w:r>
    </w:p>
    <w:p>
      <w:pPr>
        <w:spacing w:line="222" w:lineRule="auto"/>
        <w:sectPr>
          <w:footerReference w:type="default" r:id="rId251"/>
          <w:pgSz w:w="11906" w:h="16839"/>
          <w:pgMar w:top="400" w:right="1671" w:bottom="1156" w:left="1785" w:header="0" w:footer="994" w:gutter="0"/>
        </w:sectPr>
        <w:rPr>
          <w:rFonts w:ascii="FangSong" w:hAnsi="FangSong" w:eastAsia="FangSong" w:cs="FangSong"/>
          <w:sz w:val="28"/>
          <w:szCs w:val="28"/>
        </w:rPr>
      </w:pPr>
    </w:p>
    <w:p>
      <w:pPr>
        <w:pStyle w:val="BodyText"/>
        <w:spacing w:line="281" w:lineRule="auto"/>
        <w:rPr/>
      </w:pPr>
      <w:r>
        <w:drawing>
          <wp:anchor distT="0" distB="0" distL="0" distR="0" simplePos="0" relativeHeight="254849024" behindDoc="0" locked="0" layoutInCell="0" allowOverlap="1">
            <wp:simplePos x="0" y="0"/>
            <wp:positionH relativeFrom="page">
              <wp:posOffset>2438400</wp:posOffset>
            </wp:positionH>
            <wp:positionV relativeFrom="page">
              <wp:posOffset>5026152</wp:posOffset>
            </wp:positionV>
            <wp:extent cx="894588" cy="728471"/>
            <wp:effectExtent l="0" t="0" r="0" b="0"/>
            <wp:wrapNone/>
            <wp:docPr id="204" name="IM 204"/>
            <wp:cNvGraphicFramePr/>
            <a:graphic>
              <a:graphicData uri="http://schemas.openxmlformats.org/drawingml/2006/picture">
                <pic:pic>
                  <pic:nvPicPr>
                    <pic:cNvPr id="204" name="IM 204"/>
                    <pic:cNvPicPr/>
                  </pic:nvPicPr>
                  <pic:blipFill>
                    <a:blip r:embed="rId253"/>
                    <a:stretch>
                      <a:fillRect/>
                    </a:stretch>
                  </pic:blipFill>
                  <pic:spPr>
                    <a:xfrm rot="0">
                      <a:off x="0" y="0"/>
                      <a:ext cx="894588" cy="728471"/>
                    </a:xfrm>
                    <a:prstGeom prst="rect">
                      <a:avLst/>
                    </a:prstGeom>
                  </pic:spPr>
                </pic:pic>
              </a:graphicData>
            </a:graphic>
          </wp:anchor>
        </w:drawing>
      </w:r>
      <w:r>
        <w:drawing>
          <wp:anchor distT="0" distB="0" distL="0" distR="0" simplePos="0" relativeHeight="254850048" behindDoc="0" locked="0" layoutInCell="0" allowOverlap="1">
            <wp:simplePos x="0" y="0"/>
            <wp:positionH relativeFrom="page">
              <wp:posOffset>4617720</wp:posOffset>
            </wp:positionH>
            <wp:positionV relativeFrom="page">
              <wp:posOffset>5299416</wp:posOffset>
            </wp:positionV>
            <wp:extent cx="682324" cy="258493"/>
            <wp:effectExtent l="0" t="0" r="0" b="0"/>
            <wp:wrapNone/>
            <wp:docPr id="206" name="IM 206"/>
            <wp:cNvGraphicFramePr/>
            <a:graphic>
              <a:graphicData uri="http://schemas.openxmlformats.org/drawingml/2006/picture">
                <pic:pic>
                  <pic:nvPicPr>
                    <pic:cNvPr id="206" name="IM 206"/>
                    <pic:cNvPicPr/>
                  </pic:nvPicPr>
                  <pic:blipFill>
                    <a:blip r:embed="rId254"/>
                    <a:stretch>
                      <a:fillRect/>
                    </a:stretch>
                  </pic:blipFill>
                  <pic:spPr>
                    <a:xfrm rot="0">
                      <a:off x="0" y="0"/>
                      <a:ext cx="682324" cy="258493"/>
                    </a:xfrm>
                    <a:prstGeom prst="rect">
                      <a:avLst/>
                    </a:prstGeom>
                  </pic:spPr>
                </pic:pic>
              </a:graphicData>
            </a:graphic>
          </wp:anchor>
        </w:drawing>
      </w:r>
      <w:r/>
    </w:p>
    <w:p>
      <w:pPr>
        <w:pStyle w:val="BodyText"/>
        <w:spacing w:line="281" w:lineRule="auto"/>
        <w:rPr/>
      </w:pPr>
      <w:r/>
    </w:p>
    <w:p>
      <w:pPr>
        <w:pStyle w:val="BodyText"/>
        <w:spacing w:line="282" w:lineRule="auto"/>
        <w:rPr/>
      </w:pPr>
      <w:r/>
    </w:p>
    <w:p>
      <w:pPr>
        <w:pStyle w:val="BodyText"/>
        <w:spacing w:line="282" w:lineRule="auto"/>
        <w:rPr/>
      </w:pPr>
      <w:r/>
    </w:p>
    <w:p>
      <w:pPr>
        <w:ind w:left="185"/>
        <w:spacing w:before="98" w:line="222" w:lineRule="auto"/>
        <w:outlineLvl w:val="0"/>
        <w:rPr>
          <w:rFonts w:ascii="SimHei" w:hAnsi="SimHei" w:eastAsia="SimHei" w:cs="SimHei"/>
          <w:sz w:val="30"/>
          <w:szCs w:val="30"/>
        </w:rPr>
      </w:pPr>
      <w:r>
        <w:rPr>
          <w:rFonts w:ascii="SimHei" w:hAnsi="SimHei" w:eastAsia="SimHei" w:cs="SimHei"/>
          <w:sz w:val="30"/>
          <w:szCs w:val="30"/>
          <w:spacing w:val="-4"/>
        </w:rPr>
        <w:t>六、验收结论</w:t>
      </w:r>
    </w:p>
    <w:p>
      <w:pPr>
        <w:ind w:left="182" w:right="13" w:firstLine="576"/>
        <w:spacing w:before="216" w:line="369" w:lineRule="auto"/>
        <w:jc w:val="both"/>
        <w:rPr>
          <w:rFonts w:ascii="FangSong" w:hAnsi="FangSong" w:eastAsia="FangSong" w:cs="FangSong"/>
          <w:sz w:val="28"/>
          <w:szCs w:val="28"/>
        </w:rPr>
      </w:pPr>
      <w:r>
        <w:rPr>
          <w:rFonts w:ascii="FangSong" w:hAnsi="FangSong" w:eastAsia="FangSong" w:cs="FangSong"/>
          <w:sz w:val="28"/>
          <w:szCs w:val="28"/>
          <w:spacing w:val="5"/>
        </w:rPr>
        <w:t>呼图壁县丰收塑料制品厂滴灌带生产线建设项目落实了环评及</w:t>
      </w:r>
      <w:r>
        <w:rPr>
          <w:rFonts w:ascii="FangSong" w:hAnsi="FangSong" w:eastAsia="FangSong" w:cs="FangSong"/>
          <w:sz w:val="28"/>
          <w:szCs w:val="28"/>
          <w:spacing w:val="16"/>
        </w:rPr>
        <w:t xml:space="preserve"> </w:t>
      </w:r>
      <w:r>
        <w:rPr>
          <w:rFonts w:ascii="FangSong" w:hAnsi="FangSong" w:eastAsia="FangSong" w:cs="FangSong"/>
          <w:sz w:val="28"/>
          <w:szCs w:val="28"/>
          <w:spacing w:val="-4"/>
        </w:rPr>
        <w:t>批复的要求，配套建设了相应的环境保护设施，验收监测期间环保设</w:t>
      </w:r>
      <w:r>
        <w:rPr>
          <w:rFonts w:ascii="FangSong" w:hAnsi="FangSong" w:eastAsia="FangSong" w:cs="FangSong"/>
          <w:sz w:val="28"/>
          <w:szCs w:val="28"/>
          <w:spacing w:val="7"/>
        </w:rPr>
        <w:t xml:space="preserve"> </w:t>
      </w:r>
      <w:r>
        <w:rPr>
          <w:rFonts w:ascii="FangSong" w:hAnsi="FangSong" w:eastAsia="FangSong" w:cs="FangSong"/>
          <w:sz w:val="28"/>
          <w:szCs w:val="28"/>
          <w:spacing w:val="-4"/>
        </w:rPr>
        <w:t>施运行正常，污染物达标排放。符合竣工环境保护验收条件，同意通</w:t>
      </w:r>
    </w:p>
    <w:p>
      <w:pPr>
        <w:ind w:left="186"/>
        <w:spacing w:line="221" w:lineRule="auto"/>
        <w:rPr>
          <w:rFonts w:ascii="FangSong" w:hAnsi="FangSong" w:eastAsia="FangSong" w:cs="FangSong"/>
          <w:sz w:val="28"/>
          <w:szCs w:val="28"/>
        </w:rPr>
      </w:pPr>
      <w:r>
        <w:rPr>
          <w:rFonts w:ascii="FangSong" w:hAnsi="FangSong" w:eastAsia="FangSong" w:cs="FangSong"/>
          <w:sz w:val="28"/>
          <w:szCs w:val="28"/>
          <w:spacing w:val="-3"/>
        </w:rPr>
        <w:t>过竣工环境保护验收。</w:t>
      </w:r>
    </w:p>
    <w:p>
      <w:pPr>
        <w:ind w:left="175"/>
        <w:spacing w:before="207" w:line="222" w:lineRule="auto"/>
        <w:outlineLvl w:val="0"/>
        <w:rPr>
          <w:rFonts w:ascii="SimHei" w:hAnsi="SimHei" w:eastAsia="SimHei" w:cs="SimHei"/>
          <w:sz w:val="30"/>
          <w:szCs w:val="30"/>
        </w:rPr>
      </w:pPr>
      <w:r>
        <w:rPr>
          <w:rFonts w:ascii="SimHei" w:hAnsi="SimHei" w:eastAsia="SimHei" w:cs="SimHei"/>
          <w:sz w:val="30"/>
          <w:szCs w:val="30"/>
          <w:spacing w:val="-2"/>
        </w:rPr>
        <w:t>七、后续要求</w:t>
      </w:r>
    </w:p>
    <w:p>
      <w:pPr>
        <w:ind w:right="13"/>
        <w:spacing w:before="168" w:line="500" w:lineRule="exact"/>
        <w:jc w:val="right"/>
        <w:rPr>
          <w:rFonts w:ascii="FangSong" w:hAnsi="FangSong" w:eastAsia="FangSong" w:cs="FangSong"/>
          <w:sz w:val="28"/>
          <w:szCs w:val="28"/>
        </w:rPr>
      </w:pPr>
      <w:r>
        <w:rPr>
          <w:rFonts w:ascii="FangSong" w:hAnsi="FangSong" w:eastAsia="FangSong" w:cs="FangSong"/>
          <w:sz w:val="28"/>
          <w:szCs w:val="28"/>
          <w:spacing w:val="3"/>
          <w:position w:val="16"/>
        </w:rPr>
        <w:t>加强环境保护管理，定期维护环保设施，做到污染物长期稳</w:t>
      </w:r>
      <w:r>
        <w:rPr>
          <w:rFonts w:ascii="FangSong" w:hAnsi="FangSong" w:eastAsia="FangSong" w:cs="FangSong"/>
          <w:sz w:val="28"/>
          <w:szCs w:val="28"/>
          <w:spacing w:val="2"/>
          <w:position w:val="16"/>
        </w:rPr>
        <w:t>定达</w:t>
      </w:r>
    </w:p>
    <w:p>
      <w:pPr>
        <w:spacing w:before="1" w:line="222" w:lineRule="auto"/>
        <w:rPr>
          <w:rFonts w:ascii="FangSong" w:hAnsi="FangSong" w:eastAsia="FangSong" w:cs="FangSong"/>
          <w:sz w:val="28"/>
          <w:szCs w:val="28"/>
        </w:rPr>
      </w:pPr>
      <w:r>
        <w:rPr>
          <w:rFonts w:ascii="FangSong" w:hAnsi="FangSong" w:eastAsia="FangSong" w:cs="FangSong"/>
          <w:sz w:val="28"/>
          <w:szCs w:val="28"/>
          <w:spacing w:val="-5"/>
        </w:rPr>
        <w:t>标排放。</w:t>
      </w:r>
    </w:p>
    <w:p>
      <w:pPr>
        <w:pStyle w:val="BodyText"/>
        <w:spacing w:line="283" w:lineRule="auto"/>
        <w:rPr/>
      </w:pPr>
      <w:r/>
    </w:p>
    <w:p>
      <w:pPr>
        <w:pStyle w:val="BodyText"/>
        <w:spacing w:line="284" w:lineRule="auto"/>
        <w:rPr/>
      </w:pPr>
      <w:r/>
    </w:p>
    <w:p>
      <w:pPr>
        <w:ind w:left="182"/>
        <w:spacing w:before="92" w:line="224" w:lineRule="auto"/>
        <w:rPr>
          <w:rFonts w:ascii="FangSong" w:hAnsi="FangSong" w:eastAsia="FangSong" w:cs="FangSong"/>
          <w:sz w:val="28"/>
          <w:szCs w:val="28"/>
        </w:rPr>
      </w:pPr>
      <w:r>
        <w:rPr>
          <w:rFonts w:ascii="FangSong" w:hAnsi="FangSong" w:eastAsia="FangSong" w:cs="FangSong"/>
          <w:sz w:val="28"/>
          <w:szCs w:val="28"/>
          <w:spacing w:val="-4"/>
        </w:rPr>
        <w:t>验收组长：</w:t>
      </w:r>
    </w:p>
    <w:p>
      <w:pPr>
        <w:pStyle w:val="BodyText"/>
        <w:spacing w:line="265" w:lineRule="auto"/>
        <w:rPr/>
      </w:pPr>
      <w:r/>
    </w:p>
    <w:p>
      <w:pPr>
        <w:pStyle w:val="BodyText"/>
        <w:spacing w:line="265" w:lineRule="auto"/>
        <w:rPr/>
      </w:pPr>
      <w:r/>
    </w:p>
    <w:p>
      <w:pPr>
        <w:pStyle w:val="BodyText"/>
        <w:spacing w:line="266" w:lineRule="auto"/>
        <w:rPr/>
      </w:pPr>
      <w:r/>
    </w:p>
    <w:p>
      <w:pPr>
        <w:pStyle w:val="BodyText"/>
        <w:spacing w:line="266" w:lineRule="auto"/>
        <w:rPr/>
      </w:pPr>
      <w:r/>
    </w:p>
    <w:p>
      <w:pPr>
        <w:ind w:left="182"/>
        <w:spacing w:before="91" w:line="224" w:lineRule="auto"/>
        <w:rPr>
          <w:rFonts w:ascii="FangSong" w:hAnsi="FangSong" w:eastAsia="FangSong" w:cs="FangSong"/>
          <w:sz w:val="28"/>
          <w:szCs w:val="28"/>
        </w:rPr>
      </w:pPr>
      <w:r>
        <w:rPr>
          <w:rFonts w:ascii="FangSong" w:hAnsi="FangSong" w:eastAsia="FangSong" w:cs="FangSong"/>
          <w:sz w:val="28"/>
          <w:szCs w:val="28"/>
          <w:spacing w:val="-3"/>
        </w:rPr>
        <w:t>验收组成员：</w:t>
      </w:r>
    </w:p>
    <w:p>
      <w:pPr>
        <w:ind w:firstLine="4131"/>
        <w:spacing w:before="50" w:line="495" w:lineRule="exact"/>
        <w:rPr/>
      </w:pPr>
      <w:r>
        <w:rPr>
          <w:position w:val="-9"/>
        </w:rPr>
        <w:drawing>
          <wp:inline distT="0" distB="0" distL="0" distR="0">
            <wp:extent cx="604810" cy="314161"/>
            <wp:effectExtent l="0" t="0" r="0" b="0"/>
            <wp:docPr id="208" name="IM 208"/>
            <wp:cNvGraphicFramePr/>
            <a:graphic>
              <a:graphicData uri="http://schemas.openxmlformats.org/drawingml/2006/picture">
                <pic:pic>
                  <pic:nvPicPr>
                    <pic:cNvPr id="208" name="IM 208"/>
                    <pic:cNvPicPr/>
                  </pic:nvPicPr>
                  <pic:blipFill>
                    <a:blip r:embed="rId255"/>
                    <a:stretch>
                      <a:fillRect/>
                    </a:stretch>
                  </pic:blipFill>
                  <pic:spPr>
                    <a:xfrm rot="0">
                      <a:off x="0" y="0"/>
                      <a:ext cx="604810" cy="314161"/>
                    </a:xfrm>
                    <a:prstGeom prst="rect">
                      <a:avLst/>
                    </a:prstGeom>
                  </pic:spPr>
                </pic:pic>
              </a:graphicData>
            </a:graphic>
          </wp:inline>
        </w:drawing>
      </w:r>
    </w:p>
    <w:p>
      <w:pPr>
        <w:pStyle w:val="BodyText"/>
        <w:spacing w:line="261" w:lineRule="auto"/>
        <w:rPr/>
      </w:pPr>
      <w:r/>
    </w:p>
    <w:p>
      <w:pPr>
        <w:pStyle w:val="BodyText"/>
        <w:spacing w:line="261" w:lineRule="auto"/>
        <w:rPr/>
      </w:pPr>
      <w:r/>
    </w:p>
    <w:p>
      <w:pPr>
        <w:ind w:right="13"/>
        <w:spacing w:before="91" w:line="499" w:lineRule="exact"/>
        <w:jc w:val="right"/>
        <w:rPr>
          <w:rFonts w:ascii="FangSong" w:hAnsi="FangSong" w:eastAsia="FangSong" w:cs="FangSong"/>
          <w:sz w:val="28"/>
          <w:szCs w:val="28"/>
        </w:rPr>
      </w:pPr>
      <w:r>
        <w:rPr>
          <w:rFonts w:ascii="FangSong" w:hAnsi="FangSong" w:eastAsia="FangSong" w:cs="FangSong"/>
          <w:sz w:val="28"/>
          <w:szCs w:val="28"/>
          <w:spacing w:val="-3"/>
          <w:position w:val="16"/>
        </w:rPr>
        <w:t>呼图壁县丰收塑料制品厂</w:t>
      </w:r>
    </w:p>
    <w:p>
      <w:pPr>
        <w:spacing w:before="2" w:line="222" w:lineRule="auto"/>
        <w:jc w:val="right"/>
        <w:rPr>
          <w:rFonts w:ascii="FangSong" w:hAnsi="FangSong" w:eastAsia="FangSong" w:cs="FangSong"/>
          <w:sz w:val="28"/>
          <w:szCs w:val="28"/>
        </w:rPr>
      </w:pPr>
      <w:r>
        <w:rPr>
          <w:rFonts w:ascii="FangSong" w:hAnsi="FangSong" w:eastAsia="FangSong" w:cs="FangSong"/>
          <w:sz w:val="28"/>
          <w:szCs w:val="28"/>
          <w:spacing w:val="-18"/>
        </w:rPr>
        <w:t>2022</w:t>
      </w:r>
      <w:r>
        <w:rPr>
          <w:rFonts w:ascii="FangSong" w:hAnsi="FangSong" w:eastAsia="FangSong" w:cs="FangSong"/>
          <w:sz w:val="28"/>
          <w:szCs w:val="28"/>
          <w:spacing w:val="-40"/>
        </w:rPr>
        <w:t xml:space="preserve"> </w:t>
      </w:r>
      <w:r>
        <w:rPr>
          <w:rFonts w:ascii="FangSong" w:hAnsi="FangSong" w:eastAsia="FangSong" w:cs="FangSong"/>
          <w:sz w:val="28"/>
          <w:szCs w:val="28"/>
          <w:spacing w:val="-18"/>
        </w:rPr>
        <w:t>年</w:t>
      </w:r>
      <w:r>
        <w:rPr>
          <w:rFonts w:ascii="FangSong" w:hAnsi="FangSong" w:eastAsia="FangSong" w:cs="FangSong"/>
          <w:sz w:val="28"/>
          <w:szCs w:val="28"/>
          <w:spacing w:val="-54"/>
        </w:rPr>
        <w:t xml:space="preserve"> </w:t>
      </w:r>
      <w:r>
        <w:rPr>
          <w:rFonts w:ascii="FangSong" w:hAnsi="FangSong" w:eastAsia="FangSong" w:cs="FangSong"/>
          <w:sz w:val="28"/>
          <w:szCs w:val="28"/>
          <w:spacing w:val="-18"/>
        </w:rPr>
        <w:t>7</w:t>
      </w:r>
      <w:r>
        <w:rPr>
          <w:rFonts w:ascii="FangSong" w:hAnsi="FangSong" w:eastAsia="FangSong" w:cs="FangSong"/>
          <w:sz w:val="28"/>
          <w:szCs w:val="28"/>
          <w:spacing w:val="-40"/>
        </w:rPr>
        <w:t xml:space="preserve"> </w:t>
      </w:r>
      <w:r>
        <w:rPr>
          <w:rFonts w:ascii="FangSong" w:hAnsi="FangSong" w:eastAsia="FangSong" w:cs="FangSong"/>
          <w:sz w:val="28"/>
          <w:szCs w:val="28"/>
          <w:spacing w:val="-18"/>
        </w:rPr>
        <w:t>月</w:t>
      </w:r>
      <w:r>
        <w:rPr>
          <w:rFonts w:ascii="FangSong" w:hAnsi="FangSong" w:eastAsia="FangSong" w:cs="FangSong"/>
          <w:sz w:val="28"/>
          <w:szCs w:val="28"/>
          <w:spacing w:val="-57"/>
        </w:rPr>
        <w:t xml:space="preserve"> </w:t>
      </w:r>
      <w:r>
        <w:rPr>
          <w:rFonts w:ascii="FangSong" w:hAnsi="FangSong" w:eastAsia="FangSong" w:cs="FangSong"/>
          <w:sz w:val="28"/>
          <w:szCs w:val="28"/>
          <w:spacing w:val="-18"/>
        </w:rPr>
        <w:t>21</w:t>
      </w:r>
      <w:r>
        <w:rPr>
          <w:rFonts w:ascii="FangSong" w:hAnsi="FangSong" w:eastAsia="FangSong" w:cs="FangSong"/>
          <w:sz w:val="28"/>
          <w:szCs w:val="28"/>
          <w:spacing w:val="6"/>
        </w:rPr>
        <w:t xml:space="preserve"> </w:t>
      </w:r>
      <w:r>
        <w:rPr>
          <w:rFonts w:ascii="FangSong" w:hAnsi="FangSong" w:eastAsia="FangSong" w:cs="FangSong"/>
          <w:sz w:val="28"/>
          <w:szCs w:val="28"/>
          <w:spacing w:val="-18"/>
        </w:rPr>
        <w:t>日</w:t>
      </w:r>
    </w:p>
    <w:p>
      <w:pPr>
        <w:spacing w:line="222" w:lineRule="auto"/>
        <w:sectPr>
          <w:footerReference w:type="default" r:id="rId252"/>
          <w:pgSz w:w="11906" w:h="16839"/>
          <w:pgMar w:top="400" w:right="1785" w:bottom="1153" w:left="1635" w:header="0" w:footer="994" w:gutter="0"/>
        </w:sectPr>
        <w:rPr>
          <w:rFonts w:ascii="FangSong" w:hAnsi="FangSong" w:eastAsia="FangSong" w:cs="FangSong"/>
          <w:sz w:val="28"/>
          <w:szCs w:val="28"/>
        </w:rPr>
      </w:pP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9" w:lineRule="auto"/>
        <w:rPr/>
      </w:pPr>
      <w:r/>
    </w:p>
    <w:p>
      <w:pPr>
        <w:ind w:left="1917"/>
        <w:spacing w:before="91" w:line="219"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呼图壁县丰收塑料制品厂滴灌带生产线建设项目竣工环境保护验收技术审查会签到表</w:t>
      </w:r>
    </w:p>
    <w:p>
      <w:pPr>
        <w:ind w:left="11903"/>
        <w:spacing w:before="212" w:line="220"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8"/>
        </w:rPr>
        <w:t>2022</w:t>
      </w:r>
      <w:r>
        <w:rPr>
          <w:rFonts w:ascii="SimSun" w:hAnsi="SimSun" w:eastAsia="SimSun" w:cs="SimSun"/>
          <w:sz w:val="28"/>
          <w:szCs w:val="28"/>
          <w:spacing w:val="-52"/>
        </w:rPr>
        <w:t xml:space="preserve"> </w:t>
      </w:r>
      <w:r>
        <w:rPr>
          <w:rFonts w:ascii="SimSun" w:hAnsi="SimSun" w:eastAsia="SimSun" w:cs="SimSun"/>
          <w:sz w:val="28"/>
          <w:szCs w:val="28"/>
          <w14:textOutline w14:w="5103" w14:cap="sq" w14:cmpd="sng">
            <w14:solidFill>
              <w14:srgbClr w14:val="000000"/>
            </w14:solidFill>
            <w14:prstDash w14:val="solid"/>
            <w14:bevel/>
          </w14:textOutline>
          <w:spacing w:val="-8"/>
        </w:rPr>
        <w:t>年</w:t>
      </w:r>
      <w:r>
        <w:rPr>
          <w:rFonts w:ascii="SimSun" w:hAnsi="SimSun" w:eastAsia="SimSun" w:cs="SimSun"/>
          <w:sz w:val="28"/>
          <w:szCs w:val="28"/>
          <w:spacing w:val="-53"/>
        </w:rPr>
        <w:t xml:space="preserve"> </w:t>
      </w:r>
      <w:r>
        <w:rPr>
          <w:rFonts w:ascii="SimSun" w:hAnsi="SimSun" w:eastAsia="SimSun" w:cs="SimSun"/>
          <w:sz w:val="28"/>
          <w:szCs w:val="28"/>
          <w14:textOutline w14:w="5103" w14:cap="sq" w14:cmpd="sng">
            <w14:solidFill>
              <w14:srgbClr w14:val="000000"/>
            </w14:solidFill>
            <w14:prstDash w14:val="solid"/>
            <w14:bevel/>
          </w14:textOutline>
          <w:spacing w:val="-8"/>
        </w:rPr>
        <w:t>7</w:t>
      </w:r>
      <w:r>
        <w:rPr>
          <w:rFonts w:ascii="SimSun" w:hAnsi="SimSun" w:eastAsia="SimSun" w:cs="SimSun"/>
          <w:sz w:val="28"/>
          <w:szCs w:val="28"/>
          <w:spacing w:val="-5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8"/>
        </w:rPr>
        <w:t>月</w:t>
      </w:r>
      <w:r>
        <w:rPr>
          <w:rFonts w:ascii="SimSun" w:hAnsi="SimSun" w:eastAsia="SimSun" w:cs="SimSun"/>
          <w:sz w:val="28"/>
          <w:szCs w:val="28"/>
          <w:spacing w:val="-54"/>
        </w:rPr>
        <w:t xml:space="preserve"> </w:t>
      </w:r>
      <w:r>
        <w:rPr>
          <w:rFonts w:ascii="SimSun" w:hAnsi="SimSun" w:eastAsia="SimSun" w:cs="SimSun"/>
          <w:sz w:val="28"/>
          <w:szCs w:val="28"/>
          <w14:textOutline w14:w="5103" w14:cap="sq" w14:cmpd="sng">
            <w14:solidFill>
              <w14:srgbClr w14:val="000000"/>
            </w14:solidFill>
            <w14:prstDash w14:val="solid"/>
            <w14:bevel/>
          </w14:textOutline>
          <w:spacing w:val="-8"/>
        </w:rPr>
        <w:t>21</w:t>
      </w:r>
      <w:r>
        <w:rPr>
          <w:rFonts w:ascii="SimSun" w:hAnsi="SimSun" w:eastAsia="SimSun" w:cs="SimSun"/>
          <w:sz w:val="28"/>
          <w:szCs w:val="28"/>
          <w:spacing w:val="-8"/>
        </w:rPr>
        <w:t xml:space="preserve"> </w:t>
      </w:r>
      <w:r>
        <w:rPr>
          <w:rFonts w:ascii="SimSun" w:hAnsi="SimSun" w:eastAsia="SimSun" w:cs="SimSun"/>
          <w:sz w:val="28"/>
          <w:szCs w:val="28"/>
          <w14:textOutline w14:w="5103" w14:cap="sq" w14:cmpd="sng">
            <w14:solidFill>
              <w14:srgbClr w14:val="000000"/>
            </w14:solidFill>
            <w14:prstDash w14:val="solid"/>
            <w14:bevel/>
          </w14:textOutline>
          <w:spacing w:val="-8"/>
        </w:rPr>
        <w:t>日</w:t>
      </w:r>
    </w:p>
    <w:p>
      <w:pPr>
        <w:spacing w:line="170" w:lineRule="exact"/>
        <w:rPr/>
      </w:pPr>
      <w:r/>
    </w:p>
    <w:tbl>
      <w:tblPr>
        <w:tblStyle w:val="TableNormal"/>
        <w:tblW w:w="1417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99"/>
        <w:gridCol w:w="1458"/>
        <w:gridCol w:w="3449"/>
        <w:gridCol w:w="1431"/>
        <w:gridCol w:w="3313"/>
        <w:gridCol w:w="2344"/>
        <w:gridCol w:w="1384"/>
      </w:tblGrid>
      <w:tr>
        <w:trPr>
          <w:trHeight w:val="477" w:hRule="atLeast"/>
        </w:trPr>
        <w:tc>
          <w:tcPr>
            <w:tcW w:w="799" w:type="dxa"/>
            <w:vAlign w:val="top"/>
          </w:tcPr>
          <w:p>
            <w:pPr>
              <w:pStyle w:val="TableText"/>
              <w:ind w:left="164"/>
              <w:spacing w:before="118" w:line="221" w:lineRule="auto"/>
              <w:rPr/>
            </w:pPr>
            <w:r>
              <w:rPr>
                <w:spacing w:val="-5"/>
              </w:rPr>
              <w:t>序号</w:t>
            </w:r>
          </w:p>
        </w:tc>
        <w:tc>
          <w:tcPr>
            <w:tcW w:w="1458" w:type="dxa"/>
            <w:vAlign w:val="top"/>
          </w:tcPr>
          <w:p>
            <w:pPr>
              <w:pStyle w:val="TableText"/>
              <w:ind w:left="494"/>
              <w:spacing w:before="119" w:line="219" w:lineRule="auto"/>
              <w:rPr/>
            </w:pPr>
            <w:r>
              <w:drawing>
                <wp:anchor distT="0" distB="0" distL="0" distR="0" simplePos="0" relativeHeight="254876672" behindDoc="1" locked="0" layoutInCell="1" allowOverlap="1">
                  <wp:simplePos x="0" y="0"/>
                  <wp:positionH relativeFrom="column">
                    <wp:posOffset>121919</wp:posOffset>
                  </wp:positionH>
                  <wp:positionV relativeFrom="paragraph">
                    <wp:posOffset>139214</wp:posOffset>
                  </wp:positionV>
                  <wp:extent cx="729996" cy="594359"/>
                  <wp:effectExtent l="0" t="0" r="0" b="0"/>
                  <wp:wrapNone/>
                  <wp:docPr id="210" name="IM 210"/>
                  <wp:cNvGraphicFramePr/>
                  <a:graphic>
                    <a:graphicData uri="http://schemas.openxmlformats.org/drawingml/2006/picture">
                      <pic:pic>
                        <pic:nvPicPr>
                          <pic:cNvPr id="210" name="IM 210"/>
                          <pic:cNvPicPr/>
                        </pic:nvPicPr>
                        <pic:blipFill>
                          <a:blip r:embed="rId257"/>
                          <a:stretch>
                            <a:fillRect/>
                          </a:stretch>
                        </pic:blipFill>
                        <pic:spPr>
                          <a:xfrm rot="0">
                            <a:off x="0" y="0"/>
                            <a:ext cx="729996" cy="594359"/>
                          </a:xfrm>
                          <a:prstGeom prst="rect">
                            <a:avLst/>
                          </a:prstGeom>
                        </pic:spPr>
                      </pic:pic>
                    </a:graphicData>
                  </a:graphic>
                </wp:anchor>
              </w:drawing>
            </w:r>
            <w:r>
              <w:rPr>
                <w:spacing w:val="-5"/>
              </w:rPr>
              <w:t>姓名</w:t>
            </w:r>
          </w:p>
        </w:tc>
        <w:tc>
          <w:tcPr>
            <w:tcW w:w="3449" w:type="dxa"/>
            <w:vAlign w:val="top"/>
          </w:tcPr>
          <w:p>
            <w:pPr>
              <w:pStyle w:val="TableText"/>
              <w:ind w:left="1251"/>
              <w:spacing w:before="119" w:line="220" w:lineRule="auto"/>
              <w:rPr/>
            </w:pPr>
            <w:r>
              <w:rPr>
                <w:spacing w:val="-4"/>
              </w:rPr>
              <w:t>工作单位</w:t>
            </w:r>
          </w:p>
        </w:tc>
        <w:tc>
          <w:tcPr>
            <w:tcW w:w="1431" w:type="dxa"/>
            <w:vAlign w:val="top"/>
          </w:tcPr>
          <w:p>
            <w:pPr>
              <w:pStyle w:val="TableText"/>
              <w:ind w:left="184"/>
              <w:spacing w:before="119" w:line="219" w:lineRule="auto"/>
              <w:rPr/>
            </w:pPr>
            <w:r>
              <w:rPr>
                <w:spacing w:val="-3"/>
              </w:rPr>
              <w:t>职务/职称</w:t>
            </w:r>
          </w:p>
        </w:tc>
        <w:tc>
          <w:tcPr>
            <w:tcW w:w="3313" w:type="dxa"/>
            <w:vAlign w:val="top"/>
          </w:tcPr>
          <w:p>
            <w:pPr>
              <w:pStyle w:val="TableText"/>
              <w:ind w:left="1069"/>
              <w:spacing w:before="119" w:line="219" w:lineRule="auto"/>
              <w:rPr/>
            </w:pPr>
            <w:r>
              <w:rPr>
                <w:spacing w:val="-4"/>
              </w:rPr>
              <w:t>身份证号码</w:t>
            </w:r>
          </w:p>
        </w:tc>
        <w:tc>
          <w:tcPr>
            <w:tcW w:w="2344" w:type="dxa"/>
            <w:vAlign w:val="top"/>
          </w:tcPr>
          <w:p>
            <w:pPr>
              <w:pStyle w:val="TableText"/>
              <w:ind w:left="700"/>
              <w:spacing w:before="118" w:line="221" w:lineRule="auto"/>
              <w:rPr/>
            </w:pPr>
            <w:r>
              <w:rPr>
                <w:spacing w:val="-3"/>
              </w:rPr>
              <w:t>联系方式</w:t>
            </w:r>
          </w:p>
        </w:tc>
        <w:tc>
          <w:tcPr>
            <w:tcW w:w="1384" w:type="dxa"/>
            <w:vAlign w:val="top"/>
          </w:tcPr>
          <w:p>
            <w:pPr>
              <w:pStyle w:val="TableText"/>
              <w:ind w:left="461"/>
              <w:spacing w:before="118" w:line="221" w:lineRule="auto"/>
              <w:rPr/>
            </w:pPr>
            <w:r>
              <w:rPr>
                <w:spacing w:val="-7"/>
              </w:rPr>
              <w:t>备注</w:t>
            </w:r>
          </w:p>
        </w:tc>
      </w:tr>
      <w:tr>
        <w:trPr>
          <w:trHeight w:val="472" w:hRule="atLeast"/>
        </w:trPr>
        <w:tc>
          <w:tcPr>
            <w:tcW w:w="799" w:type="dxa"/>
            <w:vAlign w:val="top"/>
          </w:tcPr>
          <w:p>
            <w:pPr>
              <w:pStyle w:val="TableText"/>
              <w:ind w:left="362"/>
              <w:spacing w:before="151" w:line="184" w:lineRule="auto"/>
              <w:rPr/>
            </w:pPr>
            <w:r>
              <w:rPr/>
              <w:t>1</w:t>
            </w:r>
          </w:p>
        </w:tc>
        <w:tc>
          <w:tcPr>
            <w:tcW w:w="1458" w:type="dxa"/>
            <w:vAlign w:val="top"/>
          </w:tcPr>
          <w:p>
            <w:pPr>
              <w:rPr>
                <w:rFonts w:ascii="Arial"/>
                <w:sz w:val="21"/>
              </w:rPr>
            </w:pPr>
            <w:r/>
          </w:p>
        </w:tc>
        <w:tc>
          <w:tcPr>
            <w:tcW w:w="3449" w:type="dxa"/>
            <w:vAlign w:val="top"/>
          </w:tcPr>
          <w:p>
            <w:pPr>
              <w:pStyle w:val="TableText"/>
              <w:ind w:left="529"/>
              <w:spacing w:before="114" w:line="218" w:lineRule="auto"/>
              <w:rPr/>
            </w:pPr>
            <w:r>
              <w:rPr>
                <w:spacing w:val="-2"/>
              </w:rPr>
              <w:t>新疆环境工程评估中心</w:t>
            </w:r>
          </w:p>
        </w:tc>
        <w:tc>
          <w:tcPr>
            <w:tcW w:w="1431" w:type="dxa"/>
            <w:vAlign w:val="top"/>
          </w:tcPr>
          <w:p>
            <w:pPr>
              <w:pStyle w:val="TableText"/>
              <w:ind w:left="487"/>
              <w:spacing w:before="115" w:line="219" w:lineRule="auto"/>
              <w:rPr/>
            </w:pPr>
            <w:r>
              <w:rPr>
                <w:spacing w:val="-8"/>
              </w:rPr>
              <w:t>正高</w:t>
            </w:r>
          </w:p>
        </w:tc>
        <w:tc>
          <w:tcPr>
            <w:tcW w:w="3313" w:type="dxa"/>
            <w:vAlign w:val="top"/>
          </w:tcPr>
          <w:p>
            <w:pPr>
              <w:pStyle w:val="TableText"/>
              <w:ind w:left="585"/>
              <w:spacing w:before="151" w:line="184" w:lineRule="auto"/>
              <w:rPr/>
            </w:pPr>
            <w:r>
              <w:rPr>
                <w:spacing w:val="-1"/>
              </w:rPr>
              <w:t>650103196607181817</w:t>
            </w:r>
          </w:p>
        </w:tc>
        <w:tc>
          <w:tcPr>
            <w:tcW w:w="2344" w:type="dxa"/>
            <w:vAlign w:val="top"/>
          </w:tcPr>
          <w:p>
            <w:pPr>
              <w:pStyle w:val="TableText"/>
              <w:ind w:left="537"/>
              <w:spacing w:before="151" w:line="184" w:lineRule="auto"/>
              <w:rPr/>
            </w:pPr>
            <w:r>
              <w:rPr>
                <w:spacing w:val="-3"/>
              </w:rPr>
              <w:t>13609996852</w:t>
            </w:r>
          </w:p>
        </w:tc>
        <w:tc>
          <w:tcPr>
            <w:tcW w:w="1384" w:type="dxa"/>
            <w:vAlign w:val="top"/>
          </w:tcPr>
          <w:p>
            <w:pPr>
              <w:pStyle w:val="TableText"/>
              <w:ind w:left="459"/>
              <w:spacing w:before="114" w:line="220" w:lineRule="auto"/>
              <w:rPr/>
            </w:pPr>
            <w:r>
              <w:rPr>
                <w:spacing w:val="-6"/>
              </w:rPr>
              <w:t>专家</w:t>
            </w:r>
          </w:p>
        </w:tc>
      </w:tr>
      <w:tr>
        <w:trPr>
          <w:trHeight w:val="473" w:hRule="atLeast"/>
        </w:trPr>
        <w:tc>
          <w:tcPr>
            <w:tcW w:w="799" w:type="dxa"/>
            <w:vAlign w:val="top"/>
          </w:tcPr>
          <w:p>
            <w:pPr>
              <w:pStyle w:val="TableText"/>
              <w:ind w:left="348"/>
              <w:spacing w:before="155" w:line="183" w:lineRule="auto"/>
              <w:rPr/>
            </w:pPr>
            <w:r>
              <w:rPr/>
              <w:t>2</w:t>
            </w:r>
          </w:p>
        </w:tc>
        <w:tc>
          <w:tcPr>
            <w:tcW w:w="1458" w:type="dxa"/>
            <w:vAlign w:val="top"/>
          </w:tcPr>
          <w:p>
            <w:pPr>
              <w:ind w:firstLine="224"/>
              <w:spacing w:before="8" w:line="454" w:lineRule="exact"/>
              <w:rPr/>
            </w:pPr>
            <w:r>
              <w:rPr>
                <w:position w:val="-9"/>
              </w:rPr>
              <w:drawing>
                <wp:inline distT="0" distB="0" distL="0" distR="0">
                  <wp:extent cx="606578" cy="288762"/>
                  <wp:effectExtent l="0" t="0" r="0" b="0"/>
                  <wp:docPr id="212" name="IM 212"/>
                  <wp:cNvGraphicFramePr/>
                  <a:graphic>
                    <a:graphicData uri="http://schemas.openxmlformats.org/drawingml/2006/picture">
                      <pic:pic>
                        <pic:nvPicPr>
                          <pic:cNvPr id="212" name="IM 212"/>
                          <pic:cNvPicPr/>
                        </pic:nvPicPr>
                        <pic:blipFill>
                          <a:blip r:embed="rId258"/>
                          <a:stretch>
                            <a:fillRect/>
                          </a:stretch>
                        </pic:blipFill>
                        <pic:spPr>
                          <a:xfrm rot="0">
                            <a:off x="0" y="0"/>
                            <a:ext cx="606578" cy="288762"/>
                          </a:xfrm>
                          <a:prstGeom prst="rect">
                            <a:avLst/>
                          </a:prstGeom>
                        </pic:spPr>
                      </pic:pic>
                    </a:graphicData>
                  </a:graphic>
                </wp:inline>
              </w:drawing>
            </w:r>
          </w:p>
        </w:tc>
        <w:tc>
          <w:tcPr>
            <w:tcW w:w="3449" w:type="dxa"/>
            <w:vAlign w:val="top"/>
          </w:tcPr>
          <w:p>
            <w:pPr>
              <w:spacing w:before="46" w:line="416" w:lineRule="exact"/>
              <w:rPr/>
            </w:pPr>
            <w:r>
              <w:rPr>
                <w:position w:val="-8"/>
              </w:rPr>
              <w:drawing>
                <wp:inline distT="0" distB="0" distL="0" distR="0">
                  <wp:extent cx="2186939" cy="264160"/>
                  <wp:effectExtent l="0" t="0" r="0" b="0"/>
                  <wp:docPr id="214" name="IM 214"/>
                  <wp:cNvGraphicFramePr/>
                  <a:graphic>
                    <a:graphicData uri="http://schemas.openxmlformats.org/drawingml/2006/picture">
                      <pic:pic>
                        <pic:nvPicPr>
                          <pic:cNvPr id="214" name="IM 214"/>
                          <pic:cNvPicPr/>
                        </pic:nvPicPr>
                        <pic:blipFill>
                          <a:blip r:embed="rId259"/>
                          <a:stretch>
                            <a:fillRect/>
                          </a:stretch>
                        </pic:blipFill>
                        <pic:spPr>
                          <a:xfrm rot="0">
                            <a:off x="0" y="0"/>
                            <a:ext cx="2186939" cy="264160"/>
                          </a:xfrm>
                          <a:prstGeom prst="rect">
                            <a:avLst/>
                          </a:prstGeom>
                        </pic:spPr>
                      </pic:pic>
                    </a:graphicData>
                  </a:graphic>
                </wp:inline>
              </w:drawing>
            </w:r>
          </w:p>
        </w:tc>
        <w:tc>
          <w:tcPr>
            <w:tcW w:w="1431" w:type="dxa"/>
            <w:vAlign w:val="top"/>
          </w:tcPr>
          <w:p>
            <w:pPr>
              <w:ind w:firstLine="53"/>
              <w:spacing w:before="122" w:line="340" w:lineRule="exact"/>
              <w:rPr/>
            </w:pPr>
            <w:r>
              <w:rPr>
                <w:position w:val="-6"/>
              </w:rPr>
              <w:drawing>
                <wp:inline distT="0" distB="0" distL="0" distR="0">
                  <wp:extent cx="871346" cy="215900"/>
                  <wp:effectExtent l="0" t="0" r="0" b="0"/>
                  <wp:docPr id="216" name="IM 216"/>
                  <wp:cNvGraphicFramePr/>
                  <a:graphic>
                    <a:graphicData uri="http://schemas.openxmlformats.org/drawingml/2006/picture">
                      <pic:pic>
                        <pic:nvPicPr>
                          <pic:cNvPr id="216" name="IM 216"/>
                          <pic:cNvPicPr/>
                        </pic:nvPicPr>
                        <pic:blipFill>
                          <a:blip r:embed="rId260"/>
                          <a:stretch>
                            <a:fillRect/>
                          </a:stretch>
                        </pic:blipFill>
                        <pic:spPr>
                          <a:xfrm rot="0">
                            <a:off x="0" y="0"/>
                            <a:ext cx="871346" cy="215900"/>
                          </a:xfrm>
                          <a:prstGeom prst="rect">
                            <a:avLst/>
                          </a:prstGeom>
                        </pic:spPr>
                      </pic:pic>
                    </a:graphicData>
                  </a:graphic>
                </wp:inline>
              </w:drawing>
            </w:r>
          </w:p>
        </w:tc>
        <w:tc>
          <w:tcPr>
            <w:tcW w:w="3313" w:type="dxa"/>
            <w:vAlign w:val="top"/>
          </w:tcPr>
          <w:p>
            <w:pPr>
              <w:ind w:firstLine="349"/>
              <w:spacing w:before="82" w:line="380" w:lineRule="exact"/>
              <w:rPr/>
            </w:pPr>
            <w:r>
              <w:rPr>
                <w:position w:val="-7"/>
              </w:rPr>
              <w:drawing>
                <wp:inline distT="0" distB="0" distL="0" distR="0">
                  <wp:extent cx="1664339" cy="241769"/>
                  <wp:effectExtent l="0" t="0" r="0" b="0"/>
                  <wp:docPr id="218" name="IM 218"/>
                  <wp:cNvGraphicFramePr/>
                  <a:graphic>
                    <a:graphicData uri="http://schemas.openxmlformats.org/drawingml/2006/picture">
                      <pic:pic>
                        <pic:nvPicPr>
                          <pic:cNvPr id="218" name="IM 218"/>
                          <pic:cNvPicPr/>
                        </pic:nvPicPr>
                        <pic:blipFill>
                          <a:blip r:embed="rId261"/>
                          <a:stretch>
                            <a:fillRect/>
                          </a:stretch>
                        </pic:blipFill>
                        <pic:spPr>
                          <a:xfrm rot="0">
                            <a:off x="0" y="0"/>
                            <a:ext cx="1664339" cy="241769"/>
                          </a:xfrm>
                          <a:prstGeom prst="rect">
                            <a:avLst/>
                          </a:prstGeom>
                        </pic:spPr>
                      </pic:pic>
                    </a:graphicData>
                  </a:graphic>
                </wp:inline>
              </w:drawing>
            </w:r>
          </w:p>
        </w:tc>
        <w:tc>
          <w:tcPr>
            <w:tcW w:w="2344" w:type="dxa"/>
            <w:vAlign w:val="top"/>
          </w:tcPr>
          <w:p>
            <w:pPr>
              <w:ind w:firstLine="395"/>
              <w:spacing w:before="8" w:line="446" w:lineRule="exact"/>
              <w:rPr/>
            </w:pPr>
            <w:r>
              <w:rPr>
                <w:position w:val="-8"/>
              </w:rPr>
              <w:drawing>
                <wp:inline distT="0" distB="0" distL="0" distR="0">
                  <wp:extent cx="1001268" cy="283464"/>
                  <wp:effectExtent l="0" t="0" r="0" b="0"/>
                  <wp:docPr id="220" name="IM 220"/>
                  <wp:cNvGraphicFramePr/>
                  <a:graphic>
                    <a:graphicData uri="http://schemas.openxmlformats.org/drawingml/2006/picture">
                      <pic:pic>
                        <pic:nvPicPr>
                          <pic:cNvPr id="220" name="IM 220"/>
                          <pic:cNvPicPr/>
                        </pic:nvPicPr>
                        <pic:blipFill>
                          <a:blip r:embed="rId262"/>
                          <a:stretch>
                            <a:fillRect/>
                          </a:stretch>
                        </pic:blipFill>
                        <pic:spPr>
                          <a:xfrm rot="0">
                            <a:off x="0" y="0"/>
                            <a:ext cx="1001268" cy="283464"/>
                          </a:xfrm>
                          <a:prstGeom prst="rect">
                            <a:avLst/>
                          </a:prstGeom>
                        </pic:spPr>
                      </pic:pic>
                    </a:graphicData>
                  </a:graphic>
                </wp:inline>
              </w:drawing>
            </w:r>
          </w:p>
        </w:tc>
        <w:tc>
          <w:tcPr>
            <w:tcW w:w="1384" w:type="dxa"/>
            <w:vAlign w:val="top"/>
          </w:tcPr>
          <w:p>
            <w:pPr>
              <w:pStyle w:val="TableText"/>
              <w:ind w:left="459"/>
              <w:spacing w:before="117" w:line="220" w:lineRule="auto"/>
              <w:rPr/>
            </w:pPr>
            <w:r>
              <w:rPr>
                <w:spacing w:val="-6"/>
              </w:rPr>
              <w:t>专家</w:t>
            </w:r>
          </w:p>
        </w:tc>
      </w:tr>
      <w:tr>
        <w:trPr>
          <w:trHeight w:val="472" w:hRule="atLeast"/>
        </w:trPr>
        <w:tc>
          <w:tcPr>
            <w:tcW w:w="799" w:type="dxa"/>
            <w:vAlign w:val="top"/>
          </w:tcPr>
          <w:p>
            <w:pPr>
              <w:pStyle w:val="TableText"/>
              <w:ind w:left="349"/>
              <w:spacing w:before="155" w:line="183" w:lineRule="auto"/>
              <w:rPr/>
            </w:pPr>
            <w:r>
              <w:rPr/>
              <w:t>3</w:t>
            </w:r>
          </w:p>
        </w:tc>
        <w:tc>
          <w:tcPr>
            <w:tcW w:w="1458" w:type="dxa"/>
            <w:vAlign w:val="top"/>
          </w:tcPr>
          <w:p>
            <w:pPr>
              <w:ind w:firstLine="184"/>
              <w:spacing w:before="37" w:line="407" w:lineRule="exact"/>
              <w:rPr/>
            </w:pPr>
            <w:r>
              <w:rPr>
                <w:position w:val="-8"/>
              </w:rPr>
              <w:drawing>
                <wp:inline distT="0" distB="0" distL="0" distR="0">
                  <wp:extent cx="682324" cy="258493"/>
                  <wp:effectExtent l="0" t="0" r="0" b="0"/>
                  <wp:docPr id="222" name="IM 222"/>
                  <wp:cNvGraphicFramePr/>
                  <a:graphic>
                    <a:graphicData uri="http://schemas.openxmlformats.org/drawingml/2006/picture">
                      <pic:pic>
                        <pic:nvPicPr>
                          <pic:cNvPr id="222" name="IM 222"/>
                          <pic:cNvPicPr/>
                        </pic:nvPicPr>
                        <pic:blipFill>
                          <a:blip r:embed="rId254"/>
                          <a:stretch>
                            <a:fillRect/>
                          </a:stretch>
                        </pic:blipFill>
                        <pic:spPr>
                          <a:xfrm rot="0">
                            <a:off x="0" y="0"/>
                            <a:ext cx="682324" cy="258493"/>
                          </a:xfrm>
                          <a:prstGeom prst="rect">
                            <a:avLst/>
                          </a:prstGeom>
                        </pic:spPr>
                      </pic:pic>
                    </a:graphicData>
                  </a:graphic>
                </wp:inline>
              </w:drawing>
            </w:r>
          </w:p>
        </w:tc>
        <w:tc>
          <w:tcPr>
            <w:tcW w:w="3449" w:type="dxa"/>
            <w:vAlign w:val="top"/>
          </w:tcPr>
          <w:p>
            <w:pPr>
              <w:ind w:firstLine="20"/>
              <w:spacing w:before="32" w:line="430" w:lineRule="exact"/>
              <w:rPr/>
            </w:pPr>
            <w:r>
              <w:rPr>
                <w:position w:val="-8"/>
              </w:rPr>
              <w:drawing>
                <wp:inline distT="0" distB="0" distL="0" distR="0">
                  <wp:extent cx="2173985" cy="272923"/>
                  <wp:effectExtent l="0" t="0" r="0" b="0"/>
                  <wp:docPr id="224" name="IM 224"/>
                  <wp:cNvGraphicFramePr/>
                  <a:graphic>
                    <a:graphicData uri="http://schemas.openxmlformats.org/drawingml/2006/picture">
                      <pic:pic>
                        <pic:nvPicPr>
                          <pic:cNvPr id="224" name="IM 224"/>
                          <pic:cNvPicPr/>
                        </pic:nvPicPr>
                        <pic:blipFill>
                          <a:blip r:embed="rId263"/>
                          <a:stretch>
                            <a:fillRect/>
                          </a:stretch>
                        </pic:blipFill>
                        <pic:spPr>
                          <a:xfrm rot="0">
                            <a:off x="0" y="0"/>
                            <a:ext cx="2173985" cy="272923"/>
                          </a:xfrm>
                          <a:prstGeom prst="rect">
                            <a:avLst/>
                          </a:prstGeom>
                        </pic:spPr>
                      </pic:pic>
                    </a:graphicData>
                  </a:graphic>
                </wp:inline>
              </w:drawing>
            </w:r>
          </w:p>
        </w:tc>
        <w:tc>
          <w:tcPr>
            <w:tcW w:w="1431" w:type="dxa"/>
            <w:vAlign w:val="top"/>
          </w:tcPr>
          <w:p>
            <w:pPr>
              <w:ind w:firstLine="371"/>
              <w:spacing w:before="49" w:line="413" w:lineRule="exact"/>
              <w:rPr/>
            </w:pPr>
            <w:r>
              <w:rPr>
                <w:position w:val="-8"/>
              </w:rPr>
              <w:drawing>
                <wp:inline distT="0" distB="0" distL="0" distR="0">
                  <wp:extent cx="358345" cy="262194"/>
                  <wp:effectExtent l="0" t="0" r="0" b="0"/>
                  <wp:docPr id="226" name="IM 226"/>
                  <wp:cNvGraphicFramePr/>
                  <a:graphic>
                    <a:graphicData uri="http://schemas.openxmlformats.org/drawingml/2006/picture">
                      <pic:pic>
                        <pic:nvPicPr>
                          <pic:cNvPr id="226" name="IM 226"/>
                          <pic:cNvPicPr/>
                        </pic:nvPicPr>
                        <pic:blipFill>
                          <a:blip r:embed="rId264"/>
                          <a:stretch>
                            <a:fillRect/>
                          </a:stretch>
                        </pic:blipFill>
                        <pic:spPr>
                          <a:xfrm rot="0">
                            <a:off x="0" y="0"/>
                            <a:ext cx="358345" cy="262194"/>
                          </a:xfrm>
                          <a:prstGeom prst="rect">
                            <a:avLst/>
                          </a:prstGeom>
                        </pic:spPr>
                      </pic:pic>
                    </a:graphicData>
                  </a:graphic>
                </wp:inline>
              </w:drawing>
            </w:r>
          </w:p>
        </w:tc>
        <w:tc>
          <w:tcPr>
            <w:tcW w:w="3313" w:type="dxa"/>
            <w:vAlign w:val="top"/>
          </w:tcPr>
          <w:p>
            <w:pPr>
              <w:ind w:firstLine="413"/>
              <w:spacing w:before="82" w:line="350" w:lineRule="exact"/>
              <w:rPr/>
            </w:pPr>
            <w:r>
              <w:rPr>
                <w:position w:val="-6"/>
              </w:rPr>
              <w:drawing>
                <wp:inline distT="0" distB="0" distL="0" distR="0">
                  <wp:extent cx="1595276" cy="221949"/>
                  <wp:effectExtent l="0" t="0" r="0" b="0"/>
                  <wp:docPr id="228" name="IM 228"/>
                  <wp:cNvGraphicFramePr/>
                  <a:graphic>
                    <a:graphicData uri="http://schemas.openxmlformats.org/drawingml/2006/picture">
                      <pic:pic>
                        <pic:nvPicPr>
                          <pic:cNvPr id="228" name="IM 228"/>
                          <pic:cNvPicPr/>
                        </pic:nvPicPr>
                        <pic:blipFill>
                          <a:blip r:embed="rId265"/>
                          <a:stretch>
                            <a:fillRect/>
                          </a:stretch>
                        </pic:blipFill>
                        <pic:spPr>
                          <a:xfrm rot="0">
                            <a:off x="0" y="0"/>
                            <a:ext cx="1595276" cy="221949"/>
                          </a:xfrm>
                          <a:prstGeom prst="rect">
                            <a:avLst/>
                          </a:prstGeom>
                        </pic:spPr>
                      </pic:pic>
                    </a:graphicData>
                  </a:graphic>
                </wp:inline>
              </w:drawing>
            </w:r>
          </w:p>
        </w:tc>
        <w:tc>
          <w:tcPr>
            <w:tcW w:w="2344" w:type="dxa"/>
            <w:vAlign w:val="top"/>
          </w:tcPr>
          <w:p>
            <w:pPr>
              <w:ind w:firstLine="365"/>
              <w:spacing w:before="20" w:line="407" w:lineRule="exact"/>
              <w:rPr/>
            </w:pPr>
            <w:r>
              <w:rPr>
                <w:position w:val="-8"/>
              </w:rPr>
              <w:drawing>
                <wp:inline distT="0" distB="0" distL="0" distR="0">
                  <wp:extent cx="1002612" cy="258698"/>
                  <wp:effectExtent l="0" t="0" r="0" b="0"/>
                  <wp:docPr id="230" name="IM 230"/>
                  <wp:cNvGraphicFramePr/>
                  <a:graphic>
                    <a:graphicData uri="http://schemas.openxmlformats.org/drawingml/2006/picture">
                      <pic:pic>
                        <pic:nvPicPr>
                          <pic:cNvPr id="230" name="IM 230"/>
                          <pic:cNvPicPr/>
                        </pic:nvPicPr>
                        <pic:blipFill>
                          <a:blip r:embed="rId266"/>
                          <a:stretch>
                            <a:fillRect/>
                          </a:stretch>
                        </pic:blipFill>
                        <pic:spPr>
                          <a:xfrm rot="0">
                            <a:off x="0" y="0"/>
                            <a:ext cx="1002612" cy="258698"/>
                          </a:xfrm>
                          <a:prstGeom prst="rect">
                            <a:avLst/>
                          </a:prstGeom>
                        </pic:spPr>
                      </pic:pic>
                    </a:graphicData>
                  </a:graphic>
                </wp:inline>
              </w:drawing>
            </w:r>
          </w:p>
        </w:tc>
        <w:tc>
          <w:tcPr>
            <w:tcW w:w="1384" w:type="dxa"/>
            <w:vAlign w:val="top"/>
          </w:tcPr>
          <w:p>
            <w:pPr>
              <w:pStyle w:val="TableText"/>
              <w:ind w:left="459"/>
              <w:spacing w:before="117" w:line="220" w:lineRule="auto"/>
              <w:rPr/>
            </w:pPr>
            <w:r>
              <w:rPr>
                <w:spacing w:val="-6"/>
              </w:rPr>
              <w:t>专家</w:t>
            </w:r>
          </w:p>
        </w:tc>
      </w:tr>
      <w:tr>
        <w:trPr>
          <w:trHeight w:val="473" w:hRule="atLeast"/>
        </w:trPr>
        <w:tc>
          <w:tcPr>
            <w:tcW w:w="799" w:type="dxa"/>
            <w:vAlign w:val="top"/>
          </w:tcPr>
          <w:p>
            <w:pPr>
              <w:pStyle w:val="TableText"/>
              <w:ind w:left="344"/>
              <w:spacing w:before="155" w:line="183" w:lineRule="auto"/>
              <w:rPr/>
            </w:pPr>
            <w:r>
              <w:rPr/>
              <w:t>4</w:t>
            </w:r>
          </w:p>
        </w:tc>
        <w:tc>
          <w:tcPr>
            <w:tcW w:w="1458" w:type="dxa"/>
            <w:vAlign w:val="top"/>
          </w:tcPr>
          <w:p>
            <w:pPr>
              <w:rPr>
                <w:rFonts w:ascii="Arial"/>
                <w:sz w:val="21"/>
              </w:rPr>
            </w:pPr>
            <w:r/>
          </w:p>
        </w:tc>
        <w:tc>
          <w:tcPr>
            <w:tcW w:w="3449" w:type="dxa"/>
            <w:vAlign w:val="top"/>
          </w:tcPr>
          <w:p>
            <w:pPr>
              <w:rPr>
                <w:rFonts w:ascii="Arial"/>
                <w:sz w:val="21"/>
              </w:rPr>
            </w:pPr>
            <w:r/>
          </w:p>
        </w:tc>
        <w:tc>
          <w:tcPr>
            <w:tcW w:w="1431" w:type="dxa"/>
            <w:vAlign w:val="top"/>
          </w:tcPr>
          <w:p>
            <w:pPr>
              <w:rPr>
                <w:rFonts w:ascii="Arial"/>
                <w:sz w:val="21"/>
              </w:rPr>
            </w:pPr>
            <w:r/>
          </w:p>
        </w:tc>
        <w:tc>
          <w:tcPr>
            <w:tcW w:w="3313" w:type="dxa"/>
            <w:vAlign w:val="top"/>
          </w:tcPr>
          <w:p>
            <w:pPr>
              <w:rPr>
                <w:rFonts w:ascii="Arial"/>
                <w:sz w:val="21"/>
              </w:rPr>
            </w:pPr>
            <w:r/>
          </w:p>
        </w:tc>
        <w:tc>
          <w:tcPr>
            <w:tcW w:w="2344" w:type="dxa"/>
            <w:vAlign w:val="top"/>
          </w:tcPr>
          <w:p>
            <w:pPr>
              <w:rPr>
                <w:rFonts w:ascii="Arial"/>
                <w:sz w:val="21"/>
              </w:rPr>
            </w:pPr>
            <w:r/>
          </w:p>
        </w:tc>
        <w:tc>
          <w:tcPr>
            <w:tcW w:w="1384" w:type="dxa"/>
            <w:vAlign w:val="top"/>
          </w:tcPr>
          <w:p>
            <w:pPr>
              <w:rPr>
                <w:rFonts w:ascii="Arial"/>
                <w:sz w:val="21"/>
              </w:rPr>
            </w:pPr>
            <w:r/>
          </w:p>
        </w:tc>
      </w:tr>
      <w:tr>
        <w:trPr>
          <w:trHeight w:val="472" w:hRule="atLeast"/>
        </w:trPr>
        <w:tc>
          <w:tcPr>
            <w:tcW w:w="799" w:type="dxa"/>
            <w:vAlign w:val="top"/>
          </w:tcPr>
          <w:p>
            <w:pPr>
              <w:pStyle w:val="TableText"/>
              <w:ind w:left="349"/>
              <w:spacing w:before="156" w:line="182" w:lineRule="auto"/>
              <w:rPr/>
            </w:pPr>
            <w:r>
              <w:rPr/>
              <w:t>5</w:t>
            </w:r>
          </w:p>
        </w:tc>
        <w:tc>
          <w:tcPr>
            <w:tcW w:w="1458" w:type="dxa"/>
            <w:vAlign w:val="top"/>
          </w:tcPr>
          <w:p>
            <w:pPr>
              <w:rPr>
                <w:rFonts w:ascii="Arial"/>
                <w:sz w:val="21"/>
              </w:rPr>
            </w:pPr>
            <w:r/>
          </w:p>
        </w:tc>
        <w:tc>
          <w:tcPr>
            <w:tcW w:w="3449" w:type="dxa"/>
            <w:vAlign w:val="top"/>
          </w:tcPr>
          <w:p>
            <w:pPr>
              <w:rPr>
                <w:rFonts w:ascii="Arial"/>
                <w:sz w:val="21"/>
              </w:rPr>
            </w:pPr>
            <w:r/>
          </w:p>
        </w:tc>
        <w:tc>
          <w:tcPr>
            <w:tcW w:w="1431" w:type="dxa"/>
            <w:vAlign w:val="top"/>
          </w:tcPr>
          <w:p>
            <w:pPr>
              <w:rPr>
                <w:rFonts w:ascii="Arial"/>
                <w:sz w:val="21"/>
              </w:rPr>
            </w:pPr>
            <w:r/>
          </w:p>
        </w:tc>
        <w:tc>
          <w:tcPr>
            <w:tcW w:w="3313" w:type="dxa"/>
            <w:vAlign w:val="top"/>
          </w:tcPr>
          <w:p>
            <w:pPr>
              <w:rPr>
                <w:rFonts w:ascii="Arial"/>
                <w:sz w:val="21"/>
              </w:rPr>
            </w:pPr>
            <w:r/>
          </w:p>
        </w:tc>
        <w:tc>
          <w:tcPr>
            <w:tcW w:w="2344" w:type="dxa"/>
            <w:vAlign w:val="top"/>
          </w:tcPr>
          <w:p>
            <w:pPr>
              <w:rPr>
                <w:rFonts w:ascii="Arial"/>
                <w:sz w:val="21"/>
              </w:rPr>
            </w:pPr>
            <w:r/>
          </w:p>
        </w:tc>
        <w:tc>
          <w:tcPr>
            <w:tcW w:w="1384" w:type="dxa"/>
            <w:vAlign w:val="top"/>
          </w:tcPr>
          <w:p>
            <w:pPr>
              <w:rPr>
                <w:rFonts w:ascii="Arial"/>
                <w:sz w:val="21"/>
              </w:rPr>
            </w:pPr>
            <w:r/>
          </w:p>
        </w:tc>
      </w:tr>
      <w:tr>
        <w:trPr>
          <w:trHeight w:val="472" w:hRule="atLeast"/>
        </w:trPr>
        <w:tc>
          <w:tcPr>
            <w:tcW w:w="799" w:type="dxa"/>
            <w:vAlign w:val="top"/>
          </w:tcPr>
          <w:p>
            <w:pPr>
              <w:pStyle w:val="TableText"/>
              <w:ind w:left="347"/>
              <w:spacing w:before="156" w:line="183" w:lineRule="auto"/>
              <w:rPr/>
            </w:pPr>
            <w:r>
              <w:rPr/>
              <w:t>6</w:t>
            </w:r>
          </w:p>
        </w:tc>
        <w:tc>
          <w:tcPr>
            <w:tcW w:w="1458" w:type="dxa"/>
            <w:vAlign w:val="top"/>
          </w:tcPr>
          <w:p>
            <w:pPr>
              <w:rPr>
                <w:rFonts w:ascii="Arial"/>
                <w:sz w:val="21"/>
              </w:rPr>
            </w:pPr>
            <w:r/>
          </w:p>
        </w:tc>
        <w:tc>
          <w:tcPr>
            <w:tcW w:w="3449" w:type="dxa"/>
            <w:vAlign w:val="top"/>
          </w:tcPr>
          <w:p>
            <w:pPr>
              <w:rPr>
                <w:rFonts w:ascii="Arial"/>
                <w:sz w:val="21"/>
              </w:rPr>
            </w:pPr>
            <w:r/>
          </w:p>
        </w:tc>
        <w:tc>
          <w:tcPr>
            <w:tcW w:w="1431" w:type="dxa"/>
            <w:vAlign w:val="top"/>
          </w:tcPr>
          <w:p>
            <w:pPr>
              <w:rPr>
                <w:rFonts w:ascii="Arial"/>
                <w:sz w:val="21"/>
              </w:rPr>
            </w:pPr>
            <w:r/>
          </w:p>
        </w:tc>
        <w:tc>
          <w:tcPr>
            <w:tcW w:w="3313" w:type="dxa"/>
            <w:vAlign w:val="top"/>
          </w:tcPr>
          <w:p>
            <w:pPr>
              <w:rPr>
                <w:rFonts w:ascii="Arial"/>
                <w:sz w:val="21"/>
              </w:rPr>
            </w:pPr>
            <w:r/>
          </w:p>
        </w:tc>
        <w:tc>
          <w:tcPr>
            <w:tcW w:w="2344" w:type="dxa"/>
            <w:vAlign w:val="top"/>
          </w:tcPr>
          <w:p>
            <w:pPr>
              <w:rPr>
                <w:rFonts w:ascii="Arial"/>
                <w:sz w:val="21"/>
              </w:rPr>
            </w:pPr>
            <w:r/>
          </w:p>
        </w:tc>
        <w:tc>
          <w:tcPr>
            <w:tcW w:w="1384" w:type="dxa"/>
            <w:vAlign w:val="top"/>
          </w:tcPr>
          <w:p>
            <w:pPr>
              <w:rPr>
                <w:rFonts w:ascii="Arial"/>
                <w:sz w:val="21"/>
              </w:rPr>
            </w:pPr>
            <w:r/>
          </w:p>
        </w:tc>
      </w:tr>
      <w:tr>
        <w:trPr>
          <w:trHeight w:val="473" w:hRule="atLeast"/>
        </w:trPr>
        <w:tc>
          <w:tcPr>
            <w:tcW w:w="799" w:type="dxa"/>
            <w:vAlign w:val="top"/>
          </w:tcPr>
          <w:p>
            <w:pPr>
              <w:pStyle w:val="TableText"/>
              <w:ind w:left="350"/>
              <w:spacing w:before="158" w:line="182" w:lineRule="auto"/>
              <w:rPr/>
            </w:pPr>
            <w:r>
              <w:rPr/>
              <w:t>7</w:t>
            </w:r>
          </w:p>
        </w:tc>
        <w:tc>
          <w:tcPr>
            <w:tcW w:w="1458" w:type="dxa"/>
            <w:vAlign w:val="top"/>
          </w:tcPr>
          <w:p>
            <w:pPr>
              <w:rPr>
                <w:rFonts w:ascii="Arial"/>
                <w:sz w:val="21"/>
              </w:rPr>
            </w:pPr>
            <w:r/>
          </w:p>
        </w:tc>
        <w:tc>
          <w:tcPr>
            <w:tcW w:w="3449" w:type="dxa"/>
            <w:vAlign w:val="top"/>
          </w:tcPr>
          <w:p>
            <w:pPr>
              <w:rPr>
                <w:rFonts w:ascii="Arial"/>
                <w:sz w:val="21"/>
              </w:rPr>
            </w:pPr>
            <w:r/>
          </w:p>
        </w:tc>
        <w:tc>
          <w:tcPr>
            <w:tcW w:w="1431" w:type="dxa"/>
            <w:vAlign w:val="top"/>
          </w:tcPr>
          <w:p>
            <w:pPr>
              <w:rPr>
                <w:rFonts w:ascii="Arial"/>
                <w:sz w:val="21"/>
              </w:rPr>
            </w:pPr>
            <w:r/>
          </w:p>
        </w:tc>
        <w:tc>
          <w:tcPr>
            <w:tcW w:w="3313" w:type="dxa"/>
            <w:vAlign w:val="top"/>
          </w:tcPr>
          <w:p>
            <w:pPr>
              <w:rPr>
                <w:rFonts w:ascii="Arial"/>
                <w:sz w:val="21"/>
              </w:rPr>
            </w:pPr>
            <w:r/>
          </w:p>
        </w:tc>
        <w:tc>
          <w:tcPr>
            <w:tcW w:w="2344" w:type="dxa"/>
            <w:vAlign w:val="top"/>
          </w:tcPr>
          <w:p>
            <w:pPr>
              <w:rPr>
                <w:rFonts w:ascii="Arial"/>
                <w:sz w:val="21"/>
              </w:rPr>
            </w:pPr>
            <w:r/>
          </w:p>
        </w:tc>
        <w:tc>
          <w:tcPr>
            <w:tcW w:w="1384" w:type="dxa"/>
            <w:vAlign w:val="top"/>
          </w:tcPr>
          <w:p>
            <w:pPr>
              <w:rPr>
                <w:rFonts w:ascii="Arial"/>
                <w:sz w:val="21"/>
              </w:rPr>
            </w:pPr>
            <w:r/>
          </w:p>
        </w:tc>
      </w:tr>
      <w:tr>
        <w:trPr>
          <w:trHeight w:val="473" w:hRule="atLeast"/>
        </w:trPr>
        <w:tc>
          <w:tcPr>
            <w:tcW w:w="799" w:type="dxa"/>
            <w:vAlign w:val="top"/>
          </w:tcPr>
          <w:p>
            <w:pPr>
              <w:pStyle w:val="TableText"/>
              <w:ind w:left="346"/>
              <w:spacing w:before="158" w:line="183" w:lineRule="auto"/>
              <w:rPr/>
            </w:pPr>
            <w:r>
              <w:rPr/>
              <w:t>8</w:t>
            </w:r>
          </w:p>
        </w:tc>
        <w:tc>
          <w:tcPr>
            <w:tcW w:w="1458" w:type="dxa"/>
            <w:vAlign w:val="top"/>
          </w:tcPr>
          <w:p>
            <w:pPr>
              <w:rPr>
                <w:rFonts w:ascii="Arial"/>
                <w:sz w:val="21"/>
              </w:rPr>
            </w:pPr>
            <w:r/>
          </w:p>
        </w:tc>
        <w:tc>
          <w:tcPr>
            <w:tcW w:w="3449" w:type="dxa"/>
            <w:vAlign w:val="top"/>
          </w:tcPr>
          <w:p>
            <w:pPr>
              <w:rPr>
                <w:rFonts w:ascii="Arial"/>
                <w:sz w:val="21"/>
              </w:rPr>
            </w:pPr>
            <w:r/>
          </w:p>
        </w:tc>
        <w:tc>
          <w:tcPr>
            <w:tcW w:w="1431" w:type="dxa"/>
            <w:vAlign w:val="top"/>
          </w:tcPr>
          <w:p>
            <w:pPr>
              <w:rPr>
                <w:rFonts w:ascii="Arial"/>
                <w:sz w:val="21"/>
              </w:rPr>
            </w:pPr>
            <w:r/>
          </w:p>
        </w:tc>
        <w:tc>
          <w:tcPr>
            <w:tcW w:w="3313" w:type="dxa"/>
            <w:vAlign w:val="top"/>
          </w:tcPr>
          <w:p>
            <w:pPr>
              <w:rPr>
                <w:rFonts w:ascii="Arial"/>
                <w:sz w:val="21"/>
              </w:rPr>
            </w:pPr>
            <w:r/>
          </w:p>
        </w:tc>
        <w:tc>
          <w:tcPr>
            <w:tcW w:w="2344" w:type="dxa"/>
            <w:vAlign w:val="top"/>
          </w:tcPr>
          <w:p>
            <w:pPr>
              <w:rPr>
                <w:rFonts w:ascii="Arial"/>
                <w:sz w:val="21"/>
              </w:rPr>
            </w:pPr>
            <w:r/>
          </w:p>
        </w:tc>
        <w:tc>
          <w:tcPr>
            <w:tcW w:w="1384" w:type="dxa"/>
            <w:vAlign w:val="top"/>
          </w:tcPr>
          <w:p>
            <w:pPr>
              <w:rPr>
                <w:rFonts w:ascii="Arial"/>
                <w:sz w:val="21"/>
              </w:rPr>
            </w:pPr>
            <w:r/>
          </w:p>
        </w:tc>
      </w:tr>
      <w:tr>
        <w:trPr>
          <w:trHeight w:val="473" w:hRule="atLeast"/>
        </w:trPr>
        <w:tc>
          <w:tcPr>
            <w:tcW w:w="799" w:type="dxa"/>
            <w:vAlign w:val="top"/>
          </w:tcPr>
          <w:p>
            <w:pPr>
              <w:pStyle w:val="TableText"/>
              <w:ind w:left="346"/>
              <w:spacing w:before="158" w:line="183" w:lineRule="auto"/>
              <w:rPr/>
            </w:pPr>
            <w:r>
              <w:rPr/>
              <w:t>9</w:t>
            </w:r>
          </w:p>
        </w:tc>
        <w:tc>
          <w:tcPr>
            <w:tcW w:w="1458" w:type="dxa"/>
            <w:vAlign w:val="top"/>
          </w:tcPr>
          <w:p>
            <w:pPr>
              <w:rPr>
                <w:rFonts w:ascii="Arial"/>
                <w:sz w:val="21"/>
              </w:rPr>
            </w:pPr>
            <w:r/>
          </w:p>
        </w:tc>
        <w:tc>
          <w:tcPr>
            <w:tcW w:w="3449" w:type="dxa"/>
            <w:vAlign w:val="top"/>
          </w:tcPr>
          <w:p>
            <w:pPr>
              <w:rPr>
                <w:rFonts w:ascii="Arial"/>
                <w:sz w:val="21"/>
              </w:rPr>
            </w:pPr>
            <w:r/>
          </w:p>
        </w:tc>
        <w:tc>
          <w:tcPr>
            <w:tcW w:w="1431" w:type="dxa"/>
            <w:vAlign w:val="top"/>
          </w:tcPr>
          <w:p>
            <w:pPr>
              <w:rPr>
                <w:rFonts w:ascii="Arial"/>
                <w:sz w:val="21"/>
              </w:rPr>
            </w:pPr>
            <w:r/>
          </w:p>
        </w:tc>
        <w:tc>
          <w:tcPr>
            <w:tcW w:w="3313" w:type="dxa"/>
            <w:vAlign w:val="top"/>
          </w:tcPr>
          <w:p>
            <w:pPr>
              <w:rPr>
                <w:rFonts w:ascii="Arial"/>
                <w:sz w:val="21"/>
              </w:rPr>
            </w:pPr>
            <w:r/>
          </w:p>
        </w:tc>
        <w:tc>
          <w:tcPr>
            <w:tcW w:w="2344" w:type="dxa"/>
            <w:vAlign w:val="top"/>
          </w:tcPr>
          <w:p>
            <w:pPr>
              <w:rPr>
                <w:rFonts w:ascii="Arial"/>
                <w:sz w:val="21"/>
              </w:rPr>
            </w:pPr>
            <w:r/>
          </w:p>
        </w:tc>
        <w:tc>
          <w:tcPr>
            <w:tcW w:w="1384" w:type="dxa"/>
            <w:vAlign w:val="top"/>
          </w:tcPr>
          <w:p>
            <w:pPr>
              <w:rPr>
                <w:rFonts w:ascii="Arial"/>
                <w:sz w:val="21"/>
              </w:rPr>
            </w:pPr>
            <w:r/>
          </w:p>
        </w:tc>
      </w:tr>
      <w:tr>
        <w:trPr>
          <w:trHeight w:val="473" w:hRule="atLeast"/>
        </w:trPr>
        <w:tc>
          <w:tcPr>
            <w:tcW w:w="799" w:type="dxa"/>
            <w:vAlign w:val="top"/>
          </w:tcPr>
          <w:p>
            <w:pPr>
              <w:pStyle w:val="TableText"/>
              <w:ind w:left="302"/>
              <w:spacing w:before="156" w:line="184" w:lineRule="auto"/>
              <w:rPr/>
            </w:pPr>
            <w:r>
              <w:rPr>
                <w:spacing w:val="-14"/>
              </w:rPr>
              <w:t>10</w:t>
            </w:r>
          </w:p>
        </w:tc>
        <w:tc>
          <w:tcPr>
            <w:tcW w:w="1458" w:type="dxa"/>
            <w:vAlign w:val="top"/>
          </w:tcPr>
          <w:p>
            <w:pPr>
              <w:rPr>
                <w:rFonts w:ascii="Arial"/>
                <w:sz w:val="21"/>
              </w:rPr>
            </w:pPr>
            <w:r/>
          </w:p>
        </w:tc>
        <w:tc>
          <w:tcPr>
            <w:tcW w:w="3449" w:type="dxa"/>
            <w:vAlign w:val="top"/>
          </w:tcPr>
          <w:p>
            <w:pPr>
              <w:rPr>
                <w:rFonts w:ascii="Arial"/>
                <w:sz w:val="21"/>
              </w:rPr>
            </w:pPr>
            <w:r/>
          </w:p>
        </w:tc>
        <w:tc>
          <w:tcPr>
            <w:tcW w:w="1431" w:type="dxa"/>
            <w:vAlign w:val="top"/>
          </w:tcPr>
          <w:p>
            <w:pPr>
              <w:rPr>
                <w:rFonts w:ascii="Arial"/>
                <w:sz w:val="21"/>
              </w:rPr>
            </w:pPr>
            <w:r/>
          </w:p>
        </w:tc>
        <w:tc>
          <w:tcPr>
            <w:tcW w:w="3313" w:type="dxa"/>
            <w:vAlign w:val="top"/>
          </w:tcPr>
          <w:p>
            <w:pPr>
              <w:rPr>
                <w:rFonts w:ascii="Arial"/>
                <w:sz w:val="21"/>
              </w:rPr>
            </w:pPr>
            <w:r/>
          </w:p>
        </w:tc>
        <w:tc>
          <w:tcPr>
            <w:tcW w:w="2344" w:type="dxa"/>
            <w:vAlign w:val="top"/>
          </w:tcPr>
          <w:p>
            <w:pPr>
              <w:rPr>
                <w:rFonts w:ascii="Arial"/>
                <w:sz w:val="21"/>
              </w:rPr>
            </w:pPr>
            <w:r/>
          </w:p>
        </w:tc>
        <w:tc>
          <w:tcPr>
            <w:tcW w:w="1384" w:type="dxa"/>
            <w:vAlign w:val="top"/>
          </w:tcPr>
          <w:p>
            <w:pPr>
              <w:rPr>
                <w:rFonts w:ascii="Arial"/>
                <w:sz w:val="21"/>
              </w:rPr>
            </w:pPr>
            <w:r/>
          </w:p>
        </w:tc>
      </w:tr>
      <w:tr>
        <w:trPr>
          <w:trHeight w:val="473" w:hRule="atLeast"/>
        </w:trPr>
        <w:tc>
          <w:tcPr>
            <w:tcW w:w="799" w:type="dxa"/>
            <w:vAlign w:val="top"/>
          </w:tcPr>
          <w:p>
            <w:pPr>
              <w:pStyle w:val="TableText"/>
              <w:ind w:left="302"/>
              <w:spacing w:before="156" w:line="184" w:lineRule="auto"/>
              <w:rPr/>
            </w:pPr>
            <w:r>
              <w:rPr>
                <w:spacing w:val="-14"/>
              </w:rPr>
              <w:t>11</w:t>
            </w:r>
          </w:p>
        </w:tc>
        <w:tc>
          <w:tcPr>
            <w:tcW w:w="1458" w:type="dxa"/>
            <w:vAlign w:val="top"/>
          </w:tcPr>
          <w:p>
            <w:pPr>
              <w:rPr>
                <w:rFonts w:ascii="Arial"/>
                <w:sz w:val="21"/>
              </w:rPr>
            </w:pPr>
            <w:r/>
          </w:p>
        </w:tc>
        <w:tc>
          <w:tcPr>
            <w:tcW w:w="3449" w:type="dxa"/>
            <w:vAlign w:val="top"/>
          </w:tcPr>
          <w:p>
            <w:pPr>
              <w:rPr>
                <w:rFonts w:ascii="Arial"/>
                <w:sz w:val="21"/>
              </w:rPr>
            </w:pPr>
            <w:r/>
          </w:p>
        </w:tc>
        <w:tc>
          <w:tcPr>
            <w:tcW w:w="1431" w:type="dxa"/>
            <w:vAlign w:val="top"/>
          </w:tcPr>
          <w:p>
            <w:pPr>
              <w:rPr>
                <w:rFonts w:ascii="Arial"/>
                <w:sz w:val="21"/>
              </w:rPr>
            </w:pPr>
            <w:r/>
          </w:p>
        </w:tc>
        <w:tc>
          <w:tcPr>
            <w:tcW w:w="3313" w:type="dxa"/>
            <w:vAlign w:val="top"/>
          </w:tcPr>
          <w:p>
            <w:pPr>
              <w:rPr>
                <w:rFonts w:ascii="Arial"/>
                <w:sz w:val="21"/>
              </w:rPr>
            </w:pPr>
            <w:r/>
          </w:p>
        </w:tc>
        <w:tc>
          <w:tcPr>
            <w:tcW w:w="2344" w:type="dxa"/>
            <w:vAlign w:val="top"/>
          </w:tcPr>
          <w:p>
            <w:pPr>
              <w:rPr>
                <w:rFonts w:ascii="Arial"/>
                <w:sz w:val="21"/>
              </w:rPr>
            </w:pPr>
            <w:r/>
          </w:p>
        </w:tc>
        <w:tc>
          <w:tcPr>
            <w:tcW w:w="1384" w:type="dxa"/>
            <w:vAlign w:val="top"/>
          </w:tcPr>
          <w:p>
            <w:pPr>
              <w:rPr>
                <w:rFonts w:ascii="Arial"/>
                <w:sz w:val="21"/>
              </w:rPr>
            </w:pPr>
            <w:r/>
          </w:p>
        </w:tc>
      </w:tr>
      <w:tr>
        <w:trPr>
          <w:trHeight w:val="473" w:hRule="atLeast"/>
        </w:trPr>
        <w:tc>
          <w:tcPr>
            <w:tcW w:w="799" w:type="dxa"/>
            <w:vAlign w:val="top"/>
          </w:tcPr>
          <w:p>
            <w:pPr>
              <w:pStyle w:val="TableText"/>
              <w:ind w:left="302"/>
              <w:spacing w:before="155" w:line="184" w:lineRule="auto"/>
              <w:rPr/>
            </w:pPr>
            <w:r>
              <w:rPr>
                <w:spacing w:val="-14"/>
              </w:rPr>
              <w:t>12</w:t>
            </w:r>
          </w:p>
        </w:tc>
        <w:tc>
          <w:tcPr>
            <w:tcW w:w="1458" w:type="dxa"/>
            <w:vAlign w:val="top"/>
          </w:tcPr>
          <w:p>
            <w:pPr>
              <w:rPr>
                <w:rFonts w:ascii="Arial"/>
                <w:sz w:val="21"/>
              </w:rPr>
            </w:pPr>
            <w:r/>
          </w:p>
        </w:tc>
        <w:tc>
          <w:tcPr>
            <w:tcW w:w="3449" w:type="dxa"/>
            <w:vAlign w:val="top"/>
          </w:tcPr>
          <w:p>
            <w:pPr>
              <w:rPr>
                <w:rFonts w:ascii="Arial"/>
                <w:sz w:val="21"/>
              </w:rPr>
            </w:pPr>
            <w:r/>
          </w:p>
        </w:tc>
        <w:tc>
          <w:tcPr>
            <w:tcW w:w="1431" w:type="dxa"/>
            <w:vAlign w:val="top"/>
          </w:tcPr>
          <w:p>
            <w:pPr>
              <w:rPr>
                <w:rFonts w:ascii="Arial"/>
                <w:sz w:val="21"/>
              </w:rPr>
            </w:pPr>
            <w:r/>
          </w:p>
        </w:tc>
        <w:tc>
          <w:tcPr>
            <w:tcW w:w="3313" w:type="dxa"/>
            <w:vAlign w:val="top"/>
          </w:tcPr>
          <w:p>
            <w:pPr>
              <w:rPr>
                <w:rFonts w:ascii="Arial"/>
                <w:sz w:val="21"/>
              </w:rPr>
            </w:pPr>
            <w:r/>
          </w:p>
        </w:tc>
        <w:tc>
          <w:tcPr>
            <w:tcW w:w="2344" w:type="dxa"/>
            <w:vAlign w:val="top"/>
          </w:tcPr>
          <w:p>
            <w:pPr>
              <w:rPr>
                <w:rFonts w:ascii="Arial"/>
                <w:sz w:val="21"/>
              </w:rPr>
            </w:pPr>
            <w:r/>
          </w:p>
        </w:tc>
        <w:tc>
          <w:tcPr>
            <w:tcW w:w="1384" w:type="dxa"/>
            <w:vAlign w:val="top"/>
          </w:tcPr>
          <w:p>
            <w:pPr>
              <w:rPr>
                <w:rFonts w:ascii="Arial"/>
                <w:sz w:val="21"/>
              </w:rPr>
            </w:pPr>
            <w:r/>
          </w:p>
        </w:tc>
      </w:tr>
      <w:tr>
        <w:trPr>
          <w:trHeight w:val="477" w:hRule="atLeast"/>
        </w:trPr>
        <w:tc>
          <w:tcPr>
            <w:tcW w:w="799" w:type="dxa"/>
            <w:vAlign w:val="top"/>
          </w:tcPr>
          <w:p>
            <w:pPr>
              <w:pStyle w:val="TableText"/>
              <w:ind w:left="302"/>
              <w:spacing w:before="155" w:line="184" w:lineRule="auto"/>
              <w:rPr/>
            </w:pPr>
            <w:r>
              <w:rPr>
                <w:spacing w:val="-14"/>
              </w:rPr>
              <w:t>13</w:t>
            </w:r>
          </w:p>
        </w:tc>
        <w:tc>
          <w:tcPr>
            <w:tcW w:w="1458" w:type="dxa"/>
            <w:vAlign w:val="top"/>
          </w:tcPr>
          <w:p>
            <w:pPr>
              <w:rPr>
                <w:rFonts w:ascii="Arial"/>
                <w:sz w:val="21"/>
              </w:rPr>
            </w:pPr>
            <w:r/>
          </w:p>
        </w:tc>
        <w:tc>
          <w:tcPr>
            <w:tcW w:w="3449" w:type="dxa"/>
            <w:vAlign w:val="top"/>
          </w:tcPr>
          <w:p>
            <w:pPr>
              <w:rPr>
                <w:rFonts w:ascii="Arial"/>
                <w:sz w:val="21"/>
              </w:rPr>
            </w:pPr>
            <w:r/>
          </w:p>
        </w:tc>
        <w:tc>
          <w:tcPr>
            <w:tcW w:w="1431" w:type="dxa"/>
            <w:vAlign w:val="top"/>
          </w:tcPr>
          <w:p>
            <w:pPr>
              <w:rPr>
                <w:rFonts w:ascii="Arial"/>
                <w:sz w:val="21"/>
              </w:rPr>
            </w:pPr>
            <w:r/>
          </w:p>
        </w:tc>
        <w:tc>
          <w:tcPr>
            <w:tcW w:w="3313" w:type="dxa"/>
            <w:vAlign w:val="top"/>
          </w:tcPr>
          <w:p>
            <w:pPr>
              <w:rPr>
                <w:rFonts w:ascii="Arial"/>
                <w:sz w:val="21"/>
              </w:rPr>
            </w:pPr>
            <w:r/>
          </w:p>
        </w:tc>
        <w:tc>
          <w:tcPr>
            <w:tcW w:w="2344" w:type="dxa"/>
            <w:vAlign w:val="top"/>
          </w:tcPr>
          <w:p>
            <w:pPr>
              <w:rPr>
                <w:rFonts w:ascii="Arial"/>
                <w:sz w:val="21"/>
              </w:rPr>
            </w:pPr>
            <w:r/>
          </w:p>
        </w:tc>
        <w:tc>
          <w:tcPr>
            <w:tcW w:w="1384" w:type="dxa"/>
            <w:vAlign w:val="top"/>
          </w:tcPr>
          <w:p>
            <w:pPr>
              <w:rPr>
                <w:rFonts w:ascii="Arial"/>
                <w:sz w:val="21"/>
              </w:rPr>
            </w:pPr>
            <w:r/>
          </w:p>
        </w:tc>
      </w:tr>
    </w:tbl>
    <w:p>
      <w:pPr>
        <w:pStyle w:val="BodyText"/>
        <w:rPr/>
      </w:pPr>
      <w:r/>
    </w:p>
    <w:p>
      <w:pPr>
        <w:sectPr>
          <w:footerReference w:type="default" r:id="rId256"/>
          <w:pgSz w:w="16839" w:h="11906"/>
          <w:pgMar w:top="400" w:right="1327" w:bottom="1156" w:left="1327" w:header="0" w:footer="994" w:gutter="0"/>
        </w:sectPr>
        <w:rPr/>
      </w:pP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spacing w:line="8580" w:lineRule="exact"/>
        <w:rPr/>
      </w:pPr>
      <w:r>
        <w:rPr>
          <w:position w:val="-171"/>
        </w:rPr>
        <w:drawing>
          <wp:inline distT="0" distB="0" distL="0" distR="0">
            <wp:extent cx="9685337" cy="5448007"/>
            <wp:effectExtent l="0" t="0" r="0" b="0"/>
            <wp:docPr id="232" name="IM 232"/>
            <wp:cNvGraphicFramePr/>
            <a:graphic>
              <a:graphicData uri="http://schemas.openxmlformats.org/drawingml/2006/picture">
                <pic:pic>
                  <pic:nvPicPr>
                    <pic:cNvPr id="232" name="IM 232"/>
                    <pic:cNvPicPr/>
                  </pic:nvPicPr>
                  <pic:blipFill>
                    <a:blip r:embed="rId267"/>
                    <a:stretch>
                      <a:fillRect/>
                    </a:stretch>
                  </pic:blipFill>
                  <pic:spPr>
                    <a:xfrm rot="0">
                      <a:off x="0" y="0"/>
                      <a:ext cx="9685337" cy="5448007"/>
                    </a:xfrm>
                    <a:prstGeom prst="rect">
                      <a:avLst/>
                    </a:prstGeom>
                  </pic:spPr>
                </pic:pic>
              </a:graphicData>
            </a:graphic>
          </wp:inline>
        </w:drawing>
      </w:r>
    </w:p>
    <w:p>
      <w:pPr>
        <w:spacing w:line="8580" w:lineRule="exact"/>
        <w:sectPr>
          <w:footerReference w:type="default" r:id="rId16"/>
          <w:pgSz w:w="16840" w:h="11907"/>
          <w:pgMar w:top="400" w:right="793" w:bottom="400" w:left="793" w:header="0" w:footer="0" w:gutter="0"/>
        </w:sectPr>
        <w:rPr/>
      </w:pP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spacing w:before="84" w:line="177" w:lineRule="auto"/>
        <w:jc w:val="right"/>
        <w:rPr>
          <w:rFonts w:ascii="SimSun" w:hAnsi="SimSun" w:eastAsia="SimSun" w:cs="SimSun"/>
          <w:sz w:val="26"/>
          <w:szCs w:val="26"/>
        </w:rPr>
      </w:pPr>
      <w:hyperlink w:history="true" r:id="rId269">
        <w:r>
          <w:rPr>
            <w:rFonts w:ascii="SimSun" w:hAnsi="SimSun" w:eastAsia="SimSun" w:cs="SimSun"/>
            <w:sz w:val="26"/>
            <w:szCs w:val="26"/>
            <w:spacing w:val="-2"/>
          </w:rPr>
          <w:t>扫描全能王 创建</w:t>
        </w:r>
      </w:hyperlink>
    </w:p>
    <w:p>
      <w:pPr>
        <w:spacing w:line="177" w:lineRule="auto"/>
        <w:sectPr>
          <w:headerReference w:type="default" r:id="rId268"/>
          <w:pgSz w:w="11900" w:h="16840"/>
          <w:pgMar w:top="400" w:right="390" w:bottom="343" w:left="734" w:header="0" w:footer="0" w:gutter="0"/>
        </w:sectPr>
        <w:rPr>
          <w:rFonts w:ascii="SimSun" w:hAnsi="SimSun" w:eastAsia="SimSun" w:cs="SimSun"/>
          <w:sz w:val="26"/>
          <w:szCs w:val="26"/>
        </w:rPr>
      </w:pP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spacing w:before="84" w:line="177" w:lineRule="auto"/>
        <w:jc w:val="right"/>
        <w:rPr>
          <w:rFonts w:ascii="SimSun" w:hAnsi="SimSun" w:eastAsia="SimSun" w:cs="SimSun"/>
          <w:sz w:val="26"/>
          <w:szCs w:val="26"/>
        </w:rPr>
      </w:pPr>
      <w:hyperlink w:history="true" r:id="rId269">
        <w:r>
          <w:rPr>
            <w:rFonts w:ascii="SimSun" w:hAnsi="SimSun" w:eastAsia="SimSun" w:cs="SimSun"/>
            <w:sz w:val="26"/>
            <w:szCs w:val="26"/>
            <w:spacing w:val="-2"/>
          </w:rPr>
          <w:t>扫描全能王 创建</w:t>
        </w:r>
      </w:hyperlink>
    </w:p>
    <w:p>
      <w:pPr>
        <w:spacing w:line="177" w:lineRule="auto"/>
        <w:sectPr>
          <w:headerReference w:type="default" r:id="rId270"/>
          <w:pgSz w:w="11900" w:h="16840"/>
          <w:pgMar w:top="400" w:right="390" w:bottom="343" w:left="678" w:header="0" w:footer="0" w:gutter="0"/>
        </w:sectPr>
        <w:rPr>
          <w:rFonts w:ascii="SimSun" w:hAnsi="SimSun" w:eastAsia="SimSun" w:cs="SimSun"/>
          <w:sz w:val="26"/>
          <w:szCs w:val="26"/>
        </w:rPr>
      </w:pPr>
    </w:p>
    <w:p>
      <w:pPr>
        <w:pStyle w:val="BodyText"/>
        <w:spacing w:line="270" w:lineRule="auto"/>
        <w:rPr/>
      </w:pPr>
      <w:r>
        <w:drawing>
          <wp:anchor distT="0" distB="0" distL="0" distR="0" simplePos="0" relativeHeight="254988288" behindDoc="0" locked="0" layoutInCell="0" allowOverlap="1">
            <wp:simplePos x="0" y="0"/>
            <wp:positionH relativeFrom="page">
              <wp:posOffset>5594604</wp:posOffset>
            </wp:positionH>
            <wp:positionV relativeFrom="page">
              <wp:posOffset>1354073</wp:posOffset>
            </wp:positionV>
            <wp:extent cx="4183379" cy="5049011"/>
            <wp:effectExtent l="0" t="0" r="0" b="0"/>
            <wp:wrapNone/>
            <wp:docPr id="238" name="IM 238"/>
            <wp:cNvGraphicFramePr/>
            <a:graphic>
              <a:graphicData uri="http://schemas.openxmlformats.org/drawingml/2006/picture">
                <pic:pic>
                  <pic:nvPicPr>
                    <pic:cNvPr id="238" name="IM 238"/>
                    <pic:cNvPicPr/>
                  </pic:nvPicPr>
                  <pic:blipFill>
                    <a:blip r:embed="rId271"/>
                    <a:stretch>
                      <a:fillRect/>
                    </a:stretch>
                  </pic:blipFill>
                  <pic:spPr>
                    <a:xfrm rot="0">
                      <a:off x="0" y="0"/>
                      <a:ext cx="4183379" cy="5049011"/>
                    </a:xfrm>
                    <a:prstGeom prst="rect">
                      <a:avLst/>
                    </a:prstGeom>
                  </pic:spPr>
                </pic:pic>
              </a:graphicData>
            </a:graphic>
          </wp:anchor>
        </w:drawing>
      </w:r>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0" w:lineRule="auto"/>
        <w:rPr/>
      </w:pPr>
      <w:r/>
    </w:p>
    <w:p>
      <w:pPr>
        <w:ind w:left="37"/>
        <w:spacing w:before="78" w:line="219" w:lineRule="auto"/>
        <w:rPr>
          <w:rFonts w:ascii="SimSun" w:hAnsi="SimSun" w:eastAsia="SimSun" w:cs="SimSun"/>
          <w:sz w:val="24"/>
          <w:szCs w:val="24"/>
        </w:rPr>
      </w:pPr>
      <w:r>
        <w:rPr>
          <w:rFonts w:ascii="SimSun" w:hAnsi="SimSun" w:eastAsia="SimSun" w:cs="SimSun"/>
          <w:sz w:val="24"/>
          <w:szCs w:val="24"/>
          <w:spacing w:val="-4"/>
        </w:rPr>
        <w:t>附件</w:t>
      </w:r>
      <w:r>
        <w:rPr>
          <w:rFonts w:ascii="SimSun" w:hAnsi="SimSun" w:eastAsia="SimSun" w:cs="SimSun"/>
          <w:sz w:val="24"/>
          <w:szCs w:val="24"/>
          <w:spacing w:val="-46"/>
        </w:rPr>
        <w:t xml:space="preserve"> </w:t>
      </w:r>
      <w:r>
        <w:rPr>
          <w:rFonts w:ascii="SimSun" w:hAnsi="SimSun" w:eastAsia="SimSun" w:cs="SimSun"/>
          <w:sz w:val="24"/>
          <w:szCs w:val="24"/>
          <w:spacing w:val="-4"/>
        </w:rPr>
        <w:t>6 工业用地许可证</w:t>
      </w:r>
    </w:p>
    <w:p>
      <w:pPr>
        <w:spacing w:before="14" w:line="7975" w:lineRule="exact"/>
        <w:rPr/>
      </w:pPr>
      <w:r>
        <w:rPr>
          <w:position w:val="-159"/>
        </w:rPr>
        <w:drawing>
          <wp:inline distT="0" distB="0" distL="0" distR="0">
            <wp:extent cx="4361688" cy="5064252"/>
            <wp:effectExtent l="0" t="0" r="0" b="0"/>
            <wp:docPr id="240" name="IM 240"/>
            <wp:cNvGraphicFramePr/>
            <a:graphic>
              <a:graphicData uri="http://schemas.openxmlformats.org/drawingml/2006/picture">
                <pic:pic>
                  <pic:nvPicPr>
                    <pic:cNvPr id="240" name="IM 240"/>
                    <pic:cNvPicPr/>
                  </pic:nvPicPr>
                  <pic:blipFill>
                    <a:blip r:embed="rId272"/>
                    <a:stretch>
                      <a:fillRect/>
                    </a:stretch>
                  </pic:blipFill>
                  <pic:spPr>
                    <a:xfrm rot="0">
                      <a:off x="0" y="0"/>
                      <a:ext cx="4361688" cy="5064252"/>
                    </a:xfrm>
                    <a:prstGeom prst="rect">
                      <a:avLst/>
                    </a:prstGeom>
                  </pic:spPr>
                </pic:pic>
              </a:graphicData>
            </a:graphic>
          </wp:inline>
        </w:drawing>
      </w:r>
    </w:p>
    <w:p>
      <w:pPr>
        <w:spacing w:line="7975" w:lineRule="exact"/>
        <w:sectPr>
          <w:headerReference w:type="default" r:id="rId3"/>
          <w:pgSz w:w="16839" w:h="11906"/>
          <w:pgMar w:top="400" w:right="1439" w:bottom="400" w:left="1430" w:header="0" w:footer="0" w:gutter="0"/>
        </w:sectPr>
        <w:rPr/>
      </w:pPr>
    </w:p>
    <w:p>
      <w:pPr>
        <w:pStyle w:val="BodyText"/>
        <w:spacing w:line="283" w:lineRule="auto"/>
        <w:rPr/>
      </w:pPr>
      <w:r/>
    </w:p>
    <w:p>
      <w:pPr>
        <w:pStyle w:val="BodyText"/>
        <w:spacing w:line="283" w:lineRule="auto"/>
        <w:rPr/>
      </w:pPr>
      <w:r/>
    </w:p>
    <w:p>
      <w:pPr>
        <w:pStyle w:val="BodyText"/>
        <w:spacing w:line="284" w:lineRule="auto"/>
        <w:rPr/>
      </w:pPr>
      <w:r/>
    </w:p>
    <w:p>
      <w:pPr>
        <w:pStyle w:val="BodyText"/>
        <w:spacing w:line="284" w:lineRule="auto"/>
        <w:rPr/>
      </w:pPr>
      <w:r/>
    </w:p>
    <w:p>
      <w:pPr>
        <w:pStyle w:val="BodyText"/>
        <w:spacing w:line="284" w:lineRule="auto"/>
        <w:rPr/>
      </w:pPr>
      <w:r/>
    </w:p>
    <w:p>
      <w:pPr>
        <w:spacing w:line="8294" w:lineRule="exact"/>
        <w:rPr/>
      </w:pPr>
      <w:r>
        <w:rPr>
          <w:position w:val="-165"/>
        </w:rPr>
        <w:drawing>
          <wp:inline distT="0" distB="0" distL="0" distR="0">
            <wp:extent cx="8859011" cy="5266944"/>
            <wp:effectExtent l="0" t="0" r="0" b="0"/>
            <wp:docPr id="242" name="IM 242"/>
            <wp:cNvGraphicFramePr/>
            <a:graphic>
              <a:graphicData uri="http://schemas.openxmlformats.org/drawingml/2006/picture">
                <pic:pic>
                  <pic:nvPicPr>
                    <pic:cNvPr id="242" name="IM 242"/>
                    <pic:cNvPicPr/>
                  </pic:nvPicPr>
                  <pic:blipFill>
                    <a:blip r:embed="rId273"/>
                    <a:stretch>
                      <a:fillRect/>
                    </a:stretch>
                  </pic:blipFill>
                  <pic:spPr>
                    <a:xfrm rot="0">
                      <a:off x="0" y="0"/>
                      <a:ext cx="8859011" cy="5266944"/>
                    </a:xfrm>
                    <a:prstGeom prst="rect">
                      <a:avLst/>
                    </a:prstGeom>
                  </pic:spPr>
                </pic:pic>
              </a:graphicData>
            </a:graphic>
          </wp:inline>
        </w:drawing>
      </w:r>
    </w:p>
    <w:p>
      <w:pPr>
        <w:spacing w:line="8294" w:lineRule="exact"/>
        <w:sectPr>
          <w:pgSz w:w="16839" w:h="11906"/>
          <w:pgMar w:top="400" w:right="1463" w:bottom="400" w:left="1423" w:header="0" w:footer="0" w:gutter="0"/>
        </w:sectPr>
        <w:rPr/>
      </w:pP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spacing w:before="84" w:line="177" w:lineRule="auto"/>
        <w:jc w:val="right"/>
        <w:rPr>
          <w:rFonts w:ascii="SimSun" w:hAnsi="SimSun" w:eastAsia="SimSun" w:cs="SimSun"/>
          <w:sz w:val="26"/>
          <w:szCs w:val="26"/>
        </w:rPr>
      </w:pPr>
      <w:hyperlink w:history="true" r:id="rId269">
        <w:r>
          <w:rPr>
            <w:rFonts w:ascii="SimSun" w:hAnsi="SimSun" w:eastAsia="SimSun" w:cs="SimSun"/>
            <w:sz w:val="26"/>
            <w:szCs w:val="26"/>
            <w:spacing w:val="-2"/>
          </w:rPr>
          <w:t>扫描全能王 创建</w:t>
        </w:r>
      </w:hyperlink>
    </w:p>
    <w:p>
      <w:pPr>
        <w:spacing w:line="177" w:lineRule="auto"/>
        <w:sectPr>
          <w:headerReference w:type="default" r:id="rId274"/>
          <w:pgSz w:w="11900" w:h="16840"/>
          <w:pgMar w:top="400" w:right="390" w:bottom="343" w:left="833" w:header="0" w:footer="0" w:gutter="0"/>
        </w:sectPr>
        <w:rPr>
          <w:rFonts w:ascii="SimSun" w:hAnsi="SimSun" w:eastAsia="SimSun" w:cs="SimSun"/>
          <w:sz w:val="26"/>
          <w:szCs w:val="26"/>
        </w:rPr>
      </w:pP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spacing w:before="84" w:line="177" w:lineRule="auto"/>
        <w:jc w:val="right"/>
        <w:rPr>
          <w:rFonts w:ascii="SimSun" w:hAnsi="SimSun" w:eastAsia="SimSun" w:cs="SimSun"/>
          <w:sz w:val="26"/>
          <w:szCs w:val="26"/>
        </w:rPr>
      </w:pPr>
      <w:hyperlink w:history="true" r:id="rId269">
        <w:r>
          <w:rPr>
            <w:rFonts w:ascii="SimSun" w:hAnsi="SimSun" w:eastAsia="SimSun" w:cs="SimSun"/>
            <w:sz w:val="26"/>
            <w:szCs w:val="26"/>
            <w:spacing w:val="-2"/>
          </w:rPr>
          <w:t>扫描全能王 创建</w:t>
        </w:r>
      </w:hyperlink>
    </w:p>
    <w:p>
      <w:pPr>
        <w:spacing w:line="177" w:lineRule="auto"/>
        <w:sectPr>
          <w:headerReference w:type="default" r:id="rId275"/>
          <w:pgSz w:w="11900" w:h="16840"/>
          <w:pgMar w:top="400" w:right="390" w:bottom="343" w:left="418" w:header="0" w:footer="0" w:gutter="0"/>
        </w:sectPr>
        <w:rPr>
          <w:rFonts w:ascii="SimSun" w:hAnsi="SimSun" w:eastAsia="SimSun" w:cs="SimSun"/>
          <w:sz w:val="26"/>
          <w:szCs w:val="26"/>
        </w:rPr>
      </w:pP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spacing w:before="84" w:line="177" w:lineRule="auto"/>
        <w:jc w:val="right"/>
        <w:rPr>
          <w:rFonts w:ascii="SimSun" w:hAnsi="SimSun" w:eastAsia="SimSun" w:cs="SimSun"/>
          <w:sz w:val="26"/>
          <w:szCs w:val="26"/>
        </w:rPr>
      </w:pPr>
      <w:hyperlink w:history="true" r:id="rId269">
        <w:r>
          <w:rPr>
            <w:rFonts w:ascii="SimSun" w:hAnsi="SimSun" w:eastAsia="SimSun" w:cs="SimSun"/>
            <w:sz w:val="26"/>
            <w:szCs w:val="26"/>
            <w:spacing w:val="-2"/>
          </w:rPr>
          <w:t>扫描全能王 创建</w:t>
        </w:r>
      </w:hyperlink>
    </w:p>
    <w:sectPr>
      <w:headerReference w:type="default" r:id="rId276"/>
      <w:pgSz w:w="11900" w:h="16840"/>
      <w:pgMar w:top="400" w:right="390" w:bottom="343" w:left="522"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05"/>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0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1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ftr>
</file>

<file path=word/footer1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39</w:t>
    </w:r>
  </w:p>
</w:ftr>
</file>

<file path=word/footer1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8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w:t>
    </w:r>
  </w:p>
</w:ftr>
</file>

<file path=word/footer1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w:t>
    </w:r>
  </w:p>
</w:ftr>
</file>

<file path=word/footer1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w:t>
    </w:r>
  </w:p>
</w:ftr>
</file>

<file path=word/footer1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w:t>
    </w:r>
  </w:p>
</w:ftr>
</file>

<file path=word/footer1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ftr>
</file>

<file path=word/footer1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w:t>
    </w:r>
  </w:p>
</w:ftr>
</file>

<file path=word/footer1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47</w:t>
    </w:r>
  </w:p>
</w:ftr>
</file>

<file path=word/footer1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0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1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49</w:t>
    </w:r>
  </w:p>
</w:ftr>
</file>

<file path=word/footer1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50</w:t>
    </w:r>
  </w:p>
</w:ftr>
</file>

<file path=word/footer1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51</w:t>
    </w:r>
  </w:p>
</w:ftr>
</file>

<file path=word/footer1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52</w:t>
    </w:r>
  </w:p>
</w:ftr>
</file>

<file path=word/footer1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53</w:t>
    </w:r>
  </w:p>
</w:ftr>
</file>

<file path=word/footer1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54</w:t>
    </w:r>
  </w:p>
</w:ftr>
</file>

<file path=word/footer1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4"/>
      <w:spacing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55</w:t>
    </w:r>
  </w:p>
</w:ftr>
</file>

<file path=word/footer1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56</w:t>
    </w:r>
  </w:p>
</w:ftr>
</file>

<file path=word/footer1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4"/>
      <w:spacing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57</w:t>
    </w:r>
  </w:p>
</w:ftr>
</file>

<file path=word/footer1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58</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10</w:t>
    </w:r>
  </w:p>
</w:ftr>
</file>

<file path=word/footer1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59</w:t>
    </w:r>
  </w:p>
</w:ftr>
</file>

<file path=word/footer1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60</w:t>
    </w:r>
  </w:p>
</w:ftr>
</file>

<file path=word/footer1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61</w:t>
    </w:r>
  </w:p>
</w:ftr>
</file>

<file path=word/footer1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62</w:t>
    </w:r>
  </w:p>
</w:ftr>
</file>

<file path=word/footer1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63</w:t>
    </w:r>
  </w:p>
</w:ftr>
</file>

<file path=word/footer1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64</w:t>
    </w:r>
  </w:p>
</w:ftr>
</file>

<file path=word/footer1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65</w:t>
    </w:r>
  </w:p>
</w:ftr>
</file>

<file path=word/footer1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66</w:t>
    </w:r>
  </w:p>
</w:ftr>
</file>

<file path=word/footer1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67</w:t>
    </w:r>
  </w:p>
</w:ftr>
</file>

<file path=word/footer1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68</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11</w:t>
    </w:r>
  </w:p>
</w:ftr>
</file>

<file path=word/footer1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69</w:t>
    </w:r>
  </w:p>
</w:ftr>
</file>

<file path=word/footer1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70</w:t>
    </w:r>
  </w:p>
</w:ftr>
</file>

<file path=word/footer1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0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1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2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1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3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1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2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1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82"/>
      <w:spacing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1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06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12</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13</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14</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15</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16</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17</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18</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19</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20</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21</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22</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23</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24</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25</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26</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27</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2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28</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29</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30</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31</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32</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33</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34</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35</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36</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37</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1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39</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47</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1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49</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50</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51</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52</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53</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54</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9"/>
      <w:spacing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55</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56</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7"/>
      <w:spacing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57</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1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58</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59</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60</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61</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62</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1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1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9"/>
      <w:spacing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16"/>
      <w:spacing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2"/>
      <w:spacing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10</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11</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12</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13</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14</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15</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1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16</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17</w: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18</w:t>
    </w:r>
  </w:p>
</w:ftr>
</file>

<file path=word/footer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19</w:t>
    </w:r>
  </w:p>
</w:ftr>
</file>

<file path=word/footer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20</w:t>
    </w:r>
  </w:p>
</w:ftr>
</file>

<file path=word/footer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21</w:t>
    </w:r>
  </w:p>
</w:ftr>
</file>

<file path=word/footer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22</w:t>
    </w:r>
  </w:p>
</w:ftr>
</file>

<file path=word/footer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25</w:t>
    </w:r>
  </w:p>
</w:ftr>
</file>

<file path=word/footer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26</w:t>
    </w:r>
  </w:p>
</w:ftr>
</file>

<file path=word/footer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27</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17"/>
      <w:spacing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28</w:t>
    </w:r>
  </w:p>
</w:ftr>
</file>

<file path=word/footer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29</w:t>
    </w:r>
  </w:p>
</w:ftr>
</file>

<file path=word/footer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30</w:t>
    </w:r>
  </w:p>
</w:ftr>
</file>

<file path=word/footer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31</w:t>
    </w:r>
  </w:p>
</w:ftr>
</file>

<file path=word/footer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32</w:t>
    </w:r>
  </w:p>
</w:ftr>
</file>

<file path=word/footer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33</w:t>
    </w:r>
  </w:p>
</w:ftr>
</file>

<file path=word/footer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34</w:t>
    </w:r>
  </w:p>
</w:ftr>
</file>

<file path=word/footer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35</w:t>
    </w:r>
  </w:p>
</w:ftr>
</file>

<file path=word/footer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36</w:t>
    </w:r>
  </w:p>
</w:ftr>
</file>

<file path=word/footer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37</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drawing>
        <wp:anchor distT="0" distB="0" distL="0" distR="0" simplePos="0" relativeHeight="251936768" behindDoc="0" locked="0" layoutInCell="0" allowOverlap="1">
          <wp:simplePos x="0" y="0"/>
          <wp:positionH relativeFrom="page">
            <wp:posOffset>265950</wp:posOffset>
          </wp:positionH>
          <wp:positionV relativeFrom="page">
            <wp:posOffset>0</wp:posOffset>
          </wp:positionV>
          <wp:extent cx="7024597" cy="10579100"/>
          <wp:effectExtent l="0" t="0" r="0" b="0"/>
          <wp:wrapNone/>
          <wp:docPr id="246" name="IM 246"/>
          <wp:cNvGraphicFramePr/>
          <a:graphic>
            <a:graphicData uri="http://schemas.openxmlformats.org/drawingml/2006/picture">
              <pic:pic>
                <pic:nvPicPr>
                  <pic:cNvPr id="246" name="IM 246"/>
                  <pic:cNvPicPr/>
                </pic:nvPicPr>
                <pic:blipFill>
                  <a:blip r:embed="rId1"/>
                  <a:stretch>
                    <a:fillRect/>
                  </a:stretch>
                </pic:blipFill>
                <pic:spPr>
                  <a:xfrm rot="0">
                    <a:off x="0" y="0"/>
                    <a:ext cx="7024597" cy="10579100"/>
                  </a:xfrm>
                  <a:prstGeom prst="rect">
                    <a:avLst/>
                  </a:prstGeom>
                </pic:spPr>
              </pic:pic>
            </a:graphicData>
          </a:graphic>
        </wp:anchor>
      </w:drawing>
    </w: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drawing>
        <wp:anchor distT="0" distB="0" distL="0" distR="0" simplePos="0" relativeHeight="251938816" behindDoc="0" locked="0" layoutInCell="0" allowOverlap="1">
          <wp:simplePos x="0" y="0"/>
          <wp:positionH relativeFrom="page">
            <wp:posOffset>331742</wp:posOffset>
          </wp:positionH>
          <wp:positionV relativeFrom="page">
            <wp:posOffset>0</wp:posOffset>
          </wp:positionV>
          <wp:extent cx="6893014" cy="10579100"/>
          <wp:effectExtent l="0" t="0" r="0" b="0"/>
          <wp:wrapNone/>
          <wp:docPr id="248" name="IM 248"/>
          <wp:cNvGraphicFramePr/>
          <a:graphic>
            <a:graphicData uri="http://schemas.openxmlformats.org/drawingml/2006/picture">
              <pic:pic>
                <pic:nvPicPr>
                  <pic:cNvPr id="248" name="IM 248"/>
                  <pic:cNvPicPr/>
                </pic:nvPicPr>
                <pic:blipFill>
                  <a:blip r:embed="rId1"/>
                  <a:stretch>
                    <a:fillRect/>
                  </a:stretch>
                </pic:blipFill>
                <pic:spPr>
                  <a:xfrm rot="0">
                    <a:off x="0" y="0"/>
                    <a:ext cx="6893014" cy="10579100"/>
                  </a:xfrm>
                  <a:prstGeom prst="rect">
                    <a:avLst/>
                  </a:prstGeom>
                </pic:spPr>
              </pic:pic>
            </a:graphicData>
          </a:graphic>
        </wp:anchor>
      </w:drawing>
    </w: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_x0000_s6" style="position:absolute;margin-left:136.338pt;margin-top:263.758pt;mso-position-vertical-relative:page;mso-position-horizontal-relative:page;width:14.8pt;height:45pt;z-index:251658240;" o:allowincell="f" filled="false" stroked="false" type="#_x0000_t202">
          <v:fill on="false"/>
          <v:stroke on="false"/>
          <v:path/>
          <v:imagedata o:title=""/>
          <o:lock v:ext="edit" aspectratio="false"/>
          <v:textbox inset="0mm,0mm,0mm,0mm" style="layout-flow:vertical-ideographic;">
            <w:txbxContent>
              <w:p>
                <w:pPr>
                  <w:ind w:left="20"/>
                  <w:spacing w:before="19" w:line="209" w:lineRule="auto"/>
                  <w:rPr>
                    <w:rFonts w:ascii="SimSun" w:hAnsi="SimSun" w:eastAsia="SimSun" w:cs="SimSun"/>
                    <w:sz w:val="22"/>
                    <w:szCs w:val="22"/>
                  </w:rPr>
                </w:pPr>
                <w:r>
                  <w:rPr>
                    <w:rFonts w:ascii="SimSun" w:hAnsi="SimSun" w:eastAsia="SimSun" w:cs="SimSun"/>
                    <w:sz w:val="22"/>
                    <w:szCs w:val="22"/>
                  </w:rPr>
                  <w:t>格</w:t>
                </w:r>
                <w:r>
                  <w:rPr>
                    <w:rFonts w:ascii="SimSun" w:hAnsi="SimSun" w:eastAsia="SimSun" w:cs="SimSun"/>
                    <w:sz w:val="22"/>
                    <w:szCs w:val="22"/>
                    <w:spacing w:val="-11"/>
                  </w:rPr>
                  <w:t xml:space="preserve"> </w:t>
                </w:r>
                <w:r>
                  <w:rPr>
                    <w:rFonts w:ascii="SimSun" w:hAnsi="SimSun" w:eastAsia="SimSun" w:cs="SimSun"/>
                    <w:sz w:val="22"/>
                    <w:szCs w:val="22"/>
                  </w:rPr>
                  <w:t>栅</w:t>
                </w:r>
                <w:r>
                  <w:rPr>
                    <w:rFonts w:ascii="SimSun" w:hAnsi="SimSun" w:eastAsia="SimSun" w:cs="SimSun"/>
                    <w:sz w:val="22"/>
                    <w:szCs w:val="22"/>
                    <w:spacing w:val="-11"/>
                  </w:rPr>
                  <w:t xml:space="preserve"> </w:t>
                </w:r>
                <w:r>
                  <w:rPr>
                    <w:rFonts w:ascii="SimSun" w:hAnsi="SimSun" w:eastAsia="SimSun" w:cs="SimSun"/>
                    <w:sz w:val="22"/>
                    <w:szCs w:val="22"/>
                  </w:rPr>
                  <w:t>池</w:t>
                </w:r>
              </w:p>
            </w:txbxContent>
          </v:textbox>
        </v:shape>
      </w:pict>
    </w:r>
    <w:r>
      <w:pict>
        <v:shape id="_x0000_s8" style="position:absolute;margin-left:166.473pt;margin-top:265.713pt;mso-position-vertical-relative:page;mso-position-horizontal-relative:page;width:14.1pt;height:39.7pt;z-index:251659264;" o:allowincell="f" filled="false" stroked="false" type="#_x0000_t202">
          <v:fill on="false"/>
          <v:stroke on="false"/>
          <v:path/>
          <v:imagedata o:title=""/>
          <o:lock v:ext="edit" aspectratio="false"/>
          <v:textbox inset="0mm,0mm,0mm,0mm" style="layout-flow:vertical-ideographic;">
            <w:txbxContent>
              <w:p>
                <w:pPr>
                  <w:ind w:left="20"/>
                  <w:spacing w:before="20" w:line="216" w:lineRule="auto"/>
                  <w:rPr>
                    <w:rFonts w:ascii="SimSun" w:hAnsi="SimSun" w:eastAsia="SimSun" w:cs="SimSun"/>
                    <w:sz w:val="20"/>
                    <w:szCs w:val="20"/>
                  </w:rPr>
                </w:pPr>
                <w:r>
                  <w:rPr>
                    <w:rFonts w:ascii="SimSun" w:hAnsi="SimSun" w:eastAsia="SimSun" w:cs="SimSun"/>
                    <w:sz w:val="20"/>
                    <w:szCs w:val="20"/>
                    <w:spacing w:val="8"/>
                  </w:rPr>
                  <w:t>调</w:t>
                </w:r>
                <w:r>
                  <w:rPr>
                    <w:rFonts w:ascii="SimSun" w:hAnsi="SimSun" w:eastAsia="SimSun" w:cs="SimSun"/>
                    <w:sz w:val="20"/>
                    <w:szCs w:val="20"/>
                    <w:spacing w:val="-34"/>
                  </w:rPr>
                  <w:t xml:space="preserve"> </w:t>
                </w:r>
                <w:r>
                  <w:rPr>
                    <w:rFonts w:ascii="SimSun" w:hAnsi="SimSun" w:eastAsia="SimSun" w:cs="SimSun"/>
                    <w:sz w:val="20"/>
                    <w:szCs w:val="20"/>
                    <w:spacing w:val="8"/>
                  </w:rPr>
                  <w:t>节</w:t>
                </w:r>
                <w:r>
                  <w:rPr>
                    <w:rFonts w:ascii="SimSun" w:hAnsi="SimSun" w:eastAsia="SimSun" w:cs="SimSun"/>
                    <w:sz w:val="20"/>
                    <w:szCs w:val="20"/>
                    <w:spacing w:val="-38"/>
                  </w:rPr>
                  <w:t xml:space="preserve"> </w:t>
                </w:r>
                <w:r>
                  <w:rPr>
                    <w:rFonts w:ascii="SimSun" w:hAnsi="SimSun" w:eastAsia="SimSun" w:cs="SimSun"/>
                    <w:sz w:val="20"/>
                    <w:szCs w:val="20"/>
                    <w:spacing w:val="8"/>
                  </w:rPr>
                  <w:t>池</w:t>
                </w:r>
              </w:p>
            </w:txbxContent>
          </v:textbox>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drawing>
        <wp:anchor distT="0" distB="0" distL="0" distR="0" simplePos="0" relativeHeight="251795456" behindDoc="0" locked="0" layoutInCell="0" allowOverlap="1">
          <wp:simplePos x="0" y="0"/>
          <wp:positionH relativeFrom="page">
            <wp:posOffset>600456</wp:posOffset>
          </wp:positionH>
          <wp:positionV relativeFrom="page">
            <wp:posOffset>858011</wp:posOffset>
          </wp:positionV>
          <wp:extent cx="9410700" cy="5686044"/>
          <wp:effectExtent l="0" t="0" r="0" b="0"/>
          <wp:wrapNone/>
          <wp:docPr id="136" name="IM 136"/>
          <wp:cNvGraphicFramePr/>
          <a:graphic>
            <a:graphicData uri="http://schemas.openxmlformats.org/drawingml/2006/picture">
              <pic:pic>
                <pic:nvPicPr>
                  <pic:cNvPr id="136" name="IM 136"/>
                  <pic:cNvPicPr/>
                </pic:nvPicPr>
                <pic:blipFill>
                  <a:blip r:embed="rId1"/>
                  <a:stretch>
                    <a:fillRect/>
                  </a:stretch>
                </pic:blipFill>
                <pic:spPr>
                  <a:xfrm rot="0">
                    <a:off x="0" y="0"/>
                    <a:ext cx="9410700" cy="5686044"/>
                  </a:xfrm>
                  <a:prstGeom prst="rect">
                    <a:avLst/>
                  </a:prstGeom>
                </pic:spPr>
              </pic:pic>
            </a:graphicData>
          </a:graphic>
        </wp:anchor>
      </w:drawing>
    </w: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drawing>
        <wp:anchor distT="0" distB="0" distL="0" distR="0" simplePos="0" relativeHeight="251832320" behindDoc="0" locked="0" layoutInCell="0" allowOverlap="1">
          <wp:simplePos x="0" y="0"/>
          <wp:positionH relativeFrom="page">
            <wp:posOffset>914400</wp:posOffset>
          </wp:positionH>
          <wp:positionV relativeFrom="page">
            <wp:posOffset>915924</wp:posOffset>
          </wp:positionV>
          <wp:extent cx="8855964" cy="5713475"/>
          <wp:effectExtent l="0" t="0" r="0" b="0"/>
          <wp:wrapNone/>
          <wp:docPr id="186" name="IM 186"/>
          <wp:cNvGraphicFramePr/>
          <a:graphic>
            <a:graphicData uri="http://schemas.openxmlformats.org/drawingml/2006/picture">
              <pic:pic>
                <pic:nvPicPr>
                  <pic:cNvPr id="186" name="IM 186"/>
                  <pic:cNvPicPr/>
                </pic:nvPicPr>
                <pic:blipFill>
                  <a:blip r:embed="rId1"/>
                  <a:stretch>
                    <a:fillRect/>
                  </a:stretch>
                </pic:blipFill>
                <pic:spPr>
                  <a:xfrm rot="0">
                    <a:off x="0" y="0"/>
                    <a:ext cx="8855964" cy="5713475"/>
                  </a:xfrm>
                  <a:prstGeom prst="rect">
                    <a:avLst/>
                  </a:prstGeom>
                </pic:spPr>
              </pic:pic>
            </a:graphicData>
          </a:graphic>
        </wp:anchor>
      </w:drawing>
    </w: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drawing>
        <wp:anchor distT="0" distB="0" distL="0" distR="0" simplePos="0" relativeHeight="251908096" behindDoc="0" locked="0" layoutInCell="0" allowOverlap="1">
          <wp:simplePos x="0" y="0"/>
          <wp:positionH relativeFrom="page">
            <wp:posOffset>0</wp:posOffset>
          </wp:positionH>
          <wp:positionV relativeFrom="page">
            <wp:posOffset>307999</wp:posOffset>
          </wp:positionV>
          <wp:extent cx="7560943" cy="10077324"/>
          <wp:effectExtent l="0" t="0" r="0" b="0"/>
          <wp:wrapNone/>
          <wp:docPr id="200" name="IM 200"/>
          <wp:cNvGraphicFramePr/>
          <a:graphic>
            <a:graphicData uri="http://schemas.openxmlformats.org/drawingml/2006/picture">
              <pic:pic>
                <pic:nvPicPr>
                  <pic:cNvPr id="200" name="IM 200"/>
                  <pic:cNvPicPr/>
                </pic:nvPicPr>
                <pic:blipFill>
                  <a:blip r:embed="rId1"/>
                  <a:stretch>
                    <a:fillRect/>
                  </a:stretch>
                </pic:blipFill>
                <pic:spPr>
                  <a:xfrm rot="0">
                    <a:off x="0" y="0"/>
                    <a:ext cx="7560943" cy="10077324"/>
                  </a:xfrm>
                  <a:prstGeom prst="rect">
                    <a:avLst/>
                  </a:prstGeom>
                </pic:spPr>
              </pic:pic>
            </a:graphicData>
          </a:graphic>
        </wp:anchor>
      </w:drawing>
    </w: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drawing>
        <wp:anchor distT="0" distB="0" distL="0" distR="0" simplePos="0" relativeHeight="251926528" behindDoc="0" locked="0" layoutInCell="0" allowOverlap="1">
          <wp:simplePos x="0" y="0"/>
          <wp:positionH relativeFrom="page">
            <wp:posOffset>466564</wp:posOffset>
          </wp:positionH>
          <wp:positionV relativeFrom="page">
            <wp:posOffset>0</wp:posOffset>
          </wp:positionV>
          <wp:extent cx="6623370" cy="10579100"/>
          <wp:effectExtent l="0" t="0" r="0" b="0"/>
          <wp:wrapNone/>
          <wp:docPr id="234" name="IM 234"/>
          <wp:cNvGraphicFramePr/>
          <a:graphic>
            <a:graphicData uri="http://schemas.openxmlformats.org/drawingml/2006/picture">
              <pic:pic>
                <pic:nvPicPr>
                  <pic:cNvPr id="234" name="IM 234"/>
                  <pic:cNvPicPr/>
                </pic:nvPicPr>
                <pic:blipFill>
                  <a:blip r:embed="rId1"/>
                  <a:stretch>
                    <a:fillRect/>
                  </a:stretch>
                </pic:blipFill>
                <pic:spPr>
                  <a:xfrm rot="0">
                    <a:off x="0" y="0"/>
                    <a:ext cx="6623370" cy="10579100"/>
                  </a:xfrm>
                  <a:prstGeom prst="rect">
                    <a:avLst/>
                  </a:prstGeom>
                </pic:spPr>
              </pic:pic>
            </a:graphicData>
          </a:graphic>
        </wp:anchor>
      </w:drawing>
    </w: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drawing>
        <wp:anchor distT="0" distB="0" distL="0" distR="0" simplePos="0" relativeHeight="251928576" behindDoc="0" locked="0" layoutInCell="0" allowOverlap="1">
          <wp:simplePos x="0" y="0"/>
          <wp:positionH relativeFrom="page">
            <wp:posOffset>430774</wp:posOffset>
          </wp:positionH>
          <wp:positionV relativeFrom="page">
            <wp:posOffset>0</wp:posOffset>
          </wp:positionV>
          <wp:extent cx="6694950" cy="10579100"/>
          <wp:effectExtent l="0" t="0" r="0" b="0"/>
          <wp:wrapNone/>
          <wp:docPr id="236" name="IM 236"/>
          <wp:cNvGraphicFramePr/>
          <a:graphic>
            <a:graphicData uri="http://schemas.openxmlformats.org/drawingml/2006/picture">
              <pic:pic>
                <pic:nvPicPr>
                  <pic:cNvPr id="236" name="IM 236"/>
                  <pic:cNvPicPr/>
                </pic:nvPicPr>
                <pic:blipFill>
                  <a:blip r:embed="rId1"/>
                  <a:stretch>
                    <a:fillRect/>
                  </a:stretch>
                </pic:blipFill>
                <pic:spPr>
                  <a:xfrm rot="0">
                    <a:off x="0" y="0"/>
                    <a:ext cx="6694950" cy="10579100"/>
                  </a:xfrm>
                  <a:prstGeom prst="rect">
                    <a:avLst/>
                  </a:prstGeom>
                </pic:spPr>
              </pic:pic>
            </a:graphicData>
          </a:graphic>
        </wp:anchor>
      </w:drawing>
    </w: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drawing>
        <wp:anchor distT="0" distB="0" distL="0" distR="0" simplePos="0" relativeHeight="251934720" behindDoc="0" locked="0" layoutInCell="0" allowOverlap="1">
          <wp:simplePos x="0" y="0"/>
          <wp:positionH relativeFrom="page">
            <wp:posOffset>529025</wp:posOffset>
          </wp:positionH>
          <wp:positionV relativeFrom="page">
            <wp:posOffset>0</wp:posOffset>
          </wp:positionV>
          <wp:extent cx="6498449" cy="10579100"/>
          <wp:effectExtent l="0" t="0" r="0" b="0"/>
          <wp:wrapNone/>
          <wp:docPr id="244" name="IM 244"/>
          <wp:cNvGraphicFramePr/>
          <a:graphic>
            <a:graphicData uri="http://schemas.openxmlformats.org/drawingml/2006/picture">
              <pic:pic>
                <pic:nvPicPr>
                  <pic:cNvPr id="244" name="IM 244"/>
                  <pic:cNvPicPr/>
                </pic:nvPicPr>
                <pic:blipFill>
                  <a:blip r:embed="rId1"/>
                  <a:stretch>
                    <a:fillRect/>
                  </a:stretch>
                </pic:blipFill>
                <pic:spPr>
                  <a:xfrm rot="0">
                    <a:off x="0" y="0"/>
                    <a:ext cx="6498449" cy="10579100"/>
                  </a:xfrm>
                  <a:prstGeom prst="rect">
                    <a:avLst/>
                  </a:prstGeom>
                </pic:spPr>
              </pic:pic>
            </a:graphicData>
          </a:graphic>
        </wp:anchor>
      </w:drawing>
    </w: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52.png"/><Relationship Id="rId98" Type="http://schemas.openxmlformats.org/officeDocument/2006/relationships/image" Target="media/image51.png"/><Relationship Id="rId97" Type="http://schemas.openxmlformats.org/officeDocument/2006/relationships/image" Target="media/image50.png"/><Relationship Id="rId96" Type="http://schemas.openxmlformats.org/officeDocument/2006/relationships/image" Target="media/image49.png"/><Relationship Id="rId95" Type="http://schemas.openxmlformats.org/officeDocument/2006/relationships/image" Target="media/image48.png"/><Relationship Id="rId94" Type="http://schemas.openxmlformats.org/officeDocument/2006/relationships/image" Target="media/image47.png"/><Relationship Id="rId93" Type="http://schemas.openxmlformats.org/officeDocument/2006/relationships/image" Target="media/image46.png"/><Relationship Id="rId92" Type="http://schemas.openxmlformats.org/officeDocument/2006/relationships/image" Target="media/image45.png"/><Relationship Id="rId91" Type="http://schemas.openxmlformats.org/officeDocument/2006/relationships/image" Target="media/image44.png"/><Relationship Id="rId90" Type="http://schemas.openxmlformats.org/officeDocument/2006/relationships/image" Target="media/image43.png"/><Relationship Id="rId9" Type="http://schemas.openxmlformats.org/officeDocument/2006/relationships/image" Target="media/image7.jpeg"/><Relationship Id="rId89" Type="http://schemas.openxmlformats.org/officeDocument/2006/relationships/image" Target="media/image42.png"/><Relationship Id="rId88" Type="http://schemas.openxmlformats.org/officeDocument/2006/relationships/image" Target="media/image41.png"/><Relationship Id="rId87" Type="http://schemas.openxmlformats.org/officeDocument/2006/relationships/image" Target="media/image40.png"/><Relationship Id="rId86" Type="http://schemas.openxmlformats.org/officeDocument/2006/relationships/footer" Target="footer41.xml"/><Relationship Id="rId85" Type="http://schemas.openxmlformats.org/officeDocument/2006/relationships/footer" Target="footer40.xml"/><Relationship Id="rId84" Type="http://schemas.openxmlformats.org/officeDocument/2006/relationships/footer" Target="footer39.xml"/><Relationship Id="rId83" Type="http://schemas.openxmlformats.org/officeDocument/2006/relationships/footer" Target="footer38.xml"/><Relationship Id="rId82" Type="http://schemas.openxmlformats.org/officeDocument/2006/relationships/footer" Target="footer37.xml"/><Relationship Id="rId81" Type="http://schemas.openxmlformats.org/officeDocument/2006/relationships/hyperlink" Target="4.2.1.5" TargetMode="External"/><Relationship Id="rId80" Type="http://schemas.openxmlformats.org/officeDocument/2006/relationships/footer" Target="footer36.xml"/><Relationship Id="rId8" Type="http://schemas.openxmlformats.org/officeDocument/2006/relationships/image" Target="media/image6.jpeg"/><Relationship Id="rId79" Type="http://schemas.openxmlformats.org/officeDocument/2006/relationships/footer" Target="footer35.xml"/><Relationship Id="rId78" Type="http://schemas.openxmlformats.org/officeDocument/2006/relationships/footer" Target="footer34.xml"/><Relationship Id="rId77" Type="http://schemas.openxmlformats.org/officeDocument/2006/relationships/footer" Target="footer33.xml"/><Relationship Id="rId76" Type="http://schemas.openxmlformats.org/officeDocument/2006/relationships/footer" Target="footer32.xml"/><Relationship Id="rId75" Type="http://schemas.openxmlformats.org/officeDocument/2006/relationships/footer" Target="footer31.xml"/><Relationship Id="rId74" Type="http://schemas.openxmlformats.org/officeDocument/2006/relationships/footer" Target="footer30.xml"/><Relationship Id="rId73" Type="http://schemas.openxmlformats.org/officeDocument/2006/relationships/footer" Target="footer29.xml"/><Relationship Id="rId72" Type="http://schemas.openxmlformats.org/officeDocument/2006/relationships/footer" Target="footer28.xml"/><Relationship Id="rId71" Type="http://schemas.openxmlformats.org/officeDocument/2006/relationships/footer" Target="footer27.xml"/><Relationship Id="rId70" Type="http://schemas.openxmlformats.org/officeDocument/2006/relationships/footer" Target="footer26.xml"/><Relationship Id="rId7" Type="http://schemas.openxmlformats.org/officeDocument/2006/relationships/image" Target="media/image5.png"/><Relationship Id="rId69" Type="http://schemas.openxmlformats.org/officeDocument/2006/relationships/footer" Target="footer25.xml"/><Relationship Id="rId68" Type="http://schemas.openxmlformats.org/officeDocument/2006/relationships/image" Target="media/image39.png"/><Relationship Id="rId67" Type="http://schemas.openxmlformats.org/officeDocument/2006/relationships/footer" Target="footer24.xml"/><Relationship Id="rId66" Type="http://schemas.openxmlformats.org/officeDocument/2006/relationships/footer" Target="footer23.xml"/><Relationship Id="rId65" Type="http://schemas.openxmlformats.org/officeDocument/2006/relationships/footer" Target="footer22.xml"/><Relationship Id="rId64" Type="http://schemas.openxmlformats.org/officeDocument/2006/relationships/footer" Target="footer21.xml"/><Relationship Id="rId63" Type="http://schemas.openxmlformats.org/officeDocument/2006/relationships/image" Target="media/image38.png"/><Relationship Id="rId62" Type="http://schemas.openxmlformats.org/officeDocument/2006/relationships/image" Target="media/image37.png"/><Relationship Id="rId61" Type="http://schemas.openxmlformats.org/officeDocument/2006/relationships/image" Target="media/image36.png"/><Relationship Id="rId60" Type="http://schemas.openxmlformats.org/officeDocument/2006/relationships/image" Target="media/image35.png"/><Relationship Id="rId6" Type="http://schemas.openxmlformats.org/officeDocument/2006/relationships/image" Target="media/image4.jpeg"/><Relationship Id="rId59" Type="http://schemas.openxmlformats.org/officeDocument/2006/relationships/image" Target="media/image34.png"/><Relationship Id="rId58" Type="http://schemas.openxmlformats.org/officeDocument/2006/relationships/image" Target="media/image33.png"/><Relationship Id="rId57" Type="http://schemas.openxmlformats.org/officeDocument/2006/relationships/image" Target="media/image32.png"/><Relationship Id="rId56" Type="http://schemas.openxmlformats.org/officeDocument/2006/relationships/image" Target="media/image31.png"/><Relationship Id="rId55" Type="http://schemas.openxmlformats.org/officeDocument/2006/relationships/image" Target="media/image30.png"/><Relationship Id="rId54" Type="http://schemas.openxmlformats.org/officeDocument/2006/relationships/image" Target="media/image29.png"/><Relationship Id="rId53" Type="http://schemas.openxmlformats.org/officeDocument/2006/relationships/image" Target="media/image28.png"/><Relationship Id="rId52" Type="http://schemas.openxmlformats.org/officeDocument/2006/relationships/image" Target="media/image27.png"/><Relationship Id="rId51" Type="http://schemas.openxmlformats.org/officeDocument/2006/relationships/image" Target="media/image26.png"/><Relationship Id="rId50" Type="http://schemas.openxmlformats.org/officeDocument/2006/relationships/image" Target="media/image25.png"/><Relationship Id="rId5" Type="http://schemas.openxmlformats.org/officeDocument/2006/relationships/image" Target="media/image3.jpeg"/><Relationship Id="rId49" Type="http://schemas.openxmlformats.org/officeDocument/2006/relationships/image" Target="media/image24.png"/><Relationship Id="rId48" Type="http://schemas.openxmlformats.org/officeDocument/2006/relationships/image" Target="media/image23.png"/><Relationship Id="rId47" Type="http://schemas.openxmlformats.org/officeDocument/2006/relationships/image" Target="media/image22.png"/><Relationship Id="rId46" Type="http://schemas.openxmlformats.org/officeDocument/2006/relationships/image" Target="media/image21.png"/><Relationship Id="rId45" Type="http://schemas.openxmlformats.org/officeDocument/2006/relationships/image" Target="media/image20.png"/><Relationship Id="rId44" Type="http://schemas.openxmlformats.org/officeDocument/2006/relationships/image" Target="media/image19.png"/><Relationship Id="rId43" Type="http://schemas.openxmlformats.org/officeDocument/2006/relationships/image" Target="media/image18.png"/><Relationship Id="rId42" Type="http://schemas.openxmlformats.org/officeDocument/2006/relationships/footer" Target="footer20.xml"/><Relationship Id="rId41" Type="http://schemas.openxmlformats.org/officeDocument/2006/relationships/header" Target="header3.xml"/><Relationship Id="rId40" Type="http://schemas.openxmlformats.org/officeDocument/2006/relationships/footer" Target="footer19.xml"/><Relationship Id="rId4" Type="http://schemas.openxmlformats.org/officeDocument/2006/relationships/image" Target="media/image2.jpeg"/><Relationship Id="rId39" Type="http://schemas.openxmlformats.org/officeDocument/2006/relationships/hyperlink" Target="4.2.1.6" TargetMode="External"/><Relationship Id="rId38" Type="http://schemas.openxmlformats.org/officeDocument/2006/relationships/footer" Target="footer18.xml"/><Relationship Id="rId37" Type="http://schemas.openxmlformats.org/officeDocument/2006/relationships/footer" Target="footer17.xml"/><Relationship Id="rId36" Type="http://schemas.openxmlformats.org/officeDocument/2006/relationships/footer" Target="footer16.xml"/><Relationship Id="rId35" Type="http://schemas.openxmlformats.org/officeDocument/2006/relationships/footer" Target="footer15.xml"/><Relationship Id="rId34" Type="http://schemas.openxmlformats.org/officeDocument/2006/relationships/footer" Target="footer14.xml"/><Relationship Id="rId33" Type="http://schemas.openxmlformats.org/officeDocument/2006/relationships/footer" Target="footer13.xml"/><Relationship Id="rId32" Type="http://schemas.openxmlformats.org/officeDocument/2006/relationships/footer" Target="footer12.xml"/><Relationship Id="rId31" Type="http://schemas.openxmlformats.org/officeDocument/2006/relationships/footer" Target="footer11.xml"/><Relationship Id="rId30" Type="http://schemas.openxmlformats.org/officeDocument/2006/relationships/footer" Target="footer10.xml"/><Relationship Id="rId3" Type="http://schemas.openxmlformats.org/officeDocument/2006/relationships/header" Target="header2.xml"/><Relationship Id="rId29" Type="http://schemas.openxmlformats.org/officeDocument/2006/relationships/footer" Target="footer9.xml"/><Relationship Id="rId28" Type="http://schemas.openxmlformats.org/officeDocument/2006/relationships/footer" Target="footer8.xml"/><Relationship Id="rId279" Type="http://schemas.openxmlformats.org/officeDocument/2006/relationships/fontTable" Target="fontTable.xml"/><Relationship Id="rId278" Type="http://schemas.openxmlformats.org/officeDocument/2006/relationships/styles" Target="styles.xml"/><Relationship Id="rId277" Type="http://schemas.openxmlformats.org/officeDocument/2006/relationships/settings" Target="settings.xml"/><Relationship Id="rId276" Type="http://schemas.openxmlformats.org/officeDocument/2006/relationships/header" Target="header11.xml"/><Relationship Id="rId275" Type="http://schemas.openxmlformats.org/officeDocument/2006/relationships/header" Target="header10.xml"/><Relationship Id="rId274" Type="http://schemas.openxmlformats.org/officeDocument/2006/relationships/header" Target="header9.xml"/><Relationship Id="rId273" Type="http://schemas.openxmlformats.org/officeDocument/2006/relationships/image" Target="media/image121.jpeg"/><Relationship Id="rId272" Type="http://schemas.openxmlformats.org/officeDocument/2006/relationships/image" Target="media/image120.jpeg"/><Relationship Id="rId271" Type="http://schemas.openxmlformats.org/officeDocument/2006/relationships/image" Target="media/image119.jpeg"/><Relationship Id="rId270" Type="http://schemas.openxmlformats.org/officeDocument/2006/relationships/header" Target="header8.xml"/><Relationship Id="rId27" Type="http://schemas.openxmlformats.org/officeDocument/2006/relationships/footer" Target="footer7.xml"/><Relationship Id="rId269" Type="http://schemas.openxmlformats.org/officeDocument/2006/relationships/hyperlink" Target="https://v3.camscanner.com/user/download" TargetMode="External"/><Relationship Id="rId268" Type="http://schemas.openxmlformats.org/officeDocument/2006/relationships/header" Target="header7.xml"/><Relationship Id="rId267" Type="http://schemas.openxmlformats.org/officeDocument/2006/relationships/image" Target="media/image116.jpeg"/><Relationship Id="rId266" Type="http://schemas.openxmlformats.org/officeDocument/2006/relationships/image" Target="media/image115.png"/><Relationship Id="rId265" Type="http://schemas.openxmlformats.org/officeDocument/2006/relationships/image" Target="media/image114.png"/><Relationship Id="rId264" Type="http://schemas.openxmlformats.org/officeDocument/2006/relationships/image" Target="media/image113.png"/><Relationship Id="rId263" Type="http://schemas.openxmlformats.org/officeDocument/2006/relationships/image" Target="media/image112.png"/><Relationship Id="rId262" Type="http://schemas.openxmlformats.org/officeDocument/2006/relationships/image" Target="media/image111.png"/><Relationship Id="rId261" Type="http://schemas.openxmlformats.org/officeDocument/2006/relationships/image" Target="media/image110.png"/><Relationship Id="rId260" Type="http://schemas.openxmlformats.org/officeDocument/2006/relationships/image" Target="media/image109.png"/><Relationship Id="rId26" Type="http://schemas.openxmlformats.org/officeDocument/2006/relationships/footer" Target="footer6.xml"/><Relationship Id="rId259" Type="http://schemas.openxmlformats.org/officeDocument/2006/relationships/image" Target="media/image108.png"/><Relationship Id="rId258" Type="http://schemas.openxmlformats.org/officeDocument/2006/relationships/image" Target="media/image107.png"/><Relationship Id="rId257" Type="http://schemas.openxmlformats.org/officeDocument/2006/relationships/image" Target="media/image106.jpeg"/><Relationship Id="rId256" Type="http://schemas.openxmlformats.org/officeDocument/2006/relationships/footer" Target="footer137.xml"/><Relationship Id="rId255" Type="http://schemas.openxmlformats.org/officeDocument/2006/relationships/image" Target="media/image105.png"/><Relationship Id="rId254" Type="http://schemas.openxmlformats.org/officeDocument/2006/relationships/image" Target="media/image104.png"/><Relationship Id="rId253" Type="http://schemas.openxmlformats.org/officeDocument/2006/relationships/image" Target="media/image103.jpeg"/><Relationship Id="rId252" Type="http://schemas.openxmlformats.org/officeDocument/2006/relationships/footer" Target="footer136.xml"/><Relationship Id="rId251" Type="http://schemas.openxmlformats.org/officeDocument/2006/relationships/footer" Target="footer135.xml"/><Relationship Id="rId250" Type="http://schemas.openxmlformats.org/officeDocument/2006/relationships/footer" Target="footer134.xml"/><Relationship Id="rId25" Type="http://schemas.openxmlformats.org/officeDocument/2006/relationships/footer" Target="footer5.xml"/><Relationship Id="rId249" Type="http://schemas.openxmlformats.org/officeDocument/2006/relationships/footer" Target="footer133.xml"/><Relationship Id="rId248" Type="http://schemas.openxmlformats.org/officeDocument/2006/relationships/footer" Target="footer132.xml"/><Relationship Id="rId247" Type="http://schemas.openxmlformats.org/officeDocument/2006/relationships/image" Target="media/image102.jpeg"/><Relationship Id="rId246" Type="http://schemas.openxmlformats.org/officeDocument/2006/relationships/header" Target="header6.xml"/><Relationship Id="rId245" Type="http://schemas.openxmlformats.org/officeDocument/2006/relationships/image" Target="media/image100.png"/><Relationship Id="rId244" Type="http://schemas.openxmlformats.org/officeDocument/2006/relationships/footer" Target="footer131.xml"/><Relationship Id="rId243" Type="http://schemas.openxmlformats.org/officeDocument/2006/relationships/footer" Target="footer130.xml"/><Relationship Id="rId242" Type="http://schemas.openxmlformats.org/officeDocument/2006/relationships/footer" Target="footer129.xml"/><Relationship Id="rId241" Type="http://schemas.openxmlformats.org/officeDocument/2006/relationships/footer" Target="footer128.xml"/><Relationship Id="rId240" Type="http://schemas.openxmlformats.org/officeDocument/2006/relationships/footer" Target="footer127.xml"/><Relationship Id="rId24" Type="http://schemas.openxmlformats.org/officeDocument/2006/relationships/footer" Target="footer4.xml"/><Relationship Id="rId239" Type="http://schemas.openxmlformats.org/officeDocument/2006/relationships/image" Target="media/image99.png"/><Relationship Id="rId238" Type="http://schemas.openxmlformats.org/officeDocument/2006/relationships/footer" Target="footer126.xml"/><Relationship Id="rId237" Type="http://schemas.openxmlformats.org/officeDocument/2006/relationships/footer" Target="footer125.xml"/><Relationship Id="rId236" Type="http://schemas.openxmlformats.org/officeDocument/2006/relationships/footer" Target="footer124.xml"/><Relationship Id="rId235" Type="http://schemas.openxmlformats.org/officeDocument/2006/relationships/footer" Target="footer123.xml"/><Relationship Id="rId234" Type="http://schemas.openxmlformats.org/officeDocument/2006/relationships/footer" Target="footer122.xml"/><Relationship Id="rId233" Type="http://schemas.openxmlformats.org/officeDocument/2006/relationships/footer" Target="footer121.xml"/><Relationship Id="rId232" Type="http://schemas.openxmlformats.org/officeDocument/2006/relationships/footer" Target="footer120.xml"/><Relationship Id="rId231" Type="http://schemas.openxmlformats.org/officeDocument/2006/relationships/image" Target="media/image98.jpeg"/><Relationship Id="rId230" Type="http://schemas.openxmlformats.org/officeDocument/2006/relationships/footer" Target="footer119.xml"/><Relationship Id="rId23" Type="http://schemas.openxmlformats.org/officeDocument/2006/relationships/footer" Target="footer3.xml"/><Relationship Id="rId229" Type="http://schemas.openxmlformats.org/officeDocument/2006/relationships/footer" Target="footer118.xml"/><Relationship Id="rId228" Type="http://schemas.openxmlformats.org/officeDocument/2006/relationships/footer" Target="footer117.xml"/><Relationship Id="rId227" Type="http://schemas.openxmlformats.org/officeDocument/2006/relationships/footer" Target="footer116.xml"/><Relationship Id="rId226" Type="http://schemas.openxmlformats.org/officeDocument/2006/relationships/footer" Target="footer115.xml"/><Relationship Id="rId225" Type="http://schemas.openxmlformats.org/officeDocument/2006/relationships/footer" Target="footer114.xml"/><Relationship Id="rId224" Type="http://schemas.openxmlformats.org/officeDocument/2006/relationships/hyperlink" Target="4.2.4.3" TargetMode="External"/><Relationship Id="rId223" Type="http://schemas.openxmlformats.org/officeDocument/2006/relationships/footer" Target="footer113.xml"/><Relationship Id="rId222" Type="http://schemas.openxmlformats.org/officeDocument/2006/relationships/hyperlink" Target="4.2.4.2" TargetMode="External"/><Relationship Id="rId221" Type="http://schemas.openxmlformats.org/officeDocument/2006/relationships/footer" Target="footer112.xml"/><Relationship Id="rId220" Type="http://schemas.openxmlformats.org/officeDocument/2006/relationships/footer" Target="footer111.xml"/><Relationship Id="rId22" Type="http://schemas.openxmlformats.org/officeDocument/2006/relationships/image" Target="media/image17.jpeg"/><Relationship Id="rId219" Type="http://schemas.openxmlformats.org/officeDocument/2006/relationships/hyperlink" Target="4.2.4.1" TargetMode="External"/><Relationship Id="rId218" Type="http://schemas.openxmlformats.org/officeDocument/2006/relationships/footer" Target="footer110.xml"/><Relationship Id="rId217" Type="http://schemas.openxmlformats.org/officeDocument/2006/relationships/footer" Target="footer109.xml"/><Relationship Id="rId216" Type="http://schemas.openxmlformats.org/officeDocument/2006/relationships/hyperlink" Target="4.2.1.7" TargetMode="External"/><Relationship Id="rId215" Type="http://schemas.openxmlformats.org/officeDocument/2006/relationships/footer" Target="footer108.xml"/><Relationship Id="rId214" Type="http://schemas.openxmlformats.org/officeDocument/2006/relationships/footer" Target="footer107.xml"/><Relationship Id="rId213" Type="http://schemas.openxmlformats.org/officeDocument/2006/relationships/footer" Target="footer106.xml"/><Relationship Id="rId212" Type="http://schemas.openxmlformats.org/officeDocument/2006/relationships/footer" Target="footer105.xml"/><Relationship Id="rId211" Type="http://schemas.openxmlformats.org/officeDocument/2006/relationships/hyperlink" Target="4.2.1.4" TargetMode="External"/><Relationship Id="rId210" Type="http://schemas.openxmlformats.org/officeDocument/2006/relationships/hyperlink" Target="4.2.1.3" TargetMode="External"/><Relationship Id="rId21" Type="http://schemas.openxmlformats.org/officeDocument/2006/relationships/image" Target="media/image16.png"/><Relationship Id="rId209" Type="http://schemas.openxmlformats.org/officeDocument/2006/relationships/footer" Target="footer104.xml"/><Relationship Id="rId208" Type="http://schemas.openxmlformats.org/officeDocument/2006/relationships/footer" Target="footer103.xml"/><Relationship Id="rId207" Type="http://schemas.openxmlformats.org/officeDocument/2006/relationships/footer" Target="footer102.xml"/><Relationship Id="rId206" Type="http://schemas.openxmlformats.org/officeDocument/2006/relationships/hyperlink" Target="4.2.1.2" TargetMode="External"/><Relationship Id="rId205" Type="http://schemas.openxmlformats.org/officeDocument/2006/relationships/footer" Target="footer101.xml"/><Relationship Id="rId204" Type="http://schemas.openxmlformats.org/officeDocument/2006/relationships/footer" Target="footer100.xml"/><Relationship Id="rId203" Type="http://schemas.openxmlformats.org/officeDocument/2006/relationships/hyperlink" Target="4.2.1.1" TargetMode="External"/><Relationship Id="rId202" Type="http://schemas.openxmlformats.org/officeDocument/2006/relationships/footer" Target="footer99.xml"/><Relationship Id="rId201" Type="http://schemas.openxmlformats.org/officeDocument/2006/relationships/footer" Target="footer98.xml"/><Relationship Id="rId200" Type="http://schemas.openxmlformats.org/officeDocument/2006/relationships/image" Target="media/image97.png"/><Relationship Id="rId20" Type="http://schemas.openxmlformats.org/officeDocument/2006/relationships/image" Target="media/image15.png"/><Relationship Id="rId2" Type="http://schemas.openxmlformats.org/officeDocument/2006/relationships/image" Target="media/image1.png"/><Relationship Id="rId199" Type="http://schemas.openxmlformats.org/officeDocument/2006/relationships/image" Target="media/image96.png"/><Relationship Id="rId198" Type="http://schemas.openxmlformats.org/officeDocument/2006/relationships/image" Target="media/image95.png"/><Relationship Id="rId197" Type="http://schemas.openxmlformats.org/officeDocument/2006/relationships/header" Target="header5.xml"/><Relationship Id="rId196" Type="http://schemas.openxmlformats.org/officeDocument/2006/relationships/footer" Target="footer97.xml"/><Relationship Id="rId195" Type="http://schemas.openxmlformats.org/officeDocument/2006/relationships/footer" Target="footer96.xml"/><Relationship Id="rId194" Type="http://schemas.openxmlformats.org/officeDocument/2006/relationships/footer" Target="footer95.xml"/><Relationship Id="rId193" Type="http://schemas.openxmlformats.org/officeDocument/2006/relationships/footer" Target="footer94.xml"/><Relationship Id="rId192" Type="http://schemas.openxmlformats.org/officeDocument/2006/relationships/image" Target="media/image93.png"/><Relationship Id="rId191" Type="http://schemas.openxmlformats.org/officeDocument/2006/relationships/image" Target="media/image92.png"/><Relationship Id="rId190" Type="http://schemas.openxmlformats.org/officeDocument/2006/relationships/image" Target="media/image91.png"/><Relationship Id="rId19" Type="http://schemas.openxmlformats.org/officeDocument/2006/relationships/image" Target="media/image14.jpeg"/><Relationship Id="rId189" Type="http://schemas.openxmlformats.org/officeDocument/2006/relationships/image" Target="media/image90.png"/><Relationship Id="rId188" Type="http://schemas.openxmlformats.org/officeDocument/2006/relationships/image" Target="media/image89.png"/><Relationship Id="rId187" Type="http://schemas.openxmlformats.org/officeDocument/2006/relationships/image" Target="media/image88.png"/><Relationship Id="rId186" Type="http://schemas.openxmlformats.org/officeDocument/2006/relationships/image" Target="media/image87.png"/><Relationship Id="rId185" Type="http://schemas.openxmlformats.org/officeDocument/2006/relationships/image" Target="media/image86.png"/><Relationship Id="rId184" Type="http://schemas.openxmlformats.org/officeDocument/2006/relationships/image" Target="media/image85.png"/><Relationship Id="rId183" Type="http://schemas.openxmlformats.org/officeDocument/2006/relationships/image" Target="media/image84.png"/><Relationship Id="rId182" Type="http://schemas.openxmlformats.org/officeDocument/2006/relationships/image" Target="media/image83.png"/><Relationship Id="rId181" Type="http://schemas.openxmlformats.org/officeDocument/2006/relationships/image" Target="media/image82.png"/><Relationship Id="rId180" Type="http://schemas.openxmlformats.org/officeDocument/2006/relationships/image" Target="media/image81.png"/><Relationship Id="rId18" Type="http://schemas.openxmlformats.org/officeDocument/2006/relationships/image" Target="media/image13.jpeg"/><Relationship Id="rId179" Type="http://schemas.openxmlformats.org/officeDocument/2006/relationships/image" Target="media/image80.png"/><Relationship Id="rId178" Type="http://schemas.openxmlformats.org/officeDocument/2006/relationships/image" Target="media/image79.png"/><Relationship Id="rId177" Type="http://schemas.openxmlformats.org/officeDocument/2006/relationships/image" Target="media/image78.png"/><Relationship Id="rId176" Type="http://schemas.openxmlformats.org/officeDocument/2006/relationships/image" Target="media/image77.png"/><Relationship Id="rId175" Type="http://schemas.openxmlformats.org/officeDocument/2006/relationships/image" Target="media/image76.png"/><Relationship Id="rId174" Type="http://schemas.openxmlformats.org/officeDocument/2006/relationships/footer" Target="footer93.xml"/><Relationship Id="rId173" Type="http://schemas.openxmlformats.org/officeDocument/2006/relationships/footer" Target="footer92.xml"/><Relationship Id="rId172" Type="http://schemas.openxmlformats.org/officeDocument/2006/relationships/footer" Target="footer91.xml"/><Relationship Id="rId171" Type="http://schemas.openxmlformats.org/officeDocument/2006/relationships/footer" Target="footer90.xml"/><Relationship Id="rId170" Type="http://schemas.openxmlformats.org/officeDocument/2006/relationships/footer" Target="footer89.xml"/><Relationship Id="rId17" Type="http://schemas.openxmlformats.org/officeDocument/2006/relationships/image" Target="media/image12.jpeg"/><Relationship Id="rId169" Type="http://schemas.openxmlformats.org/officeDocument/2006/relationships/image" Target="media/image75.jpeg"/><Relationship Id="rId168" Type="http://schemas.openxmlformats.org/officeDocument/2006/relationships/image" Target="media/image74.png"/><Relationship Id="rId167" Type="http://schemas.openxmlformats.org/officeDocument/2006/relationships/image" Target="media/image73.png"/><Relationship Id="rId166" Type="http://schemas.openxmlformats.org/officeDocument/2006/relationships/footer" Target="footer88.xml"/><Relationship Id="rId165" Type="http://schemas.openxmlformats.org/officeDocument/2006/relationships/footer" Target="footer87.xml"/><Relationship Id="rId164" Type="http://schemas.openxmlformats.org/officeDocument/2006/relationships/image" Target="media/image72.png"/><Relationship Id="rId163" Type="http://schemas.openxmlformats.org/officeDocument/2006/relationships/image" Target="media/image71.png"/><Relationship Id="rId162" Type="http://schemas.openxmlformats.org/officeDocument/2006/relationships/footer" Target="footer86.xml"/><Relationship Id="rId161" Type="http://schemas.openxmlformats.org/officeDocument/2006/relationships/footer" Target="footer85.xml"/><Relationship Id="rId160" Type="http://schemas.openxmlformats.org/officeDocument/2006/relationships/footer" Target="footer84.xml"/><Relationship Id="rId16" Type="http://schemas.openxmlformats.org/officeDocument/2006/relationships/footer" Target="footer2.xml"/><Relationship Id="rId159" Type="http://schemas.openxmlformats.org/officeDocument/2006/relationships/image" Target="media/image70.jpeg"/><Relationship Id="rId158" Type="http://schemas.openxmlformats.org/officeDocument/2006/relationships/header" Target="header4.xml"/><Relationship Id="rId157" Type="http://schemas.openxmlformats.org/officeDocument/2006/relationships/image" Target="media/image68.png"/><Relationship Id="rId156" Type="http://schemas.openxmlformats.org/officeDocument/2006/relationships/footer" Target="footer83.xml"/><Relationship Id="rId155" Type="http://schemas.openxmlformats.org/officeDocument/2006/relationships/footer" Target="footer82.xml"/><Relationship Id="rId154" Type="http://schemas.openxmlformats.org/officeDocument/2006/relationships/footer" Target="footer81.xml"/><Relationship Id="rId153" Type="http://schemas.openxmlformats.org/officeDocument/2006/relationships/footer" Target="footer80.xml"/><Relationship Id="rId152" Type="http://schemas.openxmlformats.org/officeDocument/2006/relationships/footer" Target="footer79.xml"/><Relationship Id="rId151" Type="http://schemas.openxmlformats.org/officeDocument/2006/relationships/footer" Target="footer78.xml"/><Relationship Id="rId150" Type="http://schemas.openxmlformats.org/officeDocument/2006/relationships/footer" Target="footer77.xml"/><Relationship Id="rId15" Type="http://schemas.openxmlformats.org/officeDocument/2006/relationships/footer" Target="footer1.xml"/><Relationship Id="rId149" Type="http://schemas.openxmlformats.org/officeDocument/2006/relationships/footer" Target="footer76.xml"/><Relationship Id="rId148" Type="http://schemas.openxmlformats.org/officeDocument/2006/relationships/footer" Target="footer75.xml"/><Relationship Id="rId147" Type="http://schemas.openxmlformats.org/officeDocument/2006/relationships/footer" Target="footer74.xml"/><Relationship Id="rId146" Type="http://schemas.openxmlformats.org/officeDocument/2006/relationships/footer" Target="footer73.xml"/><Relationship Id="rId145" Type="http://schemas.openxmlformats.org/officeDocument/2006/relationships/footer" Target="footer72.xml"/><Relationship Id="rId144" Type="http://schemas.openxmlformats.org/officeDocument/2006/relationships/image" Target="media/image67.png"/><Relationship Id="rId143" Type="http://schemas.openxmlformats.org/officeDocument/2006/relationships/footer" Target="footer71.xml"/><Relationship Id="rId142" Type="http://schemas.openxmlformats.org/officeDocument/2006/relationships/footer" Target="footer70.xml"/><Relationship Id="rId141" Type="http://schemas.openxmlformats.org/officeDocument/2006/relationships/footer" Target="footer69.xml"/><Relationship Id="rId140" Type="http://schemas.openxmlformats.org/officeDocument/2006/relationships/footer" Target="footer68.xml"/><Relationship Id="rId14" Type="http://schemas.openxmlformats.org/officeDocument/2006/relationships/image" Target="media/image11.jpeg"/><Relationship Id="rId139" Type="http://schemas.openxmlformats.org/officeDocument/2006/relationships/footer" Target="footer67.xml"/><Relationship Id="rId138" Type="http://schemas.openxmlformats.org/officeDocument/2006/relationships/image" Target="media/image66.png"/><Relationship Id="rId137" Type="http://schemas.openxmlformats.org/officeDocument/2006/relationships/image" Target="media/image65.jpeg"/><Relationship Id="rId136" Type="http://schemas.openxmlformats.org/officeDocument/2006/relationships/footer" Target="footer66.xml"/><Relationship Id="rId135" Type="http://schemas.openxmlformats.org/officeDocument/2006/relationships/image" Target="media/image64.png"/><Relationship Id="rId134" Type="http://schemas.openxmlformats.org/officeDocument/2006/relationships/image" Target="media/image63.png"/><Relationship Id="rId133" Type="http://schemas.openxmlformats.org/officeDocument/2006/relationships/image" Target="media/image62.png"/><Relationship Id="rId132" Type="http://schemas.openxmlformats.org/officeDocument/2006/relationships/image" Target="media/image61.png"/><Relationship Id="rId131" Type="http://schemas.openxmlformats.org/officeDocument/2006/relationships/image" Target="media/image60.png"/><Relationship Id="rId130" Type="http://schemas.openxmlformats.org/officeDocument/2006/relationships/image" Target="media/image59.png"/><Relationship Id="rId13" Type="http://schemas.openxmlformats.org/officeDocument/2006/relationships/image" Target="media/image10.jpeg"/><Relationship Id="rId129" Type="http://schemas.openxmlformats.org/officeDocument/2006/relationships/image" Target="media/image58.png"/><Relationship Id="rId128" Type="http://schemas.openxmlformats.org/officeDocument/2006/relationships/footer" Target="footer65.xml"/><Relationship Id="rId127" Type="http://schemas.openxmlformats.org/officeDocument/2006/relationships/footer" Target="footer64.xml"/><Relationship Id="rId126" Type="http://schemas.openxmlformats.org/officeDocument/2006/relationships/footer" Target="footer63.xml"/><Relationship Id="rId125" Type="http://schemas.openxmlformats.org/officeDocument/2006/relationships/footer" Target="footer62.xml"/><Relationship Id="rId124" Type="http://schemas.openxmlformats.org/officeDocument/2006/relationships/footer" Target="footer61.xml"/><Relationship Id="rId123" Type="http://schemas.openxmlformats.org/officeDocument/2006/relationships/footer" Target="footer60.xml"/><Relationship Id="rId122" Type="http://schemas.openxmlformats.org/officeDocument/2006/relationships/footer" Target="footer59.xml"/><Relationship Id="rId121" Type="http://schemas.openxmlformats.org/officeDocument/2006/relationships/footer" Target="footer58.xml"/><Relationship Id="rId120" Type="http://schemas.openxmlformats.org/officeDocument/2006/relationships/footer" Target="footer57.xml"/><Relationship Id="rId12" Type="http://schemas.openxmlformats.org/officeDocument/2006/relationships/image" Target="media/image9.jpeg"/><Relationship Id="rId119" Type="http://schemas.openxmlformats.org/officeDocument/2006/relationships/footer" Target="footer56.xml"/><Relationship Id="rId118" Type="http://schemas.openxmlformats.org/officeDocument/2006/relationships/footer" Target="footer55.xml"/><Relationship Id="rId117" Type="http://schemas.openxmlformats.org/officeDocument/2006/relationships/footer" Target="footer54.xml"/><Relationship Id="rId116" Type="http://schemas.openxmlformats.org/officeDocument/2006/relationships/footer" Target="footer53.xml"/><Relationship Id="rId115" Type="http://schemas.openxmlformats.org/officeDocument/2006/relationships/footer" Target="footer52.xml"/><Relationship Id="rId114" Type="http://schemas.openxmlformats.org/officeDocument/2006/relationships/footer" Target="footer51.xml"/><Relationship Id="rId113" Type="http://schemas.openxmlformats.org/officeDocument/2006/relationships/footer" Target="footer50.xml"/><Relationship Id="rId112" Type="http://schemas.openxmlformats.org/officeDocument/2006/relationships/footer" Target="footer49.xml"/><Relationship Id="rId111" Type="http://schemas.openxmlformats.org/officeDocument/2006/relationships/footer" Target="footer48.xml"/><Relationship Id="rId110" Type="http://schemas.openxmlformats.org/officeDocument/2006/relationships/footer" Target="footer47.xml"/><Relationship Id="rId11" Type="http://schemas.openxmlformats.org/officeDocument/2006/relationships/hyperlink" Target="https://www.mee.gov.cn/ywgz/fgbz/bz/bzwb/gthw/qtxgbz/202206/W020220630455255137316.pdf" TargetMode="External"/><Relationship Id="rId109" Type="http://schemas.openxmlformats.org/officeDocument/2006/relationships/footer" Target="footer46.xml"/><Relationship Id="rId108" Type="http://schemas.openxmlformats.org/officeDocument/2006/relationships/image" Target="media/image57.png"/><Relationship Id="rId107" Type="http://schemas.openxmlformats.org/officeDocument/2006/relationships/footer" Target="footer45.xml"/><Relationship Id="rId106" Type="http://schemas.openxmlformats.org/officeDocument/2006/relationships/footer" Target="footer44.xml"/><Relationship Id="rId105" Type="http://schemas.openxmlformats.org/officeDocument/2006/relationships/footer" Target="footer43.xml"/><Relationship Id="rId104" Type="http://schemas.openxmlformats.org/officeDocument/2006/relationships/footer" Target="footer42.xml"/><Relationship Id="rId103" Type="http://schemas.openxmlformats.org/officeDocument/2006/relationships/image" Target="media/image56.png"/><Relationship Id="rId102" Type="http://schemas.openxmlformats.org/officeDocument/2006/relationships/image" Target="media/image55.png"/><Relationship Id="rId101" Type="http://schemas.openxmlformats.org/officeDocument/2006/relationships/image" Target="media/image54.png"/><Relationship Id="rId100" Type="http://schemas.openxmlformats.org/officeDocument/2006/relationships/image" Target="media/image53.png"/><Relationship Id="rId10" Type="http://schemas.openxmlformats.org/officeDocument/2006/relationships/image" Target="media/image8.jpeg"/><Relationship Id="rId1" Type="http://schemas.openxmlformats.org/officeDocument/2006/relationships/header" Target="header1.xml"/></Relationships>
</file>

<file path=word/_rels/header10.xml.rels><?xml version="1.0" encoding="UTF-8" standalone="yes"?>
<Relationships xmlns="http://schemas.openxmlformats.org/package/2006/relationships"><Relationship Id="rId1" Type="http://schemas.openxmlformats.org/officeDocument/2006/relationships/image" Target="media/image123.png"/></Relationships>
</file>

<file path=word/_rels/header11.xml.rels><?xml version="1.0" encoding="UTF-8" standalone="yes"?>
<Relationships xmlns="http://schemas.openxmlformats.org/package/2006/relationships"><Relationship Id="rId1" Type="http://schemas.openxmlformats.org/officeDocument/2006/relationships/image" Target="media/image124.png"/></Relationships>
</file>

<file path=word/_rels/header4.xml.rels><?xml version="1.0" encoding="UTF-8" standalone="yes"?>
<Relationships xmlns="http://schemas.openxmlformats.org/package/2006/relationships"><Relationship Id="rId1" Type="http://schemas.openxmlformats.org/officeDocument/2006/relationships/image" Target="media/image69.png"/></Relationships>
</file>

<file path=word/_rels/header5.xml.rels><?xml version="1.0" encoding="UTF-8" standalone="yes"?>
<Relationships xmlns="http://schemas.openxmlformats.org/package/2006/relationships"><Relationship Id="rId1" Type="http://schemas.openxmlformats.org/officeDocument/2006/relationships/image" Target="media/image94.jpeg"/></Relationships>
</file>

<file path=word/_rels/header6.xml.rels><?xml version="1.0" encoding="UTF-8" standalone="yes"?>
<Relationships xmlns="http://schemas.openxmlformats.org/package/2006/relationships"><Relationship Id="rId1" Type="http://schemas.openxmlformats.org/officeDocument/2006/relationships/image" Target="media/image101.jpeg"/></Relationships>
</file>

<file path=word/_rels/header7.xml.rels><?xml version="1.0" encoding="UTF-8" standalone="yes"?>
<Relationships xmlns="http://schemas.openxmlformats.org/package/2006/relationships"><Relationship Id="rId1" Type="http://schemas.openxmlformats.org/officeDocument/2006/relationships/image" Target="media/image117.png"/></Relationships>
</file>

<file path=word/_rels/header8.xml.rels><?xml version="1.0" encoding="UTF-8" standalone="yes"?>
<Relationships xmlns="http://schemas.openxmlformats.org/package/2006/relationships"><Relationship Id="rId1" Type="http://schemas.openxmlformats.org/officeDocument/2006/relationships/image" Target="media/image118.png"/></Relationships>
</file>

<file path=word/_rels/header9.xml.rels><?xml version="1.0" encoding="UTF-8" standalone="yes"?>
<Relationships xmlns="http://schemas.openxmlformats.org/package/2006/relationships"><Relationship Id="rId1" Type="http://schemas.openxmlformats.org/officeDocument/2006/relationships/image" Target="media/image122.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2024-01-18T17:46:51</vt:filetime>
  </property>
</Properties>
</file>