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left" w:pos="3598"/>
        </w:tabs>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46"/>
        <w:tblW w:w="88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56"/>
        <w:gridCol w:w="2387"/>
        <w:gridCol w:w="1582"/>
        <w:gridCol w:w="30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建设项目名称</w:t>
            </w:r>
          </w:p>
        </w:tc>
        <w:tc>
          <w:tcPr>
            <w:tcW w:w="7014" w:type="dxa"/>
            <w:gridSpan w:val="3"/>
            <w:vAlign w:val="center"/>
          </w:tcPr>
          <w:p>
            <w:pPr>
              <w:adjustRightInd w:val="0"/>
              <w:snapToGrid w:val="0"/>
              <w:jc w:val="center"/>
              <w:rPr>
                <w:sz w:val="24"/>
              </w:rPr>
            </w:pPr>
            <w:r>
              <w:rPr>
                <w:rFonts w:hint="eastAsia"/>
                <w:sz w:val="24"/>
                <w:lang w:bidi="en-US"/>
              </w:rPr>
              <w:t>新疆维维天山雪乳业有限公司锅炉、污水处理设施技改项目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项目代码</w:t>
            </w:r>
          </w:p>
        </w:tc>
        <w:tc>
          <w:tcPr>
            <w:tcW w:w="7014" w:type="dxa"/>
            <w:gridSpan w:val="3"/>
            <w:vAlign w:val="center"/>
          </w:tcPr>
          <w:p>
            <w:pPr>
              <w:adjustRightInd w:val="0"/>
              <w:snapToGrid w:val="0"/>
              <w:jc w:val="center"/>
              <w:rPr>
                <w:sz w:val="24"/>
              </w:rPr>
            </w:pPr>
            <w:r>
              <w:rPr>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建设单位联系人</w:t>
            </w:r>
          </w:p>
        </w:tc>
        <w:tc>
          <w:tcPr>
            <w:tcW w:w="2387" w:type="dxa"/>
            <w:vAlign w:val="center"/>
          </w:tcPr>
          <w:p>
            <w:pPr>
              <w:adjustRightInd w:val="0"/>
              <w:snapToGrid w:val="0"/>
              <w:jc w:val="center"/>
              <w:rPr>
                <w:sz w:val="24"/>
              </w:rPr>
            </w:pPr>
            <w:r>
              <w:rPr>
                <w:rFonts w:hint="eastAsia"/>
                <w:sz w:val="24"/>
              </w:rPr>
              <w:t>王涛</w:t>
            </w:r>
          </w:p>
        </w:tc>
        <w:tc>
          <w:tcPr>
            <w:tcW w:w="1582" w:type="dxa"/>
            <w:vAlign w:val="center"/>
          </w:tcPr>
          <w:p>
            <w:pPr>
              <w:adjustRightInd w:val="0"/>
              <w:snapToGrid w:val="0"/>
              <w:jc w:val="center"/>
              <w:rPr>
                <w:sz w:val="24"/>
              </w:rPr>
            </w:pPr>
            <w:r>
              <w:rPr>
                <w:sz w:val="24"/>
              </w:rPr>
              <w:t>联系方式</w:t>
            </w:r>
          </w:p>
        </w:tc>
        <w:tc>
          <w:tcPr>
            <w:tcW w:w="3045" w:type="dxa"/>
            <w:vAlign w:val="center"/>
          </w:tcPr>
          <w:p>
            <w:pPr>
              <w:adjustRightInd w:val="0"/>
              <w:snapToGrid w:val="0"/>
              <w:jc w:val="center"/>
              <w:rPr>
                <w:sz w:val="24"/>
              </w:rPr>
            </w:pPr>
            <w:r>
              <w:rPr>
                <w:rFonts w:hint="eastAsia"/>
                <w:sz w:val="24"/>
              </w:rPr>
              <w:t>1</w:t>
            </w:r>
            <w:r>
              <w:rPr>
                <w:sz w:val="24"/>
              </w:rPr>
              <w:t>89</w:t>
            </w:r>
            <w:r>
              <w:rPr>
                <w:rFonts w:hint="eastAsia"/>
                <w:sz w:val="24"/>
                <w:lang w:val="en-US" w:eastAsia="zh-CN"/>
              </w:rPr>
              <w:t>****</w:t>
            </w:r>
            <w:bookmarkStart w:id="36" w:name="_GoBack"/>
            <w:bookmarkEnd w:id="36"/>
            <w:r>
              <w:rPr>
                <w:sz w:val="24"/>
              </w:rPr>
              <w:t>0007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建设地点</w:t>
            </w:r>
          </w:p>
        </w:tc>
        <w:tc>
          <w:tcPr>
            <w:tcW w:w="7014" w:type="dxa"/>
            <w:gridSpan w:val="3"/>
            <w:vAlign w:val="center"/>
          </w:tcPr>
          <w:p>
            <w:pPr>
              <w:adjustRightInd w:val="0"/>
              <w:snapToGrid w:val="0"/>
              <w:jc w:val="center"/>
              <w:rPr>
                <w:sz w:val="24"/>
              </w:rPr>
            </w:pPr>
            <w:r>
              <w:rPr>
                <w:rFonts w:hint="eastAsia"/>
                <w:sz w:val="24"/>
              </w:rPr>
              <w:t>新疆</w:t>
            </w:r>
            <w:bookmarkStart w:id="0" w:name="_Hlk123146058"/>
            <w:r>
              <w:rPr>
                <w:rFonts w:hint="eastAsia"/>
                <w:sz w:val="24"/>
              </w:rPr>
              <w:t>昌吉回族自治州呼图壁县</w:t>
            </w:r>
            <w:r>
              <w:rPr>
                <w:sz w:val="24"/>
              </w:rPr>
              <w:t>天山雪大道99号</w:t>
            </w:r>
            <w:r>
              <w:rPr>
                <w:rFonts w:hint="eastAsia"/>
                <w:sz w:val="24"/>
                <w:lang w:bidi="en-US"/>
              </w:rPr>
              <w:t>新疆维维天山雪乳业有限公司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地理坐标</w:t>
            </w:r>
          </w:p>
        </w:tc>
        <w:tc>
          <w:tcPr>
            <w:tcW w:w="7014" w:type="dxa"/>
            <w:gridSpan w:val="3"/>
            <w:vAlign w:val="center"/>
          </w:tcPr>
          <w:p>
            <w:pPr>
              <w:jc w:val="center"/>
              <w:rPr>
                <w:sz w:val="24"/>
              </w:rPr>
            </w:pPr>
            <w:r>
              <w:rPr>
                <w:sz w:val="24"/>
              </w:rPr>
              <w:t>E86°51′39.140″,N44°9′27.007″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国民经济</w:t>
            </w:r>
          </w:p>
          <w:p>
            <w:pPr>
              <w:adjustRightInd w:val="0"/>
              <w:snapToGrid w:val="0"/>
              <w:jc w:val="center"/>
              <w:rPr>
                <w:sz w:val="24"/>
              </w:rPr>
            </w:pPr>
            <w:r>
              <w:rPr>
                <w:sz w:val="24"/>
              </w:rPr>
              <w:t>行业类别</w:t>
            </w:r>
          </w:p>
        </w:tc>
        <w:tc>
          <w:tcPr>
            <w:tcW w:w="2387" w:type="dxa"/>
            <w:vAlign w:val="center"/>
          </w:tcPr>
          <w:p>
            <w:pPr>
              <w:adjustRightInd w:val="0"/>
              <w:snapToGrid w:val="0"/>
              <w:jc w:val="center"/>
              <w:rPr>
                <w:sz w:val="24"/>
              </w:rPr>
            </w:pPr>
            <w:r>
              <w:rPr>
                <w:sz w:val="24"/>
              </w:rPr>
              <w:t>D4430</w:t>
            </w:r>
          </w:p>
          <w:p>
            <w:pPr>
              <w:adjustRightInd w:val="0"/>
              <w:snapToGrid w:val="0"/>
              <w:jc w:val="center"/>
              <w:rPr>
                <w:sz w:val="24"/>
              </w:rPr>
            </w:pPr>
            <w:r>
              <w:rPr>
                <w:rFonts w:hint="eastAsia"/>
                <w:sz w:val="24"/>
              </w:rPr>
              <w:t>热力生产和供应</w:t>
            </w:r>
          </w:p>
          <w:p>
            <w:pPr>
              <w:adjustRightInd w:val="0"/>
              <w:snapToGrid w:val="0"/>
              <w:jc w:val="center"/>
              <w:rPr>
                <w:sz w:val="24"/>
              </w:rPr>
            </w:pPr>
            <w:r>
              <w:rPr>
                <w:rFonts w:hint="eastAsia"/>
                <w:sz w:val="24"/>
              </w:rPr>
              <w:t>D4620</w:t>
            </w:r>
          </w:p>
          <w:p>
            <w:pPr>
              <w:adjustRightInd w:val="0"/>
              <w:snapToGrid w:val="0"/>
              <w:jc w:val="center"/>
              <w:rPr>
                <w:sz w:val="24"/>
              </w:rPr>
            </w:pPr>
            <w:r>
              <w:rPr>
                <w:rFonts w:hint="eastAsia"/>
                <w:sz w:val="24"/>
              </w:rPr>
              <w:t>污水处理及其再生利用</w:t>
            </w:r>
          </w:p>
        </w:tc>
        <w:tc>
          <w:tcPr>
            <w:tcW w:w="1582" w:type="dxa"/>
            <w:vAlign w:val="center"/>
          </w:tcPr>
          <w:p>
            <w:pPr>
              <w:adjustRightInd w:val="0"/>
              <w:snapToGrid w:val="0"/>
              <w:jc w:val="center"/>
              <w:rPr>
                <w:sz w:val="24"/>
              </w:rPr>
            </w:pPr>
            <w:bookmarkStart w:id="1" w:name="_Hlk49843745"/>
            <w:r>
              <w:rPr>
                <w:sz w:val="24"/>
              </w:rPr>
              <w:t>建设项目</w:t>
            </w:r>
          </w:p>
          <w:p>
            <w:pPr>
              <w:adjustRightInd w:val="0"/>
              <w:snapToGrid w:val="0"/>
              <w:jc w:val="center"/>
              <w:rPr>
                <w:sz w:val="24"/>
              </w:rPr>
            </w:pPr>
            <w:r>
              <w:rPr>
                <w:sz w:val="24"/>
              </w:rPr>
              <w:t>行业类别</w:t>
            </w:r>
            <w:bookmarkEnd w:id="1"/>
          </w:p>
        </w:tc>
        <w:tc>
          <w:tcPr>
            <w:tcW w:w="3045" w:type="dxa"/>
            <w:vAlign w:val="center"/>
          </w:tcPr>
          <w:p>
            <w:pPr>
              <w:adjustRightInd w:val="0"/>
              <w:snapToGrid w:val="0"/>
              <w:jc w:val="center"/>
              <w:rPr>
                <w:sz w:val="24"/>
              </w:rPr>
            </w:pPr>
            <w:r>
              <w:rPr>
                <w:rFonts w:hint="eastAsia"/>
                <w:sz w:val="24"/>
              </w:rPr>
              <w:t xml:space="preserve">四十一、电力、热力生产和供应业 </w:t>
            </w:r>
            <w:r>
              <w:rPr>
                <w:sz w:val="24"/>
              </w:rPr>
              <w:t xml:space="preserve">91 </w:t>
            </w:r>
            <w:r>
              <w:rPr>
                <w:rFonts w:hint="eastAsia"/>
                <w:sz w:val="24"/>
              </w:rPr>
              <w:t>热力生产和供应工程-天然气锅炉总容量1吨/小时（0</w:t>
            </w:r>
            <w:r>
              <w:rPr>
                <w:sz w:val="24"/>
              </w:rPr>
              <w:t>.7</w:t>
            </w:r>
            <w:r>
              <w:rPr>
                <w:rFonts w:hint="eastAsia"/>
                <w:sz w:val="24"/>
              </w:rPr>
              <w:t>兆瓦）以上的；</w:t>
            </w:r>
          </w:p>
          <w:p>
            <w:pPr>
              <w:adjustRightInd w:val="0"/>
              <w:snapToGrid w:val="0"/>
              <w:jc w:val="center"/>
              <w:rPr>
                <w:sz w:val="24"/>
              </w:rPr>
            </w:pPr>
            <w:r>
              <w:rPr>
                <w:rFonts w:hint="eastAsia"/>
                <w:sz w:val="24"/>
              </w:rPr>
              <w:t xml:space="preserve">四十三、水的生产和供应业 </w:t>
            </w:r>
            <w:r>
              <w:rPr>
                <w:sz w:val="24"/>
              </w:rPr>
              <w:t xml:space="preserve">95 </w:t>
            </w:r>
            <w:r>
              <w:rPr>
                <w:rFonts w:hint="eastAsia"/>
                <w:sz w:val="24"/>
              </w:rPr>
              <w:t>污水处理及其再生利用-新建、扩建其他工业废水处理的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建设性质</w:t>
            </w:r>
          </w:p>
        </w:tc>
        <w:tc>
          <w:tcPr>
            <w:tcW w:w="2387" w:type="dxa"/>
            <w:vAlign w:val="center"/>
          </w:tcPr>
          <w:p>
            <w:pPr>
              <w:jc w:val="left"/>
              <w:rPr>
                <w:sz w:val="24"/>
              </w:rPr>
            </w:pPr>
            <w:r>
              <w:rPr>
                <w:sz w:val="24"/>
              </w:rPr>
              <w:sym w:font="Wingdings 2" w:char="00A3"/>
            </w:r>
            <w:r>
              <w:rPr>
                <w:sz w:val="24"/>
              </w:rPr>
              <w:t>新建（迁建）</w:t>
            </w:r>
          </w:p>
          <w:p>
            <w:pPr>
              <w:jc w:val="left"/>
              <w:rPr>
                <w:sz w:val="24"/>
              </w:rPr>
            </w:pPr>
            <w:r>
              <w:rPr>
                <w:sz w:val="24"/>
              </w:rPr>
              <w:sym w:font="Wingdings 2" w:char="00A3"/>
            </w:r>
            <w:r>
              <w:rPr>
                <w:sz w:val="24"/>
              </w:rPr>
              <w:t>改建</w:t>
            </w:r>
          </w:p>
          <w:p>
            <w:pPr>
              <w:jc w:val="left"/>
              <w:rPr>
                <w:sz w:val="24"/>
              </w:rPr>
            </w:pPr>
            <w:r>
              <w:rPr>
                <w:sz w:val="24"/>
              </w:rPr>
              <w:sym w:font="Wingdings 2" w:char="00A3"/>
            </w:r>
            <w:r>
              <w:rPr>
                <w:sz w:val="24"/>
              </w:rPr>
              <w:t>扩建</w:t>
            </w:r>
          </w:p>
          <w:p>
            <w:pPr>
              <w:jc w:val="left"/>
              <w:rPr>
                <w:sz w:val="24"/>
              </w:rPr>
            </w:pPr>
            <w:r>
              <w:rPr>
                <w:sz w:val="24"/>
              </w:rPr>
              <w:sym w:font="Wingdings 2" w:char="0052"/>
            </w:r>
            <w:r>
              <w:rPr>
                <w:sz w:val="24"/>
              </w:rPr>
              <w:t>技术改造</w:t>
            </w:r>
          </w:p>
        </w:tc>
        <w:tc>
          <w:tcPr>
            <w:tcW w:w="1582" w:type="dxa"/>
            <w:vAlign w:val="center"/>
          </w:tcPr>
          <w:p>
            <w:pPr>
              <w:adjustRightInd w:val="0"/>
              <w:snapToGrid w:val="0"/>
              <w:jc w:val="center"/>
              <w:rPr>
                <w:sz w:val="24"/>
              </w:rPr>
            </w:pPr>
            <w:r>
              <w:rPr>
                <w:sz w:val="24"/>
              </w:rPr>
              <w:t>建设项目</w:t>
            </w:r>
          </w:p>
          <w:p>
            <w:pPr>
              <w:adjustRightInd w:val="0"/>
              <w:snapToGrid w:val="0"/>
              <w:jc w:val="center"/>
              <w:rPr>
                <w:sz w:val="24"/>
              </w:rPr>
            </w:pPr>
            <w:r>
              <w:rPr>
                <w:sz w:val="24"/>
              </w:rPr>
              <w:t>申报情形</w:t>
            </w:r>
          </w:p>
        </w:tc>
        <w:tc>
          <w:tcPr>
            <w:tcW w:w="3045" w:type="dxa"/>
            <w:vAlign w:val="center"/>
          </w:tcPr>
          <w:p>
            <w:pPr>
              <w:jc w:val="left"/>
              <w:rPr>
                <w:sz w:val="24"/>
              </w:rPr>
            </w:pPr>
            <w:r>
              <w:rPr>
                <w:sz w:val="24"/>
              </w:rPr>
              <w:sym w:font="Wingdings 2" w:char="0052"/>
            </w:r>
            <w:r>
              <w:rPr>
                <w:sz w:val="24"/>
              </w:rPr>
              <w:t xml:space="preserve">首次申报项目 </w:t>
            </w:r>
          </w:p>
          <w:p>
            <w:pPr>
              <w:jc w:val="left"/>
              <w:rPr>
                <w:sz w:val="24"/>
              </w:rPr>
            </w:pPr>
            <w:r>
              <w:rPr>
                <w:sz w:val="24"/>
              </w:rPr>
              <w:sym w:font="Wingdings 2" w:char="00A3"/>
            </w:r>
            <w:r>
              <w:rPr>
                <w:sz w:val="24"/>
              </w:rPr>
              <w:t>不予批准后再次申报项目</w:t>
            </w:r>
          </w:p>
          <w:p>
            <w:pPr>
              <w:jc w:val="left"/>
              <w:rPr>
                <w:sz w:val="24"/>
              </w:rPr>
            </w:pPr>
            <w:r>
              <w:rPr>
                <w:sz w:val="24"/>
              </w:rPr>
              <w:sym w:font="Wingdings 2" w:char="00A3"/>
            </w:r>
            <w:r>
              <w:rPr>
                <w:sz w:val="24"/>
              </w:rPr>
              <w:t>超五年重新审核项目</w:t>
            </w:r>
          </w:p>
          <w:p>
            <w:pPr>
              <w:jc w:val="left"/>
              <w:rPr>
                <w:sz w:val="24"/>
              </w:rPr>
            </w:pPr>
            <w:r>
              <w:rPr>
                <w:sz w:val="24"/>
              </w:rPr>
              <w:sym w:font="Wingdings 2" w:char="00A3"/>
            </w:r>
            <w:r>
              <w:rPr>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761"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项目审批（核准/备案）部门（选填）</w:t>
            </w:r>
          </w:p>
        </w:tc>
        <w:tc>
          <w:tcPr>
            <w:tcW w:w="2387" w:type="dxa"/>
            <w:vAlign w:val="center"/>
          </w:tcPr>
          <w:p>
            <w:pPr>
              <w:adjustRightInd w:val="0"/>
              <w:snapToGrid w:val="0"/>
              <w:jc w:val="center"/>
              <w:rPr>
                <w:sz w:val="24"/>
              </w:rPr>
            </w:pPr>
            <w:r>
              <w:rPr>
                <w:rFonts w:hint="eastAsia"/>
                <w:sz w:val="24"/>
              </w:rPr>
              <w:t>/</w:t>
            </w:r>
          </w:p>
        </w:tc>
        <w:tc>
          <w:tcPr>
            <w:tcW w:w="1582" w:type="dxa"/>
            <w:vAlign w:val="center"/>
          </w:tcPr>
          <w:p>
            <w:pPr>
              <w:adjustRightInd w:val="0"/>
              <w:snapToGrid w:val="0"/>
              <w:jc w:val="center"/>
              <w:rPr>
                <w:sz w:val="24"/>
              </w:rPr>
            </w:pPr>
            <w:r>
              <w:rPr>
                <w:sz w:val="24"/>
              </w:rPr>
              <w:t>项目审批（核准/备案）文号（选填）</w:t>
            </w:r>
          </w:p>
        </w:tc>
        <w:tc>
          <w:tcPr>
            <w:tcW w:w="3045" w:type="dxa"/>
            <w:vAlign w:val="center"/>
          </w:tcPr>
          <w:p>
            <w:pPr>
              <w:adjustRightInd w:val="0"/>
              <w:snapToGrid w:val="0"/>
              <w:jc w:val="center"/>
              <w:rPr>
                <w:sz w:val="24"/>
              </w:rPr>
            </w:pP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总投资（万元）</w:t>
            </w:r>
          </w:p>
        </w:tc>
        <w:tc>
          <w:tcPr>
            <w:tcW w:w="2387" w:type="dxa"/>
            <w:vAlign w:val="center"/>
          </w:tcPr>
          <w:p>
            <w:pPr>
              <w:adjustRightInd w:val="0"/>
              <w:snapToGrid w:val="0"/>
              <w:jc w:val="center"/>
              <w:rPr>
                <w:sz w:val="24"/>
              </w:rPr>
            </w:pPr>
            <w:r>
              <w:rPr>
                <w:rFonts w:hint="eastAsia"/>
                <w:sz w:val="24"/>
              </w:rPr>
              <w:t>3</w:t>
            </w:r>
            <w:r>
              <w:rPr>
                <w:sz w:val="24"/>
              </w:rPr>
              <w:t>00</w:t>
            </w:r>
          </w:p>
        </w:tc>
        <w:tc>
          <w:tcPr>
            <w:tcW w:w="1582" w:type="dxa"/>
            <w:tcMar>
              <w:top w:w="16" w:type="dxa"/>
              <w:left w:w="16" w:type="dxa"/>
              <w:right w:w="16" w:type="dxa"/>
            </w:tcMar>
            <w:vAlign w:val="center"/>
          </w:tcPr>
          <w:p>
            <w:pPr>
              <w:adjustRightInd w:val="0"/>
              <w:snapToGrid w:val="0"/>
              <w:jc w:val="center"/>
              <w:rPr>
                <w:sz w:val="24"/>
              </w:rPr>
            </w:pPr>
            <w:r>
              <w:rPr>
                <w:sz w:val="24"/>
              </w:rPr>
              <w:t>环保投资（万元）</w:t>
            </w:r>
          </w:p>
        </w:tc>
        <w:tc>
          <w:tcPr>
            <w:tcW w:w="3045" w:type="dxa"/>
            <w:vAlign w:val="center"/>
          </w:tcPr>
          <w:p>
            <w:pPr>
              <w:adjustRightInd w:val="0"/>
              <w:snapToGrid w:val="0"/>
              <w:jc w:val="center"/>
              <w:rPr>
                <w:sz w:val="24"/>
              </w:rPr>
            </w:pPr>
            <w:r>
              <w:rPr>
                <w:sz w:val="24"/>
              </w:rPr>
              <w:t>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环保投资占比（%）</w:t>
            </w:r>
          </w:p>
        </w:tc>
        <w:tc>
          <w:tcPr>
            <w:tcW w:w="2387" w:type="dxa"/>
            <w:vAlign w:val="center"/>
          </w:tcPr>
          <w:p>
            <w:pPr>
              <w:adjustRightInd w:val="0"/>
              <w:snapToGrid w:val="0"/>
              <w:jc w:val="center"/>
              <w:rPr>
                <w:sz w:val="24"/>
              </w:rPr>
            </w:pPr>
            <w:r>
              <w:rPr>
                <w:sz w:val="24"/>
              </w:rPr>
              <w:t>34</w:t>
            </w:r>
          </w:p>
        </w:tc>
        <w:tc>
          <w:tcPr>
            <w:tcW w:w="1582" w:type="dxa"/>
            <w:tcMar>
              <w:top w:w="16" w:type="dxa"/>
              <w:left w:w="16" w:type="dxa"/>
              <w:right w:w="16" w:type="dxa"/>
            </w:tcMar>
            <w:vAlign w:val="center"/>
          </w:tcPr>
          <w:p>
            <w:pPr>
              <w:adjustRightInd w:val="0"/>
              <w:snapToGrid w:val="0"/>
              <w:jc w:val="center"/>
              <w:rPr>
                <w:sz w:val="24"/>
              </w:rPr>
            </w:pPr>
            <w:r>
              <w:rPr>
                <w:sz w:val="24"/>
              </w:rPr>
              <w:t>施工工期</w:t>
            </w:r>
          </w:p>
        </w:tc>
        <w:tc>
          <w:tcPr>
            <w:tcW w:w="3045" w:type="dxa"/>
            <w:vAlign w:val="center"/>
          </w:tcPr>
          <w:p>
            <w:pPr>
              <w:adjustRightInd w:val="0"/>
              <w:snapToGrid w:val="0"/>
              <w:jc w:val="center"/>
              <w:rPr>
                <w:sz w:val="24"/>
              </w:rPr>
            </w:pPr>
            <w:r>
              <w:rPr>
                <w:rFonts w:hint="eastAsia"/>
                <w:sz w:val="24"/>
              </w:rPr>
              <w:t>3个月（施工已结束）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856" w:type="dxa"/>
            <w:tcMar>
              <w:top w:w="16" w:type="dxa"/>
              <w:left w:w="16" w:type="dxa"/>
              <w:right w:w="16" w:type="dxa"/>
            </w:tcMar>
            <w:vAlign w:val="center"/>
          </w:tcPr>
          <w:p>
            <w:pPr>
              <w:adjustRightInd w:val="0"/>
              <w:snapToGrid w:val="0"/>
              <w:jc w:val="center"/>
              <w:rPr>
                <w:sz w:val="24"/>
              </w:rPr>
            </w:pPr>
            <w:r>
              <w:rPr>
                <w:sz w:val="24"/>
              </w:rPr>
              <w:t>是否开工建设</w:t>
            </w:r>
          </w:p>
        </w:tc>
        <w:tc>
          <w:tcPr>
            <w:tcW w:w="2387" w:type="dxa"/>
            <w:vAlign w:val="center"/>
          </w:tcPr>
          <w:p>
            <w:pPr>
              <w:adjustRightInd w:val="0"/>
              <w:snapToGrid w:val="0"/>
              <w:rPr>
                <w:sz w:val="24"/>
              </w:rPr>
            </w:pPr>
            <w:r>
              <w:rPr>
                <w:sz w:val="24"/>
              </w:rPr>
              <w:sym w:font="Wingdings 2" w:char="00A3"/>
            </w:r>
            <w:r>
              <w:rPr>
                <w:sz w:val="24"/>
              </w:rPr>
              <w:t xml:space="preserve"> 否</w:t>
            </w:r>
          </w:p>
          <w:p>
            <w:pPr>
              <w:adjustRightInd w:val="0"/>
              <w:snapToGrid w:val="0"/>
              <w:rPr>
                <w:sz w:val="24"/>
              </w:rPr>
            </w:pPr>
            <w:r>
              <w:rPr>
                <w:sz w:val="24"/>
              </w:rPr>
              <w:sym w:font="Wingdings 2" w:char="0052"/>
            </w:r>
            <w:r>
              <w:rPr>
                <w:sz w:val="24"/>
              </w:rPr>
              <w:t>是</w:t>
            </w:r>
            <w:r>
              <w:rPr>
                <w:rFonts w:hint="eastAsia"/>
                <w:sz w:val="24"/>
              </w:rPr>
              <w:t>：锅炉房于2</w:t>
            </w:r>
            <w:r>
              <w:rPr>
                <w:sz w:val="24"/>
              </w:rPr>
              <w:t>018</w:t>
            </w:r>
            <w:r>
              <w:rPr>
                <w:rFonts w:hint="eastAsia"/>
                <w:sz w:val="24"/>
              </w:rPr>
              <w:t>年改造建成，包括2台燃气锅炉（一用一备）及其配套设施，污水处理站于2</w:t>
            </w:r>
            <w:r>
              <w:rPr>
                <w:sz w:val="24"/>
              </w:rPr>
              <w:t>021</w:t>
            </w:r>
            <w:r>
              <w:rPr>
                <w:rFonts w:hint="eastAsia"/>
                <w:sz w:val="24"/>
              </w:rPr>
              <w:t>年7月改造建成，包括氧化池、水解池、板框压滤机、过滤池、调节池及气浮装置等。</w:t>
            </w:r>
            <w:r>
              <w:rPr>
                <w:sz w:val="24"/>
              </w:rPr>
              <w:t xml:space="preserve">  </w:t>
            </w:r>
          </w:p>
        </w:tc>
        <w:tc>
          <w:tcPr>
            <w:tcW w:w="1582" w:type="dxa"/>
            <w:tcMar>
              <w:top w:w="16" w:type="dxa"/>
              <w:left w:w="16" w:type="dxa"/>
              <w:right w:w="16" w:type="dxa"/>
            </w:tcMar>
            <w:vAlign w:val="center"/>
          </w:tcPr>
          <w:p>
            <w:pPr>
              <w:adjustRightInd w:val="0"/>
              <w:snapToGrid w:val="0"/>
              <w:jc w:val="center"/>
              <w:rPr>
                <w:spacing w:val="-6"/>
                <w:sz w:val="24"/>
              </w:rPr>
            </w:pPr>
            <w:r>
              <w:rPr>
                <w:spacing w:val="-6"/>
                <w:sz w:val="24"/>
              </w:rPr>
              <w:t>用地（用海）</w:t>
            </w:r>
          </w:p>
          <w:p>
            <w:pPr>
              <w:adjustRightInd w:val="0"/>
              <w:snapToGrid w:val="0"/>
              <w:jc w:val="center"/>
              <w:rPr>
                <w:sz w:val="24"/>
              </w:rPr>
            </w:pPr>
            <w:r>
              <w:rPr>
                <w:spacing w:val="-6"/>
                <w:sz w:val="24"/>
              </w:rPr>
              <w:t>面积（m</w:t>
            </w:r>
            <w:r>
              <w:rPr>
                <w:spacing w:val="-6"/>
                <w:sz w:val="24"/>
                <w:vertAlign w:val="superscript"/>
              </w:rPr>
              <w:t>2</w:t>
            </w:r>
            <w:r>
              <w:rPr>
                <w:spacing w:val="-6"/>
                <w:sz w:val="24"/>
              </w:rPr>
              <w:t>）</w:t>
            </w:r>
          </w:p>
        </w:tc>
        <w:tc>
          <w:tcPr>
            <w:tcW w:w="3045" w:type="dxa"/>
            <w:vAlign w:val="center"/>
          </w:tcPr>
          <w:p>
            <w:pPr>
              <w:adjustRightInd w:val="0"/>
              <w:snapToGrid w:val="0"/>
              <w:jc w:val="center"/>
              <w:rPr>
                <w:sz w:val="24"/>
              </w:rPr>
            </w:pPr>
            <w:r>
              <w:rPr>
                <w:rFonts w:hint="eastAsia"/>
                <w:sz w:val="24"/>
              </w:rPr>
              <w:t>在现有厂区内建设，无新增用地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1856" w:type="dxa"/>
            <w:vAlign w:val="center"/>
          </w:tcPr>
          <w:p>
            <w:pPr>
              <w:autoSpaceDE w:val="0"/>
              <w:autoSpaceDN w:val="0"/>
              <w:adjustRightInd w:val="0"/>
              <w:snapToGrid w:val="0"/>
              <w:jc w:val="center"/>
              <w:rPr>
                <w:kern w:val="0"/>
                <w:sz w:val="24"/>
              </w:rPr>
            </w:pPr>
            <w:r>
              <w:rPr>
                <w:kern w:val="0"/>
                <w:sz w:val="24"/>
              </w:rPr>
              <w:t>专项评价设置情况</w:t>
            </w:r>
          </w:p>
        </w:tc>
        <w:tc>
          <w:tcPr>
            <w:tcW w:w="7014" w:type="dxa"/>
            <w:gridSpan w:val="3"/>
            <w:vAlign w:val="center"/>
          </w:tcPr>
          <w:p>
            <w:pPr>
              <w:autoSpaceDE w:val="0"/>
              <w:autoSpaceDN w:val="0"/>
              <w:adjustRightInd w:val="0"/>
              <w:snapToGrid w:val="0"/>
              <w:jc w:val="center"/>
              <w:rPr>
                <w:kern w:val="0"/>
                <w:sz w:val="24"/>
              </w:rPr>
            </w:pPr>
            <w:r>
              <w:rPr>
                <w:rFonts w:hint="eastAsia"/>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856" w:type="dxa"/>
            <w:vAlign w:val="center"/>
          </w:tcPr>
          <w:p>
            <w:pPr>
              <w:autoSpaceDE w:val="0"/>
              <w:autoSpaceDN w:val="0"/>
              <w:adjustRightInd w:val="0"/>
              <w:snapToGrid w:val="0"/>
              <w:jc w:val="center"/>
              <w:rPr>
                <w:kern w:val="0"/>
                <w:sz w:val="24"/>
              </w:rPr>
            </w:pPr>
            <w:r>
              <w:rPr>
                <w:sz w:val="24"/>
              </w:rPr>
              <w:t>规划情况</w:t>
            </w:r>
          </w:p>
        </w:tc>
        <w:tc>
          <w:tcPr>
            <w:tcW w:w="7014" w:type="dxa"/>
            <w:gridSpan w:val="3"/>
            <w:vAlign w:val="center"/>
          </w:tcPr>
          <w:p>
            <w:pPr>
              <w:pStyle w:val="77"/>
              <w:ind w:firstLine="0" w:firstLineChars="0"/>
              <w:jc w:val="center"/>
            </w:pPr>
            <w:r>
              <w:rPr>
                <w:rFonts w:hint="eastAsi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jc w:val="center"/>
        </w:trPr>
        <w:tc>
          <w:tcPr>
            <w:tcW w:w="1856" w:type="dxa"/>
            <w:vAlign w:val="center"/>
          </w:tcPr>
          <w:p>
            <w:pPr>
              <w:adjustRightInd w:val="0"/>
              <w:snapToGrid w:val="0"/>
              <w:jc w:val="center"/>
              <w:rPr>
                <w:sz w:val="24"/>
              </w:rPr>
            </w:pPr>
            <w:r>
              <w:rPr>
                <w:sz w:val="24"/>
              </w:rPr>
              <w:t>规划环境影响</w:t>
            </w:r>
          </w:p>
          <w:p>
            <w:pPr>
              <w:adjustRightInd w:val="0"/>
              <w:snapToGrid w:val="0"/>
              <w:jc w:val="center"/>
              <w:rPr>
                <w:kern w:val="0"/>
                <w:sz w:val="24"/>
              </w:rPr>
            </w:pPr>
            <w:r>
              <w:rPr>
                <w:sz w:val="24"/>
              </w:rPr>
              <w:t>评价情况</w:t>
            </w:r>
          </w:p>
        </w:tc>
        <w:tc>
          <w:tcPr>
            <w:tcW w:w="7014" w:type="dxa"/>
            <w:gridSpan w:val="3"/>
            <w:vAlign w:val="center"/>
          </w:tcPr>
          <w:p>
            <w:pPr>
              <w:pStyle w:val="77"/>
              <w:spacing w:line="520" w:lineRule="exact"/>
              <w:ind w:firstLine="0" w:firstLineChars="0"/>
              <w:jc w:val="center"/>
            </w:pPr>
            <w:r>
              <w:rPr>
                <w:rFonts w:hint="eastAsi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56" w:type="dxa"/>
            <w:vAlign w:val="center"/>
          </w:tcPr>
          <w:p>
            <w:pPr>
              <w:autoSpaceDE w:val="0"/>
              <w:autoSpaceDN w:val="0"/>
              <w:adjustRightInd w:val="0"/>
              <w:snapToGrid w:val="0"/>
              <w:jc w:val="center"/>
              <w:rPr>
                <w:kern w:val="0"/>
                <w:sz w:val="24"/>
              </w:rPr>
            </w:pPr>
            <w:r>
              <w:rPr>
                <w:kern w:val="0"/>
                <w:sz w:val="24"/>
              </w:rPr>
              <w:t>规划及规划环境影响评价符合性分析</w:t>
            </w:r>
          </w:p>
        </w:tc>
        <w:tc>
          <w:tcPr>
            <w:tcW w:w="7014" w:type="dxa"/>
            <w:gridSpan w:val="3"/>
            <w:vAlign w:val="center"/>
          </w:tcPr>
          <w:p>
            <w:pPr>
              <w:pStyle w:val="77"/>
              <w:ind w:firstLine="0" w:firstLineChars="0"/>
              <w:jc w:val="center"/>
            </w:pPr>
            <w:r>
              <w:rPr>
                <w:rFonts w:hint="eastAsia"/>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56" w:type="dxa"/>
            <w:vAlign w:val="center"/>
          </w:tcPr>
          <w:p>
            <w:pPr>
              <w:autoSpaceDE w:val="0"/>
              <w:autoSpaceDN w:val="0"/>
              <w:adjustRightInd w:val="0"/>
              <w:snapToGrid w:val="0"/>
              <w:jc w:val="center"/>
              <w:rPr>
                <w:kern w:val="0"/>
                <w:sz w:val="24"/>
              </w:rPr>
            </w:pPr>
            <w:r>
              <w:rPr>
                <w:kern w:val="0"/>
                <w:sz w:val="24"/>
              </w:rPr>
              <w:t>其他符合性分析</w:t>
            </w:r>
          </w:p>
        </w:tc>
        <w:tc>
          <w:tcPr>
            <w:tcW w:w="7014" w:type="dxa"/>
            <w:gridSpan w:val="3"/>
            <w:vAlign w:val="center"/>
          </w:tcPr>
          <w:p>
            <w:pPr>
              <w:pStyle w:val="112"/>
              <w:ind w:firstLine="482"/>
              <w:rPr>
                <w:b/>
                <w:bCs/>
              </w:rPr>
            </w:pPr>
            <w:r>
              <w:rPr>
                <w:b/>
                <w:bCs/>
              </w:rPr>
              <w:t>1、《产业结构调整指导目录（2019年本）》</w:t>
            </w:r>
            <w:r>
              <w:rPr>
                <w:rFonts w:hint="eastAsia"/>
                <w:b/>
                <w:bCs/>
              </w:rPr>
              <w:t>（2</w:t>
            </w:r>
            <w:r>
              <w:rPr>
                <w:b/>
                <w:bCs/>
              </w:rPr>
              <w:t>021</w:t>
            </w:r>
            <w:r>
              <w:rPr>
                <w:rFonts w:hint="eastAsia"/>
                <w:b/>
                <w:bCs/>
              </w:rPr>
              <w:t>年修订）</w:t>
            </w:r>
            <w:r>
              <w:rPr>
                <w:b/>
                <w:bCs/>
              </w:rPr>
              <w:t>相符性</w:t>
            </w:r>
          </w:p>
          <w:p>
            <w:pPr>
              <w:pStyle w:val="112"/>
              <w:rPr>
                <w:b/>
                <w:bCs/>
              </w:rPr>
            </w:pPr>
            <w:r>
              <w:t>根据国家《产业结构调整指导目录（2019年本）》</w:t>
            </w:r>
            <w:r>
              <w:rPr>
                <w:rFonts w:hint="eastAsia"/>
              </w:rPr>
              <w:t>（2</w:t>
            </w:r>
            <w:r>
              <w:t>021</w:t>
            </w:r>
            <w:r>
              <w:rPr>
                <w:rFonts w:hint="eastAsia"/>
              </w:rPr>
              <w:t>年修订）</w:t>
            </w:r>
            <w:r>
              <w:t>，</w:t>
            </w:r>
            <w:r>
              <w:rPr>
                <w:rFonts w:hint="eastAsia"/>
                <w:bCs/>
              </w:rPr>
              <w:t>本项目不属于“鼓励类”“淘汰类”和“限制类”项目，为“允许类”建设项目</w:t>
            </w:r>
            <w:r>
              <w:rPr>
                <w:rFonts w:hint="eastAsia"/>
              </w:rPr>
              <w:t>，本项目</w:t>
            </w:r>
            <w:r>
              <w:t>符合国家产业政策要求。</w:t>
            </w:r>
          </w:p>
          <w:p>
            <w:pPr>
              <w:pStyle w:val="112"/>
              <w:ind w:firstLine="482"/>
              <w:rPr>
                <w:b/>
                <w:bCs/>
              </w:rPr>
            </w:pPr>
            <w:r>
              <w:rPr>
                <w:b/>
                <w:bCs/>
              </w:rPr>
              <w:t>2、“三线一单”符合性分析</w:t>
            </w:r>
          </w:p>
          <w:p>
            <w:pPr>
              <w:pStyle w:val="112"/>
              <w:rPr>
                <w:bCs/>
                <w:kern w:val="0"/>
              </w:rPr>
            </w:pPr>
            <w:r>
              <w:rPr>
                <w:bCs/>
                <w:kern w:val="0"/>
              </w:rPr>
              <w:t>根据《关于以改善环境质量为核心加强环境影响评价管理的通知》（环环评[2016]150号），落实“生态保护红线、环境质量底线、资源利用上线和环境准入负面清单”（简称“三线一单”）约束，更好地发挥环评制度从源头防范环境污染和生态破坏的作用，加快推进改善环境质量。</w:t>
            </w:r>
          </w:p>
          <w:p>
            <w:pPr>
              <w:pStyle w:val="112"/>
              <w:rPr>
                <w:bCs/>
                <w:kern w:val="0"/>
              </w:rPr>
            </w:pPr>
            <w:r>
              <w:rPr>
                <w:bCs/>
                <w:kern w:val="0"/>
              </w:rPr>
              <w:t>依据《</w:t>
            </w:r>
            <w:r>
              <w:rPr>
                <w:rFonts w:hint="eastAsia"/>
                <w:bCs/>
                <w:kern w:val="0"/>
              </w:rPr>
              <w:t>昌吉回族自治州“三线一单”生态环境分区管控方案及生态环境准入清单</w:t>
            </w:r>
            <w:r>
              <w:rPr>
                <w:bCs/>
                <w:kern w:val="0"/>
              </w:rPr>
              <w:t>》（</w:t>
            </w:r>
            <w:r>
              <w:rPr>
                <w:rFonts w:hint="eastAsia"/>
                <w:bCs/>
                <w:kern w:val="0"/>
              </w:rPr>
              <w:t>昌州政办发〔2021〕41号</w:t>
            </w:r>
            <w:r>
              <w:rPr>
                <w:bCs/>
                <w:kern w:val="0"/>
              </w:rPr>
              <w:t>），本项目与“三线一单”的符合性见下述。</w:t>
            </w:r>
          </w:p>
          <w:p>
            <w:pPr>
              <w:pStyle w:val="112"/>
              <w:rPr>
                <w:bCs/>
                <w:kern w:val="0"/>
              </w:rPr>
            </w:pPr>
            <w:r>
              <w:rPr>
                <w:rFonts w:hint="eastAsia"/>
                <w:bCs/>
                <w:kern w:val="0"/>
              </w:rPr>
              <w:t>（1）</w:t>
            </w:r>
            <w:r>
              <w:rPr>
                <w:bCs/>
                <w:kern w:val="0"/>
              </w:rPr>
              <w:t>生态保护红线。</w:t>
            </w:r>
            <w:r>
              <w:rPr>
                <w:rFonts w:hint="eastAsia"/>
                <w:bCs/>
                <w:kern w:val="0"/>
              </w:rPr>
              <w:t>按照“生态功能不降低、面积不减少、性质不改变”的基本要求，</w:t>
            </w:r>
            <w:r>
              <w:rPr>
                <w:bCs/>
                <w:kern w:val="0"/>
              </w:rPr>
              <w:t>生态空间得到优化和保护，生态保护红线得到严格管控。生态功能保持稳定，生物多样性水平稳步提升，生态空间保护体系基本建立。</w:t>
            </w:r>
          </w:p>
          <w:p>
            <w:pPr>
              <w:pStyle w:val="112"/>
              <w:rPr>
                <w:bCs/>
                <w:kern w:val="0"/>
              </w:rPr>
            </w:pPr>
            <w:r>
              <w:rPr>
                <w:bCs/>
                <w:kern w:val="0"/>
              </w:rPr>
              <w:t>本项目位于</w:t>
            </w:r>
            <w:r>
              <w:rPr>
                <w:rFonts w:hint="eastAsia"/>
                <w:bCs/>
                <w:kern w:val="0"/>
              </w:rPr>
              <w:t>呼图壁县</w:t>
            </w:r>
            <w:r>
              <w:rPr>
                <w:rFonts w:hint="eastAsia"/>
                <w:bCs/>
                <w:kern w:val="0"/>
                <w:lang w:bidi="en-US"/>
              </w:rPr>
              <w:t>新疆维维天山雪乳业有限公司厂区内</w:t>
            </w:r>
            <w:r>
              <w:rPr>
                <w:bCs/>
                <w:kern w:val="0"/>
              </w:rPr>
              <w:t>，选址不涉及自然保护区、森林公园、风景名胜区、世界文化和自然遗产地、饮用水源保护区及其他重要生态功能区和生态环境敏感区、脆弱区内，符合生态保护红线要求。</w:t>
            </w:r>
          </w:p>
          <w:p>
            <w:pPr>
              <w:pStyle w:val="112"/>
              <w:rPr>
                <w:bCs/>
                <w:kern w:val="0"/>
              </w:rPr>
            </w:pPr>
            <w:r>
              <w:rPr>
                <w:rFonts w:hint="eastAsia"/>
                <w:bCs/>
                <w:kern w:val="0"/>
              </w:rPr>
              <w:t>（2）</w:t>
            </w:r>
            <w:r>
              <w:rPr>
                <w:bCs/>
                <w:kern w:val="0"/>
              </w:rPr>
              <w:t>环境质量底线。</w:t>
            </w:r>
            <w:r>
              <w:rPr>
                <w:rFonts w:hint="eastAsia"/>
                <w:bCs/>
                <w:kern w:val="0"/>
              </w:rPr>
              <w:t>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p>
            <w:pPr>
              <w:pStyle w:val="112"/>
              <w:rPr>
                <w:bCs/>
                <w:kern w:val="0"/>
              </w:rPr>
            </w:pPr>
            <w:r>
              <w:rPr>
                <w:rFonts w:hint="eastAsia"/>
                <w:bCs/>
                <w:kern w:val="0"/>
              </w:rPr>
              <w:t xml:space="preserve">本项目采取有效的环保措施，废气污染物可达标排放，不会改变区域大气环境质量；项目为配套污水处理站升级改造项目，污水能够达标排放。项目的建设不触及环境质量底线要求。     </w:t>
            </w:r>
          </w:p>
          <w:p>
            <w:pPr>
              <w:pStyle w:val="112"/>
              <w:rPr>
                <w:bCs/>
                <w:kern w:val="0"/>
              </w:rPr>
            </w:pPr>
            <w:r>
              <w:rPr>
                <w:rFonts w:hint="eastAsia"/>
                <w:bCs/>
                <w:kern w:val="0"/>
              </w:rPr>
              <w:t>（3）</w:t>
            </w:r>
            <w:r>
              <w:rPr>
                <w:bCs/>
                <w:kern w:val="0"/>
              </w:rPr>
              <w:t>资源利用上线。强化节约集约利用，持续提升资源能源利用效率，水资源、土地资源、能源消耗等达到自治区</w:t>
            </w:r>
            <w:r>
              <w:rPr>
                <w:rFonts w:hint="eastAsia"/>
                <w:bCs/>
                <w:kern w:val="0"/>
              </w:rPr>
              <w:t>、</w:t>
            </w:r>
            <w:r>
              <w:rPr>
                <w:bCs/>
                <w:kern w:val="0"/>
              </w:rPr>
              <w:t>自治</w:t>
            </w:r>
            <w:r>
              <w:rPr>
                <w:rFonts w:hint="eastAsia"/>
                <w:bCs/>
                <w:kern w:val="0"/>
              </w:rPr>
              <w:t>州</w:t>
            </w:r>
            <w:r>
              <w:rPr>
                <w:bCs/>
                <w:kern w:val="0"/>
              </w:rPr>
              <w:t>下达的总量和强度控制目标。</w:t>
            </w:r>
            <w:r>
              <w:rPr>
                <w:rFonts w:hint="eastAsia"/>
                <w:bCs/>
                <w:kern w:val="0"/>
              </w:rPr>
              <w:t>加快区域低碳发展，积极推动呼图壁国家级低碳试点城市发挥低碳试点示范和引领作用。</w:t>
            </w:r>
          </w:p>
          <w:p>
            <w:pPr>
              <w:pStyle w:val="112"/>
              <w:rPr>
                <w:bCs/>
                <w:kern w:val="0"/>
              </w:rPr>
            </w:pPr>
            <w:r>
              <w:rPr>
                <w:bCs/>
                <w:kern w:val="0"/>
              </w:rPr>
              <w:t>本项目水、电</w:t>
            </w:r>
            <w:r>
              <w:rPr>
                <w:rFonts w:hint="eastAsia"/>
                <w:bCs/>
                <w:kern w:val="0"/>
              </w:rPr>
              <w:t>、气</w:t>
            </w:r>
            <w:r>
              <w:rPr>
                <w:bCs/>
                <w:kern w:val="0"/>
              </w:rPr>
              <w:t>均依托现有基础设施，资源消耗量相对区域资源利用总量较小，符合资源利用上限要求。</w:t>
            </w:r>
          </w:p>
          <w:p>
            <w:pPr>
              <w:pStyle w:val="112"/>
              <w:rPr>
                <w:bCs/>
                <w:kern w:val="0"/>
              </w:rPr>
            </w:pPr>
            <w:r>
              <w:rPr>
                <w:rFonts w:hint="eastAsia"/>
                <w:bCs/>
                <w:kern w:val="0"/>
              </w:rPr>
              <w:t>（4）</w:t>
            </w:r>
            <w:r>
              <w:rPr>
                <w:bCs/>
                <w:kern w:val="0"/>
              </w:rPr>
              <w:t>生态环境分区管控</w:t>
            </w:r>
          </w:p>
          <w:p>
            <w:pPr>
              <w:pStyle w:val="112"/>
              <w:rPr>
                <w:bCs/>
                <w:kern w:val="0"/>
              </w:rPr>
            </w:pPr>
            <w:r>
              <w:rPr>
                <w:rFonts w:hint="eastAsia"/>
                <w:bCs/>
                <w:kern w:val="0"/>
              </w:rPr>
              <w:t>昌吉回族自治州共划定119个环境管控单元，分为优先保护单元、重点管控单元和一般管控单元三类，实施分类管控。</w:t>
            </w:r>
          </w:p>
          <w:p>
            <w:pPr>
              <w:pStyle w:val="112"/>
              <w:rPr>
                <w:bCs/>
                <w:kern w:val="0"/>
              </w:rPr>
            </w:pPr>
            <w:r>
              <w:rPr>
                <w:bCs/>
                <w:kern w:val="0"/>
              </w:rPr>
              <w:t>优先保护单元主要包括生态保护红线区和生态保护红线区以外的饮用水水源保护区、水源涵养区、防风固沙区、</w:t>
            </w:r>
            <w:r>
              <w:rPr>
                <w:rFonts w:hint="eastAsia"/>
                <w:bCs/>
                <w:kern w:val="0"/>
              </w:rPr>
              <w:t>水土保持区、生物多样性维护区、</w:t>
            </w:r>
            <w:r>
              <w:rPr>
                <w:bCs/>
                <w:kern w:val="0"/>
              </w:rPr>
              <w:t>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pPr>
              <w:pStyle w:val="112"/>
              <w:rPr>
                <w:bCs/>
                <w:kern w:val="0"/>
              </w:rPr>
            </w:pPr>
            <w:r>
              <w:rPr>
                <w:bCs/>
                <w:kern w:val="0"/>
              </w:rPr>
              <w:t>重点管控单元主要包括城镇建成区、工业园区和工业聚集区等。重点管控单元要着力优化空间布局，不断提升资源利用效率，有针对性地加强污染物排放管控和环境风险防控，解决生态环境质量不达标、生态环境风险高等问题。</w:t>
            </w:r>
          </w:p>
          <w:p>
            <w:pPr>
              <w:pStyle w:val="112"/>
              <w:rPr>
                <w:bCs/>
                <w:kern w:val="0"/>
              </w:rPr>
            </w:pPr>
            <w:r>
              <w:rPr>
                <w:bCs/>
                <w:kern w:val="0"/>
              </w:rPr>
              <w:t>一般管控单元主要包括优先保护单元和重点管控单元之外的其它区域。一般管控单元主要落实生态环境保护基本要求，推动区域环境质量持续改善。</w:t>
            </w:r>
          </w:p>
          <w:p>
            <w:pPr>
              <w:pStyle w:val="112"/>
              <w:rPr>
                <w:bCs/>
                <w:kern w:val="0"/>
              </w:rPr>
            </w:pPr>
            <w:r>
              <w:rPr>
                <w:rFonts w:hint="eastAsia"/>
                <w:bCs/>
                <w:kern w:val="0"/>
              </w:rPr>
              <w:t>本项目</w:t>
            </w:r>
            <w:r>
              <w:rPr>
                <w:bCs/>
                <w:kern w:val="0"/>
              </w:rPr>
              <w:t>位于</w:t>
            </w:r>
            <w:r>
              <w:rPr>
                <w:rFonts w:hint="eastAsia"/>
                <w:bCs/>
                <w:kern w:val="0"/>
              </w:rPr>
              <w:t>呼图壁县</w:t>
            </w:r>
            <w:r>
              <w:rPr>
                <w:rFonts w:hint="eastAsia"/>
                <w:bCs/>
                <w:kern w:val="0"/>
                <w:lang w:bidi="en-US"/>
              </w:rPr>
              <w:t>新疆维维天山雪乳业有限公司厂区内</w:t>
            </w:r>
            <w:r>
              <w:rPr>
                <w:bCs/>
                <w:kern w:val="0"/>
              </w:rPr>
              <w:t>，为重点管控单元</w:t>
            </w:r>
            <w:r>
              <w:rPr>
                <w:rFonts w:hint="eastAsia"/>
                <w:bCs/>
                <w:kern w:val="0"/>
              </w:rPr>
              <w:t>（环境管控单元编码：ZH6523232000</w:t>
            </w:r>
            <w:r>
              <w:rPr>
                <w:bCs/>
                <w:kern w:val="0"/>
              </w:rPr>
              <w:t>1</w:t>
            </w:r>
            <w:r>
              <w:rPr>
                <w:rFonts w:hint="eastAsia"/>
                <w:bCs/>
                <w:kern w:val="0"/>
              </w:rPr>
              <w:t>）</w:t>
            </w:r>
            <w:r>
              <w:rPr>
                <w:bCs/>
                <w:kern w:val="0"/>
              </w:rPr>
              <w:t>，</w:t>
            </w:r>
            <w:r>
              <w:rPr>
                <w:rFonts w:hint="eastAsia"/>
                <w:bCs/>
                <w:kern w:val="0"/>
              </w:rPr>
              <w:t>详见图</w:t>
            </w:r>
            <w:r>
              <w:rPr>
                <w:bCs/>
                <w:kern w:val="0"/>
              </w:rPr>
              <w:t>1</w:t>
            </w:r>
            <w:r>
              <w:rPr>
                <w:rFonts w:hint="eastAsia"/>
                <w:bCs/>
                <w:kern w:val="0"/>
              </w:rPr>
              <w:t>昌吉回族自治州“三线一单”生态环境分区管控图。</w:t>
            </w:r>
          </w:p>
          <w:p>
            <w:pPr>
              <w:pStyle w:val="112"/>
              <w:rPr>
                <w:bCs/>
                <w:kern w:val="0"/>
              </w:rPr>
            </w:pPr>
            <w:r>
              <w:rPr>
                <w:rFonts w:hint="eastAsia"/>
                <w:bCs/>
                <w:kern w:val="0"/>
              </w:rPr>
              <w:t>（5）生态环境准入清单</w:t>
            </w:r>
          </w:p>
          <w:p>
            <w:pPr>
              <w:pStyle w:val="112"/>
              <w:rPr>
                <w:bCs/>
                <w:kern w:val="0"/>
              </w:rPr>
            </w:pPr>
            <w:bookmarkStart w:id="2" w:name="_Hlk147771797"/>
            <w:r>
              <w:rPr>
                <w:rFonts w:hint="eastAsia"/>
                <w:bCs/>
                <w:kern w:val="0"/>
              </w:rPr>
              <w:t>根据昌吉州“三线一单”管控方案，本项目属于</w:t>
            </w:r>
            <w:r>
              <w:rPr>
                <w:bCs/>
                <w:kern w:val="0"/>
              </w:rPr>
              <w:t>呼图壁</w:t>
            </w:r>
            <w:r>
              <w:rPr>
                <w:rFonts w:hint="eastAsia"/>
                <w:bCs/>
                <w:kern w:val="0"/>
              </w:rPr>
              <w:t>县重点环境管控单元中（ZH6523232000</w:t>
            </w:r>
            <w:r>
              <w:rPr>
                <w:bCs/>
                <w:kern w:val="0"/>
              </w:rPr>
              <w:t>1</w:t>
            </w:r>
            <w:r>
              <w:rPr>
                <w:rFonts w:hint="eastAsia"/>
                <w:bCs/>
                <w:kern w:val="0"/>
              </w:rPr>
              <w:t>呼图壁县建成区），项目与生态环境准入清单的符合性见表1</w:t>
            </w:r>
            <w:r>
              <w:rPr>
                <w:bCs/>
                <w:kern w:val="0"/>
              </w:rPr>
              <w:t>-2</w:t>
            </w:r>
            <w:r>
              <w:rPr>
                <w:rFonts w:hint="eastAsia"/>
                <w:bCs/>
                <w:kern w:val="0"/>
              </w:rPr>
              <w:t>。</w:t>
            </w:r>
          </w:p>
          <w:bookmarkEnd w:id="2"/>
          <w:p>
            <w:pPr>
              <w:pStyle w:val="112"/>
              <w:spacing w:line="240" w:lineRule="auto"/>
              <w:ind w:firstLine="420"/>
              <w:rPr>
                <w:rFonts w:ascii="黑体" w:hAnsi="黑体" w:eastAsia="黑体"/>
                <w:bCs/>
                <w:color w:val="FF0000"/>
                <w:kern w:val="0"/>
                <w:sz w:val="21"/>
              </w:rPr>
            </w:pPr>
            <w:bookmarkStart w:id="3" w:name="_Hlk147771782"/>
            <w:r>
              <w:rPr>
                <w:rFonts w:hint="eastAsia" w:ascii="黑体" w:hAnsi="黑体" w:eastAsia="黑体"/>
                <w:bCs/>
                <w:color w:val="FF0000"/>
                <w:kern w:val="0"/>
                <w:sz w:val="21"/>
              </w:rPr>
              <w:t>表1</w:t>
            </w:r>
            <w:r>
              <w:rPr>
                <w:rFonts w:ascii="黑体" w:hAnsi="黑体" w:eastAsia="黑体"/>
                <w:bCs/>
                <w:color w:val="FF0000"/>
                <w:kern w:val="0"/>
                <w:sz w:val="21"/>
              </w:rPr>
              <w:t xml:space="preserve">-2        </w:t>
            </w:r>
            <w:r>
              <w:rPr>
                <w:rFonts w:hint="eastAsia" w:ascii="黑体" w:hAnsi="黑体" w:eastAsia="黑体"/>
                <w:bCs/>
                <w:color w:val="FF0000"/>
                <w:kern w:val="0"/>
                <w:sz w:val="21"/>
              </w:rPr>
              <w:t xml:space="preserve">项目与生态环境准入清单的符合性 </w:t>
            </w:r>
          </w:p>
          <w:tbl>
            <w:tblPr>
              <w:tblStyle w:val="46"/>
              <w:tblW w:w="678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5"/>
              <w:gridCol w:w="3402"/>
              <w:gridCol w:w="2258"/>
              <w:gridCol w:w="6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3837" w:type="dxa"/>
                  <w:gridSpan w:val="2"/>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管控要求</w:t>
                  </w:r>
                </w:p>
              </w:tc>
              <w:tc>
                <w:tcPr>
                  <w:tcW w:w="2258" w:type="dxa"/>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项目建设情况</w:t>
                  </w:r>
                </w:p>
              </w:tc>
              <w:tc>
                <w:tcPr>
                  <w:tcW w:w="693" w:type="dxa"/>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是否符合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3813" w:hRule="atLeast"/>
              </w:trPr>
              <w:tc>
                <w:tcPr>
                  <w:tcW w:w="435" w:type="dxa"/>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空间布局约束</w:t>
                  </w:r>
                </w:p>
              </w:tc>
              <w:tc>
                <w:tcPr>
                  <w:tcW w:w="3402" w:type="dxa"/>
                  <w:vAlign w:val="center"/>
                </w:tcPr>
                <w:p>
                  <w:pPr>
                    <w:pStyle w:val="112"/>
                    <w:spacing w:line="240" w:lineRule="auto"/>
                    <w:ind w:firstLine="0" w:firstLineChars="0"/>
                    <w:rPr>
                      <w:bCs/>
                      <w:color w:val="FF0000"/>
                      <w:kern w:val="0"/>
                      <w:sz w:val="21"/>
                      <w:szCs w:val="21"/>
                    </w:rPr>
                  </w:pPr>
                  <w:r>
                    <w:rPr>
                      <w:rFonts w:hint="eastAsia"/>
                      <w:bCs/>
                      <w:color w:val="FF0000"/>
                      <w:kern w:val="0"/>
                      <w:sz w:val="21"/>
                      <w:szCs w:val="21"/>
                    </w:rPr>
                    <w:t>1、执行自治区、乌昌石片区总体准入要求中关于重点管控单元空间布局约束的准入要求（表2-3 A6.1、表3.4-2 B1）。</w:t>
                  </w:r>
                </w:p>
                <w:p>
                  <w:pPr>
                    <w:pStyle w:val="112"/>
                    <w:spacing w:line="240" w:lineRule="auto"/>
                    <w:ind w:firstLine="0" w:firstLineChars="0"/>
                    <w:rPr>
                      <w:bCs/>
                      <w:color w:val="FF0000"/>
                      <w:kern w:val="0"/>
                      <w:sz w:val="21"/>
                      <w:szCs w:val="21"/>
                    </w:rPr>
                  </w:pPr>
                  <w:r>
                    <w:rPr>
                      <w:rFonts w:hint="eastAsia"/>
                      <w:bCs/>
                      <w:color w:val="FF0000"/>
                      <w:kern w:val="0"/>
                      <w:sz w:val="21"/>
                      <w:szCs w:val="21"/>
                    </w:rPr>
                    <w:t>2、城市建成区禁止新建每小时65蒸吨以下燃煤锅炉。</w:t>
                  </w:r>
                </w:p>
                <w:p>
                  <w:pPr>
                    <w:pStyle w:val="112"/>
                    <w:spacing w:line="240" w:lineRule="auto"/>
                    <w:ind w:firstLine="0" w:firstLineChars="0"/>
                    <w:rPr>
                      <w:bCs/>
                      <w:color w:val="FF0000"/>
                      <w:kern w:val="0"/>
                      <w:sz w:val="21"/>
                      <w:szCs w:val="21"/>
                    </w:rPr>
                  </w:pPr>
                  <w:r>
                    <w:rPr>
                      <w:rFonts w:hint="eastAsia"/>
                      <w:bCs/>
                      <w:color w:val="FF0000"/>
                      <w:kern w:val="0"/>
                      <w:sz w:val="21"/>
                      <w:szCs w:val="21"/>
                    </w:rPr>
                    <w:t>3、居民住宅区等人口密集区域和机关、医院、学校、幼儿园、养老院等其他需要特殊保护的区域及其周边，不得新建、改建和扩建易产生恶臭气体的生产项目，或者从事其他产生恶臭气体的生产经营活动。</w:t>
                  </w:r>
                </w:p>
                <w:p>
                  <w:pPr>
                    <w:pStyle w:val="112"/>
                    <w:spacing w:line="240" w:lineRule="auto"/>
                    <w:ind w:firstLine="0" w:firstLineChars="0"/>
                    <w:rPr>
                      <w:bCs/>
                      <w:color w:val="FF0000"/>
                      <w:kern w:val="0"/>
                      <w:sz w:val="21"/>
                      <w:szCs w:val="21"/>
                    </w:rPr>
                  </w:pPr>
                  <w:r>
                    <w:rPr>
                      <w:rFonts w:hint="eastAsia"/>
                      <w:bCs/>
                      <w:color w:val="FF0000"/>
                      <w:kern w:val="0"/>
                      <w:sz w:val="21"/>
                      <w:szCs w:val="21"/>
                    </w:rPr>
                    <w:t>4、在集中供热管网覆盖地区，禁止新建、扩建分散燃煤供热锅炉。</w:t>
                  </w:r>
                </w:p>
              </w:tc>
              <w:tc>
                <w:tcPr>
                  <w:tcW w:w="2258" w:type="dxa"/>
                  <w:vAlign w:val="center"/>
                </w:tcPr>
                <w:p>
                  <w:pPr>
                    <w:pStyle w:val="112"/>
                    <w:spacing w:line="240" w:lineRule="auto"/>
                    <w:ind w:firstLine="0" w:firstLineChars="0"/>
                    <w:rPr>
                      <w:bCs/>
                      <w:color w:val="FF0000"/>
                      <w:kern w:val="0"/>
                      <w:sz w:val="21"/>
                      <w:szCs w:val="21"/>
                    </w:rPr>
                  </w:pPr>
                  <w:r>
                    <w:rPr>
                      <w:rFonts w:hint="eastAsia"/>
                      <w:bCs/>
                      <w:color w:val="FF0000"/>
                      <w:kern w:val="0"/>
                      <w:sz w:val="21"/>
                      <w:szCs w:val="21"/>
                    </w:rPr>
                    <w:t>1、本次评价要求执行自治区、乌昌石片区总体准入要求中关于重点管控单元空间布局约束的准入要求（表2-3 A6.1、表3.4-2 B1）；</w:t>
                  </w:r>
                </w:p>
                <w:p>
                  <w:pPr>
                    <w:pStyle w:val="112"/>
                    <w:spacing w:line="240" w:lineRule="auto"/>
                    <w:ind w:firstLine="0" w:firstLineChars="0"/>
                    <w:rPr>
                      <w:bCs/>
                      <w:color w:val="FF0000"/>
                      <w:kern w:val="0"/>
                      <w:sz w:val="21"/>
                      <w:szCs w:val="21"/>
                    </w:rPr>
                  </w:pPr>
                  <w:r>
                    <w:rPr>
                      <w:rFonts w:hint="eastAsia"/>
                      <w:bCs/>
                      <w:color w:val="FF0000"/>
                      <w:kern w:val="0"/>
                      <w:sz w:val="21"/>
                      <w:szCs w:val="21"/>
                    </w:rPr>
                    <w:t>2、本项目建设燃气锅炉，符合要求；</w:t>
                  </w:r>
                </w:p>
                <w:p>
                  <w:pPr>
                    <w:pStyle w:val="112"/>
                    <w:spacing w:line="240" w:lineRule="auto"/>
                    <w:ind w:firstLine="0" w:firstLineChars="0"/>
                    <w:rPr>
                      <w:bCs/>
                      <w:color w:val="FF0000"/>
                      <w:kern w:val="0"/>
                      <w:sz w:val="21"/>
                      <w:szCs w:val="21"/>
                    </w:rPr>
                  </w:pPr>
                  <w:r>
                    <w:rPr>
                      <w:rFonts w:hint="eastAsia"/>
                      <w:bCs/>
                      <w:color w:val="FF0000"/>
                      <w:kern w:val="0"/>
                      <w:sz w:val="21"/>
                      <w:szCs w:val="21"/>
                    </w:rPr>
                    <w:t>3、本项目属于居民住宅区等人口密集区域和机关、医院、学校、幼儿园、养老院等其他需要特殊保护的区域；并且不在其周边；</w:t>
                  </w:r>
                </w:p>
                <w:p>
                  <w:pPr>
                    <w:pStyle w:val="112"/>
                    <w:spacing w:line="240" w:lineRule="auto"/>
                    <w:ind w:firstLine="0" w:firstLineChars="0"/>
                    <w:rPr>
                      <w:bCs/>
                      <w:color w:val="FF0000"/>
                      <w:kern w:val="0"/>
                      <w:sz w:val="21"/>
                      <w:szCs w:val="21"/>
                    </w:rPr>
                  </w:pPr>
                  <w:r>
                    <w:rPr>
                      <w:rFonts w:hint="eastAsia"/>
                      <w:bCs/>
                      <w:color w:val="FF0000"/>
                      <w:kern w:val="0"/>
                      <w:sz w:val="21"/>
                      <w:szCs w:val="21"/>
                    </w:rPr>
                    <w:t>4、本项目不建设燃煤供热锅炉</w:t>
                  </w:r>
                </w:p>
              </w:tc>
              <w:tc>
                <w:tcPr>
                  <w:tcW w:w="693" w:type="dxa"/>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35" w:type="dxa"/>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污染物排放管控</w:t>
                  </w:r>
                </w:p>
              </w:tc>
              <w:tc>
                <w:tcPr>
                  <w:tcW w:w="3402" w:type="dxa"/>
                  <w:vAlign w:val="center"/>
                </w:tcPr>
                <w:p>
                  <w:pPr>
                    <w:pStyle w:val="112"/>
                    <w:spacing w:line="240" w:lineRule="auto"/>
                    <w:ind w:firstLine="0" w:firstLineChars="0"/>
                    <w:rPr>
                      <w:bCs/>
                      <w:color w:val="FF0000"/>
                      <w:kern w:val="0"/>
                      <w:sz w:val="21"/>
                      <w:szCs w:val="21"/>
                    </w:rPr>
                  </w:pPr>
                  <w:r>
                    <w:rPr>
                      <w:rFonts w:hint="eastAsia"/>
                      <w:bCs/>
                      <w:color w:val="FF0000"/>
                      <w:kern w:val="0"/>
                      <w:sz w:val="21"/>
                      <w:szCs w:val="21"/>
                    </w:rPr>
                    <w:t>1、执行自治区、乌昌石片区总体准入要求中关于重点管控单元污染物排放管控的准入要求（表2-3 A6.2、表3.4-2 B2）。</w:t>
                  </w:r>
                </w:p>
                <w:p>
                  <w:pPr>
                    <w:pStyle w:val="112"/>
                    <w:spacing w:line="240" w:lineRule="auto"/>
                    <w:ind w:firstLine="0" w:firstLineChars="0"/>
                    <w:rPr>
                      <w:bCs/>
                      <w:color w:val="FF0000"/>
                      <w:kern w:val="0"/>
                      <w:sz w:val="21"/>
                      <w:szCs w:val="21"/>
                    </w:rPr>
                  </w:pPr>
                  <w:r>
                    <w:rPr>
                      <w:rFonts w:hint="eastAsia"/>
                      <w:bCs/>
                      <w:color w:val="FF0000"/>
                      <w:kern w:val="0"/>
                      <w:sz w:val="21"/>
                      <w:szCs w:val="21"/>
                    </w:rPr>
                    <w:t>2、PM</w:t>
                  </w:r>
                  <w:r>
                    <w:rPr>
                      <w:rFonts w:hint="eastAsia"/>
                      <w:bCs/>
                      <w:color w:val="FF0000"/>
                      <w:kern w:val="0"/>
                      <w:sz w:val="21"/>
                      <w:szCs w:val="21"/>
                      <w:vertAlign w:val="subscript"/>
                    </w:rPr>
                    <w:t>2.5</w:t>
                  </w:r>
                  <w:r>
                    <w:rPr>
                      <w:rFonts w:hint="eastAsia"/>
                      <w:bCs/>
                      <w:color w:val="FF0000"/>
                      <w:kern w:val="0"/>
                      <w:sz w:val="21"/>
                      <w:szCs w:val="21"/>
                    </w:rPr>
                    <w:t>年均浓度不达标县市（园区），禁止新（改、扩）建未落实排放SO</w:t>
                  </w:r>
                  <w:r>
                    <w:rPr>
                      <w:rFonts w:hint="eastAsia"/>
                      <w:bCs/>
                      <w:color w:val="FF0000"/>
                      <w:kern w:val="0"/>
                      <w:sz w:val="21"/>
                      <w:szCs w:val="21"/>
                      <w:vertAlign w:val="subscript"/>
                    </w:rPr>
                    <w:t>2</w:t>
                  </w:r>
                  <w:r>
                    <w:rPr>
                      <w:rFonts w:hint="eastAsia"/>
                      <w:bCs/>
                      <w:color w:val="FF0000"/>
                      <w:kern w:val="0"/>
                      <w:sz w:val="21"/>
                      <w:szCs w:val="21"/>
                    </w:rPr>
                    <w:t>、NOx、烟粉尘、挥发性有机物（VOCs）等四项大气污染物总量指标昌吉州区域内倍量替代的项目。</w:t>
                  </w:r>
                </w:p>
                <w:p>
                  <w:pPr>
                    <w:pStyle w:val="112"/>
                    <w:spacing w:line="240" w:lineRule="auto"/>
                    <w:ind w:firstLine="0" w:firstLineChars="0"/>
                    <w:rPr>
                      <w:bCs/>
                      <w:color w:val="FF0000"/>
                      <w:kern w:val="0"/>
                      <w:sz w:val="21"/>
                      <w:szCs w:val="21"/>
                    </w:rPr>
                  </w:pPr>
                  <w:r>
                    <w:rPr>
                      <w:rFonts w:hint="eastAsia"/>
                      <w:bCs/>
                      <w:color w:val="FF0000"/>
                      <w:kern w:val="0"/>
                      <w:sz w:val="21"/>
                      <w:szCs w:val="21"/>
                    </w:rPr>
                    <w:t>3、新（改、扩）建项目应执行最严格的大气污染物排放标准。</w:t>
                  </w:r>
                </w:p>
                <w:p>
                  <w:pPr>
                    <w:pStyle w:val="112"/>
                    <w:spacing w:line="240" w:lineRule="auto"/>
                    <w:ind w:firstLine="0" w:firstLineChars="0"/>
                    <w:rPr>
                      <w:bCs/>
                      <w:color w:val="FF0000"/>
                      <w:kern w:val="0"/>
                      <w:sz w:val="21"/>
                      <w:szCs w:val="21"/>
                    </w:rPr>
                  </w:pPr>
                  <w:r>
                    <w:rPr>
                      <w:rFonts w:hint="eastAsia"/>
                      <w:bCs/>
                      <w:color w:val="FF0000"/>
                      <w:kern w:val="0"/>
                      <w:sz w:val="21"/>
                      <w:szCs w:val="21"/>
                    </w:rPr>
                    <w:t>4、施工工地全面落实“六个百分之百”（施工工地周边围挡、物料堆放覆盖、出入车辆冲洗、施工现场地面硬化、拆迁工地湿法作业、渣土车辆密闭运输）。</w:t>
                  </w:r>
                </w:p>
              </w:tc>
              <w:tc>
                <w:tcPr>
                  <w:tcW w:w="2258" w:type="dxa"/>
                  <w:vAlign w:val="center"/>
                </w:tcPr>
                <w:p>
                  <w:pPr>
                    <w:pStyle w:val="112"/>
                    <w:spacing w:line="240" w:lineRule="auto"/>
                    <w:ind w:firstLine="0" w:firstLineChars="0"/>
                    <w:rPr>
                      <w:bCs/>
                      <w:color w:val="FF0000"/>
                      <w:kern w:val="0"/>
                      <w:sz w:val="21"/>
                      <w:szCs w:val="21"/>
                    </w:rPr>
                  </w:pPr>
                  <w:r>
                    <w:rPr>
                      <w:rFonts w:hint="eastAsia"/>
                      <w:bCs/>
                      <w:color w:val="FF0000"/>
                      <w:kern w:val="0"/>
                      <w:sz w:val="21"/>
                      <w:szCs w:val="21"/>
                    </w:rPr>
                    <w:t>1、本次评价要求执行自治区、乌昌石片区总体准入要求中关于重点管控单元污染物排放管控的准入要求（表2-3 A6.2、表3.4-2 B2）；</w:t>
                  </w:r>
                </w:p>
                <w:p>
                  <w:pPr>
                    <w:pStyle w:val="112"/>
                    <w:spacing w:line="240" w:lineRule="auto"/>
                    <w:ind w:firstLine="0" w:firstLineChars="0"/>
                    <w:rPr>
                      <w:bCs/>
                      <w:color w:val="FF0000"/>
                      <w:kern w:val="0"/>
                      <w:sz w:val="21"/>
                      <w:szCs w:val="21"/>
                    </w:rPr>
                  </w:pPr>
                  <w:r>
                    <w:rPr>
                      <w:rFonts w:hint="eastAsia"/>
                      <w:bCs/>
                      <w:color w:val="FF0000"/>
                      <w:kern w:val="0"/>
                      <w:sz w:val="21"/>
                      <w:szCs w:val="21"/>
                    </w:rPr>
                    <w:t>2、本项目严格落实SO</w:t>
                  </w:r>
                  <w:r>
                    <w:rPr>
                      <w:rFonts w:hint="eastAsia"/>
                      <w:bCs/>
                      <w:color w:val="FF0000"/>
                      <w:kern w:val="0"/>
                      <w:sz w:val="21"/>
                      <w:szCs w:val="21"/>
                      <w:vertAlign w:val="subscript"/>
                    </w:rPr>
                    <w:t>2</w:t>
                  </w:r>
                  <w:r>
                    <w:rPr>
                      <w:rFonts w:hint="eastAsia"/>
                      <w:bCs/>
                      <w:color w:val="FF0000"/>
                      <w:kern w:val="0"/>
                      <w:sz w:val="21"/>
                      <w:szCs w:val="21"/>
                    </w:rPr>
                    <w:t>、NOx、烟粉尘总量控制指标倍量替代；</w:t>
                  </w:r>
                </w:p>
                <w:p>
                  <w:pPr>
                    <w:pStyle w:val="112"/>
                    <w:spacing w:line="240" w:lineRule="auto"/>
                    <w:ind w:firstLine="0" w:firstLineChars="0"/>
                    <w:rPr>
                      <w:bCs/>
                      <w:color w:val="FF0000"/>
                      <w:kern w:val="0"/>
                      <w:sz w:val="21"/>
                      <w:szCs w:val="21"/>
                    </w:rPr>
                  </w:pPr>
                  <w:r>
                    <w:rPr>
                      <w:rFonts w:hint="eastAsia"/>
                      <w:bCs/>
                      <w:color w:val="FF0000"/>
                      <w:kern w:val="0"/>
                      <w:sz w:val="21"/>
                      <w:szCs w:val="21"/>
                    </w:rPr>
                    <w:t>3、本项目执行最严格的大气污染物排放标准；</w:t>
                  </w:r>
                </w:p>
                <w:p>
                  <w:pPr>
                    <w:pStyle w:val="112"/>
                    <w:spacing w:line="240" w:lineRule="auto"/>
                    <w:ind w:firstLine="0" w:firstLineChars="0"/>
                    <w:rPr>
                      <w:bCs/>
                      <w:color w:val="FF0000"/>
                      <w:kern w:val="0"/>
                      <w:sz w:val="21"/>
                      <w:szCs w:val="21"/>
                    </w:rPr>
                  </w:pPr>
                  <w:r>
                    <w:rPr>
                      <w:rFonts w:hint="eastAsia"/>
                      <w:bCs/>
                      <w:color w:val="FF0000"/>
                      <w:kern w:val="0"/>
                      <w:sz w:val="21"/>
                      <w:szCs w:val="21"/>
                    </w:rPr>
                    <w:t>4、本项目施工期已结束</w:t>
                  </w:r>
                </w:p>
              </w:tc>
              <w:tc>
                <w:tcPr>
                  <w:tcW w:w="693" w:type="dxa"/>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35" w:type="dxa"/>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环境风险防控</w:t>
                  </w:r>
                </w:p>
              </w:tc>
              <w:tc>
                <w:tcPr>
                  <w:tcW w:w="3402" w:type="dxa"/>
                  <w:vAlign w:val="center"/>
                </w:tcPr>
                <w:p>
                  <w:pPr>
                    <w:pStyle w:val="112"/>
                    <w:spacing w:line="240" w:lineRule="auto"/>
                    <w:ind w:firstLine="0" w:firstLineChars="0"/>
                    <w:rPr>
                      <w:bCs/>
                      <w:color w:val="FF0000"/>
                      <w:kern w:val="0"/>
                      <w:sz w:val="21"/>
                      <w:szCs w:val="21"/>
                    </w:rPr>
                  </w:pPr>
                  <w:r>
                    <w:rPr>
                      <w:color w:val="FF0000"/>
                      <w:kern w:val="0"/>
                      <w:sz w:val="21"/>
                      <w:szCs w:val="21"/>
                    </w:rPr>
                    <w:t>1、执行自治区、乌昌石片区总体准入要求中关于重点管控单元环境风险防控的准入要求（表2-3 A6.3、表3.4-2 B3）。</w:t>
                  </w:r>
                </w:p>
              </w:tc>
              <w:tc>
                <w:tcPr>
                  <w:tcW w:w="2258" w:type="dxa"/>
                  <w:vAlign w:val="center"/>
                </w:tcPr>
                <w:p>
                  <w:pPr>
                    <w:pStyle w:val="112"/>
                    <w:spacing w:line="240" w:lineRule="auto"/>
                    <w:ind w:firstLine="0" w:firstLineChars="0"/>
                    <w:rPr>
                      <w:bCs/>
                      <w:color w:val="FF0000"/>
                      <w:kern w:val="0"/>
                      <w:sz w:val="21"/>
                      <w:szCs w:val="21"/>
                    </w:rPr>
                  </w:pPr>
                  <w:r>
                    <w:rPr>
                      <w:rFonts w:hint="eastAsia"/>
                      <w:color w:val="FF0000"/>
                      <w:kern w:val="0"/>
                      <w:sz w:val="21"/>
                      <w:szCs w:val="21"/>
                    </w:rPr>
                    <w:t>本次评价要求</w:t>
                  </w:r>
                  <w:r>
                    <w:rPr>
                      <w:color w:val="FF0000"/>
                      <w:kern w:val="0"/>
                      <w:sz w:val="21"/>
                      <w:szCs w:val="21"/>
                    </w:rPr>
                    <w:t>执行自治区、乌昌石片区总体准入要求中关于重点管控单元环境风险防控的准入要求（表2-3 A6.3、表3.4-2 B3）</w:t>
                  </w:r>
                </w:p>
              </w:tc>
              <w:tc>
                <w:tcPr>
                  <w:tcW w:w="693" w:type="dxa"/>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4085" w:hRule="atLeast"/>
              </w:trPr>
              <w:tc>
                <w:tcPr>
                  <w:tcW w:w="435" w:type="dxa"/>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资源利用效率</w:t>
                  </w:r>
                </w:p>
              </w:tc>
              <w:tc>
                <w:tcPr>
                  <w:tcW w:w="3402" w:type="dxa"/>
                  <w:vAlign w:val="center"/>
                </w:tcPr>
                <w:p>
                  <w:pPr>
                    <w:jc w:val="left"/>
                    <w:rPr>
                      <w:color w:val="FF0000"/>
                      <w:kern w:val="0"/>
                      <w:szCs w:val="21"/>
                    </w:rPr>
                  </w:pPr>
                  <w:r>
                    <w:rPr>
                      <w:color w:val="FF0000"/>
                      <w:kern w:val="0"/>
                      <w:szCs w:val="21"/>
                    </w:rPr>
                    <w:t>1、执行自治区、乌昌石片区总体准入要求中关于重点管控单元资源利用效率的准入要求表（2-3、A6.4、表3.4-2 B4）。</w:t>
                  </w:r>
                </w:p>
                <w:p>
                  <w:pPr>
                    <w:jc w:val="left"/>
                    <w:rPr>
                      <w:color w:val="FF0000"/>
                      <w:kern w:val="0"/>
                      <w:szCs w:val="21"/>
                    </w:rPr>
                  </w:pPr>
                  <w:r>
                    <w:rPr>
                      <w:color w:val="FF0000"/>
                      <w:kern w:val="0"/>
                      <w:szCs w:val="21"/>
                    </w:rPr>
                    <w:t>2、禁燃区内，禁止销售、燃用原煤、粉煤、各种可燃废物等高污染燃料；禁止新建、扩建燃用高污染燃料的设施，已建设成的，应当在规定的期限内改用清洁能源；在行政区域内严格控制引进高载能项目。</w:t>
                  </w:r>
                </w:p>
                <w:p>
                  <w:pPr>
                    <w:pStyle w:val="112"/>
                    <w:spacing w:line="240" w:lineRule="auto"/>
                    <w:ind w:firstLine="0" w:firstLineChars="0"/>
                    <w:rPr>
                      <w:bCs/>
                      <w:color w:val="FF0000"/>
                      <w:kern w:val="0"/>
                      <w:sz w:val="21"/>
                      <w:szCs w:val="21"/>
                    </w:rPr>
                  </w:pPr>
                  <w:r>
                    <w:rPr>
                      <w:color w:val="FF0000"/>
                      <w:kern w:val="0"/>
                      <w:sz w:val="21"/>
                      <w:szCs w:val="21"/>
                    </w:rPr>
                    <w:t>3、新建、改建、扩建的建设项目，严格水资源论证，避免高耗水建设项目取用地下水，已有的地下水取水工程，要根据水源替代工程建设情况、资源条件、节水潜力，逐步削减取水量。</w:t>
                  </w:r>
                </w:p>
              </w:tc>
              <w:tc>
                <w:tcPr>
                  <w:tcW w:w="2258" w:type="dxa"/>
                  <w:vAlign w:val="center"/>
                </w:tcPr>
                <w:p>
                  <w:pPr>
                    <w:pStyle w:val="112"/>
                    <w:spacing w:line="240" w:lineRule="auto"/>
                    <w:ind w:firstLine="0" w:firstLineChars="0"/>
                    <w:rPr>
                      <w:bCs/>
                      <w:color w:val="FF0000"/>
                      <w:kern w:val="0"/>
                      <w:sz w:val="21"/>
                      <w:szCs w:val="21"/>
                    </w:rPr>
                  </w:pPr>
                  <w:r>
                    <w:rPr>
                      <w:rFonts w:hint="eastAsia"/>
                      <w:bCs/>
                      <w:color w:val="FF0000"/>
                      <w:kern w:val="0"/>
                      <w:sz w:val="21"/>
                      <w:szCs w:val="21"/>
                    </w:rPr>
                    <w:t>1、本次评价要求</w:t>
                  </w:r>
                  <w:r>
                    <w:rPr>
                      <w:bCs/>
                      <w:color w:val="FF0000"/>
                      <w:kern w:val="0"/>
                      <w:sz w:val="21"/>
                      <w:szCs w:val="21"/>
                    </w:rPr>
                    <w:t>执行自治区、乌昌石片区总体准入要求中关于重点管控单元资源利用效率的准入要求表（2-3、A6.4、表3.4-2 B4）</w:t>
                  </w:r>
                  <w:r>
                    <w:rPr>
                      <w:rFonts w:hint="eastAsia"/>
                      <w:bCs/>
                      <w:color w:val="FF0000"/>
                      <w:kern w:val="0"/>
                      <w:sz w:val="21"/>
                      <w:szCs w:val="21"/>
                    </w:rPr>
                    <w:t>；</w:t>
                  </w:r>
                </w:p>
                <w:p>
                  <w:pPr>
                    <w:pStyle w:val="112"/>
                    <w:spacing w:line="240" w:lineRule="auto"/>
                    <w:ind w:firstLine="0" w:firstLineChars="0"/>
                    <w:rPr>
                      <w:bCs/>
                      <w:color w:val="FF0000"/>
                      <w:kern w:val="0"/>
                      <w:sz w:val="21"/>
                      <w:szCs w:val="21"/>
                    </w:rPr>
                  </w:pPr>
                  <w:r>
                    <w:rPr>
                      <w:rFonts w:hint="eastAsia"/>
                      <w:bCs/>
                      <w:color w:val="FF0000"/>
                      <w:kern w:val="0"/>
                      <w:sz w:val="21"/>
                      <w:szCs w:val="21"/>
                    </w:rPr>
                    <w:t>2、本项目采取清洁能源天然气，符合要求；</w:t>
                  </w:r>
                </w:p>
                <w:p>
                  <w:pPr>
                    <w:pStyle w:val="112"/>
                    <w:spacing w:line="240" w:lineRule="auto"/>
                    <w:ind w:firstLine="0" w:firstLineChars="0"/>
                    <w:rPr>
                      <w:bCs/>
                      <w:color w:val="FF0000"/>
                      <w:kern w:val="0"/>
                      <w:sz w:val="21"/>
                      <w:szCs w:val="21"/>
                    </w:rPr>
                  </w:pPr>
                  <w:r>
                    <w:rPr>
                      <w:rFonts w:hint="eastAsia"/>
                      <w:bCs/>
                      <w:color w:val="FF0000"/>
                      <w:kern w:val="0"/>
                      <w:sz w:val="21"/>
                      <w:szCs w:val="21"/>
                    </w:rPr>
                    <w:t>3、企业已取得取水许可证</w:t>
                  </w:r>
                </w:p>
              </w:tc>
              <w:tc>
                <w:tcPr>
                  <w:tcW w:w="693" w:type="dxa"/>
                  <w:vAlign w:val="center"/>
                </w:tcPr>
                <w:p>
                  <w:pPr>
                    <w:pStyle w:val="112"/>
                    <w:spacing w:line="240" w:lineRule="auto"/>
                    <w:ind w:firstLine="0" w:firstLineChars="0"/>
                    <w:jc w:val="center"/>
                    <w:rPr>
                      <w:bCs/>
                      <w:color w:val="FF0000"/>
                      <w:kern w:val="0"/>
                      <w:sz w:val="21"/>
                      <w:szCs w:val="21"/>
                    </w:rPr>
                  </w:pPr>
                  <w:r>
                    <w:rPr>
                      <w:rFonts w:hint="eastAsia"/>
                      <w:bCs/>
                      <w:color w:val="FF0000"/>
                      <w:kern w:val="0"/>
                      <w:sz w:val="21"/>
                      <w:szCs w:val="21"/>
                    </w:rPr>
                    <w:t>符合</w:t>
                  </w:r>
                </w:p>
              </w:tc>
            </w:tr>
            <w:bookmarkEnd w:id="3"/>
          </w:tbl>
          <w:p>
            <w:pPr>
              <w:pStyle w:val="112"/>
              <w:rPr>
                <w:bCs/>
                <w:kern w:val="0"/>
              </w:rPr>
            </w:pPr>
            <w:r>
              <w:rPr>
                <w:rFonts w:hint="eastAsia"/>
                <w:bCs/>
                <w:kern w:val="0"/>
              </w:rPr>
              <w:t>综上所述，本项目符合“三线一单”要求。</w:t>
            </w:r>
          </w:p>
          <w:p>
            <w:pPr>
              <w:pStyle w:val="112"/>
              <w:spacing w:line="480" w:lineRule="exact"/>
              <w:ind w:firstLine="482"/>
              <w:rPr>
                <w:b/>
              </w:rPr>
            </w:pPr>
            <w:r>
              <w:rPr>
                <w:b/>
              </w:rPr>
              <w:t>3</w:t>
            </w:r>
            <w:r>
              <w:rPr>
                <w:rFonts w:hint="eastAsia"/>
                <w:b/>
              </w:rPr>
              <w:t>、与《新疆维吾尔自治区大气污染防治条例》符合性分析</w:t>
            </w:r>
          </w:p>
          <w:p>
            <w:pPr>
              <w:pStyle w:val="112"/>
              <w:spacing w:line="480" w:lineRule="exact"/>
              <w:rPr>
                <w:bCs/>
              </w:rPr>
            </w:pPr>
            <w:r>
              <w:rPr>
                <w:rFonts w:hint="eastAsia"/>
                <w:bCs/>
              </w:rPr>
              <w:t>新疆维吾尔自治区大气污染防治条例第二十四条提出：推进城市建成区、工业园区实行集中供热，使用清洁燃料。在集中供热管网覆盖区域内，禁止新建、改建、扩建燃煤供热锅炉，集中供热管网覆盖前，已建成使用的燃煤供热锅炉应当限期停止使用。</w:t>
            </w:r>
          </w:p>
          <w:p>
            <w:pPr>
              <w:pStyle w:val="112"/>
              <w:spacing w:line="480" w:lineRule="exact"/>
              <w:rPr>
                <w:bCs/>
              </w:rPr>
            </w:pPr>
            <w:r>
              <w:rPr>
                <w:rFonts w:hint="eastAsia"/>
                <w:bCs/>
              </w:rPr>
              <w:t>本项目锅炉燃料采用清洁能源天然气，符合新疆维吾尔自治区大气污染防治条例管理要求。</w:t>
            </w:r>
          </w:p>
          <w:p>
            <w:pPr>
              <w:pStyle w:val="112"/>
              <w:ind w:firstLine="482"/>
              <w:rPr>
                <w:b/>
                <w:kern w:val="0"/>
              </w:rPr>
            </w:pPr>
            <w:r>
              <w:rPr>
                <w:b/>
                <w:kern w:val="0"/>
              </w:rPr>
              <w:t>4</w:t>
            </w:r>
            <w:r>
              <w:rPr>
                <w:rFonts w:hint="eastAsia"/>
                <w:b/>
                <w:kern w:val="0"/>
              </w:rPr>
              <w:t>、与《新疆生态环境保护“十四五”规划》符合性分析</w:t>
            </w:r>
          </w:p>
          <w:p>
            <w:pPr>
              <w:pStyle w:val="112"/>
              <w:rPr>
                <w:bCs/>
                <w:kern w:val="0"/>
              </w:rPr>
            </w:pPr>
            <w:r>
              <w:rPr>
                <w:rFonts w:hint="eastAsia"/>
                <w:bCs/>
                <w:kern w:val="0"/>
              </w:rPr>
              <w:t>新疆生态环境保护“十四五”规划中提出：</w:t>
            </w:r>
          </w:p>
          <w:p>
            <w:pPr>
              <w:pStyle w:val="112"/>
              <w:rPr>
                <w:bCs/>
                <w:kern w:val="0"/>
              </w:rPr>
            </w:pPr>
            <w:r>
              <w:rPr>
                <w:rFonts w:hint="eastAsia"/>
                <w:bCs/>
                <w:kern w:val="0"/>
              </w:rPr>
              <w:t>建设清洁低碳能源体系：严格控制煤炭消费。加强能耗“双控”管理，合理控制能源消费增量，优化能源消费结构，对“乌—昌—石”“奎—独—乌”等重点区域实施新建用煤项目等量或减量替代。合理控制煤电装机规模，有序淘汰煤电落后产能，推进燃煤电厂灵活性和供热改造。按照宜电则电、宜气则气的原则，继续推进“电气化新疆”建设，实施清洁能源行动计划，加快城乡结合部、农村民用和农业生产散烧煤的清洁能源替代，加大可再生能源消纳力度。稳步推进“煤改电”工程，拓展多种清洁供暖方式，提高清洁能源利用水平，暂不能通过清洁供暖替代散煤的地区，严禁使用劣质煤，可利用“洁净煤+节能环保炉具”替代散烧煤，或鼓励在小城镇和农村地区用户使用太阳能供暖系统。</w:t>
            </w:r>
          </w:p>
          <w:p>
            <w:pPr>
              <w:pStyle w:val="112"/>
              <w:rPr>
                <w:bCs/>
                <w:kern w:val="0"/>
              </w:rPr>
            </w:pPr>
            <w:r>
              <w:rPr>
                <w:rFonts w:hint="eastAsia"/>
                <w:bCs/>
                <w:kern w:val="0"/>
              </w:rPr>
              <w:t>在专栏2大气污染防治工程中：“2、燃煤燃气锅炉污染及工业炉窑综合整治工程”说明：县级及以上城市建成区加快淘汰35蒸吨/小时以下的燃煤锅炉，推动65蒸吨/小时以上燃煤锅炉实施超低排放改造，实施燃气锅炉低氮改造。加快淘汰落后产能及不达标工业炉窑，实施电、天然气等清洁能源替代或采用集中供热，推进工业炉窑的升级改造及无组织排放深度治理。</w:t>
            </w:r>
          </w:p>
          <w:p>
            <w:pPr>
              <w:pStyle w:val="112"/>
              <w:rPr>
                <w:bCs/>
                <w:kern w:val="0"/>
              </w:rPr>
            </w:pPr>
            <w:r>
              <w:rPr>
                <w:rFonts w:hint="eastAsia"/>
                <w:bCs/>
                <w:kern w:val="0"/>
              </w:rPr>
              <w:t>综上，本项目符合自治区生态环境保护“十四五”规划的要求。</w:t>
            </w:r>
          </w:p>
          <w:p>
            <w:pPr>
              <w:pStyle w:val="112"/>
              <w:ind w:firstLine="482"/>
              <w:rPr>
                <w:b/>
                <w:kern w:val="0"/>
              </w:rPr>
            </w:pPr>
            <w:r>
              <w:rPr>
                <w:b/>
                <w:kern w:val="0"/>
              </w:rPr>
              <w:t>5</w:t>
            </w:r>
            <w:r>
              <w:rPr>
                <w:rFonts w:hint="eastAsia"/>
                <w:b/>
                <w:kern w:val="0"/>
              </w:rPr>
              <w:t>、与《昌吉州生态环境保护与建设“十四五”规划》符合性分析</w:t>
            </w:r>
          </w:p>
          <w:p>
            <w:pPr>
              <w:pStyle w:val="112"/>
              <w:rPr>
                <w:bCs/>
                <w:kern w:val="0"/>
              </w:rPr>
            </w:pPr>
            <w:r>
              <w:rPr>
                <w:rFonts w:hint="eastAsia"/>
                <w:bCs/>
                <w:kern w:val="0"/>
              </w:rPr>
              <w:t>昌吉州生态环境保护与建设“十四五”规划中提出：</w:t>
            </w:r>
          </w:p>
          <w:p>
            <w:pPr>
              <w:pStyle w:val="112"/>
              <w:rPr>
                <w:bCs/>
                <w:kern w:val="0"/>
              </w:rPr>
            </w:pPr>
            <w:r>
              <w:rPr>
                <w:rFonts w:hint="eastAsia"/>
                <w:bCs/>
                <w:kern w:val="0"/>
              </w:rPr>
              <w:t>实施锅炉炉窑整治。实施《昌吉州65蒸吨以下燃煤锅炉淘汰及清洁能源替代专项行动方案》，昌吉州7县市、2园区范围内的65蒸吨以下燃煤锅炉全面淘汰，统筹完成“煤改气”“煤改电”、清洁能源替代或接入集中供热管网等项目建设，到2023年前淘汰整治65蒸吨以下燃煤锅炉552台。全州各县市65蒸吨/小时及以上的燃煤锅炉（除层燃炉、抛煤机炉外）全部实现超低排放，其他燃煤锅炉全部达到特别排放限值要求。深入实施《新疆维吾尔自治区工业炉窑大气污染综合治理实施方案》，完善工业窑炉大气污染综合治理管理体系，推进工业窑炉全面达标排放。建立完善的工业炉窑管理清单，加大不达标工业炉窑淘汰力度。铸造行业烧结、高炉工序污染排放控制，参照钢铁行业相关标准要求执行。已有行业污染物排放标准的工业炉窑，严格执行行业排放标准相关规定。高炉煤气、焦炉煤气实施精脱硫改造。</w:t>
            </w:r>
          </w:p>
          <w:p>
            <w:pPr>
              <w:pStyle w:val="112"/>
              <w:rPr>
                <w:bCs/>
                <w:kern w:val="0"/>
              </w:rPr>
            </w:pPr>
            <w:r>
              <w:rPr>
                <w:rFonts w:hint="eastAsia"/>
                <w:bCs/>
                <w:kern w:val="0"/>
              </w:rPr>
              <w:t>本项目将原有燃煤锅炉更换为燃气锅炉。且项目产生的颗粒物及二氧化硫均执行《锅炉大气污染物排放标准》（GB13271-2014）表3大气污染物特别排放限值；氮氧化物排放浓度满足《</w:t>
            </w:r>
            <w:r>
              <w:rPr>
                <w:bCs/>
                <w:kern w:val="0"/>
              </w:rPr>
              <w:t>关于开展自治区 2022 年度夏秋季大气污染防治“冬病夏治”工作的通知</w:t>
            </w:r>
            <w:r>
              <w:rPr>
                <w:rFonts w:hint="eastAsia"/>
                <w:bCs/>
                <w:kern w:val="0"/>
              </w:rPr>
              <w:t>》中浓度限值要求。综上，本项目符合昌吉州生态环境保护与建设“十四五”规划中要求。</w:t>
            </w:r>
          </w:p>
          <w:p>
            <w:pPr>
              <w:pStyle w:val="112"/>
              <w:ind w:firstLine="482"/>
              <w:rPr>
                <w:b/>
                <w:kern w:val="0"/>
              </w:rPr>
            </w:pPr>
            <w:r>
              <w:rPr>
                <w:b/>
                <w:kern w:val="0"/>
              </w:rPr>
              <w:t>6</w:t>
            </w:r>
            <w:r>
              <w:rPr>
                <w:rFonts w:hint="eastAsia"/>
                <w:b/>
                <w:kern w:val="0"/>
              </w:rPr>
              <w:t>、与《关于开展昌吉州2</w:t>
            </w:r>
            <w:r>
              <w:rPr>
                <w:b/>
                <w:kern w:val="0"/>
              </w:rPr>
              <w:t>022</w:t>
            </w:r>
            <w:r>
              <w:rPr>
                <w:rFonts w:hint="eastAsia"/>
                <w:b/>
                <w:kern w:val="0"/>
              </w:rPr>
              <w:t>年度夏秋季大气污染防止“冬病夏治”有关工作的通知》（昌州环委办〔2</w:t>
            </w:r>
            <w:r>
              <w:rPr>
                <w:b/>
                <w:kern w:val="0"/>
              </w:rPr>
              <w:t>022</w:t>
            </w:r>
            <w:r>
              <w:rPr>
                <w:rFonts w:hint="eastAsia"/>
                <w:b/>
                <w:kern w:val="0"/>
              </w:rPr>
              <w:t>〕1</w:t>
            </w:r>
            <w:r>
              <w:rPr>
                <w:b/>
                <w:kern w:val="0"/>
              </w:rPr>
              <w:t>8</w:t>
            </w:r>
            <w:r>
              <w:rPr>
                <w:rFonts w:hint="eastAsia"/>
                <w:b/>
                <w:kern w:val="0"/>
              </w:rPr>
              <w:t>号）符合性分析</w:t>
            </w:r>
          </w:p>
          <w:p>
            <w:pPr>
              <w:pStyle w:val="112"/>
              <w:rPr>
                <w:bCs/>
                <w:kern w:val="0"/>
              </w:rPr>
            </w:pPr>
            <w:r>
              <w:rPr>
                <w:rFonts w:hint="eastAsia"/>
                <w:bCs/>
                <w:kern w:val="0"/>
              </w:rPr>
              <w:t>关于开展昌吉州2</w:t>
            </w:r>
            <w:r>
              <w:rPr>
                <w:bCs/>
                <w:kern w:val="0"/>
              </w:rPr>
              <w:t>022</w:t>
            </w:r>
            <w:r>
              <w:rPr>
                <w:rFonts w:hint="eastAsia"/>
                <w:bCs/>
                <w:kern w:val="0"/>
              </w:rPr>
              <w:t>年度夏秋季大气污染防止“冬病夏治”有关工作的通知提出：</w:t>
            </w:r>
          </w:p>
          <w:p>
            <w:pPr>
              <w:pStyle w:val="112"/>
              <w:rPr>
                <w:bCs/>
                <w:kern w:val="0"/>
              </w:rPr>
            </w:pPr>
            <w:r>
              <w:rPr>
                <w:rFonts w:hint="eastAsia"/>
                <w:bCs/>
                <w:kern w:val="0"/>
              </w:rPr>
              <w:t>推进燃煤锅炉淘汰政治。各县市、园区要加快推进辖区6</w:t>
            </w:r>
            <w:r>
              <w:rPr>
                <w:bCs/>
                <w:kern w:val="0"/>
              </w:rPr>
              <w:t>5</w:t>
            </w:r>
            <w:r>
              <w:rPr>
                <w:rFonts w:hint="eastAsia"/>
                <w:bCs/>
                <w:kern w:val="0"/>
              </w:rPr>
              <w:t>蒸吨/小时以下燃煤锅炉淘汰及清洁能源替代改造工作，制定切实可行的6</w:t>
            </w:r>
            <w:r>
              <w:rPr>
                <w:bCs/>
                <w:kern w:val="0"/>
              </w:rPr>
              <w:t>5</w:t>
            </w:r>
            <w:r>
              <w:rPr>
                <w:rFonts w:hint="eastAsia"/>
                <w:bCs/>
                <w:kern w:val="0"/>
              </w:rPr>
              <w:t>蒸吨以下燃煤锅炉淘汰或改造工作方案。</w:t>
            </w:r>
          </w:p>
          <w:p>
            <w:pPr>
              <w:pStyle w:val="112"/>
              <w:rPr>
                <w:bCs/>
                <w:kern w:val="0"/>
              </w:rPr>
            </w:pPr>
            <w:r>
              <w:rPr>
                <w:rFonts w:hint="eastAsia"/>
                <w:bCs/>
                <w:kern w:val="0"/>
              </w:rPr>
              <w:t>实施重点行业N</w:t>
            </w:r>
            <w:r>
              <w:rPr>
                <w:bCs/>
                <w:kern w:val="0"/>
              </w:rPr>
              <w:t>O</w:t>
            </w:r>
            <w:r>
              <w:rPr>
                <w:rFonts w:hint="eastAsia"/>
                <w:bCs/>
                <w:kern w:val="0"/>
              </w:rPr>
              <w:t>x等污染物深度治理，按照氮氧化物排放浓度不高于5</w:t>
            </w:r>
            <w:r>
              <w:rPr>
                <w:bCs/>
                <w:kern w:val="0"/>
              </w:rPr>
              <w:t>0</w:t>
            </w:r>
            <w:r>
              <w:rPr>
                <w:rFonts w:hint="eastAsia"/>
                <w:bCs/>
                <w:kern w:val="0"/>
              </w:rPr>
              <w:t>毫克/立方米。</w:t>
            </w:r>
          </w:p>
          <w:p>
            <w:pPr>
              <w:pStyle w:val="112"/>
              <w:rPr>
                <w:bCs/>
                <w:kern w:val="0"/>
              </w:rPr>
            </w:pPr>
            <w:r>
              <w:rPr>
                <w:rFonts w:hint="eastAsia"/>
                <w:bCs/>
                <w:kern w:val="0"/>
              </w:rPr>
              <w:t>本项目将原有燃煤锅炉更换为燃气锅炉。项目氮氧化物排放浓度满足5</w:t>
            </w:r>
            <w:r>
              <w:rPr>
                <w:bCs/>
                <w:kern w:val="0"/>
              </w:rPr>
              <w:t>0</w:t>
            </w:r>
            <w:r>
              <w:rPr>
                <w:rFonts w:hint="eastAsia"/>
                <w:bCs/>
                <w:kern w:val="0"/>
              </w:rPr>
              <w:t>毫克/立方米要求。符合《关于开展昌吉州2</w:t>
            </w:r>
            <w:r>
              <w:rPr>
                <w:bCs/>
                <w:kern w:val="0"/>
              </w:rPr>
              <w:t>022</w:t>
            </w:r>
            <w:r>
              <w:rPr>
                <w:rFonts w:hint="eastAsia"/>
                <w:bCs/>
                <w:kern w:val="0"/>
              </w:rPr>
              <w:t>年度夏秋季大气污染防止“冬病夏治”有关工作的通知》相关要求。</w:t>
            </w:r>
          </w:p>
          <w:p>
            <w:pPr>
              <w:pStyle w:val="112"/>
              <w:rPr>
                <w:bCs/>
                <w:kern w:val="0"/>
              </w:rPr>
            </w:pPr>
          </w:p>
          <w:p>
            <w:pPr>
              <w:pStyle w:val="112"/>
              <w:rPr>
                <w:bCs/>
                <w:kern w:val="0"/>
              </w:rPr>
            </w:pPr>
          </w:p>
          <w:p>
            <w:pPr>
              <w:pStyle w:val="112"/>
              <w:rPr>
                <w:bCs/>
                <w:kern w:val="0"/>
              </w:rPr>
            </w:pPr>
          </w:p>
          <w:p>
            <w:pPr>
              <w:pStyle w:val="112"/>
              <w:rPr>
                <w:bCs/>
                <w:kern w:val="0"/>
              </w:rPr>
            </w:pPr>
          </w:p>
          <w:p>
            <w:pPr>
              <w:pStyle w:val="112"/>
              <w:rPr>
                <w:bCs/>
                <w:kern w:val="0"/>
              </w:rPr>
            </w:pPr>
          </w:p>
          <w:p>
            <w:pPr>
              <w:pStyle w:val="112"/>
              <w:rPr>
                <w:bCs/>
                <w:kern w:val="0"/>
                <w:highlight w:val="yellow"/>
              </w:rPr>
            </w:pPr>
          </w:p>
        </w:tc>
      </w:tr>
    </w:tbl>
    <w:p>
      <w:pPr>
        <w:spacing w:line="360" w:lineRule="auto"/>
        <w:outlineLvl w:val="0"/>
        <w:rPr>
          <w:rFonts w:eastAsia="黑体"/>
          <w:sz w:val="30"/>
        </w:rPr>
        <w:sectPr>
          <w:footerReference r:id="rId3" w:type="default"/>
          <w:pgSz w:w="11906" w:h="16838"/>
          <w:pgMar w:top="1701" w:right="1531" w:bottom="1701" w:left="1531" w:header="851" w:footer="1077" w:gutter="0"/>
          <w:cols w:space="720" w:num="1"/>
          <w:docGrid w:linePitch="312" w:charSpace="0"/>
        </w:sectPr>
      </w:pPr>
    </w:p>
    <w:p>
      <w:pPr>
        <w:pStyle w:val="4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46"/>
        <w:tblW w:w="882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1"/>
        <w:gridCol w:w="83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1" w:type="dxa"/>
            <w:vAlign w:val="center"/>
          </w:tcPr>
          <w:p>
            <w:pPr>
              <w:pStyle w:val="40"/>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1"/>
              </w:rPr>
              <w:t>建设内容</w:t>
            </w:r>
          </w:p>
        </w:tc>
        <w:tc>
          <w:tcPr>
            <w:tcW w:w="8303" w:type="dxa"/>
          </w:tcPr>
          <w:p>
            <w:pPr>
              <w:pStyle w:val="77"/>
              <w:ind w:firstLine="482"/>
              <w:rPr>
                <w:b/>
                <w:bCs/>
                <w:lang w:bidi="en-US"/>
              </w:rPr>
            </w:pPr>
            <w:r>
              <w:rPr>
                <w:b/>
                <w:bCs/>
              </w:rPr>
              <w:t>1</w:t>
            </w:r>
            <w:r>
              <w:rPr>
                <w:rFonts w:hint="eastAsia"/>
                <w:b/>
                <w:bCs/>
              </w:rPr>
              <w:t>、</w:t>
            </w:r>
            <w:r>
              <w:rPr>
                <w:b/>
                <w:bCs/>
              </w:rPr>
              <w:t>项目</w:t>
            </w:r>
            <w:r>
              <w:rPr>
                <w:rFonts w:hint="eastAsia"/>
                <w:b/>
                <w:bCs/>
              </w:rPr>
              <w:t>概况</w:t>
            </w:r>
          </w:p>
          <w:p>
            <w:pPr>
              <w:pStyle w:val="77"/>
              <w:ind w:firstLine="480"/>
            </w:pPr>
            <w:r>
              <w:rPr>
                <w:rFonts w:hint="eastAsia"/>
              </w:rPr>
              <w:t>新疆维维天山雪乳业有限公司成立于2</w:t>
            </w:r>
            <w:r>
              <w:t>022</w:t>
            </w:r>
            <w:r>
              <w:rPr>
                <w:rFonts w:hint="eastAsia"/>
              </w:rPr>
              <w:t>年1月，2</w:t>
            </w:r>
            <w:r>
              <w:t>003</w:t>
            </w:r>
            <w:r>
              <w:rPr>
                <w:rFonts w:hint="eastAsia"/>
              </w:rPr>
              <w:t>年4月委托新疆建材工业设计院编制完成了《新疆维维牛奶有限公司乳品深加工项目环境影响报告表》，同意项目建设，项目建成后年处理原料乳3</w:t>
            </w:r>
            <w:r>
              <w:t>3000</w:t>
            </w:r>
            <w:r>
              <w:rPr>
                <w:rFonts w:hint="eastAsia"/>
              </w:rPr>
              <w:t>吨；2</w:t>
            </w:r>
            <w:r>
              <w:t>008</w:t>
            </w:r>
            <w:r>
              <w:rPr>
                <w:rFonts w:hint="eastAsia"/>
              </w:rPr>
              <w:t>年9月委托昌吉州环境监测站编制完成了项目竣工环境保护验收工作。目前企业年产发酵乳2</w:t>
            </w:r>
            <w:r>
              <w:t>000</w:t>
            </w:r>
            <w:r>
              <w:rPr>
                <w:rFonts w:hint="eastAsia"/>
              </w:rPr>
              <w:t>吨，年产灭菌乳5</w:t>
            </w:r>
            <w:r>
              <w:t>000</w:t>
            </w:r>
            <w:r>
              <w:rPr>
                <w:rFonts w:hint="eastAsia"/>
              </w:rPr>
              <w:t>吨。</w:t>
            </w:r>
          </w:p>
          <w:p>
            <w:pPr>
              <w:pStyle w:val="77"/>
              <w:ind w:firstLine="480"/>
              <w:rPr>
                <w:color w:val="FF0000"/>
              </w:rPr>
            </w:pPr>
            <w:r>
              <w:rPr>
                <w:color w:val="FF0000"/>
                <w:lang w:bidi="en-US"/>
              </w:rPr>
              <w:t>根据《自治区打赢蓝天保卫战三年行动计划（2018-2020年）》（新政发〔2018〕66号）中提出：“乌-昌-石”“奎-独-乌”区域各县级及以上城市建成区完成每小时35蒸吨以下燃煤锅炉的淘汰工作，因此企业于2018年拆除原有2台4t/h燃煤锅炉，并于2018年9月在锅炉房内建设1台4t/h燃气锅炉（常用），1台2t/h燃气锅炉（备用），满足《自治区打赢蓝天保卫战三年行动计划（2018-2020年）》（新政发〔2018〕66号）中相关要求；</w:t>
            </w:r>
            <w:r>
              <w:rPr>
                <w:color w:val="FF0000"/>
              </w:rPr>
              <w:t>2021年7月因原污水处理设备老化等原因，将升级改造原有污水处理站</w:t>
            </w:r>
            <w:r>
              <w:rPr>
                <w:rFonts w:hint="eastAsia"/>
                <w:color w:val="FF0000"/>
              </w:rPr>
              <w:t>，并将原有管道进行改造</w:t>
            </w:r>
            <w:r>
              <w:rPr>
                <w:color w:val="FF0000"/>
              </w:rPr>
              <w:t>，</w:t>
            </w:r>
            <w:r>
              <w:rPr>
                <w:rFonts w:hint="eastAsia"/>
                <w:color w:val="FF0000"/>
              </w:rPr>
              <w:t>建设</w:t>
            </w:r>
            <w:r>
              <w:rPr>
                <w:color w:val="FF0000"/>
              </w:rPr>
              <w:t>完成后处理规模可达10t/h，满足企业所需</w:t>
            </w:r>
            <w:r>
              <w:rPr>
                <w:rFonts w:hint="eastAsia"/>
                <w:color w:val="FF0000"/>
              </w:rPr>
              <w:t>；项目的建设将减轻建设单位对环境的影响，属于环境友好范畴</w:t>
            </w:r>
            <w:r>
              <w:rPr>
                <w:color w:val="FF0000"/>
              </w:rPr>
              <w:t>。</w:t>
            </w:r>
          </w:p>
          <w:p>
            <w:pPr>
              <w:pStyle w:val="77"/>
              <w:ind w:firstLine="480"/>
              <w:rPr>
                <w:lang w:bidi="en-US"/>
              </w:rPr>
            </w:pPr>
            <w:r>
              <w:rPr>
                <w:rFonts w:hint="eastAsia"/>
                <w:bCs/>
                <w:szCs w:val="32"/>
              </w:rPr>
              <w:t>根据生态环境部《关于加强“未批先建”建设项目环境影响评价管理工作的通知》、《关于建设项目“未批先建”违法行为法律适用问题的意见》中规定，本项目未批先建违法行为已超过二年，不需再给予行政处罚</w:t>
            </w:r>
            <w:r>
              <w:rPr>
                <w:rFonts w:hint="eastAsia"/>
                <w:szCs w:val="32"/>
              </w:rPr>
              <w:t>。</w:t>
            </w:r>
          </w:p>
          <w:p>
            <w:pPr>
              <w:pStyle w:val="77"/>
              <w:ind w:firstLine="480"/>
            </w:pPr>
            <w:r>
              <w:rPr>
                <w:rFonts w:hint="eastAsia"/>
                <w:lang w:bidi="en-US"/>
              </w:rPr>
              <w:t>本项目位于</w:t>
            </w:r>
            <w:r>
              <w:rPr>
                <w:rFonts w:hint="eastAsia"/>
              </w:rPr>
              <w:t>昌吉回族自治州呼图壁县</w:t>
            </w:r>
            <w:r>
              <w:t>天山雪大道99号</w:t>
            </w:r>
            <w:r>
              <w:rPr>
                <w:rFonts w:hint="eastAsia"/>
              </w:rPr>
              <w:t>新疆维维天山雪乳业有限公司厂区内</w:t>
            </w:r>
            <w:r>
              <w:rPr>
                <w:rFonts w:hint="eastAsia"/>
                <w:lang w:bidi="en-US"/>
              </w:rPr>
              <w:t>，东侧为天山雪大道，南侧为G</w:t>
            </w:r>
            <w:r>
              <w:rPr>
                <w:lang w:bidi="en-US"/>
              </w:rPr>
              <w:t>312</w:t>
            </w:r>
            <w:r>
              <w:rPr>
                <w:rFonts w:hint="eastAsia"/>
                <w:lang w:bidi="en-US"/>
              </w:rPr>
              <w:t>道路，西侧为停车场，北侧未空地，项目中心地理坐标为</w:t>
            </w:r>
            <w:r>
              <w:t>E86°51′39.140″,N44°9′27.007″</w:t>
            </w:r>
            <w:r>
              <w:rPr>
                <w:rFonts w:hint="eastAsia"/>
                <w:bCs/>
                <w:lang w:bidi="en-US"/>
              </w:rPr>
              <w:t>，地理位置见图</w:t>
            </w:r>
            <w:r>
              <w:rPr>
                <w:bCs/>
                <w:lang w:bidi="en-US"/>
              </w:rPr>
              <w:t>2</w:t>
            </w:r>
            <w:r>
              <w:rPr>
                <w:rFonts w:hint="eastAsia"/>
                <w:bCs/>
                <w:lang w:bidi="en-US"/>
              </w:rPr>
              <w:t>，周边关系见图3，</w:t>
            </w:r>
            <w:r>
              <w:rPr>
                <w:rFonts w:hint="eastAsia"/>
              </w:rPr>
              <w:t>具体</w:t>
            </w:r>
            <w:r>
              <w:t>组成</w:t>
            </w:r>
            <w:r>
              <w:rPr>
                <w:rFonts w:hint="eastAsia"/>
              </w:rPr>
              <w:t>详</w:t>
            </w:r>
            <w:r>
              <w:t>见表2-1。</w:t>
            </w:r>
          </w:p>
          <w:p>
            <w:pPr>
              <w:pStyle w:val="119"/>
              <w:spacing w:line="240" w:lineRule="auto"/>
              <w:ind w:firstLine="420"/>
              <w:rPr>
                <w:rFonts w:hAnsi="Times New Roman" w:eastAsia="黑体"/>
                <w:b w:val="0"/>
                <w:bCs w:val="0"/>
                <w:color w:val="FF0000"/>
                <w:sz w:val="21"/>
                <w:szCs w:val="21"/>
              </w:rPr>
            </w:pPr>
            <w:r>
              <w:rPr>
                <w:rFonts w:hAnsi="Times New Roman" w:eastAsia="黑体"/>
                <w:b w:val="0"/>
                <w:bCs w:val="0"/>
                <w:color w:val="FF0000"/>
                <w:sz w:val="21"/>
                <w:szCs w:val="21"/>
              </w:rPr>
              <w:t>表2-1                   项目建设内容组成一览表</w:t>
            </w:r>
          </w:p>
          <w:tbl>
            <w:tblPr>
              <w:tblStyle w:val="46"/>
              <w:tblW w:w="808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469"/>
              <w:gridCol w:w="653"/>
              <w:gridCol w:w="4964"/>
              <w:gridCol w:w="9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23" w:hRule="atLeast"/>
                <w:jc w:val="center"/>
              </w:trPr>
              <w:tc>
                <w:tcPr>
                  <w:tcW w:w="1076" w:type="dxa"/>
                  <w:vAlign w:val="center"/>
                </w:tcPr>
                <w:p>
                  <w:pPr>
                    <w:jc w:val="center"/>
                    <w:rPr>
                      <w:color w:val="FF0000"/>
                      <w:szCs w:val="21"/>
                    </w:rPr>
                  </w:pPr>
                  <w:bookmarkStart w:id="4" w:name="_Hlk142388725"/>
                  <w:r>
                    <w:rPr>
                      <w:color w:val="FF0000"/>
                      <w:szCs w:val="21"/>
                    </w:rPr>
                    <w:t>工程类别</w:t>
                  </w:r>
                </w:p>
              </w:tc>
              <w:tc>
                <w:tcPr>
                  <w:tcW w:w="1122" w:type="dxa"/>
                  <w:gridSpan w:val="2"/>
                  <w:vAlign w:val="center"/>
                </w:tcPr>
                <w:p>
                  <w:pPr>
                    <w:jc w:val="center"/>
                    <w:rPr>
                      <w:color w:val="FF0000"/>
                      <w:szCs w:val="21"/>
                    </w:rPr>
                  </w:pPr>
                  <w:r>
                    <w:rPr>
                      <w:color w:val="FF0000"/>
                      <w:szCs w:val="21"/>
                    </w:rPr>
                    <w:t>工程名称</w:t>
                  </w:r>
                </w:p>
              </w:tc>
              <w:tc>
                <w:tcPr>
                  <w:tcW w:w="4964" w:type="dxa"/>
                  <w:vAlign w:val="center"/>
                </w:tcPr>
                <w:p>
                  <w:pPr>
                    <w:jc w:val="center"/>
                    <w:rPr>
                      <w:color w:val="FF0000"/>
                      <w:szCs w:val="21"/>
                    </w:rPr>
                  </w:pPr>
                  <w:r>
                    <w:rPr>
                      <w:color w:val="FF0000"/>
                      <w:szCs w:val="21"/>
                    </w:rPr>
                    <w:t>主要内容</w:t>
                  </w:r>
                </w:p>
              </w:tc>
              <w:tc>
                <w:tcPr>
                  <w:tcW w:w="925" w:type="dxa"/>
                  <w:vAlign w:val="center"/>
                </w:tcPr>
                <w:p>
                  <w:pPr>
                    <w:jc w:val="center"/>
                    <w:rPr>
                      <w:color w:val="FF0000"/>
                      <w:szCs w:val="21"/>
                    </w:rPr>
                  </w:pPr>
                  <w:r>
                    <w:rPr>
                      <w:color w:val="FF000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23" w:hRule="atLeast"/>
                <w:jc w:val="center"/>
              </w:trPr>
              <w:tc>
                <w:tcPr>
                  <w:tcW w:w="1076" w:type="dxa"/>
                  <w:vAlign w:val="center"/>
                </w:tcPr>
                <w:p>
                  <w:pPr>
                    <w:jc w:val="center"/>
                    <w:rPr>
                      <w:color w:val="FF0000"/>
                      <w:szCs w:val="21"/>
                    </w:rPr>
                  </w:pPr>
                  <w:r>
                    <w:rPr>
                      <w:rFonts w:hint="eastAsia"/>
                      <w:color w:val="FF0000"/>
                      <w:szCs w:val="21"/>
                    </w:rPr>
                    <w:t>主体工程</w:t>
                  </w:r>
                </w:p>
              </w:tc>
              <w:tc>
                <w:tcPr>
                  <w:tcW w:w="1122" w:type="dxa"/>
                  <w:gridSpan w:val="2"/>
                  <w:vAlign w:val="center"/>
                </w:tcPr>
                <w:p>
                  <w:pPr>
                    <w:jc w:val="center"/>
                    <w:rPr>
                      <w:color w:val="FF0000"/>
                      <w:szCs w:val="21"/>
                    </w:rPr>
                  </w:pPr>
                  <w:r>
                    <w:rPr>
                      <w:rFonts w:hint="eastAsia"/>
                      <w:color w:val="FF0000"/>
                      <w:szCs w:val="21"/>
                    </w:rPr>
                    <w:t>锅炉房</w:t>
                  </w:r>
                </w:p>
              </w:tc>
              <w:tc>
                <w:tcPr>
                  <w:tcW w:w="4964" w:type="dxa"/>
                  <w:vAlign w:val="center"/>
                </w:tcPr>
                <w:p>
                  <w:pPr>
                    <w:jc w:val="center"/>
                    <w:rPr>
                      <w:color w:val="FF0000"/>
                      <w:szCs w:val="21"/>
                    </w:rPr>
                  </w:pPr>
                  <w:r>
                    <w:rPr>
                      <w:rFonts w:hint="eastAsia"/>
                      <w:color w:val="FF0000"/>
                      <w:szCs w:val="21"/>
                    </w:rPr>
                    <w:t>将</w:t>
                  </w:r>
                  <w:r>
                    <w:rPr>
                      <w:color w:val="FF0000"/>
                      <w:szCs w:val="21"/>
                      <w:lang w:bidi="en-US"/>
                    </w:rPr>
                    <w:t>原有2台4t/h燃煤锅炉</w:t>
                  </w:r>
                  <w:r>
                    <w:rPr>
                      <w:rFonts w:hint="eastAsia"/>
                      <w:color w:val="FF0000"/>
                      <w:szCs w:val="21"/>
                      <w:lang w:bidi="en-US"/>
                    </w:rPr>
                    <w:t>拆除</w:t>
                  </w:r>
                  <w:r>
                    <w:rPr>
                      <w:rFonts w:hint="eastAsia"/>
                      <w:color w:val="FF0000"/>
                      <w:szCs w:val="21"/>
                    </w:rPr>
                    <w:t>，建设1台4t/h燃气锅炉（常用），1台2t/h燃气锅炉（备用）</w:t>
                  </w:r>
                </w:p>
              </w:tc>
              <w:tc>
                <w:tcPr>
                  <w:tcW w:w="925" w:type="dxa"/>
                  <w:vAlign w:val="center"/>
                </w:tcPr>
                <w:p>
                  <w:pPr>
                    <w:jc w:val="center"/>
                    <w:rPr>
                      <w:color w:val="FF0000"/>
                      <w:szCs w:val="21"/>
                    </w:rPr>
                  </w:pPr>
                  <w:r>
                    <w:rPr>
                      <w:rFonts w:hint="eastAsia"/>
                      <w:color w:val="FF0000"/>
                      <w:szCs w:val="21"/>
                    </w:rPr>
                    <w:t>已建，1用1备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6" w:type="dxa"/>
                  <w:vMerge w:val="restart"/>
                  <w:vAlign w:val="center"/>
                </w:tcPr>
                <w:p>
                  <w:pPr>
                    <w:jc w:val="center"/>
                    <w:rPr>
                      <w:color w:val="FF0000"/>
                      <w:szCs w:val="21"/>
                    </w:rPr>
                  </w:pPr>
                  <w:r>
                    <w:rPr>
                      <w:color w:val="FF0000"/>
                      <w:szCs w:val="21"/>
                    </w:rPr>
                    <w:t>公用工程</w:t>
                  </w:r>
                </w:p>
              </w:tc>
              <w:tc>
                <w:tcPr>
                  <w:tcW w:w="1122" w:type="dxa"/>
                  <w:gridSpan w:val="2"/>
                  <w:vAlign w:val="center"/>
                </w:tcPr>
                <w:p>
                  <w:pPr>
                    <w:jc w:val="center"/>
                    <w:rPr>
                      <w:color w:val="FF0000"/>
                      <w:szCs w:val="21"/>
                    </w:rPr>
                  </w:pPr>
                  <w:r>
                    <w:rPr>
                      <w:rFonts w:hint="eastAsia"/>
                      <w:color w:val="FF0000"/>
                      <w:szCs w:val="21"/>
                    </w:rPr>
                    <w:t>供水</w:t>
                  </w:r>
                </w:p>
              </w:tc>
              <w:tc>
                <w:tcPr>
                  <w:tcW w:w="4964" w:type="dxa"/>
                  <w:vAlign w:val="center"/>
                </w:tcPr>
                <w:p>
                  <w:pPr>
                    <w:jc w:val="center"/>
                    <w:rPr>
                      <w:color w:val="FF0000"/>
                      <w:szCs w:val="21"/>
                    </w:rPr>
                  </w:pPr>
                  <w:r>
                    <w:rPr>
                      <w:rFonts w:hint="eastAsia"/>
                      <w:color w:val="FF0000"/>
                      <w:szCs w:val="21"/>
                    </w:rPr>
                    <w:t>厂区自备水井（已取得取水许可，详见附件）</w:t>
                  </w:r>
                </w:p>
              </w:tc>
              <w:tc>
                <w:tcPr>
                  <w:tcW w:w="925" w:type="dxa"/>
                  <w:vAlign w:val="center"/>
                </w:tcPr>
                <w:p>
                  <w:pPr>
                    <w:jc w:val="center"/>
                    <w:rPr>
                      <w:color w:val="FF0000"/>
                      <w:szCs w:val="21"/>
                    </w:rPr>
                  </w:pPr>
                  <w:r>
                    <w:rPr>
                      <w:rFonts w:hint="eastAsia"/>
                      <w:color w:val="FF000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6" w:type="dxa"/>
                  <w:vMerge w:val="continue"/>
                  <w:vAlign w:val="center"/>
                </w:tcPr>
                <w:p>
                  <w:pPr>
                    <w:jc w:val="center"/>
                    <w:rPr>
                      <w:color w:val="FF0000"/>
                      <w:szCs w:val="21"/>
                    </w:rPr>
                  </w:pPr>
                </w:p>
              </w:tc>
              <w:tc>
                <w:tcPr>
                  <w:tcW w:w="1122" w:type="dxa"/>
                  <w:gridSpan w:val="2"/>
                  <w:vAlign w:val="center"/>
                </w:tcPr>
                <w:p>
                  <w:pPr>
                    <w:jc w:val="center"/>
                    <w:rPr>
                      <w:color w:val="FF0000"/>
                      <w:szCs w:val="21"/>
                    </w:rPr>
                  </w:pPr>
                  <w:r>
                    <w:rPr>
                      <w:rFonts w:hint="eastAsia"/>
                      <w:color w:val="FF0000"/>
                      <w:szCs w:val="21"/>
                    </w:rPr>
                    <w:t>排水</w:t>
                  </w:r>
                </w:p>
              </w:tc>
              <w:tc>
                <w:tcPr>
                  <w:tcW w:w="4964" w:type="dxa"/>
                  <w:vAlign w:val="center"/>
                </w:tcPr>
                <w:p>
                  <w:pPr>
                    <w:jc w:val="center"/>
                    <w:rPr>
                      <w:color w:val="FF0000"/>
                      <w:szCs w:val="21"/>
                    </w:rPr>
                  </w:pPr>
                  <w:r>
                    <w:rPr>
                      <w:rFonts w:hint="eastAsia"/>
                      <w:color w:val="FF0000"/>
                      <w:szCs w:val="21"/>
                    </w:rPr>
                    <w:t>生活污水及生产废水经污水处理站处理达标后排入污水管网，最终进入呼图壁县丰泉污水处理厂</w:t>
                  </w:r>
                </w:p>
              </w:tc>
              <w:tc>
                <w:tcPr>
                  <w:tcW w:w="925" w:type="dxa"/>
                  <w:vAlign w:val="center"/>
                </w:tcPr>
                <w:p>
                  <w:pPr>
                    <w:jc w:val="center"/>
                    <w:rPr>
                      <w:color w:val="FF0000"/>
                      <w:szCs w:val="21"/>
                    </w:rPr>
                  </w:pPr>
                  <w:r>
                    <w:rPr>
                      <w:color w:val="FF000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076" w:type="dxa"/>
                  <w:vMerge w:val="continue"/>
                  <w:vAlign w:val="center"/>
                </w:tcPr>
                <w:p>
                  <w:pPr>
                    <w:jc w:val="center"/>
                    <w:rPr>
                      <w:color w:val="FF0000"/>
                      <w:szCs w:val="21"/>
                    </w:rPr>
                  </w:pPr>
                </w:p>
              </w:tc>
              <w:tc>
                <w:tcPr>
                  <w:tcW w:w="1122" w:type="dxa"/>
                  <w:gridSpan w:val="2"/>
                  <w:vAlign w:val="center"/>
                </w:tcPr>
                <w:p>
                  <w:pPr>
                    <w:jc w:val="center"/>
                    <w:rPr>
                      <w:color w:val="FF0000"/>
                      <w:szCs w:val="21"/>
                    </w:rPr>
                  </w:pPr>
                  <w:r>
                    <w:rPr>
                      <w:rFonts w:hint="eastAsia"/>
                      <w:color w:val="FF0000"/>
                      <w:szCs w:val="21"/>
                    </w:rPr>
                    <w:t>供电</w:t>
                  </w:r>
                </w:p>
              </w:tc>
              <w:tc>
                <w:tcPr>
                  <w:tcW w:w="4964" w:type="dxa"/>
                  <w:vAlign w:val="center"/>
                </w:tcPr>
                <w:p>
                  <w:pPr>
                    <w:topLinePunct/>
                    <w:adjustRightInd w:val="0"/>
                    <w:snapToGrid w:val="0"/>
                    <w:jc w:val="center"/>
                    <w:rPr>
                      <w:color w:val="FF0000"/>
                      <w:szCs w:val="21"/>
                    </w:rPr>
                  </w:pPr>
                  <w:r>
                    <w:rPr>
                      <w:rFonts w:hint="eastAsia"/>
                      <w:color w:val="FF0000"/>
                      <w:szCs w:val="21"/>
                    </w:rPr>
                    <w:t>当地供电线路</w:t>
                  </w:r>
                </w:p>
              </w:tc>
              <w:tc>
                <w:tcPr>
                  <w:tcW w:w="925" w:type="dxa"/>
                  <w:vAlign w:val="center"/>
                </w:tcPr>
                <w:p>
                  <w:pPr>
                    <w:jc w:val="center"/>
                    <w:rPr>
                      <w:color w:val="FF0000"/>
                      <w:szCs w:val="21"/>
                    </w:rPr>
                  </w:pPr>
                  <w:r>
                    <w:rPr>
                      <w:rFonts w:hint="eastAsia"/>
                      <w:color w:val="FF0000"/>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6" w:type="dxa"/>
                  <w:vMerge w:val="continue"/>
                  <w:vAlign w:val="center"/>
                </w:tcPr>
                <w:p>
                  <w:pPr>
                    <w:jc w:val="center"/>
                    <w:rPr>
                      <w:color w:val="FF0000"/>
                      <w:szCs w:val="21"/>
                    </w:rPr>
                  </w:pPr>
                </w:p>
              </w:tc>
              <w:tc>
                <w:tcPr>
                  <w:tcW w:w="1122" w:type="dxa"/>
                  <w:gridSpan w:val="2"/>
                  <w:vAlign w:val="center"/>
                </w:tcPr>
                <w:p>
                  <w:pPr>
                    <w:jc w:val="center"/>
                    <w:rPr>
                      <w:color w:val="FF0000"/>
                      <w:szCs w:val="21"/>
                    </w:rPr>
                  </w:pPr>
                  <w:r>
                    <w:rPr>
                      <w:rFonts w:hint="eastAsia"/>
                      <w:color w:val="FF0000"/>
                      <w:szCs w:val="21"/>
                    </w:rPr>
                    <w:t>供热</w:t>
                  </w:r>
                </w:p>
              </w:tc>
              <w:tc>
                <w:tcPr>
                  <w:tcW w:w="4964" w:type="dxa"/>
                  <w:vAlign w:val="center"/>
                </w:tcPr>
                <w:p>
                  <w:pPr>
                    <w:jc w:val="center"/>
                    <w:rPr>
                      <w:color w:val="FF0000"/>
                      <w:szCs w:val="21"/>
                    </w:rPr>
                  </w:pPr>
                  <w:r>
                    <w:rPr>
                      <w:rFonts w:hint="eastAsia"/>
                      <w:color w:val="FF0000"/>
                      <w:szCs w:val="21"/>
                    </w:rPr>
                    <w:t>厂区内锅炉供热</w:t>
                  </w:r>
                </w:p>
              </w:tc>
              <w:tc>
                <w:tcPr>
                  <w:tcW w:w="925" w:type="dxa"/>
                  <w:vAlign w:val="center"/>
                </w:tcPr>
                <w:p>
                  <w:pPr>
                    <w:jc w:val="center"/>
                    <w:rPr>
                      <w:color w:val="FF0000"/>
                      <w:szCs w:val="21"/>
                    </w:rPr>
                  </w:pPr>
                  <w:r>
                    <w:rPr>
                      <w:rFonts w:hint="eastAsia"/>
                      <w:color w:val="FF0000"/>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6" w:type="dxa"/>
                  <w:vMerge w:val="restart"/>
                  <w:vAlign w:val="center"/>
                </w:tcPr>
                <w:p>
                  <w:pPr>
                    <w:jc w:val="center"/>
                    <w:rPr>
                      <w:color w:val="FF0000"/>
                      <w:szCs w:val="21"/>
                    </w:rPr>
                  </w:pPr>
                  <w:r>
                    <w:rPr>
                      <w:color w:val="FF0000"/>
                      <w:szCs w:val="21"/>
                    </w:rPr>
                    <w:t>环保工程</w:t>
                  </w:r>
                </w:p>
              </w:tc>
              <w:tc>
                <w:tcPr>
                  <w:tcW w:w="1122" w:type="dxa"/>
                  <w:gridSpan w:val="2"/>
                  <w:vMerge w:val="restart"/>
                  <w:vAlign w:val="center"/>
                </w:tcPr>
                <w:p>
                  <w:pPr>
                    <w:jc w:val="center"/>
                    <w:rPr>
                      <w:color w:val="FF0000"/>
                      <w:szCs w:val="21"/>
                    </w:rPr>
                  </w:pPr>
                  <w:r>
                    <w:rPr>
                      <w:rFonts w:hint="eastAsia"/>
                      <w:color w:val="FF0000"/>
                      <w:szCs w:val="21"/>
                    </w:rPr>
                    <w:t>废气</w:t>
                  </w:r>
                </w:p>
              </w:tc>
              <w:tc>
                <w:tcPr>
                  <w:tcW w:w="4964" w:type="dxa"/>
                  <w:vAlign w:val="center"/>
                </w:tcPr>
                <w:p>
                  <w:pPr>
                    <w:topLinePunct/>
                    <w:adjustRightInd w:val="0"/>
                    <w:snapToGrid w:val="0"/>
                    <w:jc w:val="center"/>
                    <w:rPr>
                      <w:color w:val="FF0000"/>
                      <w:szCs w:val="21"/>
                    </w:rPr>
                  </w:pPr>
                  <w:r>
                    <w:rPr>
                      <w:rFonts w:hint="eastAsia"/>
                      <w:color w:val="FF0000"/>
                      <w:szCs w:val="21"/>
                    </w:rPr>
                    <w:t>常用锅炉采取低氮燃烧+烟气再循环+</w:t>
                  </w:r>
                  <w:r>
                    <w:rPr>
                      <w:color w:val="FF0000"/>
                      <w:szCs w:val="21"/>
                    </w:rPr>
                    <w:t>15</w:t>
                  </w:r>
                  <w:r>
                    <w:rPr>
                      <w:rFonts w:hint="eastAsia"/>
                      <w:color w:val="FF0000"/>
                      <w:szCs w:val="21"/>
                    </w:rPr>
                    <w:t>m高排气筒D</w:t>
                  </w:r>
                  <w:r>
                    <w:rPr>
                      <w:color w:val="FF0000"/>
                      <w:szCs w:val="21"/>
                    </w:rPr>
                    <w:t>A001</w:t>
                  </w:r>
                </w:p>
              </w:tc>
              <w:tc>
                <w:tcPr>
                  <w:tcW w:w="925" w:type="dxa"/>
                  <w:vAlign w:val="center"/>
                </w:tcPr>
                <w:p>
                  <w:pPr>
                    <w:jc w:val="center"/>
                    <w:rPr>
                      <w:color w:val="FF0000"/>
                      <w:szCs w:val="21"/>
                    </w:rPr>
                  </w:pPr>
                  <w:r>
                    <w:rPr>
                      <w:rFonts w:hint="eastAsia"/>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6" w:type="dxa"/>
                  <w:vMerge w:val="continue"/>
                  <w:vAlign w:val="center"/>
                </w:tcPr>
                <w:p>
                  <w:pPr>
                    <w:jc w:val="center"/>
                    <w:rPr>
                      <w:color w:val="FF0000"/>
                      <w:szCs w:val="21"/>
                    </w:rPr>
                  </w:pPr>
                </w:p>
              </w:tc>
              <w:tc>
                <w:tcPr>
                  <w:tcW w:w="1122" w:type="dxa"/>
                  <w:gridSpan w:val="2"/>
                  <w:vMerge w:val="continue"/>
                  <w:vAlign w:val="center"/>
                </w:tcPr>
                <w:p>
                  <w:pPr>
                    <w:jc w:val="center"/>
                    <w:rPr>
                      <w:color w:val="FF0000"/>
                      <w:szCs w:val="21"/>
                    </w:rPr>
                  </w:pPr>
                </w:p>
              </w:tc>
              <w:tc>
                <w:tcPr>
                  <w:tcW w:w="4964" w:type="dxa"/>
                  <w:vAlign w:val="center"/>
                </w:tcPr>
                <w:p>
                  <w:pPr>
                    <w:topLinePunct/>
                    <w:adjustRightInd w:val="0"/>
                    <w:snapToGrid w:val="0"/>
                    <w:jc w:val="center"/>
                    <w:rPr>
                      <w:color w:val="FF0000"/>
                      <w:szCs w:val="21"/>
                    </w:rPr>
                  </w:pPr>
                  <w:r>
                    <w:rPr>
                      <w:rFonts w:hint="eastAsia"/>
                      <w:color w:val="FF0000"/>
                      <w:szCs w:val="21"/>
                    </w:rPr>
                    <w:t>备用锅炉采取低氮燃烧+烟气再循环+</w:t>
                  </w:r>
                  <w:r>
                    <w:rPr>
                      <w:color w:val="FF0000"/>
                      <w:szCs w:val="21"/>
                    </w:rPr>
                    <w:t>15</w:t>
                  </w:r>
                  <w:r>
                    <w:rPr>
                      <w:rFonts w:hint="eastAsia"/>
                      <w:color w:val="FF0000"/>
                      <w:szCs w:val="21"/>
                    </w:rPr>
                    <w:t>m高排气筒D</w:t>
                  </w:r>
                  <w:r>
                    <w:rPr>
                      <w:color w:val="FF0000"/>
                      <w:szCs w:val="21"/>
                    </w:rPr>
                    <w:t>A002</w:t>
                  </w:r>
                </w:p>
              </w:tc>
              <w:tc>
                <w:tcPr>
                  <w:tcW w:w="925" w:type="dxa"/>
                  <w:vAlign w:val="center"/>
                </w:tcPr>
                <w:p>
                  <w:pPr>
                    <w:jc w:val="center"/>
                    <w:rPr>
                      <w:color w:val="FF0000"/>
                      <w:szCs w:val="21"/>
                    </w:rPr>
                  </w:pPr>
                  <w:r>
                    <w:rPr>
                      <w:rFonts w:hint="eastAsia"/>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6" w:type="dxa"/>
                  <w:vMerge w:val="continue"/>
                  <w:vAlign w:val="center"/>
                </w:tcPr>
                <w:p>
                  <w:pPr>
                    <w:jc w:val="center"/>
                    <w:rPr>
                      <w:color w:val="FF0000"/>
                      <w:szCs w:val="21"/>
                    </w:rPr>
                  </w:pPr>
                </w:p>
              </w:tc>
              <w:tc>
                <w:tcPr>
                  <w:tcW w:w="1122" w:type="dxa"/>
                  <w:gridSpan w:val="2"/>
                  <w:vMerge w:val="continue"/>
                  <w:vAlign w:val="center"/>
                </w:tcPr>
                <w:p>
                  <w:pPr>
                    <w:jc w:val="center"/>
                    <w:rPr>
                      <w:color w:val="FF0000"/>
                      <w:szCs w:val="21"/>
                    </w:rPr>
                  </w:pPr>
                </w:p>
              </w:tc>
              <w:tc>
                <w:tcPr>
                  <w:tcW w:w="4964" w:type="dxa"/>
                  <w:vAlign w:val="center"/>
                </w:tcPr>
                <w:p>
                  <w:pPr>
                    <w:topLinePunct/>
                    <w:adjustRightInd w:val="0"/>
                    <w:snapToGrid w:val="0"/>
                    <w:jc w:val="center"/>
                    <w:rPr>
                      <w:color w:val="FF0000"/>
                      <w:szCs w:val="21"/>
                    </w:rPr>
                  </w:pPr>
                  <w:r>
                    <w:rPr>
                      <w:rFonts w:hint="eastAsia"/>
                      <w:color w:val="FF0000"/>
                      <w:szCs w:val="21"/>
                    </w:rPr>
                    <w:t>污水处理站恶臭通过对产生恶臭区域加盖密封</w:t>
                  </w:r>
                </w:p>
              </w:tc>
              <w:tc>
                <w:tcPr>
                  <w:tcW w:w="925" w:type="dxa"/>
                  <w:vAlign w:val="center"/>
                </w:tcPr>
                <w:p>
                  <w:pPr>
                    <w:jc w:val="center"/>
                    <w:rPr>
                      <w:color w:val="FF0000"/>
                      <w:szCs w:val="21"/>
                    </w:rPr>
                  </w:pPr>
                  <w:r>
                    <w:rPr>
                      <w:rFonts w:hint="eastAsia"/>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076" w:type="dxa"/>
                  <w:vMerge w:val="continue"/>
                  <w:vAlign w:val="center"/>
                </w:tcPr>
                <w:p>
                  <w:pPr>
                    <w:jc w:val="center"/>
                    <w:rPr>
                      <w:color w:val="FF0000"/>
                      <w:szCs w:val="21"/>
                    </w:rPr>
                  </w:pPr>
                </w:p>
              </w:tc>
              <w:tc>
                <w:tcPr>
                  <w:tcW w:w="469" w:type="dxa"/>
                  <w:vAlign w:val="center"/>
                </w:tcPr>
                <w:p>
                  <w:pPr>
                    <w:jc w:val="center"/>
                    <w:rPr>
                      <w:color w:val="FF0000"/>
                      <w:szCs w:val="21"/>
                    </w:rPr>
                  </w:pPr>
                  <w:r>
                    <w:rPr>
                      <w:rFonts w:hint="eastAsia"/>
                      <w:color w:val="FF0000"/>
                      <w:szCs w:val="21"/>
                    </w:rPr>
                    <w:t>废水</w:t>
                  </w:r>
                </w:p>
              </w:tc>
              <w:tc>
                <w:tcPr>
                  <w:tcW w:w="653" w:type="dxa"/>
                  <w:vAlign w:val="center"/>
                </w:tcPr>
                <w:p>
                  <w:pPr>
                    <w:jc w:val="center"/>
                    <w:rPr>
                      <w:color w:val="FF0000"/>
                      <w:szCs w:val="21"/>
                    </w:rPr>
                  </w:pPr>
                  <w:r>
                    <w:rPr>
                      <w:rFonts w:hint="eastAsia"/>
                      <w:color w:val="FF0000"/>
                      <w:szCs w:val="21"/>
                    </w:rPr>
                    <w:t>污水处理车间</w:t>
                  </w:r>
                </w:p>
              </w:tc>
              <w:tc>
                <w:tcPr>
                  <w:tcW w:w="4964" w:type="dxa"/>
                  <w:vAlign w:val="center"/>
                </w:tcPr>
                <w:p>
                  <w:pPr>
                    <w:jc w:val="center"/>
                    <w:rPr>
                      <w:color w:val="FF0000"/>
                      <w:szCs w:val="21"/>
                    </w:rPr>
                  </w:pPr>
                  <w:r>
                    <w:rPr>
                      <w:rFonts w:hint="eastAsia"/>
                      <w:color w:val="FF0000"/>
                      <w:szCs w:val="21"/>
                    </w:rPr>
                    <w:t>拆除原有老旧设备，并将原有管道进行改造。</w:t>
                  </w:r>
                </w:p>
                <w:p>
                  <w:pPr>
                    <w:jc w:val="center"/>
                    <w:rPr>
                      <w:color w:val="FF0000"/>
                      <w:szCs w:val="21"/>
                    </w:rPr>
                  </w:pPr>
                  <w:r>
                    <w:rPr>
                      <w:rFonts w:hint="eastAsia"/>
                      <w:color w:val="FF0000"/>
                      <w:szCs w:val="21"/>
                    </w:rPr>
                    <w:t>新建污水处理车间为地下式污水处理站，包括调节池、水解池、氧化池、气浮装置、板框压滤机等，处理规模为1</w:t>
                  </w:r>
                  <w:r>
                    <w:rPr>
                      <w:color w:val="FF0000"/>
                      <w:szCs w:val="21"/>
                    </w:rPr>
                    <w:t>0</w:t>
                  </w:r>
                  <w:r>
                    <w:rPr>
                      <w:rFonts w:hint="eastAsia"/>
                      <w:color w:val="FF0000"/>
                      <w:szCs w:val="21"/>
                    </w:rPr>
                    <w:t>t/h，污水经处理达标后的废水排入污水管网，最终进入呼图壁县丰泉污水处理厂</w:t>
                  </w:r>
                </w:p>
              </w:tc>
              <w:tc>
                <w:tcPr>
                  <w:tcW w:w="925" w:type="dxa"/>
                  <w:vAlign w:val="center"/>
                </w:tcPr>
                <w:p>
                  <w:pPr>
                    <w:jc w:val="center"/>
                    <w:rPr>
                      <w:color w:val="FF0000"/>
                      <w:szCs w:val="21"/>
                    </w:rPr>
                  </w:pPr>
                  <w:r>
                    <w:rPr>
                      <w:rFonts w:hint="eastAsia"/>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76" w:type="dxa"/>
                  <w:vMerge w:val="continue"/>
                  <w:vAlign w:val="center"/>
                </w:tcPr>
                <w:p>
                  <w:pPr>
                    <w:jc w:val="center"/>
                    <w:rPr>
                      <w:color w:val="FF0000"/>
                      <w:szCs w:val="21"/>
                    </w:rPr>
                  </w:pPr>
                </w:p>
              </w:tc>
              <w:tc>
                <w:tcPr>
                  <w:tcW w:w="1122" w:type="dxa"/>
                  <w:gridSpan w:val="2"/>
                  <w:vAlign w:val="center"/>
                </w:tcPr>
                <w:p>
                  <w:pPr>
                    <w:jc w:val="center"/>
                    <w:rPr>
                      <w:color w:val="FF0000"/>
                      <w:szCs w:val="21"/>
                    </w:rPr>
                  </w:pPr>
                  <w:r>
                    <w:rPr>
                      <w:rFonts w:hint="eastAsia"/>
                      <w:color w:val="FF0000"/>
                      <w:szCs w:val="21"/>
                    </w:rPr>
                    <w:t>噪声</w:t>
                  </w:r>
                </w:p>
              </w:tc>
              <w:tc>
                <w:tcPr>
                  <w:tcW w:w="4964" w:type="dxa"/>
                  <w:vAlign w:val="center"/>
                </w:tcPr>
                <w:p>
                  <w:pPr>
                    <w:jc w:val="center"/>
                    <w:rPr>
                      <w:color w:val="FF0000"/>
                      <w:szCs w:val="21"/>
                    </w:rPr>
                  </w:pPr>
                  <w:r>
                    <w:rPr>
                      <w:rFonts w:hint="eastAsia"/>
                      <w:color w:val="FF0000"/>
                      <w:szCs w:val="21"/>
                    </w:rPr>
                    <w:t>水泵、风机等高噪声设备采取室内布置，做好设备基础减振</w:t>
                  </w:r>
                </w:p>
              </w:tc>
              <w:tc>
                <w:tcPr>
                  <w:tcW w:w="925" w:type="dxa"/>
                  <w:vAlign w:val="center"/>
                </w:tcPr>
                <w:p>
                  <w:pPr>
                    <w:jc w:val="center"/>
                    <w:rPr>
                      <w:color w:val="FF0000"/>
                      <w:szCs w:val="21"/>
                    </w:rPr>
                  </w:pPr>
                  <w:r>
                    <w:rPr>
                      <w:rFonts w:hint="eastAsia"/>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076" w:type="dxa"/>
                  <w:vMerge w:val="continue"/>
                  <w:vAlign w:val="center"/>
                </w:tcPr>
                <w:p>
                  <w:pPr>
                    <w:jc w:val="center"/>
                    <w:rPr>
                      <w:color w:val="FF0000"/>
                      <w:szCs w:val="21"/>
                    </w:rPr>
                  </w:pPr>
                </w:p>
              </w:tc>
              <w:tc>
                <w:tcPr>
                  <w:tcW w:w="1122" w:type="dxa"/>
                  <w:gridSpan w:val="2"/>
                  <w:vAlign w:val="center"/>
                </w:tcPr>
                <w:p>
                  <w:pPr>
                    <w:jc w:val="center"/>
                    <w:rPr>
                      <w:color w:val="FF0000"/>
                      <w:szCs w:val="21"/>
                    </w:rPr>
                  </w:pPr>
                  <w:r>
                    <w:rPr>
                      <w:rFonts w:hint="eastAsia"/>
                      <w:color w:val="FF0000"/>
                      <w:szCs w:val="21"/>
                    </w:rPr>
                    <w:t>固废</w:t>
                  </w:r>
                </w:p>
              </w:tc>
              <w:tc>
                <w:tcPr>
                  <w:tcW w:w="4964" w:type="dxa"/>
                  <w:vAlign w:val="center"/>
                </w:tcPr>
                <w:p>
                  <w:pPr>
                    <w:jc w:val="center"/>
                    <w:rPr>
                      <w:color w:val="FF0000"/>
                      <w:szCs w:val="21"/>
                    </w:rPr>
                  </w:pPr>
                  <w:r>
                    <w:rPr>
                      <w:rFonts w:hint="eastAsia"/>
                      <w:color w:val="FF0000"/>
                      <w:szCs w:val="21"/>
                    </w:rPr>
                    <w:t>废离子交换树脂交由厂家回收处置；污泥收集后拉运至呼图壁县生活垃圾填埋场处置</w:t>
                  </w:r>
                </w:p>
              </w:tc>
              <w:tc>
                <w:tcPr>
                  <w:tcW w:w="925" w:type="dxa"/>
                  <w:vAlign w:val="center"/>
                </w:tcPr>
                <w:p>
                  <w:pPr>
                    <w:jc w:val="center"/>
                    <w:rPr>
                      <w:color w:val="FF0000"/>
                      <w:szCs w:val="21"/>
                    </w:rPr>
                  </w:pPr>
                  <w:r>
                    <w:rPr>
                      <w:rFonts w:hint="eastAsia"/>
                      <w:color w:val="FF0000"/>
                      <w:szCs w:val="21"/>
                    </w:rPr>
                    <w:t>/</w:t>
                  </w:r>
                </w:p>
              </w:tc>
            </w:tr>
            <w:bookmarkEnd w:id="4"/>
          </w:tbl>
          <w:p>
            <w:pPr>
              <w:adjustRightInd w:val="0"/>
              <w:snapToGrid w:val="0"/>
              <w:spacing w:line="460" w:lineRule="exact"/>
              <w:ind w:firstLine="482" w:firstLineChars="200"/>
              <w:rPr>
                <w:b/>
                <w:bCs/>
                <w:sz w:val="24"/>
              </w:rPr>
            </w:pPr>
            <w:bookmarkStart w:id="5" w:name="_Hlk142388755"/>
            <w:r>
              <w:rPr>
                <w:rFonts w:hint="eastAsia"/>
                <w:b/>
                <w:bCs/>
                <w:sz w:val="24"/>
              </w:rPr>
              <w:t>2、项目规模</w:t>
            </w:r>
          </w:p>
          <w:p>
            <w:pPr>
              <w:pStyle w:val="119"/>
              <w:spacing w:line="240" w:lineRule="auto"/>
              <w:ind w:firstLine="420"/>
              <w:rPr>
                <w:rFonts w:hAnsi="Times New Roman" w:eastAsia="黑体"/>
                <w:b w:val="0"/>
                <w:bCs w:val="0"/>
                <w:color w:val="auto"/>
                <w:sz w:val="21"/>
                <w:szCs w:val="21"/>
              </w:rPr>
            </w:pPr>
            <w:r>
              <w:rPr>
                <w:rFonts w:hAnsi="Times New Roman" w:eastAsia="黑体"/>
                <w:b w:val="0"/>
                <w:bCs w:val="0"/>
                <w:color w:val="auto"/>
                <w:sz w:val="21"/>
                <w:szCs w:val="21"/>
              </w:rPr>
              <w:t>表2-2                   项目</w:t>
            </w:r>
            <w:r>
              <w:rPr>
                <w:rFonts w:hint="eastAsia" w:hAnsi="Times New Roman" w:eastAsia="黑体"/>
                <w:b w:val="0"/>
                <w:bCs w:val="0"/>
                <w:color w:val="auto"/>
                <w:sz w:val="21"/>
                <w:szCs w:val="21"/>
              </w:rPr>
              <w:t>规模一览</w:t>
            </w:r>
            <w:r>
              <w:rPr>
                <w:rFonts w:hAnsi="Times New Roman" w:eastAsia="黑体"/>
                <w:b w:val="0"/>
                <w:bCs w:val="0"/>
                <w:color w:val="auto"/>
                <w:sz w:val="21"/>
                <w:szCs w:val="21"/>
              </w:rPr>
              <w:t>表</w:t>
            </w:r>
          </w:p>
          <w:tbl>
            <w:tblPr>
              <w:tblStyle w:val="46"/>
              <w:tblW w:w="80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620"/>
              <w:gridCol w:w="2061"/>
              <w:gridCol w:w="22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113" w:type="dxa"/>
                  <w:vAlign w:val="center"/>
                </w:tcPr>
                <w:p>
                  <w:pPr>
                    <w:widowControl/>
                    <w:jc w:val="center"/>
                    <w:rPr>
                      <w:kern w:val="0"/>
                      <w:szCs w:val="21"/>
                    </w:rPr>
                  </w:pPr>
                  <w:r>
                    <w:rPr>
                      <w:kern w:val="0"/>
                      <w:szCs w:val="21"/>
                    </w:rPr>
                    <w:t>序号</w:t>
                  </w:r>
                </w:p>
              </w:tc>
              <w:tc>
                <w:tcPr>
                  <w:tcW w:w="2620" w:type="dxa"/>
                  <w:vAlign w:val="center"/>
                </w:tcPr>
                <w:p>
                  <w:pPr>
                    <w:widowControl/>
                    <w:jc w:val="center"/>
                    <w:rPr>
                      <w:kern w:val="0"/>
                      <w:szCs w:val="21"/>
                    </w:rPr>
                  </w:pPr>
                  <w:r>
                    <w:rPr>
                      <w:rFonts w:hint="eastAsia"/>
                      <w:kern w:val="0"/>
                      <w:szCs w:val="21"/>
                    </w:rPr>
                    <w:t>名称</w:t>
                  </w:r>
                </w:p>
              </w:tc>
              <w:tc>
                <w:tcPr>
                  <w:tcW w:w="2061" w:type="dxa"/>
                  <w:vAlign w:val="center"/>
                </w:tcPr>
                <w:p>
                  <w:pPr>
                    <w:widowControl/>
                    <w:jc w:val="center"/>
                    <w:rPr>
                      <w:kern w:val="0"/>
                      <w:szCs w:val="21"/>
                    </w:rPr>
                  </w:pPr>
                  <w:r>
                    <w:rPr>
                      <w:kern w:val="0"/>
                      <w:szCs w:val="21"/>
                    </w:rPr>
                    <w:t>单位</w:t>
                  </w:r>
                </w:p>
              </w:tc>
              <w:tc>
                <w:tcPr>
                  <w:tcW w:w="2293" w:type="dxa"/>
                  <w:vAlign w:val="center"/>
                </w:tcPr>
                <w:p>
                  <w:pPr>
                    <w:widowControl/>
                    <w:jc w:val="center"/>
                    <w:rPr>
                      <w:kern w:val="0"/>
                      <w:szCs w:val="21"/>
                    </w:rPr>
                  </w:pPr>
                  <w:r>
                    <w:rPr>
                      <w:rFonts w:hint="eastAsia"/>
                      <w:kern w:val="0"/>
                      <w:szCs w:val="21"/>
                    </w:rPr>
                    <w:t>规模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113" w:type="dxa"/>
                  <w:vAlign w:val="center"/>
                </w:tcPr>
                <w:p>
                  <w:pPr>
                    <w:widowControl/>
                    <w:jc w:val="center"/>
                    <w:rPr>
                      <w:kern w:val="0"/>
                      <w:szCs w:val="21"/>
                    </w:rPr>
                  </w:pPr>
                  <w:r>
                    <w:rPr>
                      <w:kern w:val="0"/>
                      <w:szCs w:val="21"/>
                    </w:rPr>
                    <w:t>1</w:t>
                  </w:r>
                </w:p>
              </w:tc>
              <w:tc>
                <w:tcPr>
                  <w:tcW w:w="2620" w:type="dxa"/>
                  <w:vAlign w:val="center"/>
                </w:tcPr>
                <w:p>
                  <w:pPr>
                    <w:widowControl/>
                    <w:jc w:val="center"/>
                    <w:rPr>
                      <w:kern w:val="0"/>
                      <w:szCs w:val="21"/>
                    </w:rPr>
                  </w:pPr>
                  <w:r>
                    <w:rPr>
                      <w:rFonts w:hint="eastAsia"/>
                      <w:kern w:val="0"/>
                      <w:szCs w:val="21"/>
                    </w:rPr>
                    <w:t>蒸汽</w:t>
                  </w:r>
                </w:p>
              </w:tc>
              <w:tc>
                <w:tcPr>
                  <w:tcW w:w="2061" w:type="dxa"/>
                  <w:vAlign w:val="center"/>
                </w:tcPr>
                <w:p>
                  <w:pPr>
                    <w:jc w:val="center"/>
                    <w:rPr>
                      <w:szCs w:val="21"/>
                    </w:rPr>
                  </w:pPr>
                  <w:r>
                    <w:rPr>
                      <w:rFonts w:hint="eastAsia"/>
                      <w:szCs w:val="21"/>
                    </w:rPr>
                    <w:t>t/h</w:t>
                  </w:r>
                </w:p>
              </w:tc>
              <w:tc>
                <w:tcPr>
                  <w:tcW w:w="2293" w:type="dxa"/>
                  <w:vAlign w:val="center"/>
                </w:tcPr>
                <w:p>
                  <w:pPr>
                    <w:jc w:val="center"/>
                    <w:rPr>
                      <w:bCs/>
                      <w:szCs w:val="21"/>
                    </w:rPr>
                  </w:pPr>
                  <w:r>
                    <w:rPr>
                      <w:rFonts w:hint="eastAsia"/>
                      <w:bCs/>
                      <w:szCs w:val="21"/>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113" w:type="dxa"/>
                  <w:vAlign w:val="center"/>
                </w:tcPr>
                <w:p>
                  <w:pPr>
                    <w:widowControl/>
                    <w:jc w:val="center"/>
                    <w:rPr>
                      <w:kern w:val="0"/>
                      <w:szCs w:val="21"/>
                    </w:rPr>
                  </w:pPr>
                  <w:r>
                    <w:rPr>
                      <w:rFonts w:hint="eastAsia"/>
                      <w:kern w:val="0"/>
                      <w:szCs w:val="21"/>
                    </w:rPr>
                    <w:t>2</w:t>
                  </w:r>
                </w:p>
              </w:tc>
              <w:tc>
                <w:tcPr>
                  <w:tcW w:w="2620" w:type="dxa"/>
                  <w:vAlign w:val="center"/>
                </w:tcPr>
                <w:p>
                  <w:pPr>
                    <w:widowControl/>
                    <w:jc w:val="center"/>
                    <w:rPr>
                      <w:kern w:val="0"/>
                      <w:szCs w:val="21"/>
                    </w:rPr>
                  </w:pPr>
                  <w:r>
                    <w:rPr>
                      <w:rFonts w:hint="eastAsia"/>
                      <w:kern w:val="0"/>
                      <w:szCs w:val="21"/>
                    </w:rPr>
                    <w:t>污水处理站</w:t>
                  </w:r>
                </w:p>
              </w:tc>
              <w:tc>
                <w:tcPr>
                  <w:tcW w:w="2061" w:type="dxa"/>
                  <w:vAlign w:val="center"/>
                </w:tcPr>
                <w:p>
                  <w:pPr>
                    <w:jc w:val="center"/>
                    <w:rPr>
                      <w:szCs w:val="21"/>
                    </w:rPr>
                  </w:pPr>
                  <w:r>
                    <w:rPr>
                      <w:rFonts w:hint="eastAsia"/>
                      <w:szCs w:val="21"/>
                    </w:rPr>
                    <w:t>m</w:t>
                  </w:r>
                  <w:r>
                    <w:rPr>
                      <w:rFonts w:hint="eastAsia"/>
                      <w:szCs w:val="21"/>
                      <w:vertAlign w:val="superscript"/>
                    </w:rPr>
                    <w:t>3</w:t>
                  </w:r>
                  <w:r>
                    <w:rPr>
                      <w:rFonts w:hint="eastAsia"/>
                      <w:szCs w:val="21"/>
                    </w:rPr>
                    <w:t>/d</w:t>
                  </w:r>
                </w:p>
              </w:tc>
              <w:tc>
                <w:tcPr>
                  <w:tcW w:w="2293" w:type="dxa"/>
                  <w:vAlign w:val="center"/>
                </w:tcPr>
                <w:p>
                  <w:pPr>
                    <w:jc w:val="center"/>
                    <w:rPr>
                      <w:bCs/>
                      <w:szCs w:val="21"/>
                    </w:rPr>
                  </w:pPr>
                  <w:r>
                    <w:rPr>
                      <w:bCs/>
                      <w:szCs w:val="21"/>
                    </w:rPr>
                    <w:t>240</w:t>
                  </w:r>
                </w:p>
              </w:tc>
            </w:tr>
          </w:tbl>
          <w:p>
            <w:pPr>
              <w:adjustRightInd w:val="0"/>
              <w:snapToGrid w:val="0"/>
              <w:spacing w:line="460" w:lineRule="exact"/>
              <w:ind w:firstLine="482" w:firstLineChars="200"/>
              <w:rPr>
                <w:b/>
                <w:bCs/>
                <w:sz w:val="24"/>
              </w:rPr>
            </w:pPr>
            <w:r>
              <w:rPr>
                <w:b/>
                <w:bCs/>
                <w:sz w:val="24"/>
              </w:rPr>
              <w:t>3、原辅材料消耗</w:t>
            </w:r>
          </w:p>
          <w:p>
            <w:pPr>
              <w:adjustRightInd w:val="0"/>
              <w:snapToGrid w:val="0"/>
              <w:spacing w:line="460" w:lineRule="exact"/>
              <w:ind w:firstLine="480" w:firstLineChars="200"/>
              <w:rPr>
                <w:color w:val="FF0000"/>
                <w:sz w:val="24"/>
              </w:rPr>
            </w:pPr>
            <w:bookmarkStart w:id="6" w:name="_Hlk147828080"/>
            <w:r>
              <w:rPr>
                <w:color w:val="FF0000"/>
                <w:sz w:val="24"/>
                <w:lang w:val="zh-CN"/>
              </w:rPr>
              <w:t>项目主要原辅材料消耗情况见表</w:t>
            </w:r>
            <w:r>
              <w:rPr>
                <w:color w:val="FF0000"/>
                <w:sz w:val="24"/>
              </w:rPr>
              <w:t>2-3。</w:t>
            </w:r>
          </w:p>
          <w:p>
            <w:pPr>
              <w:pStyle w:val="119"/>
              <w:spacing w:line="240" w:lineRule="auto"/>
              <w:ind w:firstLine="420"/>
              <w:rPr>
                <w:rFonts w:hAnsi="Times New Roman" w:eastAsia="黑体"/>
                <w:b w:val="0"/>
                <w:bCs w:val="0"/>
                <w:color w:val="FF0000"/>
                <w:sz w:val="21"/>
                <w:szCs w:val="21"/>
              </w:rPr>
            </w:pPr>
            <w:bookmarkStart w:id="7" w:name="_Hlk123405382"/>
            <w:r>
              <w:rPr>
                <w:rFonts w:hAnsi="Times New Roman" w:eastAsia="黑体"/>
                <w:b w:val="0"/>
                <w:bCs w:val="0"/>
                <w:color w:val="FF0000"/>
                <w:sz w:val="21"/>
                <w:szCs w:val="21"/>
              </w:rPr>
              <w:t>表2-3                   项目主要原辅材料消耗一览表</w:t>
            </w:r>
          </w:p>
          <w:tbl>
            <w:tblPr>
              <w:tblStyle w:val="46"/>
              <w:tblW w:w="80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936"/>
              <w:gridCol w:w="1524"/>
              <w:gridCol w:w="1697"/>
              <w:gridCol w:w="21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826" w:type="dxa"/>
                  <w:vAlign w:val="center"/>
                </w:tcPr>
                <w:p>
                  <w:pPr>
                    <w:widowControl/>
                    <w:jc w:val="center"/>
                    <w:rPr>
                      <w:color w:val="FF0000"/>
                      <w:kern w:val="0"/>
                      <w:szCs w:val="21"/>
                    </w:rPr>
                  </w:pPr>
                  <w:r>
                    <w:rPr>
                      <w:color w:val="FF0000"/>
                      <w:kern w:val="0"/>
                      <w:szCs w:val="21"/>
                    </w:rPr>
                    <w:t>序号</w:t>
                  </w:r>
                </w:p>
              </w:tc>
              <w:tc>
                <w:tcPr>
                  <w:tcW w:w="1936" w:type="dxa"/>
                  <w:vAlign w:val="center"/>
                </w:tcPr>
                <w:p>
                  <w:pPr>
                    <w:widowControl/>
                    <w:jc w:val="center"/>
                    <w:rPr>
                      <w:color w:val="FF0000"/>
                      <w:kern w:val="0"/>
                      <w:szCs w:val="21"/>
                    </w:rPr>
                  </w:pPr>
                  <w:r>
                    <w:rPr>
                      <w:rFonts w:hint="eastAsia"/>
                      <w:color w:val="FF0000"/>
                      <w:kern w:val="0"/>
                      <w:szCs w:val="21"/>
                    </w:rPr>
                    <w:t>名称</w:t>
                  </w:r>
                </w:p>
              </w:tc>
              <w:tc>
                <w:tcPr>
                  <w:tcW w:w="1524" w:type="dxa"/>
                  <w:vAlign w:val="center"/>
                </w:tcPr>
                <w:p>
                  <w:pPr>
                    <w:widowControl/>
                    <w:jc w:val="center"/>
                    <w:rPr>
                      <w:color w:val="FF0000"/>
                      <w:kern w:val="0"/>
                      <w:szCs w:val="21"/>
                    </w:rPr>
                  </w:pPr>
                  <w:r>
                    <w:rPr>
                      <w:color w:val="FF0000"/>
                      <w:kern w:val="0"/>
                      <w:szCs w:val="21"/>
                    </w:rPr>
                    <w:t>单位</w:t>
                  </w:r>
                </w:p>
              </w:tc>
              <w:tc>
                <w:tcPr>
                  <w:tcW w:w="1697" w:type="dxa"/>
                  <w:vAlign w:val="center"/>
                </w:tcPr>
                <w:p>
                  <w:pPr>
                    <w:widowControl/>
                    <w:jc w:val="center"/>
                    <w:rPr>
                      <w:color w:val="FF0000"/>
                      <w:kern w:val="0"/>
                      <w:szCs w:val="21"/>
                    </w:rPr>
                  </w:pPr>
                  <w:r>
                    <w:rPr>
                      <w:color w:val="FF0000"/>
                      <w:kern w:val="0"/>
                      <w:szCs w:val="21"/>
                    </w:rPr>
                    <w:t>年耗量</w:t>
                  </w:r>
                </w:p>
              </w:tc>
              <w:tc>
                <w:tcPr>
                  <w:tcW w:w="2104" w:type="dxa"/>
                  <w:vAlign w:val="center"/>
                </w:tcPr>
                <w:p>
                  <w:pPr>
                    <w:widowControl/>
                    <w:jc w:val="center"/>
                    <w:rPr>
                      <w:color w:val="FF0000"/>
                      <w:kern w:val="0"/>
                      <w:szCs w:val="21"/>
                    </w:rPr>
                  </w:pPr>
                  <w:r>
                    <w:rPr>
                      <w:rFonts w:hint="eastAsia"/>
                      <w:color w:val="FF0000"/>
                      <w:kern w:val="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826" w:type="dxa"/>
                  <w:vAlign w:val="center"/>
                </w:tcPr>
                <w:p>
                  <w:pPr>
                    <w:widowControl/>
                    <w:jc w:val="center"/>
                    <w:rPr>
                      <w:color w:val="FF0000"/>
                      <w:kern w:val="0"/>
                      <w:szCs w:val="21"/>
                    </w:rPr>
                  </w:pPr>
                  <w:r>
                    <w:rPr>
                      <w:color w:val="FF0000"/>
                      <w:kern w:val="0"/>
                      <w:szCs w:val="21"/>
                    </w:rPr>
                    <w:t>1</w:t>
                  </w:r>
                </w:p>
              </w:tc>
              <w:tc>
                <w:tcPr>
                  <w:tcW w:w="1936" w:type="dxa"/>
                  <w:vAlign w:val="center"/>
                </w:tcPr>
                <w:p>
                  <w:pPr>
                    <w:widowControl/>
                    <w:jc w:val="center"/>
                    <w:rPr>
                      <w:color w:val="FF0000"/>
                      <w:kern w:val="0"/>
                      <w:szCs w:val="21"/>
                    </w:rPr>
                  </w:pPr>
                  <w:r>
                    <w:rPr>
                      <w:rFonts w:hint="eastAsia"/>
                      <w:color w:val="FF0000"/>
                      <w:kern w:val="0"/>
                      <w:szCs w:val="21"/>
                    </w:rPr>
                    <w:t>P</w:t>
                  </w:r>
                  <w:r>
                    <w:rPr>
                      <w:color w:val="FF0000"/>
                      <w:kern w:val="0"/>
                      <w:szCs w:val="21"/>
                    </w:rPr>
                    <w:t>AC</w:t>
                  </w:r>
                </w:p>
              </w:tc>
              <w:tc>
                <w:tcPr>
                  <w:tcW w:w="1524" w:type="dxa"/>
                  <w:vAlign w:val="center"/>
                </w:tcPr>
                <w:p>
                  <w:pPr>
                    <w:jc w:val="center"/>
                    <w:rPr>
                      <w:color w:val="FF0000"/>
                      <w:szCs w:val="21"/>
                    </w:rPr>
                  </w:pPr>
                  <w:r>
                    <w:rPr>
                      <w:rFonts w:hint="eastAsia"/>
                      <w:color w:val="FF0000"/>
                      <w:szCs w:val="21"/>
                    </w:rPr>
                    <w:t>t</w:t>
                  </w:r>
                  <w:r>
                    <w:rPr>
                      <w:color w:val="FF0000"/>
                      <w:szCs w:val="21"/>
                    </w:rPr>
                    <w:t>/</w:t>
                  </w:r>
                  <w:r>
                    <w:rPr>
                      <w:rFonts w:hint="eastAsia"/>
                      <w:color w:val="FF0000"/>
                      <w:szCs w:val="21"/>
                    </w:rPr>
                    <w:t>a</w:t>
                  </w:r>
                </w:p>
              </w:tc>
              <w:tc>
                <w:tcPr>
                  <w:tcW w:w="1697" w:type="dxa"/>
                  <w:vAlign w:val="center"/>
                </w:tcPr>
                <w:p>
                  <w:pPr>
                    <w:jc w:val="center"/>
                    <w:rPr>
                      <w:bCs/>
                      <w:color w:val="FF0000"/>
                      <w:szCs w:val="21"/>
                    </w:rPr>
                  </w:pPr>
                  <w:r>
                    <w:rPr>
                      <w:rFonts w:hint="eastAsia"/>
                      <w:bCs/>
                      <w:color w:val="FF0000"/>
                      <w:szCs w:val="21"/>
                    </w:rPr>
                    <w:t>6</w:t>
                  </w:r>
                </w:p>
              </w:tc>
              <w:tc>
                <w:tcPr>
                  <w:tcW w:w="2104" w:type="dxa"/>
                  <w:vMerge w:val="restart"/>
                  <w:vAlign w:val="center"/>
                </w:tcPr>
                <w:p>
                  <w:pPr>
                    <w:jc w:val="center"/>
                    <w:rPr>
                      <w:bCs/>
                      <w:color w:val="FF0000"/>
                      <w:szCs w:val="21"/>
                    </w:rPr>
                  </w:pPr>
                  <w:r>
                    <w:rPr>
                      <w:rFonts w:hint="eastAsia"/>
                      <w:bCs/>
                      <w:color w:val="FF0000"/>
                      <w:szCs w:val="21"/>
                    </w:rPr>
                    <w:t>市场外购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826" w:type="dxa"/>
                  <w:vAlign w:val="center"/>
                </w:tcPr>
                <w:p>
                  <w:pPr>
                    <w:widowControl/>
                    <w:jc w:val="center"/>
                    <w:rPr>
                      <w:color w:val="FF0000"/>
                      <w:kern w:val="0"/>
                      <w:szCs w:val="21"/>
                    </w:rPr>
                  </w:pPr>
                  <w:r>
                    <w:rPr>
                      <w:rFonts w:hint="eastAsia"/>
                      <w:color w:val="FF0000"/>
                      <w:kern w:val="0"/>
                      <w:szCs w:val="21"/>
                    </w:rPr>
                    <w:t>2</w:t>
                  </w:r>
                </w:p>
              </w:tc>
              <w:tc>
                <w:tcPr>
                  <w:tcW w:w="1936" w:type="dxa"/>
                  <w:vAlign w:val="center"/>
                </w:tcPr>
                <w:p>
                  <w:pPr>
                    <w:widowControl/>
                    <w:jc w:val="center"/>
                    <w:rPr>
                      <w:color w:val="FF0000"/>
                      <w:kern w:val="0"/>
                      <w:szCs w:val="21"/>
                    </w:rPr>
                  </w:pPr>
                  <w:r>
                    <w:rPr>
                      <w:rFonts w:hint="eastAsia"/>
                      <w:color w:val="FF0000"/>
                      <w:kern w:val="0"/>
                      <w:szCs w:val="21"/>
                    </w:rPr>
                    <w:t>P</w:t>
                  </w:r>
                  <w:r>
                    <w:rPr>
                      <w:color w:val="FF0000"/>
                      <w:kern w:val="0"/>
                      <w:szCs w:val="21"/>
                    </w:rPr>
                    <w:t>AM</w:t>
                  </w:r>
                </w:p>
              </w:tc>
              <w:tc>
                <w:tcPr>
                  <w:tcW w:w="1524" w:type="dxa"/>
                  <w:vAlign w:val="center"/>
                </w:tcPr>
                <w:p>
                  <w:pPr>
                    <w:jc w:val="center"/>
                    <w:rPr>
                      <w:color w:val="FF0000"/>
                      <w:szCs w:val="21"/>
                    </w:rPr>
                  </w:pPr>
                  <w:r>
                    <w:rPr>
                      <w:rFonts w:hint="eastAsia"/>
                      <w:color w:val="FF0000"/>
                      <w:szCs w:val="21"/>
                    </w:rPr>
                    <w:t>t</w:t>
                  </w:r>
                  <w:r>
                    <w:rPr>
                      <w:color w:val="FF0000"/>
                      <w:szCs w:val="21"/>
                    </w:rPr>
                    <w:t>/</w:t>
                  </w:r>
                  <w:r>
                    <w:rPr>
                      <w:rFonts w:hint="eastAsia"/>
                      <w:color w:val="FF0000"/>
                      <w:szCs w:val="21"/>
                    </w:rPr>
                    <w:t>a</w:t>
                  </w:r>
                </w:p>
              </w:tc>
              <w:tc>
                <w:tcPr>
                  <w:tcW w:w="1697" w:type="dxa"/>
                  <w:vAlign w:val="center"/>
                </w:tcPr>
                <w:p>
                  <w:pPr>
                    <w:jc w:val="center"/>
                    <w:rPr>
                      <w:bCs/>
                      <w:color w:val="FF0000"/>
                      <w:szCs w:val="21"/>
                    </w:rPr>
                  </w:pPr>
                  <w:r>
                    <w:rPr>
                      <w:rFonts w:hint="eastAsia"/>
                      <w:bCs/>
                      <w:color w:val="FF0000"/>
                      <w:szCs w:val="21"/>
                    </w:rPr>
                    <w:t>6</w:t>
                  </w:r>
                </w:p>
              </w:tc>
              <w:tc>
                <w:tcPr>
                  <w:tcW w:w="2104" w:type="dxa"/>
                  <w:vMerge w:val="continue"/>
                  <w:vAlign w:val="center"/>
                </w:tcPr>
                <w:p>
                  <w:pPr>
                    <w:jc w:val="center"/>
                    <w:rPr>
                      <w:bCs/>
                      <w:color w:val="FF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826" w:type="dxa"/>
                  <w:vAlign w:val="center"/>
                </w:tcPr>
                <w:p>
                  <w:pPr>
                    <w:widowControl/>
                    <w:jc w:val="center"/>
                    <w:rPr>
                      <w:color w:val="FF0000"/>
                      <w:kern w:val="0"/>
                      <w:szCs w:val="21"/>
                    </w:rPr>
                  </w:pPr>
                  <w:r>
                    <w:rPr>
                      <w:rFonts w:hint="eastAsia"/>
                      <w:color w:val="FF0000"/>
                      <w:kern w:val="0"/>
                      <w:szCs w:val="21"/>
                    </w:rPr>
                    <w:t>3</w:t>
                  </w:r>
                </w:p>
              </w:tc>
              <w:tc>
                <w:tcPr>
                  <w:tcW w:w="1936" w:type="dxa"/>
                  <w:vAlign w:val="center"/>
                </w:tcPr>
                <w:p>
                  <w:pPr>
                    <w:widowControl/>
                    <w:jc w:val="center"/>
                    <w:rPr>
                      <w:color w:val="FF0000"/>
                      <w:kern w:val="0"/>
                      <w:szCs w:val="21"/>
                    </w:rPr>
                  </w:pPr>
                  <w:r>
                    <w:rPr>
                      <w:rFonts w:hint="eastAsia"/>
                      <w:color w:val="FF0000"/>
                      <w:kern w:val="0"/>
                      <w:szCs w:val="21"/>
                    </w:rPr>
                    <w:t>天然气</w:t>
                  </w:r>
                </w:p>
              </w:tc>
              <w:tc>
                <w:tcPr>
                  <w:tcW w:w="1524" w:type="dxa"/>
                  <w:vAlign w:val="center"/>
                </w:tcPr>
                <w:p>
                  <w:pPr>
                    <w:jc w:val="center"/>
                    <w:rPr>
                      <w:color w:val="FF0000"/>
                      <w:szCs w:val="21"/>
                    </w:rPr>
                  </w:pPr>
                  <w:r>
                    <w:rPr>
                      <w:rFonts w:hint="eastAsia"/>
                      <w:color w:val="FF0000"/>
                      <w:szCs w:val="21"/>
                    </w:rPr>
                    <w:t>万m</w:t>
                  </w:r>
                  <w:r>
                    <w:rPr>
                      <w:rFonts w:hint="eastAsia"/>
                      <w:color w:val="FF0000"/>
                      <w:szCs w:val="21"/>
                      <w:vertAlign w:val="superscript"/>
                    </w:rPr>
                    <w:t>3/</w:t>
                  </w:r>
                  <w:r>
                    <w:rPr>
                      <w:rFonts w:hint="eastAsia"/>
                      <w:color w:val="FF0000"/>
                      <w:szCs w:val="21"/>
                    </w:rPr>
                    <w:t>a</w:t>
                  </w:r>
                </w:p>
              </w:tc>
              <w:tc>
                <w:tcPr>
                  <w:tcW w:w="1697" w:type="dxa"/>
                  <w:vAlign w:val="center"/>
                </w:tcPr>
                <w:p>
                  <w:pPr>
                    <w:jc w:val="center"/>
                    <w:rPr>
                      <w:bCs/>
                      <w:color w:val="FF0000"/>
                      <w:szCs w:val="21"/>
                    </w:rPr>
                  </w:pPr>
                  <w:r>
                    <w:rPr>
                      <w:bCs/>
                      <w:color w:val="FF0000"/>
                      <w:szCs w:val="21"/>
                    </w:rPr>
                    <w:t>100.8</w:t>
                  </w:r>
                </w:p>
              </w:tc>
              <w:tc>
                <w:tcPr>
                  <w:tcW w:w="2104" w:type="dxa"/>
                  <w:vAlign w:val="center"/>
                </w:tcPr>
                <w:p>
                  <w:pPr>
                    <w:jc w:val="center"/>
                    <w:rPr>
                      <w:bCs/>
                      <w:color w:val="FF0000"/>
                      <w:szCs w:val="21"/>
                    </w:rPr>
                  </w:pPr>
                  <w:r>
                    <w:rPr>
                      <w:rFonts w:hint="eastAsia"/>
                      <w:bCs/>
                      <w:color w:val="FF0000"/>
                      <w:szCs w:val="21"/>
                    </w:rPr>
                    <w:t>天然气管网供给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826" w:type="dxa"/>
                  <w:vAlign w:val="center"/>
                </w:tcPr>
                <w:p>
                  <w:pPr>
                    <w:widowControl/>
                    <w:jc w:val="center"/>
                    <w:rPr>
                      <w:color w:val="FF0000"/>
                      <w:kern w:val="0"/>
                      <w:szCs w:val="21"/>
                    </w:rPr>
                  </w:pPr>
                  <w:r>
                    <w:rPr>
                      <w:color w:val="FF0000"/>
                      <w:kern w:val="0"/>
                      <w:szCs w:val="21"/>
                    </w:rPr>
                    <w:t>4</w:t>
                  </w:r>
                </w:p>
              </w:tc>
              <w:tc>
                <w:tcPr>
                  <w:tcW w:w="1936" w:type="dxa"/>
                  <w:vAlign w:val="center"/>
                </w:tcPr>
                <w:p>
                  <w:pPr>
                    <w:widowControl/>
                    <w:jc w:val="center"/>
                    <w:rPr>
                      <w:color w:val="FF0000"/>
                      <w:kern w:val="0"/>
                      <w:szCs w:val="21"/>
                    </w:rPr>
                  </w:pPr>
                  <w:r>
                    <w:rPr>
                      <w:rFonts w:hint="eastAsia"/>
                      <w:color w:val="FF0000"/>
                      <w:kern w:val="0"/>
                      <w:szCs w:val="21"/>
                    </w:rPr>
                    <w:t>水</w:t>
                  </w:r>
                </w:p>
              </w:tc>
              <w:tc>
                <w:tcPr>
                  <w:tcW w:w="1524" w:type="dxa"/>
                  <w:vAlign w:val="center"/>
                </w:tcPr>
                <w:p>
                  <w:pPr>
                    <w:jc w:val="center"/>
                    <w:rPr>
                      <w:color w:val="FF0000"/>
                      <w:szCs w:val="21"/>
                    </w:rPr>
                  </w:pPr>
                  <w:r>
                    <w:rPr>
                      <w:rFonts w:hint="eastAsia"/>
                      <w:color w:val="FF0000"/>
                      <w:szCs w:val="21"/>
                    </w:rPr>
                    <w:t>m</w:t>
                  </w:r>
                  <w:r>
                    <w:rPr>
                      <w:rFonts w:hint="eastAsia"/>
                      <w:color w:val="FF0000"/>
                      <w:szCs w:val="21"/>
                      <w:vertAlign w:val="superscript"/>
                    </w:rPr>
                    <w:t>3/</w:t>
                  </w:r>
                  <w:r>
                    <w:rPr>
                      <w:rFonts w:hint="eastAsia"/>
                      <w:color w:val="FF0000"/>
                      <w:szCs w:val="21"/>
                    </w:rPr>
                    <w:t>a</w:t>
                  </w:r>
                </w:p>
              </w:tc>
              <w:tc>
                <w:tcPr>
                  <w:tcW w:w="1697" w:type="dxa"/>
                  <w:vAlign w:val="center"/>
                </w:tcPr>
                <w:p>
                  <w:pPr>
                    <w:jc w:val="center"/>
                    <w:rPr>
                      <w:bCs/>
                      <w:color w:val="FF0000"/>
                      <w:szCs w:val="21"/>
                    </w:rPr>
                  </w:pPr>
                  <w:r>
                    <w:rPr>
                      <w:rFonts w:hint="eastAsia"/>
                      <w:bCs/>
                      <w:color w:val="FF0000"/>
                      <w:szCs w:val="21"/>
                    </w:rPr>
                    <w:t>1</w:t>
                  </w:r>
                  <w:r>
                    <w:rPr>
                      <w:bCs/>
                      <w:color w:val="FF0000"/>
                      <w:szCs w:val="21"/>
                    </w:rPr>
                    <w:t>3440</w:t>
                  </w:r>
                </w:p>
              </w:tc>
              <w:tc>
                <w:tcPr>
                  <w:tcW w:w="2104" w:type="dxa"/>
                  <w:vAlign w:val="center"/>
                </w:tcPr>
                <w:p>
                  <w:pPr>
                    <w:jc w:val="center"/>
                    <w:rPr>
                      <w:bCs/>
                      <w:color w:val="FF0000"/>
                      <w:szCs w:val="21"/>
                    </w:rPr>
                  </w:pPr>
                  <w:r>
                    <w:rPr>
                      <w:rFonts w:hint="eastAsia"/>
                      <w:bCs/>
                      <w:color w:val="FF0000"/>
                      <w:szCs w:val="21"/>
                    </w:rPr>
                    <w:t>厂区自备水井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8087" w:type="dxa"/>
                  <w:gridSpan w:val="5"/>
                  <w:vAlign w:val="center"/>
                </w:tcPr>
                <w:p>
                  <w:pPr>
                    <w:rPr>
                      <w:bCs/>
                      <w:color w:val="FF0000"/>
                      <w:szCs w:val="21"/>
                    </w:rPr>
                  </w:pPr>
                  <w:r>
                    <w:rPr>
                      <w:rFonts w:hint="eastAsia"/>
                      <w:bCs/>
                      <w:color w:val="FF0000"/>
                      <w:szCs w:val="21"/>
                    </w:rPr>
                    <w:t>P</w:t>
                  </w:r>
                  <w:r>
                    <w:rPr>
                      <w:bCs/>
                      <w:color w:val="FF0000"/>
                      <w:szCs w:val="21"/>
                    </w:rPr>
                    <w:t>AC</w:t>
                  </w:r>
                  <w:r>
                    <w:rPr>
                      <w:rFonts w:hint="eastAsia"/>
                      <w:bCs/>
                      <w:color w:val="FF0000"/>
                      <w:szCs w:val="21"/>
                    </w:rPr>
                    <w:t>：即聚合氯化铝，黄色固体，一种新兴净水材料，无机高分子混凝剂，是介于AlCI</w:t>
                  </w:r>
                  <w:r>
                    <w:rPr>
                      <w:rFonts w:hint="eastAsia"/>
                      <w:bCs/>
                      <w:color w:val="FF0000"/>
                      <w:szCs w:val="21"/>
                      <w:vertAlign w:val="subscript"/>
                    </w:rPr>
                    <w:t>3</w:t>
                  </w:r>
                  <w:r>
                    <w:rPr>
                      <w:rFonts w:hint="eastAsia"/>
                      <w:bCs/>
                      <w:color w:val="FF0000"/>
                      <w:szCs w:val="21"/>
                    </w:rPr>
                    <w:t xml:space="preserve"> 和Al(OH)</w:t>
                  </w:r>
                  <w:r>
                    <w:rPr>
                      <w:rFonts w:hint="eastAsia"/>
                      <w:bCs/>
                      <w:color w:val="FF0000"/>
                      <w:szCs w:val="21"/>
                      <w:vertAlign w:val="subscript"/>
                    </w:rPr>
                    <w:t>3</w:t>
                  </w:r>
                  <w:r>
                    <w:rPr>
                      <w:rFonts w:hint="eastAsia"/>
                      <w:bCs/>
                      <w:color w:val="FF0000"/>
                      <w:szCs w:val="21"/>
                    </w:rPr>
                    <w:t>，之间的一种水溶性无机高分子聚合物，化学通式为Al</w:t>
                  </w:r>
                  <w:r>
                    <w:rPr>
                      <w:rFonts w:hint="eastAsia"/>
                      <w:bCs/>
                      <w:color w:val="FF0000"/>
                      <w:szCs w:val="21"/>
                      <w:vertAlign w:val="subscript"/>
                    </w:rPr>
                    <w:t>2</w:t>
                  </w:r>
                  <w:r>
                    <w:rPr>
                      <w:rFonts w:hint="eastAsia"/>
                      <w:bCs/>
                      <w:color w:val="FF0000"/>
                      <w:szCs w:val="21"/>
                    </w:rPr>
                    <w:t>Cln（OH)</w:t>
                  </w:r>
                  <w:r>
                    <w:rPr>
                      <w:rFonts w:hint="eastAsia"/>
                      <w:bCs/>
                      <w:color w:val="FF0000"/>
                      <w:szCs w:val="21"/>
                      <w:vertAlign w:val="subscript"/>
                    </w:rPr>
                    <w:t>6</w:t>
                  </w:r>
                  <w:r>
                    <w:rPr>
                      <w:rFonts w:hint="eastAsia"/>
                      <w:bCs/>
                      <w:color w:val="FF0000"/>
                      <w:szCs w:val="21"/>
                    </w:rPr>
                    <w:t>-n，易溶于水，熔点190℃(253kPa)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8087" w:type="dxa"/>
                  <w:gridSpan w:val="5"/>
                  <w:tcBorders>
                    <w:bottom w:val="single" w:color="auto" w:sz="12" w:space="0"/>
                  </w:tcBorders>
                  <w:vAlign w:val="center"/>
                </w:tcPr>
                <w:p>
                  <w:pPr>
                    <w:rPr>
                      <w:bCs/>
                      <w:color w:val="FF0000"/>
                      <w:szCs w:val="21"/>
                    </w:rPr>
                  </w:pPr>
                  <w:r>
                    <w:rPr>
                      <w:rFonts w:hint="eastAsia"/>
                      <w:bCs/>
                      <w:color w:val="FF0000"/>
                      <w:szCs w:val="21"/>
                    </w:rPr>
                    <w:t>P</w:t>
                  </w:r>
                  <w:r>
                    <w:rPr>
                      <w:bCs/>
                      <w:color w:val="FF0000"/>
                      <w:szCs w:val="21"/>
                    </w:rPr>
                    <w:t>AM</w:t>
                  </w:r>
                  <w:r>
                    <w:rPr>
                      <w:rFonts w:hint="eastAsia"/>
                      <w:bCs/>
                      <w:color w:val="FF0000"/>
                      <w:szCs w:val="21"/>
                    </w:rPr>
                    <w:t>：聚丙烯酰胺，是一种线型高分子聚合物，是水溶性高分子化合物中应用最为广泛的品种之一</w:t>
                  </w:r>
                </w:p>
              </w:tc>
            </w:tr>
            <w:bookmarkEnd w:id="5"/>
            <w:bookmarkEnd w:id="6"/>
            <w:bookmarkEnd w:id="7"/>
          </w:tbl>
          <w:p>
            <w:pPr>
              <w:adjustRightInd w:val="0"/>
              <w:snapToGrid w:val="0"/>
              <w:spacing w:line="480" w:lineRule="exact"/>
              <w:ind w:firstLine="482" w:firstLineChars="200"/>
              <w:rPr>
                <w:b/>
                <w:bCs/>
                <w:sz w:val="24"/>
              </w:rPr>
            </w:pPr>
            <w:r>
              <w:rPr>
                <w:b/>
                <w:bCs/>
                <w:sz w:val="24"/>
              </w:rPr>
              <w:t>4、</w:t>
            </w:r>
            <w:bookmarkStart w:id="8" w:name="_Hlk142388823"/>
            <w:r>
              <w:rPr>
                <w:b/>
                <w:bCs/>
                <w:sz w:val="24"/>
              </w:rPr>
              <w:t>主要生产设备</w:t>
            </w:r>
          </w:p>
          <w:p>
            <w:pPr>
              <w:adjustRightInd w:val="0"/>
              <w:snapToGrid w:val="0"/>
              <w:spacing w:line="480" w:lineRule="exact"/>
              <w:ind w:firstLine="480" w:firstLineChars="200"/>
              <w:rPr>
                <w:bCs/>
                <w:color w:val="FF0000"/>
                <w:sz w:val="24"/>
              </w:rPr>
            </w:pPr>
            <w:r>
              <w:rPr>
                <w:bCs/>
                <w:color w:val="FF0000"/>
                <w:sz w:val="24"/>
              </w:rPr>
              <w:t>本项目主要生产设备详见表2-4。</w:t>
            </w:r>
          </w:p>
          <w:p>
            <w:pPr>
              <w:pStyle w:val="119"/>
              <w:spacing w:line="240" w:lineRule="auto"/>
              <w:ind w:firstLine="420"/>
              <w:rPr>
                <w:rFonts w:hAnsi="Times New Roman" w:eastAsia="黑体"/>
                <w:b w:val="0"/>
                <w:bCs w:val="0"/>
                <w:color w:val="FF0000"/>
                <w:sz w:val="21"/>
                <w:szCs w:val="21"/>
              </w:rPr>
            </w:pPr>
            <w:r>
              <w:rPr>
                <w:rFonts w:hAnsi="Times New Roman" w:eastAsia="黑体"/>
                <w:b w:val="0"/>
                <w:bCs w:val="0"/>
                <w:color w:val="FF0000"/>
                <w:sz w:val="21"/>
                <w:szCs w:val="21"/>
              </w:rPr>
              <w:t>表2-4                       主要生产设备一览表</w:t>
            </w:r>
          </w:p>
          <w:tbl>
            <w:tblPr>
              <w:tblStyle w:val="46"/>
              <w:tblW w:w="808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139"/>
              <w:gridCol w:w="1612"/>
              <w:gridCol w:w="2346"/>
              <w:gridCol w:w="1209"/>
              <w:gridCol w:w="11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shd w:val="clear" w:color="auto" w:fill="auto"/>
                  <w:vAlign w:val="center"/>
                </w:tcPr>
                <w:p>
                  <w:pPr>
                    <w:pStyle w:val="81"/>
                    <w:rPr>
                      <w:color w:val="FF0000"/>
                    </w:rPr>
                  </w:pPr>
                  <w:bookmarkStart w:id="9" w:name="_Hlk71960500"/>
                  <w:r>
                    <w:rPr>
                      <w:color w:val="FF0000"/>
                    </w:rPr>
                    <w:t>序号</w:t>
                  </w:r>
                </w:p>
              </w:tc>
              <w:tc>
                <w:tcPr>
                  <w:tcW w:w="2751" w:type="dxa"/>
                  <w:gridSpan w:val="2"/>
                  <w:shd w:val="clear" w:color="auto" w:fill="auto"/>
                  <w:vAlign w:val="center"/>
                </w:tcPr>
                <w:p>
                  <w:pPr>
                    <w:pStyle w:val="81"/>
                    <w:rPr>
                      <w:color w:val="FF0000"/>
                    </w:rPr>
                  </w:pPr>
                  <w:r>
                    <w:rPr>
                      <w:color w:val="FF0000"/>
                    </w:rPr>
                    <w:t>名称</w:t>
                  </w:r>
                </w:p>
              </w:tc>
              <w:tc>
                <w:tcPr>
                  <w:tcW w:w="2346" w:type="dxa"/>
                  <w:vAlign w:val="center"/>
                </w:tcPr>
                <w:p>
                  <w:pPr>
                    <w:pStyle w:val="81"/>
                    <w:rPr>
                      <w:color w:val="FF0000"/>
                    </w:rPr>
                  </w:pPr>
                  <w:r>
                    <w:rPr>
                      <w:rFonts w:hint="eastAsia"/>
                      <w:color w:val="FF0000"/>
                    </w:rPr>
                    <w:t>规格型号</w:t>
                  </w:r>
                </w:p>
              </w:tc>
              <w:tc>
                <w:tcPr>
                  <w:tcW w:w="1209" w:type="dxa"/>
                  <w:shd w:val="clear" w:color="auto" w:fill="auto"/>
                  <w:vAlign w:val="center"/>
                </w:tcPr>
                <w:p>
                  <w:pPr>
                    <w:pStyle w:val="81"/>
                    <w:rPr>
                      <w:color w:val="FF0000"/>
                    </w:rPr>
                  </w:pPr>
                  <w:r>
                    <w:rPr>
                      <w:color w:val="FF0000"/>
                    </w:rPr>
                    <w:t>单位</w:t>
                  </w:r>
                </w:p>
              </w:tc>
              <w:tc>
                <w:tcPr>
                  <w:tcW w:w="1143" w:type="dxa"/>
                  <w:shd w:val="clear" w:color="auto" w:fill="auto"/>
                  <w:vAlign w:val="center"/>
                </w:tcPr>
                <w:p>
                  <w:pPr>
                    <w:pStyle w:val="81"/>
                    <w:rPr>
                      <w:color w:val="FF0000"/>
                    </w:rPr>
                  </w:pPr>
                  <w:r>
                    <w:rPr>
                      <w:color w:val="FF0000"/>
                    </w:rPr>
                    <w:t>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color w:val="FF0000"/>
                    </w:rPr>
                    <w:t>1</w:t>
                  </w:r>
                </w:p>
              </w:tc>
              <w:tc>
                <w:tcPr>
                  <w:tcW w:w="2751" w:type="dxa"/>
                  <w:gridSpan w:val="2"/>
                  <w:vAlign w:val="center"/>
                </w:tcPr>
                <w:p>
                  <w:pPr>
                    <w:pStyle w:val="81"/>
                    <w:rPr>
                      <w:color w:val="FF0000"/>
                    </w:rPr>
                  </w:pPr>
                  <w:r>
                    <w:rPr>
                      <w:rFonts w:hint="eastAsia"/>
                      <w:color w:val="FF0000"/>
                    </w:rPr>
                    <w:t>4t/h蒸汽锅炉</w:t>
                  </w:r>
                </w:p>
              </w:tc>
              <w:tc>
                <w:tcPr>
                  <w:tcW w:w="2346" w:type="dxa"/>
                  <w:vAlign w:val="center"/>
                </w:tcPr>
                <w:p>
                  <w:pPr>
                    <w:pStyle w:val="81"/>
                    <w:rPr>
                      <w:color w:val="FF0000"/>
                    </w:rPr>
                  </w:pPr>
                  <w:r>
                    <w:rPr>
                      <w:rFonts w:hint="eastAsia"/>
                      <w:color w:val="FF0000"/>
                    </w:rPr>
                    <w:t>W</w:t>
                  </w:r>
                  <w:r>
                    <w:rPr>
                      <w:color w:val="FF0000"/>
                    </w:rPr>
                    <w:t>NSL4-1.25-YQ</w:t>
                  </w:r>
                  <w:r>
                    <w:rPr>
                      <w:rFonts w:hint="eastAsia"/>
                      <w:color w:val="FF0000"/>
                    </w:rPr>
                    <w:t>（L）</w:t>
                  </w:r>
                </w:p>
              </w:tc>
              <w:tc>
                <w:tcPr>
                  <w:tcW w:w="1209" w:type="dxa"/>
                  <w:vAlign w:val="center"/>
                </w:tcPr>
                <w:p>
                  <w:pPr>
                    <w:pStyle w:val="81"/>
                    <w:rPr>
                      <w:color w:val="FF0000"/>
                    </w:rPr>
                  </w:pPr>
                  <w:r>
                    <w:rPr>
                      <w:color w:val="FF0000"/>
                    </w:rPr>
                    <w:t>台</w:t>
                  </w:r>
                </w:p>
              </w:tc>
              <w:tc>
                <w:tcPr>
                  <w:tcW w:w="1143" w:type="dxa"/>
                  <w:vAlign w:val="center"/>
                </w:tcPr>
                <w:p>
                  <w:pPr>
                    <w:pStyle w:val="81"/>
                    <w:rPr>
                      <w:color w:val="FF0000"/>
                    </w:rPr>
                  </w:pPr>
                  <w:r>
                    <w:rPr>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color w:val="FF0000"/>
                    </w:rPr>
                    <w:t>2</w:t>
                  </w:r>
                </w:p>
              </w:tc>
              <w:tc>
                <w:tcPr>
                  <w:tcW w:w="2751" w:type="dxa"/>
                  <w:gridSpan w:val="2"/>
                  <w:vAlign w:val="center"/>
                </w:tcPr>
                <w:p>
                  <w:pPr>
                    <w:pStyle w:val="81"/>
                    <w:rPr>
                      <w:color w:val="FF0000"/>
                    </w:rPr>
                  </w:pPr>
                  <w:r>
                    <w:rPr>
                      <w:rFonts w:hint="eastAsia"/>
                      <w:color w:val="FF0000"/>
                    </w:rPr>
                    <w:t>2t/h蒸汽锅炉</w:t>
                  </w:r>
                </w:p>
              </w:tc>
              <w:tc>
                <w:tcPr>
                  <w:tcW w:w="2346" w:type="dxa"/>
                  <w:vAlign w:val="center"/>
                </w:tcPr>
                <w:p>
                  <w:pPr>
                    <w:pStyle w:val="81"/>
                    <w:rPr>
                      <w:color w:val="FF0000"/>
                    </w:rPr>
                  </w:pPr>
                  <w:r>
                    <w:rPr>
                      <w:rFonts w:hint="eastAsia"/>
                      <w:color w:val="FF0000"/>
                    </w:rPr>
                    <w:t>W</w:t>
                  </w:r>
                  <w:r>
                    <w:rPr>
                      <w:color w:val="FF0000"/>
                    </w:rPr>
                    <w:t>NSL2-1.25-YQ</w:t>
                  </w:r>
                  <w:r>
                    <w:rPr>
                      <w:rFonts w:hint="eastAsia"/>
                      <w:color w:val="FF0000"/>
                    </w:rPr>
                    <w:t>（L）</w:t>
                  </w:r>
                </w:p>
              </w:tc>
              <w:tc>
                <w:tcPr>
                  <w:tcW w:w="1209" w:type="dxa"/>
                  <w:vAlign w:val="center"/>
                </w:tcPr>
                <w:p>
                  <w:pPr>
                    <w:pStyle w:val="81"/>
                    <w:rPr>
                      <w:color w:val="FF0000"/>
                    </w:rPr>
                  </w:pPr>
                  <w:r>
                    <w:rPr>
                      <w:rFonts w:hint="eastAsia"/>
                      <w:color w:val="FF0000"/>
                    </w:rPr>
                    <w:t>台</w:t>
                  </w:r>
                </w:p>
              </w:tc>
              <w:tc>
                <w:tcPr>
                  <w:tcW w:w="1143" w:type="dxa"/>
                  <w:vAlign w:val="center"/>
                </w:tcPr>
                <w:p>
                  <w:pPr>
                    <w:pStyle w:val="81"/>
                    <w:rPr>
                      <w:color w:val="FF0000"/>
                    </w:rPr>
                  </w:pPr>
                  <w:r>
                    <w:rPr>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color w:val="FF0000"/>
                    </w:rPr>
                    <w:t>3</w:t>
                  </w:r>
                </w:p>
              </w:tc>
              <w:tc>
                <w:tcPr>
                  <w:tcW w:w="2751" w:type="dxa"/>
                  <w:gridSpan w:val="2"/>
                  <w:vAlign w:val="center"/>
                </w:tcPr>
                <w:p>
                  <w:pPr>
                    <w:pStyle w:val="81"/>
                    <w:rPr>
                      <w:color w:val="FF0000"/>
                    </w:rPr>
                  </w:pPr>
                  <w:r>
                    <w:rPr>
                      <w:rFonts w:hint="eastAsia"/>
                      <w:color w:val="FF0000"/>
                    </w:rPr>
                    <w:t>软水制备设备（1</w:t>
                  </w:r>
                  <w:r>
                    <w:rPr>
                      <w:color w:val="FF0000"/>
                    </w:rPr>
                    <w:t>0</w:t>
                  </w:r>
                  <w:r>
                    <w:rPr>
                      <w:rFonts w:hint="eastAsia"/>
                      <w:color w:val="FF0000"/>
                    </w:rPr>
                    <w:t>t/h）</w:t>
                  </w:r>
                </w:p>
              </w:tc>
              <w:tc>
                <w:tcPr>
                  <w:tcW w:w="2346" w:type="dxa"/>
                  <w:vAlign w:val="center"/>
                </w:tcPr>
                <w:p>
                  <w:pPr>
                    <w:pStyle w:val="81"/>
                    <w:rPr>
                      <w:color w:val="FF0000"/>
                    </w:rPr>
                  </w:pPr>
                  <w:r>
                    <w:rPr>
                      <w:rFonts w:hint="eastAsia"/>
                      <w:color w:val="FF0000"/>
                    </w:rPr>
                    <w:t>/</w:t>
                  </w:r>
                </w:p>
              </w:tc>
              <w:tc>
                <w:tcPr>
                  <w:tcW w:w="1209" w:type="dxa"/>
                  <w:vAlign w:val="center"/>
                </w:tcPr>
                <w:p>
                  <w:pPr>
                    <w:pStyle w:val="81"/>
                    <w:rPr>
                      <w:color w:val="FF0000"/>
                    </w:rPr>
                  </w:pPr>
                  <w:r>
                    <w:rPr>
                      <w:color w:val="FF0000"/>
                    </w:rPr>
                    <w:t>套</w:t>
                  </w:r>
                </w:p>
              </w:tc>
              <w:tc>
                <w:tcPr>
                  <w:tcW w:w="1143" w:type="dxa"/>
                  <w:vAlign w:val="center"/>
                </w:tcPr>
                <w:p>
                  <w:pPr>
                    <w:pStyle w:val="81"/>
                    <w:rPr>
                      <w:color w:val="FF0000"/>
                    </w:rPr>
                  </w:pPr>
                  <w:r>
                    <w:rPr>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4</w:t>
                  </w:r>
                </w:p>
              </w:tc>
              <w:tc>
                <w:tcPr>
                  <w:tcW w:w="1139" w:type="dxa"/>
                  <w:vMerge w:val="restart"/>
                  <w:vAlign w:val="center"/>
                </w:tcPr>
                <w:p>
                  <w:pPr>
                    <w:pStyle w:val="81"/>
                    <w:rPr>
                      <w:color w:val="FF0000"/>
                    </w:rPr>
                  </w:pPr>
                  <w:r>
                    <w:rPr>
                      <w:rFonts w:hint="eastAsia"/>
                      <w:color w:val="FF0000"/>
                    </w:rPr>
                    <w:t>调节池设施</w:t>
                  </w:r>
                </w:p>
              </w:tc>
              <w:tc>
                <w:tcPr>
                  <w:tcW w:w="1612" w:type="dxa"/>
                  <w:vAlign w:val="center"/>
                </w:tcPr>
                <w:p>
                  <w:pPr>
                    <w:pStyle w:val="81"/>
                    <w:rPr>
                      <w:color w:val="FF0000"/>
                    </w:rPr>
                  </w:pPr>
                  <w:r>
                    <w:rPr>
                      <w:rFonts w:hint="eastAsia"/>
                      <w:color w:val="FF0000"/>
                    </w:rPr>
                    <w:t>污水提升泵</w:t>
                  </w:r>
                </w:p>
              </w:tc>
              <w:tc>
                <w:tcPr>
                  <w:tcW w:w="2346" w:type="dxa"/>
                  <w:vAlign w:val="center"/>
                </w:tcPr>
                <w:p>
                  <w:pPr>
                    <w:pStyle w:val="81"/>
                    <w:rPr>
                      <w:color w:val="FF0000"/>
                    </w:rPr>
                  </w:pPr>
                  <w:r>
                    <w:rPr>
                      <w:rFonts w:hint="eastAsia"/>
                      <w:color w:val="FF0000"/>
                    </w:rPr>
                    <w:t>Q：</w:t>
                  </w:r>
                  <w:r>
                    <w:rPr>
                      <w:color w:val="FF0000"/>
                    </w:rPr>
                    <w:t>10</w:t>
                  </w:r>
                  <w:r>
                    <w:rPr>
                      <w:rFonts w:hint="eastAsia"/>
                      <w:color w:val="FF0000"/>
                    </w:rPr>
                    <w:t>m</w:t>
                  </w:r>
                  <w:r>
                    <w:rPr>
                      <w:rFonts w:hint="eastAsia"/>
                      <w:color w:val="FF0000"/>
                      <w:vertAlign w:val="superscript"/>
                    </w:rPr>
                    <w:t>3</w:t>
                  </w:r>
                  <w:r>
                    <w:rPr>
                      <w:rFonts w:hint="eastAsia"/>
                      <w:color w:val="FF0000"/>
                    </w:rPr>
                    <w:t>/h，H：1</w:t>
                  </w:r>
                  <w:r>
                    <w:rPr>
                      <w:color w:val="FF0000"/>
                    </w:rPr>
                    <w:t>5</w:t>
                  </w:r>
                  <w:r>
                    <w:rPr>
                      <w:rFonts w:hint="eastAsia"/>
                      <w:color w:val="FF0000"/>
                    </w:rPr>
                    <w:t>m，N：1</w:t>
                  </w:r>
                  <w:r>
                    <w:rPr>
                      <w:color w:val="FF0000"/>
                    </w:rPr>
                    <w:t>.5</w:t>
                  </w:r>
                  <w:r>
                    <w:rPr>
                      <w:rFonts w:hint="eastAsia"/>
                      <w:color w:val="FF0000"/>
                    </w:rPr>
                    <w:t>k</w:t>
                  </w:r>
                  <w:r>
                    <w:rPr>
                      <w:color w:val="FF0000"/>
                    </w:rPr>
                    <w:t>W</w:t>
                  </w:r>
                </w:p>
              </w:tc>
              <w:tc>
                <w:tcPr>
                  <w:tcW w:w="1209" w:type="dxa"/>
                  <w:vAlign w:val="center"/>
                </w:tcPr>
                <w:p>
                  <w:pPr>
                    <w:pStyle w:val="81"/>
                    <w:rPr>
                      <w:color w:val="FF0000"/>
                    </w:rPr>
                  </w:pPr>
                  <w:r>
                    <w:rPr>
                      <w:rFonts w:hint="eastAsia"/>
                      <w:color w:val="FF0000"/>
                    </w:rPr>
                    <w:t>台</w:t>
                  </w:r>
                </w:p>
              </w:tc>
              <w:tc>
                <w:tcPr>
                  <w:tcW w:w="1143" w:type="dxa"/>
                  <w:vAlign w:val="center"/>
                </w:tcPr>
                <w:p>
                  <w:pPr>
                    <w:pStyle w:val="81"/>
                    <w:rPr>
                      <w:color w:val="FF0000"/>
                    </w:rPr>
                  </w:pPr>
                  <w:r>
                    <w:rPr>
                      <w:rFonts w:hint="eastAsia"/>
                      <w:color w:val="FF0000"/>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5</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曝气装置</w:t>
                  </w:r>
                </w:p>
              </w:tc>
              <w:tc>
                <w:tcPr>
                  <w:tcW w:w="2346" w:type="dxa"/>
                  <w:vAlign w:val="center"/>
                </w:tcPr>
                <w:p>
                  <w:pPr>
                    <w:pStyle w:val="81"/>
                    <w:rPr>
                      <w:color w:val="FF0000"/>
                    </w:rPr>
                  </w:pPr>
                  <w:r>
                    <w:rPr>
                      <w:rFonts w:hint="eastAsia"/>
                      <w:color w:val="FF0000"/>
                    </w:rPr>
                    <w:t>D</w:t>
                  </w:r>
                  <w:r>
                    <w:rPr>
                      <w:color w:val="FF0000"/>
                    </w:rPr>
                    <w:t>N80/DN40</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6</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液位计</w:t>
                  </w:r>
                </w:p>
              </w:tc>
              <w:tc>
                <w:tcPr>
                  <w:tcW w:w="2346" w:type="dxa"/>
                  <w:vAlign w:val="center"/>
                </w:tcPr>
                <w:p>
                  <w:pPr>
                    <w:pStyle w:val="81"/>
                    <w:rPr>
                      <w:color w:val="FF0000"/>
                    </w:rPr>
                  </w:pPr>
                  <w:r>
                    <w:rPr>
                      <w:rFonts w:hint="eastAsia"/>
                      <w:color w:val="FF0000"/>
                    </w:rPr>
                    <w:t>T</w:t>
                  </w:r>
                  <w:r>
                    <w:rPr>
                      <w:color w:val="FF0000"/>
                    </w:rPr>
                    <w:t>FQ-1</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7</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曝气风机</w:t>
                  </w:r>
                </w:p>
              </w:tc>
              <w:tc>
                <w:tcPr>
                  <w:tcW w:w="2346" w:type="dxa"/>
                  <w:vAlign w:val="center"/>
                </w:tcPr>
                <w:p>
                  <w:pPr>
                    <w:pStyle w:val="81"/>
                    <w:rPr>
                      <w:color w:val="FF0000"/>
                    </w:rPr>
                  </w:pPr>
                  <w:r>
                    <w:rPr>
                      <w:rFonts w:hint="eastAsia"/>
                      <w:color w:val="FF0000"/>
                    </w:rPr>
                    <w:t>H</w:t>
                  </w:r>
                  <w:r>
                    <w:rPr>
                      <w:color w:val="FF0000"/>
                    </w:rPr>
                    <w:t>C30</w:t>
                  </w:r>
                  <w:r>
                    <w:rPr>
                      <w:rFonts w:hint="eastAsia"/>
                      <w:color w:val="FF0000"/>
                    </w:rPr>
                    <w:t>s</w:t>
                  </w:r>
                </w:p>
              </w:tc>
              <w:tc>
                <w:tcPr>
                  <w:tcW w:w="1209" w:type="dxa"/>
                  <w:vAlign w:val="center"/>
                </w:tcPr>
                <w:p>
                  <w:pPr>
                    <w:pStyle w:val="81"/>
                    <w:rPr>
                      <w:color w:val="FF0000"/>
                    </w:rPr>
                  </w:pPr>
                  <w:r>
                    <w:rPr>
                      <w:rFonts w:hint="eastAsia"/>
                      <w:color w:val="FF0000"/>
                    </w:rPr>
                    <w:t>台</w:t>
                  </w:r>
                </w:p>
              </w:tc>
              <w:tc>
                <w:tcPr>
                  <w:tcW w:w="1143" w:type="dxa"/>
                  <w:vAlign w:val="center"/>
                </w:tcPr>
                <w:p>
                  <w:pPr>
                    <w:pStyle w:val="81"/>
                    <w:rPr>
                      <w:color w:val="FF0000"/>
                    </w:rPr>
                  </w:pPr>
                  <w:r>
                    <w:rPr>
                      <w:rFonts w:hint="eastAsia"/>
                      <w:color w:val="FF0000"/>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8</w:t>
                  </w:r>
                </w:p>
              </w:tc>
              <w:tc>
                <w:tcPr>
                  <w:tcW w:w="1139" w:type="dxa"/>
                  <w:vMerge w:val="restart"/>
                  <w:vAlign w:val="center"/>
                </w:tcPr>
                <w:p>
                  <w:pPr>
                    <w:pStyle w:val="81"/>
                    <w:rPr>
                      <w:color w:val="FF0000"/>
                    </w:rPr>
                  </w:pPr>
                  <w:r>
                    <w:rPr>
                      <w:rFonts w:hint="eastAsia"/>
                      <w:color w:val="FF0000"/>
                    </w:rPr>
                    <w:t>气浮装置</w:t>
                  </w:r>
                </w:p>
              </w:tc>
              <w:tc>
                <w:tcPr>
                  <w:tcW w:w="1612" w:type="dxa"/>
                  <w:vAlign w:val="center"/>
                </w:tcPr>
                <w:p>
                  <w:pPr>
                    <w:pStyle w:val="81"/>
                    <w:rPr>
                      <w:color w:val="FF0000"/>
                    </w:rPr>
                  </w:pPr>
                  <w:r>
                    <w:rPr>
                      <w:rFonts w:hint="eastAsia"/>
                      <w:color w:val="FF0000"/>
                    </w:rPr>
                    <w:t>气浮装置设备</w:t>
                  </w:r>
                </w:p>
              </w:tc>
              <w:tc>
                <w:tcPr>
                  <w:tcW w:w="2346" w:type="dxa"/>
                  <w:vAlign w:val="center"/>
                </w:tcPr>
                <w:p>
                  <w:pPr>
                    <w:pStyle w:val="81"/>
                    <w:rPr>
                      <w:color w:val="FF0000"/>
                    </w:rPr>
                  </w:pPr>
                  <w:r>
                    <w:rPr>
                      <w:rFonts w:hint="eastAsia"/>
                      <w:color w:val="FF0000"/>
                    </w:rPr>
                    <w:t>5</w:t>
                  </w:r>
                  <w:r>
                    <w:rPr>
                      <w:color w:val="FF0000"/>
                    </w:rPr>
                    <w:t>000</w:t>
                  </w:r>
                  <w:r>
                    <w:rPr>
                      <w:rFonts w:hint="eastAsia"/>
                      <w:color w:val="FF0000"/>
                    </w:rPr>
                    <w:t>×</w:t>
                  </w:r>
                  <w:r>
                    <w:rPr>
                      <w:color w:val="FF0000"/>
                    </w:rPr>
                    <w:t>1800</w:t>
                  </w:r>
                  <w:r>
                    <w:rPr>
                      <w:rFonts w:hint="eastAsia"/>
                      <w:color w:val="FF0000"/>
                    </w:rPr>
                    <w:t>×</w:t>
                  </w:r>
                  <w:r>
                    <w:rPr>
                      <w:color w:val="FF0000"/>
                    </w:rPr>
                    <w:t>2250</w:t>
                  </w:r>
                  <w:r>
                    <w:rPr>
                      <w:rFonts w:hint="eastAsia"/>
                      <w:color w:val="FF0000"/>
                    </w:rPr>
                    <w:t>mm</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9</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溶气罐</w:t>
                  </w:r>
                </w:p>
              </w:tc>
              <w:tc>
                <w:tcPr>
                  <w:tcW w:w="2346" w:type="dxa"/>
                  <w:vAlign w:val="center"/>
                </w:tcPr>
                <w:p>
                  <w:pPr>
                    <w:pStyle w:val="81"/>
                    <w:rPr>
                      <w:color w:val="FF0000"/>
                    </w:rPr>
                  </w:pPr>
                  <w:r>
                    <w:rPr>
                      <w:rFonts w:hint="eastAsia"/>
                      <w:color w:val="FF0000"/>
                    </w:rPr>
                    <w:t>Φ5</w:t>
                  </w:r>
                  <w:r>
                    <w:rPr>
                      <w:color w:val="FF0000"/>
                    </w:rPr>
                    <w:t>00</w:t>
                  </w:r>
                  <w:r>
                    <w:rPr>
                      <w:rFonts w:hint="eastAsia"/>
                      <w:color w:val="FF0000"/>
                    </w:rPr>
                    <w:t>×</w:t>
                  </w:r>
                  <w:r>
                    <w:rPr>
                      <w:color w:val="FF0000"/>
                    </w:rPr>
                    <w:t>2800</w:t>
                  </w:r>
                  <w:r>
                    <w:rPr>
                      <w:rFonts w:hint="eastAsia"/>
                      <w:color w:val="FF0000"/>
                    </w:rPr>
                    <w:t>mm</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1</w:t>
                  </w:r>
                  <w:r>
                    <w:rPr>
                      <w:color w:val="FF0000"/>
                    </w:rPr>
                    <w:t>0</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压力容器水泵</w:t>
                  </w:r>
                </w:p>
              </w:tc>
              <w:tc>
                <w:tcPr>
                  <w:tcW w:w="2346" w:type="dxa"/>
                  <w:vAlign w:val="center"/>
                </w:tcPr>
                <w:p>
                  <w:pPr>
                    <w:pStyle w:val="81"/>
                    <w:rPr>
                      <w:color w:val="FF0000"/>
                    </w:rPr>
                  </w:pPr>
                  <w:r>
                    <w:rPr>
                      <w:rFonts w:hint="eastAsia"/>
                      <w:color w:val="FF0000"/>
                    </w:rPr>
                    <w:t>Q：5m</w:t>
                  </w:r>
                  <w:r>
                    <w:rPr>
                      <w:rFonts w:hint="eastAsia"/>
                      <w:color w:val="FF0000"/>
                      <w:vertAlign w:val="superscript"/>
                    </w:rPr>
                    <w:t>3</w:t>
                  </w:r>
                  <w:r>
                    <w:rPr>
                      <w:rFonts w:hint="eastAsia"/>
                      <w:color w:val="FF0000"/>
                    </w:rPr>
                    <w:t>/h，H：4</w:t>
                  </w:r>
                  <w:r>
                    <w:rPr>
                      <w:color w:val="FF0000"/>
                    </w:rPr>
                    <w:t>5</w:t>
                  </w:r>
                  <w:r>
                    <w:rPr>
                      <w:rFonts w:hint="eastAsia"/>
                      <w:color w:val="FF0000"/>
                    </w:rPr>
                    <w:t>m，N：3k</w:t>
                  </w:r>
                  <w:r>
                    <w:rPr>
                      <w:color w:val="FF0000"/>
                    </w:rPr>
                    <w:t>W</w:t>
                  </w:r>
                </w:p>
              </w:tc>
              <w:tc>
                <w:tcPr>
                  <w:tcW w:w="1209" w:type="dxa"/>
                  <w:vAlign w:val="center"/>
                </w:tcPr>
                <w:p>
                  <w:pPr>
                    <w:pStyle w:val="81"/>
                    <w:rPr>
                      <w:color w:val="FF0000"/>
                    </w:rPr>
                  </w:pPr>
                  <w:r>
                    <w:rPr>
                      <w:rFonts w:hint="eastAsia"/>
                      <w:color w:val="FF0000"/>
                    </w:rPr>
                    <w:t>台</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1</w:t>
                  </w:r>
                  <w:r>
                    <w:rPr>
                      <w:color w:val="FF0000"/>
                    </w:rPr>
                    <w:t>1</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空压机</w:t>
                  </w:r>
                </w:p>
              </w:tc>
              <w:tc>
                <w:tcPr>
                  <w:tcW w:w="2346" w:type="dxa"/>
                  <w:vAlign w:val="center"/>
                </w:tcPr>
                <w:p>
                  <w:pPr>
                    <w:pStyle w:val="81"/>
                    <w:rPr>
                      <w:color w:val="FF0000"/>
                    </w:rPr>
                  </w:pPr>
                  <w:r>
                    <w:rPr>
                      <w:rFonts w:hint="eastAsia"/>
                      <w:color w:val="FF0000"/>
                    </w:rPr>
                    <w:t>Z</w:t>
                  </w:r>
                  <w:r>
                    <w:rPr>
                      <w:color w:val="FF0000"/>
                    </w:rPr>
                    <w:t>-0.025/6</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1</w:t>
                  </w:r>
                  <w:r>
                    <w:rPr>
                      <w:color w:val="FF0000"/>
                    </w:rPr>
                    <w:t>2</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管道混合器</w:t>
                  </w:r>
                </w:p>
              </w:tc>
              <w:tc>
                <w:tcPr>
                  <w:tcW w:w="2346" w:type="dxa"/>
                  <w:vAlign w:val="center"/>
                </w:tcPr>
                <w:p>
                  <w:pPr>
                    <w:pStyle w:val="81"/>
                    <w:rPr>
                      <w:color w:val="FF0000"/>
                    </w:rPr>
                  </w:pPr>
                  <w:r>
                    <w:rPr>
                      <w:rFonts w:hint="eastAsia"/>
                      <w:color w:val="FF0000"/>
                    </w:rPr>
                    <w:t>D</w:t>
                  </w:r>
                  <w:r>
                    <w:rPr>
                      <w:color w:val="FF0000"/>
                    </w:rPr>
                    <w:t>N100</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1</w:t>
                  </w:r>
                  <w:r>
                    <w:rPr>
                      <w:color w:val="FF0000"/>
                    </w:rPr>
                    <w:t>3</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污水提升泵</w:t>
                  </w:r>
                </w:p>
              </w:tc>
              <w:tc>
                <w:tcPr>
                  <w:tcW w:w="2346" w:type="dxa"/>
                  <w:vAlign w:val="center"/>
                </w:tcPr>
                <w:p>
                  <w:pPr>
                    <w:pStyle w:val="81"/>
                    <w:rPr>
                      <w:color w:val="FF0000"/>
                    </w:rPr>
                  </w:pPr>
                  <w:r>
                    <w:rPr>
                      <w:rFonts w:hint="eastAsia"/>
                      <w:color w:val="FF0000"/>
                    </w:rPr>
                    <w:t>Q：</w:t>
                  </w:r>
                  <w:r>
                    <w:rPr>
                      <w:color w:val="FF0000"/>
                    </w:rPr>
                    <w:t>10</w:t>
                  </w:r>
                  <w:r>
                    <w:rPr>
                      <w:rFonts w:hint="eastAsia"/>
                      <w:color w:val="FF0000"/>
                    </w:rPr>
                    <w:t>m</w:t>
                  </w:r>
                  <w:r>
                    <w:rPr>
                      <w:rFonts w:hint="eastAsia"/>
                      <w:color w:val="FF0000"/>
                      <w:vertAlign w:val="superscript"/>
                    </w:rPr>
                    <w:t>3</w:t>
                  </w:r>
                  <w:r>
                    <w:rPr>
                      <w:rFonts w:hint="eastAsia"/>
                      <w:color w:val="FF0000"/>
                    </w:rPr>
                    <w:t>/h，H：1</w:t>
                  </w:r>
                  <w:r>
                    <w:rPr>
                      <w:color w:val="FF0000"/>
                    </w:rPr>
                    <w:t>5</w:t>
                  </w:r>
                  <w:r>
                    <w:rPr>
                      <w:rFonts w:hint="eastAsia"/>
                      <w:color w:val="FF0000"/>
                    </w:rPr>
                    <w:t>m，N：1</w:t>
                  </w:r>
                  <w:r>
                    <w:rPr>
                      <w:color w:val="FF0000"/>
                    </w:rPr>
                    <w:t>.5</w:t>
                  </w:r>
                  <w:r>
                    <w:rPr>
                      <w:rFonts w:hint="eastAsia"/>
                      <w:color w:val="FF0000"/>
                    </w:rPr>
                    <w:t>k</w:t>
                  </w:r>
                  <w:r>
                    <w:rPr>
                      <w:color w:val="FF0000"/>
                    </w:rPr>
                    <w:t>W</w:t>
                  </w:r>
                </w:p>
              </w:tc>
              <w:tc>
                <w:tcPr>
                  <w:tcW w:w="1209" w:type="dxa"/>
                  <w:vAlign w:val="center"/>
                </w:tcPr>
                <w:p>
                  <w:pPr>
                    <w:pStyle w:val="81"/>
                    <w:rPr>
                      <w:color w:val="FF0000"/>
                    </w:rPr>
                  </w:pPr>
                  <w:r>
                    <w:rPr>
                      <w:rFonts w:hint="eastAsia"/>
                      <w:color w:val="FF0000"/>
                    </w:rPr>
                    <w:t>台</w:t>
                  </w:r>
                </w:p>
              </w:tc>
              <w:tc>
                <w:tcPr>
                  <w:tcW w:w="1143" w:type="dxa"/>
                  <w:vAlign w:val="center"/>
                </w:tcPr>
                <w:p>
                  <w:pPr>
                    <w:pStyle w:val="81"/>
                    <w:rPr>
                      <w:color w:val="FF0000"/>
                    </w:rPr>
                  </w:pPr>
                  <w:r>
                    <w:rPr>
                      <w:rFonts w:hint="eastAsia"/>
                      <w:color w:val="FF0000"/>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1</w:t>
                  </w:r>
                  <w:r>
                    <w:rPr>
                      <w:color w:val="FF0000"/>
                    </w:rPr>
                    <w:t>4</w:t>
                  </w:r>
                </w:p>
              </w:tc>
              <w:tc>
                <w:tcPr>
                  <w:tcW w:w="1139" w:type="dxa"/>
                  <w:vMerge w:val="restart"/>
                  <w:vAlign w:val="center"/>
                </w:tcPr>
                <w:p>
                  <w:pPr>
                    <w:pStyle w:val="81"/>
                    <w:rPr>
                      <w:color w:val="FF0000"/>
                    </w:rPr>
                  </w:pPr>
                  <w:r>
                    <w:rPr>
                      <w:rFonts w:hint="eastAsia"/>
                      <w:color w:val="FF0000"/>
                    </w:rPr>
                    <w:t>p</w:t>
                  </w:r>
                  <w:r>
                    <w:rPr>
                      <w:color w:val="FF0000"/>
                    </w:rPr>
                    <w:t>H</w:t>
                  </w:r>
                  <w:r>
                    <w:rPr>
                      <w:rFonts w:hint="eastAsia"/>
                      <w:color w:val="FF0000"/>
                    </w:rPr>
                    <w:t>加药装置</w:t>
                  </w:r>
                </w:p>
              </w:tc>
              <w:tc>
                <w:tcPr>
                  <w:tcW w:w="1612" w:type="dxa"/>
                  <w:vAlign w:val="center"/>
                </w:tcPr>
                <w:p>
                  <w:pPr>
                    <w:pStyle w:val="81"/>
                    <w:rPr>
                      <w:color w:val="FF0000"/>
                    </w:rPr>
                  </w:pPr>
                  <w:r>
                    <w:rPr>
                      <w:rFonts w:hint="eastAsia"/>
                      <w:color w:val="FF0000"/>
                    </w:rPr>
                    <w:t>加药装置</w:t>
                  </w:r>
                </w:p>
              </w:tc>
              <w:tc>
                <w:tcPr>
                  <w:tcW w:w="2346" w:type="dxa"/>
                  <w:vAlign w:val="center"/>
                </w:tcPr>
                <w:p>
                  <w:pPr>
                    <w:pStyle w:val="81"/>
                    <w:rPr>
                      <w:color w:val="FF0000"/>
                    </w:rPr>
                  </w:pPr>
                  <w:r>
                    <w:rPr>
                      <w:rFonts w:hint="eastAsia"/>
                      <w:color w:val="FF0000"/>
                    </w:rPr>
                    <w:t>J</w:t>
                  </w:r>
                  <w:r>
                    <w:rPr>
                      <w:color w:val="FF0000"/>
                    </w:rPr>
                    <w:t>Y-1.0</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1</w:t>
                  </w:r>
                  <w:r>
                    <w:rPr>
                      <w:color w:val="FF0000"/>
                    </w:rPr>
                    <w:t>5</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溶药箱</w:t>
                  </w:r>
                </w:p>
              </w:tc>
              <w:tc>
                <w:tcPr>
                  <w:tcW w:w="2346" w:type="dxa"/>
                  <w:vAlign w:val="center"/>
                </w:tcPr>
                <w:p>
                  <w:pPr>
                    <w:pStyle w:val="81"/>
                    <w:rPr>
                      <w:color w:val="FF0000"/>
                    </w:rPr>
                  </w:pPr>
                  <w:r>
                    <w:rPr>
                      <w:rFonts w:hint="eastAsia"/>
                      <w:color w:val="FF0000"/>
                    </w:rPr>
                    <w:t>1m</w:t>
                  </w:r>
                  <w:r>
                    <w:rPr>
                      <w:rFonts w:hint="eastAsia"/>
                      <w:color w:val="FF0000"/>
                      <w:vertAlign w:val="superscript"/>
                    </w:rPr>
                    <w:t>3</w:t>
                  </w:r>
                </w:p>
              </w:tc>
              <w:tc>
                <w:tcPr>
                  <w:tcW w:w="1209" w:type="dxa"/>
                  <w:vAlign w:val="center"/>
                </w:tcPr>
                <w:p>
                  <w:pPr>
                    <w:pStyle w:val="81"/>
                    <w:rPr>
                      <w:color w:val="FF0000"/>
                    </w:rPr>
                  </w:pPr>
                  <w:r>
                    <w:rPr>
                      <w:rFonts w:hint="eastAsia"/>
                      <w:color w:val="FF0000"/>
                    </w:rPr>
                    <w:t>只</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1</w:t>
                  </w:r>
                  <w:r>
                    <w:rPr>
                      <w:color w:val="FF0000"/>
                    </w:rPr>
                    <w:t>6</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储药罐</w:t>
                  </w:r>
                </w:p>
              </w:tc>
              <w:tc>
                <w:tcPr>
                  <w:tcW w:w="2346" w:type="dxa"/>
                  <w:vAlign w:val="center"/>
                </w:tcPr>
                <w:p>
                  <w:pPr>
                    <w:pStyle w:val="81"/>
                    <w:rPr>
                      <w:color w:val="FF0000"/>
                    </w:rPr>
                  </w:pPr>
                  <w:r>
                    <w:rPr>
                      <w:rFonts w:hint="eastAsia"/>
                      <w:color w:val="FF0000"/>
                    </w:rPr>
                    <w:t>1m</w:t>
                  </w:r>
                  <w:r>
                    <w:rPr>
                      <w:rFonts w:hint="eastAsia"/>
                      <w:color w:val="FF0000"/>
                      <w:vertAlign w:val="superscript"/>
                    </w:rPr>
                    <w:t>3</w:t>
                  </w:r>
                </w:p>
              </w:tc>
              <w:tc>
                <w:tcPr>
                  <w:tcW w:w="1209" w:type="dxa"/>
                  <w:vAlign w:val="center"/>
                </w:tcPr>
                <w:p>
                  <w:pPr>
                    <w:pStyle w:val="81"/>
                    <w:rPr>
                      <w:color w:val="FF0000"/>
                    </w:rPr>
                  </w:pPr>
                  <w:r>
                    <w:rPr>
                      <w:rFonts w:hint="eastAsia"/>
                      <w:color w:val="FF0000"/>
                    </w:rPr>
                    <w:t>只</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1</w:t>
                  </w:r>
                  <w:r>
                    <w:rPr>
                      <w:color w:val="FF0000"/>
                    </w:rPr>
                    <w:t>7</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搅拌装置</w:t>
                  </w:r>
                </w:p>
              </w:tc>
              <w:tc>
                <w:tcPr>
                  <w:tcW w:w="2346" w:type="dxa"/>
                  <w:vAlign w:val="center"/>
                </w:tcPr>
                <w:p>
                  <w:pPr>
                    <w:pStyle w:val="81"/>
                    <w:rPr>
                      <w:color w:val="FF0000"/>
                    </w:rPr>
                  </w:pPr>
                  <w:r>
                    <w:rPr>
                      <w:rFonts w:hint="eastAsia"/>
                      <w:color w:val="FF0000"/>
                    </w:rPr>
                    <w:t>0</w:t>
                  </w:r>
                  <w:r>
                    <w:rPr>
                      <w:color w:val="FF0000"/>
                    </w:rPr>
                    <w:t>.55</w:t>
                  </w:r>
                  <w:r>
                    <w:rPr>
                      <w:rFonts w:hint="eastAsia"/>
                      <w:color w:val="FF0000"/>
                    </w:rPr>
                    <w:t>k</w:t>
                  </w:r>
                  <w:r>
                    <w:rPr>
                      <w:color w:val="FF0000"/>
                    </w:rPr>
                    <w:t>W</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1</w:t>
                  </w:r>
                  <w:r>
                    <w:rPr>
                      <w:color w:val="FF0000"/>
                    </w:rPr>
                    <w:t>8</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计量泵</w:t>
                  </w:r>
                </w:p>
              </w:tc>
              <w:tc>
                <w:tcPr>
                  <w:tcW w:w="2346" w:type="dxa"/>
                  <w:vAlign w:val="center"/>
                </w:tcPr>
                <w:p>
                  <w:pPr>
                    <w:pStyle w:val="81"/>
                    <w:rPr>
                      <w:color w:val="FF0000"/>
                    </w:rPr>
                  </w:pPr>
                  <w:r>
                    <w:rPr>
                      <w:rFonts w:hint="eastAsia"/>
                      <w:color w:val="FF0000"/>
                    </w:rPr>
                    <w:t>M</w:t>
                  </w:r>
                  <w:r>
                    <w:rPr>
                      <w:color w:val="FF0000"/>
                    </w:rPr>
                    <w:t>F0100  100L/H</w:t>
                  </w:r>
                  <w:r>
                    <w:rPr>
                      <w:rFonts w:hint="eastAsia"/>
                      <w:color w:val="FF0000"/>
                    </w:rPr>
                    <w:t>，0</w:t>
                  </w:r>
                  <w:r>
                    <w:rPr>
                      <w:color w:val="FF0000"/>
                    </w:rPr>
                    <w:t>.25</w:t>
                  </w:r>
                  <w:r>
                    <w:rPr>
                      <w:rFonts w:hint="eastAsia"/>
                      <w:color w:val="FF0000"/>
                    </w:rPr>
                    <w:t>k</w:t>
                  </w:r>
                  <w:r>
                    <w:rPr>
                      <w:color w:val="FF0000"/>
                    </w:rPr>
                    <w:t>W</w:t>
                  </w:r>
                </w:p>
              </w:tc>
              <w:tc>
                <w:tcPr>
                  <w:tcW w:w="1209" w:type="dxa"/>
                  <w:vAlign w:val="center"/>
                </w:tcPr>
                <w:p>
                  <w:pPr>
                    <w:pStyle w:val="81"/>
                    <w:rPr>
                      <w:color w:val="FF0000"/>
                    </w:rPr>
                  </w:pPr>
                  <w:r>
                    <w:rPr>
                      <w:rFonts w:hint="eastAsia"/>
                      <w:color w:val="FF0000"/>
                    </w:rPr>
                    <w:t>台</w:t>
                  </w:r>
                </w:p>
              </w:tc>
              <w:tc>
                <w:tcPr>
                  <w:tcW w:w="1143" w:type="dxa"/>
                  <w:vAlign w:val="center"/>
                </w:tcPr>
                <w:p>
                  <w:pPr>
                    <w:pStyle w:val="81"/>
                    <w:rPr>
                      <w:color w:val="FF0000"/>
                    </w:rPr>
                  </w:pPr>
                  <w:r>
                    <w:rPr>
                      <w:rFonts w:hint="eastAsia"/>
                      <w:color w:val="FF0000"/>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638" w:type="dxa"/>
                  <w:vAlign w:val="center"/>
                </w:tcPr>
                <w:p>
                  <w:pPr>
                    <w:pStyle w:val="81"/>
                    <w:rPr>
                      <w:color w:val="FF0000"/>
                    </w:rPr>
                  </w:pPr>
                  <w:r>
                    <w:rPr>
                      <w:rFonts w:hint="eastAsia"/>
                      <w:color w:val="FF0000"/>
                    </w:rPr>
                    <w:t>1</w:t>
                  </w:r>
                  <w:r>
                    <w:rPr>
                      <w:color w:val="FF0000"/>
                    </w:rPr>
                    <w:t>9</w:t>
                  </w:r>
                </w:p>
              </w:tc>
              <w:tc>
                <w:tcPr>
                  <w:tcW w:w="1139" w:type="dxa"/>
                  <w:vMerge w:val="restart"/>
                  <w:vAlign w:val="center"/>
                </w:tcPr>
                <w:p>
                  <w:pPr>
                    <w:pStyle w:val="81"/>
                    <w:rPr>
                      <w:color w:val="FF0000"/>
                    </w:rPr>
                  </w:pPr>
                  <w:r>
                    <w:rPr>
                      <w:rFonts w:hint="eastAsia"/>
                      <w:color w:val="FF0000"/>
                    </w:rPr>
                    <w:t>P</w:t>
                  </w:r>
                  <w:r>
                    <w:rPr>
                      <w:color w:val="FF0000"/>
                    </w:rPr>
                    <w:t>AC/PAM</w:t>
                  </w:r>
                  <w:r>
                    <w:rPr>
                      <w:rFonts w:hint="eastAsia"/>
                      <w:color w:val="FF0000"/>
                    </w:rPr>
                    <w:t>加药装置改造</w:t>
                  </w:r>
                </w:p>
              </w:tc>
              <w:tc>
                <w:tcPr>
                  <w:tcW w:w="1612" w:type="dxa"/>
                  <w:vAlign w:val="center"/>
                </w:tcPr>
                <w:p>
                  <w:pPr>
                    <w:pStyle w:val="81"/>
                    <w:rPr>
                      <w:color w:val="FF0000"/>
                    </w:rPr>
                  </w:pPr>
                  <w:r>
                    <w:rPr>
                      <w:rFonts w:hint="eastAsia"/>
                      <w:color w:val="FF0000"/>
                    </w:rPr>
                    <w:t>溶药箱</w:t>
                  </w:r>
                </w:p>
              </w:tc>
              <w:tc>
                <w:tcPr>
                  <w:tcW w:w="2346" w:type="dxa"/>
                  <w:vAlign w:val="center"/>
                </w:tcPr>
                <w:p>
                  <w:pPr>
                    <w:pStyle w:val="81"/>
                    <w:rPr>
                      <w:color w:val="FF0000"/>
                    </w:rPr>
                  </w:pPr>
                  <w:r>
                    <w:rPr>
                      <w:rFonts w:hint="eastAsia"/>
                      <w:color w:val="FF0000"/>
                    </w:rPr>
                    <w:t>1m</w:t>
                  </w:r>
                  <w:r>
                    <w:rPr>
                      <w:rFonts w:hint="eastAsia"/>
                      <w:color w:val="FF0000"/>
                      <w:vertAlign w:val="superscript"/>
                    </w:rPr>
                    <w:t>3</w:t>
                  </w:r>
                </w:p>
              </w:tc>
              <w:tc>
                <w:tcPr>
                  <w:tcW w:w="1209" w:type="dxa"/>
                  <w:vAlign w:val="center"/>
                </w:tcPr>
                <w:p>
                  <w:pPr>
                    <w:pStyle w:val="81"/>
                    <w:rPr>
                      <w:color w:val="FF0000"/>
                    </w:rPr>
                  </w:pPr>
                  <w:r>
                    <w:rPr>
                      <w:rFonts w:hint="eastAsia"/>
                      <w:color w:val="FF0000"/>
                    </w:rPr>
                    <w:t>只</w:t>
                  </w:r>
                </w:p>
              </w:tc>
              <w:tc>
                <w:tcPr>
                  <w:tcW w:w="1143" w:type="dxa"/>
                  <w:vAlign w:val="center"/>
                </w:tcPr>
                <w:p>
                  <w:pPr>
                    <w:pStyle w:val="81"/>
                    <w:rPr>
                      <w:color w:val="FF0000"/>
                    </w:rPr>
                  </w:pPr>
                  <w:r>
                    <w:rPr>
                      <w:color w:val="FF0000"/>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638" w:type="dxa"/>
                  <w:vAlign w:val="center"/>
                </w:tcPr>
                <w:p>
                  <w:pPr>
                    <w:pStyle w:val="81"/>
                    <w:rPr>
                      <w:color w:val="FF0000"/>
                    </w:rPr>
                  </w:pPr>
                  <w:r>
                    <w:rPr>
                      <w:rFonts w:hint="eastAsia"/>
                      <w:color w:val="FF0000"/>
                    </w:rPr>
                    <w:t>2</w:t>
                  </w:r>
                  <w:r>
                    <w:rPr>
                      <w:color w:val="FF0000"/>
                    </w:rPr>
                    <w:t>0</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加药支架</w:t>
                  </w:r>
                </w:p>
              </w:tc>
              <w:tc>
                <w:tcPr>
                  <w:tcW w:w="2346" w:type="dxa"/>
                  <w:vAlign w:val="center"/>
                </w:tcPr>
                <w:p>
                  <w:pPr>
                    <w:pStyle w:val="81"/>
                    <w:rPr>
                      <w:color w:val="FF0000"/>
                    </w:rPr>
                  </w:pPr>
                  <w:r>
                    <w:rPr>
                      <w:rFonts w:hint="eastAsia"/>
                      <w:color w:val="FF0000"/>
                    </w:rPr>
                    <w:t>/</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2</w:t>
                  </w:r>
                  <w:r>
                    <w:rPr>
                      <w:color w:val="FF0000"/>
                    </w:rPr>
                    <w:t>1</w:t>
                  </w:r>
                </w:p>
              </w:tc>
              <w:tc>
                <w:tcPr>
                  <w:tcW w:w="1139" w:type="dxa"/>
                  <w:vMerge w:val="restart"/>
                  <w:vAlign w:val="center"/>
                </w:tcPr>
                <w:p>
                  <w:pPr>
                    <w:pStyle w:val="81"/>
                    <w:rPr>
                      <w:color w:val="FF0000"/>
                    </w:rPr>
                  </w:pPr>
                  <w:r>
                    <w:rPr>
                      <w:rFonts w:hint="eastAsia"/>
                      <w:color w:val="FF0000"/>
                    </w:rPr>
                    <w:t>污泥脱水系统</w:t>
                  </w:r>
                </w:p>
              </w:tc>
              <w:tc>
                <w:tcPr>
                  <w:tcW w:w="1612" w:type="dxa"/>
                  <w:vAlign w:val="center"/>
                </w:tcPr>
                <w:p>
                  <w:pPr>
                    <w:pStyle w:val="81"/>
                    <w:rPr>
                      <w:color w:val="FF0000"/>
                    </w:rPr>
                  </w:pPr>
                  <w:r>
                    <w:rPr>
                      <w:rFonts w:hint="eastAsia"/>
                      <w:color w:val="FF0000"/>
                    </w:rPr>
                    <w:t>板框压滤机</w:t>
                  </w:r>
                </w:p>
              </w:tc>
              <w:tc>
                <w:tcPr>
                  <w:tcW w:w="2346" w:type="dxa"/>
                  <w:vAlign w:val="center"/>
                </w:tcPr>
                <w:p>
                  <w:pPr>
                    <w:pStyle w:val="81"/>
                    <w:rPr>
                      <w:color w:val="FF0000"/>
                    </w:rPr>
                  </w:pPr>
                  <w:r>
                    <w:rPr>
                      <w:rFonts w:hint="eastAsia"/>
                      <w:color w:val="FF0000"/>
                    </w:rPr>
                    <w:t>2</w:t>
                  </w:r>
                  <w:r>
                    <w:rPr>
                      <w:color w:val="FF0000"/>
                    </w:rPr>
                    <w:t>0</w:t>
                  </w:r>
                  <w:r>
                    <w:rPr>
                      <w:rFonts w:hint="eastAsia"/>
                      <w:color w:val="FF0000"/>
                    </w:rPr>
                    <w:t>m</w:t>
                  </w:r>
                  <w:r>
                    <w:rPr>
                      <w:rFonts w:hint="eastAsia"/>
                      <w:color w:val="FF0000"/>
                      <w:vertAlign w:val="superscript"/>
                    </w:rPr>
                    <w:t>2</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2</w:t>
                  </w:r>
                  <w:r>
                    <w:rPr>
                      <w:color w:val="FF0000"/>
                    </w:rPr>
                    <w:t>2</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污泥泵</w:t>
                  </w:r>
                </w:p>
              </w:tc>
              <w:tc>
                <w:tcPr>
                  <w:tcW w:w="2346" w:type="dxa"/>
                  <w:vAlign w:val="center"/>
                </w:tcPr>
                <w:p>
                  <w:pPr>
                    <w:pStyle w:val="81"/>
                    <w:rPr>
                      <w:color w:val="FF0000"/>
                    </w:rPr>
                  </w:pPr>
                  <w:r>
                    <w:rPr>
                      <w:rFonts w:hint="eastAsia"/>
                      <w:color w:val="FF0000"/>
                    </w:rPr>
                    <w:t>Q：5m</w:t>
                  </w:r>
                  <w:r>
                    <w:rPr>
                      <w:rFonts w:hint="eastAsia"/>
                      <w:color w:val="FF0000"/>
                      <w:vertAlign w:val="superscript"/>
                    </w:rPr>
                    <w:t>3</w:t>
                  </w:r>
                  <w:r>
                    <w:rPr>
                      <w:rFonts w:hint="eastAsia"/>
                      <w:color w:val="FF0000"/>
                    </w:rPr>
                    <w:t>/h，H：4</w:t>
                  </w:r>
                  <w:r>
                    <w:rPr>
                      <w:color w:val="FF0000"/>
                    </w:rPr>
                    <w:t>5</w:t>
                  </w:r>
                  <w:r>
                    <w:rPr>
                      <w:rFonts w:hint="eastAsia"/>
                      <w:color w:val="FF0000"/>
                    </w:rPr>
                    <w:t>m，N：3k</w:t>
                  </w:r>
                  <w:r>
                    <w:rPr>
                      <w:color w:val="FF0000"/>
                    </w:rPr>
                    <w:t>W</w:t>
                  </w:r>
                </w:p>
              </w:tc>
              <w:tc>
                <w:tcPr>
                  <w:tcW w:w="1209" w:type="dxa"/>
                  <w:vAlign w:val="center"/>
                </w:tcPr>
                <w:p>
                  <w:pPr>
                    <w:pStyle w:val="81"/>
                    <w:rPr>
                      <w:color w:val="FF0000"/>
                    </w:rPr>
                  </w:pPr>
                  <w:r>
                    <w:rPr>
                      <w:rFonts w:hint="eastAsia"/>
                      <w:color w:val="FF0000"/>
                    </w:rPr>
                    <w:t>台</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2</w:t>
                  </w:r>
                  <w:r>
                    <w:rPr>
                      <w:color w:val="FF0000"/>
                    </w:rPr>
                    <w:t>3</w:t>
                  </w:r>
                </w:p>
              </w:tc>
              <w:tc>
                <w:tcPr>
                  <w:tcW w:w="1139" w:type="dxa"/>
                  <w:vMerge w:val="continue"/>
                  <w:vAlign w:val="center"/>
                </w:tcPr>
                <w:p>
                  <w:pPr>
                    <w:pStyle w:val="81"/>
                    <w:rPr>
                      <w:color w:val="FF0000"/>
                    </w:rPr>
                  </w:pPr>
                </w:p>
              </w:tc>
              <w:tc>
                <w:tcPr>
                  <w:tcW w:w="1612" w:type="dxa"/>
                  <w:vAlign w:val="center"/>
                </w:tcPr>
                <w:p>
                  <w:pPr>
                    <w:pStyle w:val="81"/>
                    <w:rPr>
                      <w:color w:val="FF0000"/>
                    </w:rPr>
                  </w:pPr>
                  <w:r>
                    <w:rPr>
                      <w:rFonts w:hint="eastAsia"/>
                      <w:color w:val="FF0000"/>
                    </w:rPr>
                    <w:t>污泥箱</w:t>
                  </w:r>
                </w:p>
              </w:tc>
              <w:tc>
                <w:tcPr>
                  <w:tcW w:w="2346" w:type="dxa"/>
                  <w:vAlign w:val="center"/>
                </w:tcPr>
                <w:p>
                  <w:pPr>
                    <w:pStyle w:val="81"/>
                    <w:rPr>
                      <w:color w:val="FF0000"/>
                    </w:rPr>
                  </w:pPr>
                  <w:r>
                    <w:rPr>
                      <w:rFonts w:hint="eastAsia"/>
                      <w:color w:val="FF0000"/>
                    </w:rPr>
                    <w:t>5m</w:t>
                  </w:r>
                  <w:r>
                    <w:rPr>
                      <w:rFonts w:hint="eastAsia"/>
                      <w:color w:val="FF0000"/>
                      <w:vertAlign w:val="superscript"/>
                    </w:rPr>
                    <w:t>3</w:t>
                  </w:r>
                </w:p>
              </w:tc>
              <w:tc>
                <w:tcPr>
                  <w:tcW w:w="1209" w:type="dxa"/>
                  <w:vAlign w:val="center"/>
                </w:tcPr>
                <w:p>
                  <w:pPr>
                    <w:pStyle w:val="81"/>
                    <w:rPr>
                      <w:color w:val="FF0000"/>
                    </w:rPr>
                  </w:pPr>
                  <w:r>
                    <w:rPr>
                      <w:rFonts w:hint="eastAsia"/>
                      <w:color w:val="FF0000"/>
                    </w:rPr>
                    <w:t>座</w:t>
                  </w:r>
                </w:p>
              </w:tc>
              <w:tc>
                <w:tcPr>
                  <w:tcW w:w="1143" w:type="dxa"/>
                  <w:vAlign w:val="center"/>
                </w:tcPr>
                <w:p>
                  <w:pPr>
                    <w:pStyle w:val="81"/>
                    <w:rPr>
                      <w:color w:val="FF0000"/>
                    </w:rPr>
                  </w:pPr>
                  <w:r>
                    <w:rPr>
                      <w:rFonts w:hint="eastAsia"/>
                      <w:color w:val="FF0000"/>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38" w:type="dxa"/>
                  <w:vAlign w:val="center"/>
                </w:tcPr>
                <w:p>
                  <w:pPr>
                    <w:pStyle w:val="81"/>
                    <w:rPr>
                      <w:color w:val="FF0000"/>
                    </w:rPr>
                  </w:pPr>
                  <w:r>
                    <w:rPr>
                      <w:rFonts w:hint="eastAsia"/>
                      <w:color w:val="FF0000"/>
                    </w:rPr>
                    <w:t>2</w:t>
                  </w:r>
                  <w:r>
                    <w:rPr>
                      <w:color w:val="FF0000"/>
                    </w:rPr>
                    <w:t>4</w:t>
                  </w:r>
                </w:p>
              </w:tc>
              <w:tc>
                <w:tcPr>
                  <w:tcW w:w="2751" w:type="dxa"/>
                  <w:gridSpan w:val="2"/>
                  <w:vAlign w:val="center"/>
                </w:tcPr>
                <w:p>
                  <w:pPr>
                    <w:pStyle w:val="81"/>
                    <w:rPr>
                      <w:color w:val="FF0000"/>
                    </w:rPr>
                  </w:pPr>
                  <w:r>
                    <w:rPr>
                      <w:rFonts w:hint="eastAsia"/>
                      <w:color w:val="FF0000"/>
                    </w:rPr>
                    <w:t>系统控制柜</w:t>
                  </w:r>
                </w:p>
              </w:tc>
              <w:tc>
                <w:tcPr>
                  <w:tcW w:w="2346" w:type="dxa"/>
                  <w:vAlign w:val="center"/>
                </w:tcPr>
                <w:p>
                  <w:pPr>
                    <w:pStyle w:val="81"/>
                    <w:rPr>
                      <w:color w:val="FF0000"/>
                    </w:rPr>
                  </w:pPr>
                  <w:r>
                    <w:rPr>
                      <w:rFonts w:hint="eastAsia"/>
                      <w:color w:val="FF0000"/>
                    </w:rPr>
                    <w:t>/</w:t>
                  </w:r>
                </w:p>
              </w:tc>
              <w:tc>
                <w:tcPr>
                  <w:tcW w:w="1209" w:type="dxa"/>
                  <w:vAlign w:val="center"/>
                </w:tcPr>
                <w:p>
                  <w:pPr>
                    <w:pStyle w:val="81"/>
                    <w:rPr>
                      <w:color w:val="FF0000"/>
                    </w:rPr>
                  </w:pPr>
                  <w:r>
                    <w:rPr>
                      <w:rFonts w:hint="eastAsia"/>
                      <w:color w:val="FF0000"/>
                    </w:rPr>
                    <w:t>套</w:t>
                  </w:r>
                </w:p>
              </w:tc>
              <w:tc>
                <w:tcPr>
                  <w:tcW w:w="1143" w:type="dxa"/>
                  <w:vAlign w:val="center"/>
                </w:tcPr>
                <w:p>
                  <w:pPr>
                    <w:pStyle w:val="81"/>
                    <w:rPr>
                      <w:color w:val="FF0000"/>
                    </w:rPr>
                  </w:pPr>
                  <w:r>
                    <w:rPr>
                      <w:rFonts w:hint="eastAsia"/>
                      <w:color w:val="FF0000"/>
                    </w:rPr>
                    <w:t>1</w:t>
                  </w:r>
                </w:p>
              </w:tc>
            </w:tr>
            <w:bookmarkEnd w:id="8"/>
            <w:bookmarkEnd w:id="9"/>
          </w:tbl>
          <w:p>
            <w:pPr>
              <w:pStyle w:val="77"/>
              <w:ind w:firstLine="482"/>
              <w:rPr>
                <w:b/>
                <w:bCs/>
              </w:rPr>
            </w:pPr>
            <w:r>
              <w:rPr>
                <w:b/>
                <w:bCs/>
              </w:rPr>
              <w:t>5、项目平面布置</w:t>
            </w:r>
          </w:p>
          <w:p>
            <w:pPr>
              <w:pStyle w:val="77"/>
              <w:ind w:firstLine="480"/>
              <w:rPr>
                <w:bCs/>
              </w:rPr>
            </w:pPr>
            <w:r>
              <w:rPr>
                <w:bCs/>
              </w:rPr>
              <w:t>本项目</w:t>
            </w:r>
            <w:r>
              <w:rPr>
                <w:rFonts w:hint="eastAsia"/>
                <w:bCs/>
              </w:rPr>
              <w:t>在厂内北侧原有锅炉房及污水处理站进行技术改造</w:t>
            </w:r>
            <w:r>
              <w:rPr>
                <w:bCs/>
              </w:rPr>
              <w:t>。项目平面布置图见图4。</w:t>
            </w:r>
          </w:p>
          <w:p>
            <w:pPr>
              <w:pStyle w:val="77"/>
              <w:ind w:firstLine="482"/>
              <w:rPr>
                <w:b/>
                <w:bCs/>
              </w:rPr>
            </w:pPr>
            <w:bookmarkStart w:id="10" w:name="_Hlk142388917"/>
            <w:r>
              <w:rPr>
                <w:b/>
                <w:bCs/>
              </w:rPr>
              <w:t>6、劳动定员</w:t>
            </w:r>
            <w:r>
              <w:rPr>
                <w:rFonts w:hint="eastAsia"/>
                <w:b/>
                <w:bCs/>
              </w:rPr>
              <w:t>及工作制度</w:t>
            </w:r>
          </w:p>
          <w:p>
            <w:pPr>
              <w:pStyle w:val="77"/>
              <w:ind w:firstLine="480"/>
            </w:pPr>
            <w:r>
              <w:rPr>
                <w:rFonts w:hint="eastAsia"/>
              </w:rPr>
              <w:t>本项目从公司现有员工调配，不新增劳动定员，</w:t>
            </w:r>
            <w:bookmarkStart w:id="11" w:name="_Hlk142557359"/>
            <w:r>
              <w:rPr>
                <w:rFonts w:hint="eastAsia"/>
              </w:rPr>
              <w:t>锅炉及污水处理站年运行2</w:t>
            </w:r>
            <w:r>
              <w:t>40</w:t>
            </w:r>
            <w:r>
              <w:rPr>
                <w:rFonts w:hint="eastAsia"/>
              </w:rPr>
              <w:t>天，每天运行约1</w:t>
            </w:r>
            <w:r>
              <w:t>4</w:t>
            </w:r>
            <w:r>
              <w:rPr>
                <w:rFonts w:hint="eastAsia"/>
              </w:rPr>
              <w:t>h，共3</w:t>
            </w:r>
            <w:r>
              <w:t>360</w:t>
            </w:r>
            <w:r>
              <w:rPr>
                <w:rFonts w:hint="eastAsia"/>
              </w:rPr>
              <w:t>h。</w:t>
            </w:r>
            <w:bookmarkEnd w:id="10"/>
            <w:bookmarkEnd w:id="11"/>
          </w:p>
          <w:p>
            <w:pPr>
              <w:pStyle w:val="77"/>
              <w:ind w:firstLine="482"/>
              <w:rPr>
                <w:b/>
                <w:bCs/>
              </w:rPr>
            </w:pPr>
            <w:r>
              <w:rPr>
                <w:b/>
                <w:bCs/>
              </w:rPr>
              <w:t>7</w:t>
            </w:r>
            <w:r>
              <w:rPr>
                <w:rFonts w:hint="eastAsia"/>
                <w:b/>
                <w:bCs/>
              </w:rPr>
              <w:t>、公用工程</w:t>
            </w:r>
          </w:p>
          <w:p>
            <w:pPr>
              <w:pStyle w:val="77"/>
              <w:ind w:firstLine="480"/>
            </w:pPr>
            <w:r>
              <w:rPr>
                <w:rFonts w:hint="eastAsia"/>
              </w:rPr>
              <w:t>（1）给排水</w:t>
            </w:r>
          </w:p>
          <w:p>
            <w:pPr>
              <w:overflowPunct w:val="0"/>
              <w:adjustRightInd w:val="0"/>
              <w:snapToGrid w:val="0"/>
              <w:spacing w:line="460" w:lineRule="exact"/>
              <w:ind w:firstLine="480" w:firstLineChars="200"/>
              <w:rPr>
                <w:sz w:val="24"/>
              </w:rPr>
            </w:pPr>
            <w:r>
              <w:rPr>
                <w:rFonts w:hint="eastAsia"/>
                <w:sz w:val="24"/>
              </w:rPr>
              <w:t>本项目</w:t>
            </w:r>
            <w:r>
              <w:rPr>
                <w:sz w:val="24"/>
              </w:rPr>
              <w:t>运营期用水来</w:t>
            </w:r>
            <w:r>
              <w:rPr>
                <w:rFonts w:hint="eastAsia"/>
                <w:sz w:val="24"/>
              </w:rPr>
              <w:t>主要为锅炉用水，由厂内水井供给</w:t>
            </w:r>
            <w:r>
              <w:rPr>
                <w:sz w:val="24"/>
              </w:rPr>
              <w:t>，可满足项目用</w:t>
            </w:r>
            <w:r>
              <w:rPr>
                <w:rFonts w:hint="eastAsia"/>
                <w:sz w:val="24"/>
              </w:rPr>
              <w:t>水</w:t>
            </w:r>
            <w:r>
              <w:rPr>
                <w:sz w:val="24"/>
              </w:rPr>
              <w:t>需求</w:t>
            </w:r>
            <w:r>
              <w:rPr>
                <w:rFonts w:hint="eastAsia"/>
                <w:sz w:val="24"/>
              </w:rPr>
              <w:t>。</w:t>
            </w:r>
          </w:p>
          <w:p>
            <w:pPr>
              <w:overflowPunct w:val="0"/>
              <w:adjustRightInd w:val="0"/>
              <w:snapToGrid w:val="0"/>
              <w:spacing w:line="460" w:lineRule="exact"/>
              <w:ind w:firstLine="480" w:firstLineChars="200"/>
              <w:rPr>
                <w:sz w:val="24"/>
              </w:rPr>
            </w:pPr>
            <w:r>
              <w:rPr>
                <w:rFonts w:hint="eastAsia"/>
                <w:sz w:val="24"/>
              </w:rPr>
              <w:t>本项目不新增劳动定员，无新增生活污水。</w:t>
            </w:r>
          </w:p>
          <w:p>
            <w:pPr>
              <w:spacing w:line="460" w:lineRule="exact"/>
              <w:ind w:firstLine="480" w:firstLineChars="200"/>
              <w:jc w:val="left"/>
              <w:rPr>
                <w:sz w:val="24"/>
              </w:rPr>
            </w:pPr>
            <w:r>
              <w:rPr>
                <w:rFonts w:hint="eastAsia"/>
                <w:sz w:val="24"/>
              </w:rPr>
              <w:t>本项目常用锅炉为4t/h燃气锅炉，用水量约为1</w:t>
            </w:r>
            <w:r>
              <w:rPr>
                <w:sz w:val="24"/>
              </w:rPr>
              <w:t>3440</w:t>
            </w:r>
            <w:r>
              <w:rPr>
                <w:rFonts w:hint="eastAsia"/>
                <w:sz w:val="24"/>
              </w:rPr>
              <w:t>t</w:t>
            </w:r>
            <w:r>
              <w:rPr>
                <w:sz w:val="24"/>
              </w:rPr>
              <w:t>/</w:t>
            </w:r>
            <w:r>
              <w:rPr>
                <w:rFonts w:hint="eastAsia"/>
                <w:sz w:val="24"/>
              </w:rPr>
              <w:t>a。</w:t>
            </w:r>
          </w:p>
          <w:p>
            <w:pPr>
              <w:spacing w:line="460" w:lineRule="exact"/>
              <w:ind w:firstLine="480" w:firstLineChars="200"/>
              <w:jc w:val="left"/>
              <w:rPr>
                <w:color w:val="FF0000"/>
                <w:sz w:val="24"/>
              </w:rPr>
            </w:pPr>
            <w:bookmarkStart w:id="12" w:name="_Hlk147658477"/>
            <w:r>
              <w:rPr>
                <w:rFonts w:hint="eastAsia"/>
                <w:color w:val="FF0000"/>
                <w:sz w:val="24"/>
              </w:rPr>
              <w:t>根据《4430 工业锅炉（热力生产和供应行业）产污系数表-工业废水量和“化学需氧量”》，产排污系数见表</w:t>
            </w:r>
            <w:r>
              <w:rPr>
                <w:color w:val="FF0000"/>
                <w:sz w:val="24"/>
              </w:rPr>
              <w:t>2-5</w:t>
            </w:r>
            <w:r>
              <w:rPr>
                <w:rFonts w:hint="eastAsia"/>
                <w:color w:val="FF0000"/>
                <w:sz w:val="24"/>
              </w:rPr>
              <w:t>。</w:t>
            </w:r>
          </w:p>
          <w:p>
            <w:pPr>
              <w:jc w:val="center"/>
              <w:rPr>
                <w:rFonts w:ascii="黑体" w:hAnsi="黑体" w:eastAsia="黑体"/>
                <w:bCs/>
                <w:color w:val="FF0000"/>
              </w:rPr>
            </w:pPr>
            <w:r>
              <w:rPr>
                <w:rFonts w:hint="eastAsia" w:ascii="黑体" w:hAnsi="黑体" w:eastAsia="黑体"/>
                <w:bCs/>
                <w:color w:val="FF0000"/>
              </w:rPr>
              <w:t>表</w:t>
            </w:r>
            <w:r>
              <w:rPr>
                <w:rFonts w:ascii="黑体" w:hAnsi="黑体" w:eastAsia="黑体"/>
                <w:bCs/>
                <w:color w:val="FF0000"/>
              </w:rPr>
              <w:t>2-5</w:t>
            </w:r>
            <w:r>
              <w:rPr>
                <w:rFonts w:hint="eastAsia" w:ascii="黑体" w:hAnsi="黑体" w:eastAsia="黑体"/>
                <w:bCs/>
                <w:color w:val="FF0000"/>
              </w:rPr>
              <w:t xml:space="preserve">   4430 工业锅炉（热力生产和供应行业）产污系数表-工业废水量</w:t>
            </w:r>
          </w:p>
          <w:tbl>
            <w:tblPr>
              <w:tblStyle w:val="47"/>
              <w:tblW w:w="808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8"/>
              <w:gridCol w:w="1220"/>
              <w:gridCol w:w="1150"/>
              <w:gridCol w:w="1234"/>
              <w:gridCol w:w="1080"/>
              <w:gridCol w:w="16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vAlign w:val="center"/>
                </w:tcPr>
                <w:p>
                  <w:pPr>
                    <w:jc w:val="center"/>
                    <w:textAlignment w:val="center"/>
                    <w:rPr>
                      <w:bCs/>
                      <w:color w:val="FF0000"/>
                      <w:szCs w:val="21"/>
                    </w:rPr>
                  </w:pPr>
                  <w:r>
                    <w:rPr>
                      <w:rFonts w:hint="eastAsia"/>
                      <w:bCs/>
                      <w:color w:val="FF0000"/>
                      <w:szCs w:val="21"/>
                    </w:rPr>
                    <w:t>产品名称</w:t>
                  </w:r>
                </w:p>
              </w:tc>
              <w:tc>
                <w:tcPr>
                  <w:tcW w:w="1088" w:type="dxa"/>
                  <w:vAlign w:val="center"/>
                </w:tcPr>
                <w:p>
                  <w:pPr>
                    <w:jc w:val="center"/>
                    <w:textAlignment w:val="center"/>
                    <w:rPr>
                      <w:bCs/>
                      <w:color w:val="FF0000"/>
                      <w:szCs w:val="21"/>
                    </w:rPr>
                  </w:pPr>
                  <w:r>
                    <w:rPr>
                      <w:rFonts w:hint="eastAsia"/>
                      <w:bCs/>
                      <w:color w:val="FF0000"/>
                      <w:szCs w:val="21"/>
                    </w:rPr>
                    <w:t>原料名称</w:t>
                  </w:r>
                </w:p>
              </w:tc>
              <w:tc>
                <w:tcPr>
                  <w:tcW w:w="1220" w:type="dxa"/>
                  <w:vAlign w:val="center"/>
                </w:tcPr>
                <w:p>
                  <w:pPr>
                    <w:jc w:val="center"/>
                    <w:textAlignment w:val="center"/>
                    <w:rPr>
                      <w:bCs/>
                      <w:color w:val="FF0000"/>
                      <w:szCs w:val="21"/>
                    </w:rPr>
                  </w:pPr>
                  <w:r>
                    <w:rPr>
                      <w:rFonts w:hint="eastAsia"/>
                      <w:bCs/>
                      <w:color w:val="FF0000"/>
                      <w:szCs w:val="21"/>
                    </w:rPr>
                    <w:t>工艺名称</w:t>
                  </w:r>
                </w:p>
              </w:tc>
              <w:tc>
                <w:tcPr>
                  <w:tcW w:w="1150" w:type="dxa"/>
                  <w:vAlign w:val="center"/>
                </w:tcPr>
                <w:p>
                  <w:pPr>
                    <w:jc w:val="center"/>
                    <w:textAlignment w:val="center"/>
                    <w:rPr>
                      <w:bCs/>
                      <w:color w:val="FF0000"/>
                      <w:szCs w:val="21"/>
                    </w:rPr>
                  </w:pPr>
                  <w:r>
                    <w:rPr>
                      <w:rFonts w:hint="eastAsia"/>
                      <w:bCs/>
                      <w:color w:val="FF0000"/>
                      <w:szCs w:val="21"/>
                    </w:rPr>
                    <w:t>规模等级</w:t>
                  </w:r>
                </w:p>
              </w:tc>
              <w:tc>
                <w:tcPr>
                  <w:tcW w:w="1234" w:type="dxa"/>
                  <w:vAlign w:val="center"/>
                </w:tcPr>
                <w:p>
                  <w:pPr>
                    <w:jc w:val="center"/>
                    <w:textAlignment w:val="center"/>
                    <w:rPr>
                      <w:bCs/>
                      <w:color w:val="FF0000"/>
                      <w:szCs w:val="21"/>
                    </w:rPr>
                  </w:pPr>
                  <w:r>
                    <w:rPr>
                      <w:rFonts w:hint="eastAsia"/>
                      <w:bCs/>
                      <w:color w:val="FF0000"/>
                      <w:szCs w:val="21"/>
                    </w:rPr>
                    <w:t>污染物指标</w:t>
                  </w:r>
                </w:p>
              </w:tc>
              <w:tc>
                <w:tcPr>
                  <w:tcW w:w="1080" w:type="dxa"/>
                  <w:vAlign w:val="center"/>
                </w:tcPr>
                <w:p>
                  <w:pPr>
                    <w:jc w:val="center"/>
                    <w:textAlignment w:val="center"/>
                    <w:rPr>
                      <w:bCs/>
                      <w:color w:val="FF0000"/>
                      <w:szCs w:val="21"/>
                    </w:rPr>
                  </w:pPr>
                  <w:r>
                    <w:rPr>
                      <w:rFonts w:hint="eastAsia"/>
                      <w:bCs/>
                      <w:color w:val="FF0000"/>
                      <w:szCs w:val="21"/>
                    </w:rPr>
                    <w:t>单位</w:t>
                  </w:r>
                </w:p>
              </w:tc>
              <w:tc>
                <w:tcPr>
                  <w:tcW w:w="1650" w:type="dxa"/>
                  <w:vAlign w:val="center"/>
                </w:tcPr>
                <w:p>
                  <w:pPr>
                    <w:jc w:val="center"/>
                    <w:textAlignment w:val="center"/>
                    <w:rPr>
                      <w:bCs/>
                      <w:color w:val="FF0000"/>
                      <w:szCs w:val="21"/>
                    </w:rPr>
                  </w:pPr>
                  <w:r>
                    <w:rPr>
                      <w:rFonts w:hint="eastAsia"/>
                      <w:bCs/>
                      <w:color w:val="FF0000"/>
                      <w:szCs w:val="21"/>
                    </w:rPr>
                    <w:t>产物系数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5" w:type="dxa"/>
                  <w:vAlign w:val="center"/>
                </w:tcPr>
                <w:p>
                  <w:pPr>
                    <w:jc w:val="center"/>
                    <w:textAlignment w:val="center"/>
                    <w:rPr>
                      <w:color w:val="FF0000"/>
                      <w:szCs w:val="21"/>
                    </w:rPr>
                  </w:pPr>
                  <w:r>
                    <w:rPr>
                      <w:rFonts w:hint="eastAsia"/>
                      <w:color w:val="FF0000"/>
                      <w:szCs w:val="21"/>
                    </w:rPr>
                    <w:t>蒸汽/热水/其它</w:t>
                  </w:r>
                </w:p>
              </w:tc>
              <w:tc>
                <w:tcPr>
                  <w:tcW w:w="1088" w:type="dxa"/>
                  <w:vAlign w:val="center"/>
                </w:tcPr>
                <w:p>
                  <w:pPr>
                    <w:jc w:val="center"/>
                    <w:textAlignment w:val="center"/>
                    <w:rPr>
                      <w:color w:val="FF0000"/>
                      <w:szCs w:val="21"/>
                    </w:rPr>
                  </w:pPr>
                  <w:r>
                    <w:rPr>
                      <w:rFonts w:hint="eastAsia"/>
                      <w:color w:val="FF0000"/>
                      <w:szCs w:val="21"/>
                    </w:rPr>
                    <w:t>天然气</w:t>
                  </w:r>
                </w:p>
              </w:tc>
              <w:tc>
                <w:tcPr>
                  <w:tcW w:w="1220" w:type="dxa"/>
                  <w:vAlign w:val="center"/>
                </w:tcPr>
                <w:p>
                  <w:pPr>
                    <w:jc w:val="center"/>
                    <w:textAlignment w:val="center"/>
                    <w:rPr>
                      <w:color w:val="FF0000"/>
                      <w:szCs w:val="21"/>
                    </w:rPr>
                  </w:pPr>
                  <w:r>
                    <w:rPr>
                      <w:rFonts w:hint="eastAsia"/>
                      <w:color w:val="FF0000"/>
                      <w:szCs w:val="21"/>
                    </w:rPr>
                    <w:t>全部类型锅炉（锅外水处理）</w:t>
                  </w:r>
                </w:p>
              </w:tc>
              <w:tc>
                <w:tcPr>
                  <w:tcW w:w="1150" w:type="dxa"/>
                  <w:vAlign w:val="center"/>
                </w:tcPr>
                <w:p>
                  <w:pPr>
                    <w:jc w:val="center"/>
                    <w:textAlignment w:val="center"/>
                    <w:rPr>
                      <w:color w:val="FF0000"/>
                      <w:szCs w:val="21"/>
                    </w:rPr>
                  </w:pPr>
                  <w:r>
                    <w:rPr>
                      <w:rFonts w:hint="eastAsia"/>
                      <w:color w:val="FF0000"/>
                      <w:szCs w:val="21"/>
                    </w:rPr>
                    <w:t>所有规模</w:t>
                  </w:r>
                </w:p>
              </w:tc>
              <w:tc>
                <w:tcPr>
                  <w:tcW w:w="1234" w:type="dxa"/>
                  <w:vAlign w:val="center"/>
                </w:tcPr>
                <w:p>
                  <w:pPr>
                    <w:jc w:val="center"/>
                    <w:textAlignment w:val="center"/>
                    <w:rPr>
                      <w:color w:val="FF0000"/>
                      <w:szCs w:val="21"/>
                    </w:rPr>
                  </w:pPr>
                  <w:r>
                    <w:rPr>
                      <w:rFonts w:hint="eastAsia"/>
                      <w:color w:val="FF0000"/>
                      <w:szCs w:val="21"/>
                    </w:rPr>
                    <w:t>工业废</w:t>
                  </w:r>
                </w:p>
                <w:p>
                  <w:pPr>
                    <w:jc w:val="center"/>
                    <w:textAlignment w:val="center"/>
                    <w:rPr>
                      <w:color w:val="FF0000"/>
                      <w:szCs w:val="21"/>
                    </w:rPr>
                  </w:pPr>
                  <w:r>
                    <w:rPr>
                      <w:rFonts w:hint="eastAsia"/>
                      <w:color w:val="FF0000"/>
                      <w:szCs w:val="21"/>
                    </w:rPr>
                    <w:t>水量</w:t>
                  </w:r>
                </w:p>
              </w:tc>
              <w:tc>
                <w:tcPr>
                  <w:tcW w:w="1080" w:type="dxa"/>
                  <w:vAlign w:val="center"/>
                </w:tcPr>
                <w:p>
                  <w:pPr>
                    <w:jc w:val="center"/>
                    <w:textAlignment w:val="center"/>
                    <w:rPr>
                      <w:color w:val="FF0000"/>
                      <w:szCs w:val="21"/>
                    </w:rPr>
                  </w:pPr>
                  <w:r>
                    <w:rPr>
                      <w:rFonts w:hint="eastAsia"/>
                      <w:color w:val="FF0000"/>
                      <w:szCs w:val="21"/>
                    </w:rPr>
                    <w:t>吨/万立方米-原料</w:t>
                  </w:r>
                </w:p>
              </w:tc>
              <w:tc>
                <w:tcPr>
                  <w:tcW w:w="1650" w:type="dxa"/>
                  <w:vAlign w:val="center"/>
                </w:tcPr>
                <w:p>
                  <w:pPr>
                    <w:jc w:val="center"/>
                    <w:textAlignment w:val="center"/>
                    <w:rPr>
                      <w:color w:val="FF0000"/>
                      <w:szCs w:val="21"/>
                    </w:rPr>
                  </w:pPr>
                  <w:r>
                    <w:rPr>
                      <w:rFonts w:hint="eastAsia"/>
                      <w:color w:val="FF0000"/>
                      <w:szCs w:val="21"/>
                    </w:rPr>
                    <w:t>1</w:t>
                  </w:r>
                  <w:r>
                    <w:rPr>
                      <w:color w:val="FF0000"/>
                      <w:szCs w:val="21"/>
                    </w:rPr>
                    <w:t>3.56</w:t>
                  </w:r>
                </w:p>
                <w:p>
                  <w:pPr>
                    <w:jc w:val="center"/>
                    <w:textAlignment w:val="center"/>
                    <w:rPr>
                      <w:color w:val="FF0000"/>
                      <w:szCs w:val="21"/>
                    </w:rPr>
                  </w:pPr>
                  <w:r>
                    <w:rPr>
                      <w:rFonts w:hint="eastAsia"/>
                      <w:color w:val="FF0000"/>
                      <w:szCs w:val="21"/>
                    </w:rPr>
                    <w:t>（锅炉排污水＋软化处理废水）</w:t>
                  </w:r>
                </w:p>
              </w:tc>
            </w:tr>
          </w:tbl>
          <w:p>
            <w:pPr>
              <w:spacing w:line="460" w:lineRule="exact"/>
              <w:ind w:firstLine="480" w:firstLineChars="200"/>
              <w:rPr>
                <w:sz w:val="24"/>
              </w:rPr>
            </w:pPr>
            <w:r>
              <w:rPr>
                <w:rFonts w:hint="eastAsia"/>
                <w:color w:val="FF0000"/>
                <w:sz w:val="24"/>
              </w:rPr>
              <w:t>本项目天然气用量为1</w:t>
            </w:r>
            <w:r>
              <w:rPr>
                <w:color w:val="FF0000"/>
                <w:sz w:val="24"/>
              </w:rPr>
              <w:t>00.8</w:t>
            </w:r>
            <w:r>
              <w:rPr>
                <w:rFonts w:hint="eastAsia"/>
                <w:color w:val="FF0000"/>
                <w:sz w:val="24"/>
              </w:rPr>
              <w:t>万m</w:t>
            </w:r>
            <w:r>
              <w:rPr>
                <w:rFonts w:hint="eastAsia"/>
                <w:color w:val="FF0000"/>
                <w:sz w:val="24"/>
                <w:vertAlign w:val="superscript"/>
              </w:rPr>
              <w:t>3</w:t>
            </w:r>
            <w:r>
              <w:rPr>
                <w:rFonts w:hint="eastAsia"/>
                <w:color w:val="FF0000"/>
                <w:sz w:val="24"/>
              </w:rPr>
              <w:t>/a，故锅炉排污水及软化制备废水产生量为</w:t>
            </w:r>
            <w:r>
              <w:rPr>
                <w:color w:val="FF0000"/>
                <w:sz w:val="24"/>
              </w:rPr>
              <w:t>1366.848</w:t>
            </w:r>
            <w:r>
              <w:rPr>
                <w:rFonts w:hint="eastAsia"/>
                <w:color w:val="FF0000"/>
                <w:sz w:val="24"/>
              </w:rPr>
              <w:t>t/a，锅炉排污水及软化制备废水直接排入污水管网，最终进入呼图壁县丰泉污水处理厂处置</w:t>
            </w:r>
            <w:r>
              <w:rPr>
                <w:rFonts w:hint="eastAsia"/>
                <w:bCs/>
                <w:color w:val="FF0000"/>
                <w:sz w:val="24"/>
              </w:rPr>
              <w:t>。</w:t>
            </w:r>
            <w:bookmarkEnd w:id="1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1" w:type="dxa"/>
            <w:vAlign w:val="center"/>
          </w:tcPr>
          <w:p>
            <w:pPr>
              <w:pStyle w:val="40"/>
              <w:adjustRightInd w:val="0"/>
              <w:snapToGrid w:val="0"/>
              <w:spacing w:before="0" w:beforeAutospacing="0" w:after="0" w:afterAutospacing="0"/>
              <w:jc w:val="center"/>
              <w:rPr>
                <w:rFonts w:ascii="Times New Roman" w:hAnsi="Times New Roman"/>
                <w:szCs w:val="21"/>
              </w:rPr>
            </w:pPr>
            <w:r>
              <w:rPr>
                <w:rFonts w:ascii="Times New Roman" w:hAnsi="Times New Roman"/>
                <w:kern w:val="2"/>
                <w:sz w:val="21"/>
                <w:szCs w:val="24"/>
              </w:rPr>
              <w:br w:type="page"/>
            </w:r>
            <w:r>
              <w:rPr>
                <w:rFonts w:ascii="Times New Roman" w:hAnsi="Times New Roman"/>
                <w:szCs w:val="21"/>
              </w:rPr>
              <w:t>工艺流程和产排污环节</w:t>
            </w:r>
          </w:p>
        </w:tc>
        <w:tc>
          <w:tcPr>
            <w:tcW w:w="8303" w:type="dxa"/>
          </w:tcPr>
          <w:p>
            <w:pPr>
              <w:spacing w:line="440" w:lineRule="exact"/>
              <w:ind w:firstLine="482" w:firstLineChars="200"/>
              <w:rPr>
                <w:b/>
                <w:bCs/>
                <w:color w:val="FF0000"/>
                <w:sz w:val="24"/>
              </w:rPr>
            </w:pPr>
            <w:bookmarkStart w:id="13" w:name="_Hlk123404934"/>
            <w:bookmarkStart w:id="14" w:name="_Hlk147828513"/>
            <w:r>
              <w:rPr>
                <w:b/>
                <w:bCs/>
                <w:color w:val="FF0000"/>
                <w:sz w:val="24"/>
              </w:rPr>
              <w:t>运营期工艺流程简述:</w:t>
            </w:r>
          </w:p>
          <w:p>
            <w:pPr>
              <w:pStyle w:val="77"/>
              <w:spacing w:line="440" w:lineRule="exact"/>
              <w:ind w:firstLine="480"/>
              <w:rPr>
                <w:color w:val="FF0000"/>
              </w:rPr>
            </w:pPr>
            <w:r>
              <w:rPr>
                <w:rFonts w:hint="eastAsia"/>
                <w:color w:val="FF0000"/>
              </w:rPr>
              <w:t>本项目主要将原有燃煤锅炉更换为燃气锅炉，并将污水处理设施更新换代。</w:t>
            </w:r>
          </w:p>
          <w:p>
            <w:pPr>
              <w:pStyle w:val="77"/>
              <w:spacing w:line="440" w:lineRule="exact"/>
              <w:ind w:firstLine="480"/>
              <w:rPr>
                <w:color w:val="FF0000"/>
              </w:rPr>
            </w:pPr>
            <w:r>
              <w:rPr>
                <w:color w:val="FF0000"/>
              </w:rPr>
              <w:t>项目</w:t>
            </w:r>
            <w:r>
              <w:rPr>
                <w:rFonts w:hint="eastAsia"/>
                <w:color w:val="FF0000"/>
              </w:rPr>
              <w:t>锅炉房</w:t>
            </w:r>
            <w:r>
              <w:rPr>
                <w:color w:val="FF0000"/>
              </w:rPr>
              <w:t>工艺流程见下图。</w:t>
            </w:r>
          </w:p>
          <w:p>
            <w:pPr>
              <w:pStyle w:val="77"/>
              <w:spacing w:line="240" w:lineRule="auto"/>
              <w:ind w:firstLine="0" w:firstLineChars="0"/>
              <w:jc w:val="center"/>
              <w:rPr>
                <w:color w:val="FF0000"/>
              </w:rPr>
            </w:pPr>
            <w:r>
              <w:rPr>
                <w:color w:val="FF0000"/>
              </w:rPr>
              <w:object>
                <v:shape id="_x0000_i1025" o:spt="75" type="#_x0000_t75" style="height:154.8pt;width:403.6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77"/>
              <w:spacing w:line="240" w:lineRule="auto"/>
              <w:ind w:firstLine="0" w:firstLineChars="0"/>
              <w:jc w:val="center"/>
              <w:rPr>
                <w:rFonts w:ascii="黑体" w:hAnsi="黑体" w:eastAsia="黑体"/>
                <w:color w:val="FF0000"/>
                <w:sz w:val="21"/>
                <w:szCs w:val="21"/>
              </w:rPr>
            </w:pPr>
            <w:r>
              <w:rPr>
                <w:rFonts w:ascii="黑体" w:hAnsi="黑体" w:eastAsia="黑体"/>
                <w:color w:val="FF0000"/>
                <w:sz w:val="21"/>
                <w:szCs w:val="21"/>
              </w:rPr>
              <w:t>图5  锅炉房工艺流程及产污环节</w:t>
            </w:r>
          </w:p>
          <w:p>
            <w:pPr>
              <w:pStyle w:val="77"/>
              <w:spacing w:line="440" w:lineRule="exact"/>
              <w:ind w:firstLine="480"/>
              <w:rPr>
                <w:color w:val="FF0000"/>
              </w:rPr>
            </w:pPr>
            <w:r>
              <w:rPr>
                <w:rFonts w:hint="eastAsia"/>
                <w:color w:val="FF0000"/>
              </w:rPr>
              <w:t>项目污水处理工艺如下：</w:t>
            </w:r>
          </w:p>
          <w:p>
            <w:pPr>
              <w:pStyle w:val="77"/>
              <w:spacing w:line="440" w:lineRule="exact"/>
              <w:ind w:firstLine="480"/>
              <w:rPr>
                <w:color w:val="FF0000"/>
              </w:rPr>
            </w:pPr>
            <w:r>
              <w:rPr>
                <w:rFonts w:hint="eastAsia"/>
                <w:color w:val="FF0000"/>
              </w:rPr>
              <w:t>企业污水主要为设备清洗水及生活污水，污水经过调节池进行预曝气曝气后，并调节PH值，由提升泵提升，进入酸化水解池和接触氧化池进行反应，在由提升泵提升，同时添加PAC/PAM药剂，经过管道混合器进入一体化高效气浮装置处理，达标排放。</w:t>
            </w:r>
          </w:p>
          <w:p>
            <w:pPr>
              <w:pStyle w:val="77"/>
              <w:spacing w:line="440" w:lineRule="exact"/>
              <w:ind w:firstLine="480"/>
              <w:rPr>
                <w:color w:val="FF0000"/>
              </w:rPr>
            </w:pPr>
            <w:r>
              <w:rPr>
                <w:rFonts w:hint="eastAsia"/>
                <w:color w:val="FF0000"/>
              </w:rPr>
              <w:t>系统产生的污泥进入污泥箱后，通过污泥泵进入板框压滤机，压成的泥饼外运处理。</w:t>
            </w:r>
          </w:p>
          <w:bookmarkEnd w:id="13"/>
          <w:p>
            <w:pPr>
              <w:pStyle w:val="2"/>
              <w:ind w:firstLine="0" w:firstLineChars="0"/>
              <w:jc w:val="center"/>
              <w:rPr>
                <w:color w:val="FF0000"/>
              </w:rPr>
            </w:pPr>
            <w:r>
              <w:rPr>
                <w:color w:val="FF0000"/>
              </w:rPr>
              <w:object>
                <v:shape id="_x0000_i1026" o:spt="75" type="#_x0000_t75" style="height:121.6pt;width:404.05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jc w:val="center"/>
              <w:rPr>
                <w:rFonts w:ascii="黑体" w:hAnsi="黑体" w:eastAsia="黑体"/>
              </w:rPr>
            </w:pPr>
            <w:r>
              <w:rPr>
                <w:rFonts w:hint="eastAsia" w:ascii="黑体" w:hAnsi="黑体" w:eastAsia="黑体"/>
                <w:color w:val="FF0000"/>
              </w:rPr>
              <w:t>图</w:t>
            </w:r>
            <w:r>
              <w:rPr>
                <w:rFonts w:ascii="黑体" w:hAnsi="黑体" w:eastAsia="黑体"/>
                <w:color w:val="FF0000"/>
              </w:rPr>
              <w:t xml:space="preserve">6  </w:t>
            </w:r>
            <w:r>
              <w:rPr>
                <w:rFonts w:hint="eastAsia" w:ascii="黑体" w:hAnsi="黑体" w:eastAsia="黑体"/>
                <w:color w:val="FF0000"/>
              </w:rPr>
              <w:t>污水处理工艺流程</w:t>
            </w:r>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1" w:type="dxa"/>
            <w:vAlign w:val="center"/>
          </w:tcPr>
          <w:p>
            <w:pPr>
              <w:pStyle w:val="40"/>
              <w:adjustRightInd w:val="0"/>
              <w:snapToGrid w:val="0"/>
              <w:spacing w:before="0" w:beforeAutospacing="0" w:after="0" w:afterAutospacing="0"/>
              <w:jc w:val="center"/>
              <w:rPr>
                <w:rFonts w:ascii="Times New Roman" w:hAnsi="Times New Roman"/>
                <w:kern w:val="2"/>
                <w:sz w:val="21"/>
                <w:szCs w:val="24"/>
              </w:rPr>
            </w:pPr>
            <w:bookmarkStart w:id="15" w:name="_Hlk123404982"/>
            <w:r>
              <w:rPr>
                <w:rFonts w:ascii="Times New Roman" w:hAnsi="Times New Roman"/>
                <w:szCs w:val="21"/>
              </w:rPr>
              <w:t>工艺流程和产排污环节</w:t>
            </w:r>
          </w:p>
        </w:tc>
        <w:tc>
          <w:tcPr>
            <w:tcW w:w="8303" w:type="dxa"/>
          </w:tcPr>
          <w:p>
            <w:pPr>
              <w:pStyle w:val="77"/>
              <w:ind w:firstLine="480"/>
              <w:rPr>
                <w:color w:val="FF0000"/>
              </w:rPr>
            </w:pPr>
            <w:bookmarkStart w:id="16" w:name="_Hlk147828500"/>
            <w:r>
              <w:rPr>
                <w:rFonts w:hint="eastAsia"/>
                <w:color w:val="FF0000"/>
              </w:rPr>
              <w:t>项目产污节点见下表。</w:t>
            </w:r>
          </w:p>
          <w:p>
            <w:pPr>
              <w:pStyle w:val="77"/>
              <w:spacing w:line="240" w:lineRule="auto"/>
              <w:ind w:firstLine="420"/>
              <w:rPr>
                <w:rFonts w:ascii="黑体" w:hAnsi="黑体" w:eastAsia="黑体"/>
                <w:color w:val="FF0000"/>
                <w:sz w:val="21"/>
                <w:szCs w:val="21"/>
              </w:rPr>
            </w:pPr>
            <w:r>
              <w:rPr>
                <w:rFonts w:hint="eastAsia" w:ascii="黑体" w:hAnsi="黑体" w:eastAsia="黑体"/>
                <w:color w:val="FF0000"/>
                <w:sz w:val="21"/>
                <w:szCs w:val="21"/>
              </w:rPr>
              <w:t>表</w:t>
            </w:r>
            <w:r>
              <w:rPr>
                <w:rFonts w:ascii="黑体" w:hAnsi="黑体" w:eastAsia="黑体"/>
                <w:color w:val="FF0000"/>
                <w:sz w:val="21"/>
                <w:szCs w:val="21"/>
              </w:rPr>
              <w:t xml:space="preserve">2-8                    </w:t>
            </w:r>
            <w:r>
              <w:rPr>
                <w:rFonts w:hint="eastAsia" w:ascii="黑体" w:hAnsi="黑体" w:eastAsia="黑体"/>
                <w:color w:val="FF0000"/>
                <w:sz w:val="21"/>
                <w:szCs w:val="21"/>
              </w:rPr>
              <w:t>项目产污节点一览表</w:t>
            </w:r>
          </w:p>
          <w:tbl>
            <w:tblPr>
              <w:tblStyle w:val="47"/>
              <w:tblW w:w="807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1909"/>
              <w:gridCol w:w="2126"/>
              <w:gridCol w:w="28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03" w:type="dxa"/>
                  <w:vAlign w:val="center"/>
                </w:tcPr>
                <w:p>
                  <w:pPr>
                    <w:pStyle w:val="114"/>
                    <w:spacing w:line="240" w:lineRule="auto"/>
                    <w:rPr>
                      <w:color w:val="FF0000"/>
                      <w:lang w:eastAsia="zh-CN"/>
                    </w:rPr>
                  </w:pPr>
                  <w:r>
                    <w:rPr>
                      <w:rFonts w:hint="eastAsia"/>
                      <w:color w:val="FF0000"/>
                      <w:lang w:eastAsia="zh-CN"/>
                    </w:rPr>
                    <w:t>类别</w:t>
                  </w:r>
                </w:p>
              </w:tc>
              <w:tc>
                <w:tcPr>
                  <w:tcW w:w="1909" w:type="dxa"/>
                  <w:vAlign w:val="center"/>
                </w:tcPr>
                <w:p>
                  <w:pPr>
                    <w:pStyle w:val="114"/>
                    <w:spacing w:line="240" w:lineRule="auto"/>
                    <w:rPr>
                      <w:color w:val="FF0000"/>
                      <w:lang w:eastAsia="zh-CN"/>
                    </w:rPr>
                  </w:pPr>
                  <w:r>
                    <w:rPr>
                      <w:rFonts w:hint="eastAsia"/>
                      <w:color w:val="FF0000"/>
                      <w:lang w:eastAsia="zh-CN"/>
                    </w:rPr>
                    <w:t>产污环节</w:t>
                  </w:r>
                </w:p>
              </w:tc>
              <w:tc>
                <w:tcPr>
                  <w:tcW w:w="2126" w:type="dxa"/>
                  <w:vAlign w:val="center"/>
                </w:tcPr>
                <w:p>
                  <w:pPr>
                    <w:pStyle w:val="114"/>
                    <w:spacing w:line="240" w:lineRule="auto"/>
                    <w:rPr>
                      <w:color w:val="FF0000"/>
                      <w:lang w:eastAsia="zh-CN"/>
                    </w:rPr>
                  </w:pPr>
                  <w:r>
                    <w:rPr>
                      <w:rFonts w:hint="eastAsia"/>
                      <w:color w:val="FF0000"/>
                      <w:lang w:eastAsia="zh-CN"/>
                    </w:rPr>
                    <w:t>污染物</w:t>
                  </w:r>
                </w:p>
              </w:tc>
              <w:tc>
                <w:tcPr>
                  <w:tcW w:w="2839" w:type="dxa"/>
                  <w:vAlign w:val="center"/>
                </w:tcPr>
                <w:p>
                  <w:pPr>
                    <w:pStyle w:val="114"/>
                    <w:spacing w:line="240" w:lineRule="auto"/>
                    <w:rPr>
                      <w:color w:val="FF0000"/>
                      <w:lang w:eastAsia="zh-CN"/>
                    </w:rPr>
                  </w:pPr>
                  <w:r>
                    <w:rPr>
                      <w:rFonts w:hint="eastAsia"/>
                      <w:color w:val="FF0000"/>
                      <w:lang w:eastAsia="zh-CN"/>
                    </w:rPr>
                    <w:t>治理措施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03" w:type="dxa"/>
                  <w:vMerge w:val="restart"/>
                  <w:vAlign w:val="center"/>
                </w:tcPr>
                <w:p>
                  <w:pPr>
                    <w:pStyle w:val="114"/>
                    <w:spacing w:line="240" w:lineRule="auto"/>
                    <w:rPr>
                      <w:color w:val="FF0000"/>
                      <w:lang w:eastAsia="zh-CN"/>
                    </w:rPr>
                  </w:pPr>
                  <w:r>
                    <w:rPr>
                      <w:rFonts w:hint="eastAsia"/>
                      <w:color w:val="FF0000"/>
                      <w:lang w:eastAsia="zh-CN"/>
                    </w:rPr>
                    <w:t>废气</w:t>
                  </w:r>
                </w:p>
              </w:tc>
              <w:tc>
                <w:tcPr>
                  <w:tcW w:w="1909" w:type="dxa"/>
                  <w:vAlign w:val="center"/>
                </w:tcPr>
                <w:p>
                  <w:pPr>
                    <w:pStyle w:val="114"/>
                    <w:spacing w:line="240" w:lineRule="auto"/>
                    <w:rPr>
                      <w:color w:val="FF0000"/>
                      <w:lang w:eastAsia="zh-CN"/>
                    </w:rPr>
                  </w:pPr>
                  <w:r>
                    <w:rPr>
                      <w:rFonts w:hint="eastAsia"/>
                      <w:color w:val="FF0000"/>
                      <w:lang w:eastAsia="zh-CN"/>
                    </w:rPr>
                    <w:t>燃气锅炉</w:t>
                  </w:r>
                </w:p>
              </w:tc>
              <w:tc>
                <w:tcPr>
                  <w:tcW w:w="2126" w:type="dxa"/>
                  <w:vAlign w:val="center"/>
                </w:tcPr>
                <w:p>
                  <w:pPr>
                    <w:pStyle w:val="114"/>
                    <w:spacing w:line="240" w:lineRule="auto"/>
                    <w:rPr>
                      <w:color w:val="FF0000"/>
                      <w:lang w:eastAsia="zh-CN"/>
                    </w:rPr>
                  </w:pPr>
                  <w:r>
                    <w:rPr>
                      <w:rFonts w:hint="eastAsia"/>
                      <w:color w:val="FF0000"/>
                      <w:lang w:eastAsia="zh-CN"/>
                    </w:rPr>
                    <w:t>S</w:t>
                  </w:r>
                  <w:r>
                    <w:rPr>
                      <w:color w:val="FF0000"/>
                      <w:lang w:eastAsia="zh-CN"/>
                    </w:rPr>
                    <w:t>O</w:t>
                  </w:r>
                  <w:r>
                    <w:rPr>
                      <w:color w:val="FF0000"/>
                      <w:vertAlign w:val="subscript"/>
                      <w:lang w:eastAsia="zh-CN"/>
                    </w:rPr>
                    <w:t>2</w:t>
                  </w:r>
                  <w:r>
                    <w:rPr>
                      <w:rFonts w:hint="eastAsia"/>
                      <w:color w:val="FF0000"/>
                      <w:lang w:eastAsia="zh-CN"/>
                    </w:rPr>
                    <w:t>、N</w:t>
                  </w:r>
                  <w:r>
                    <w:rPr>
                      <w:color w:val="FF0000"/>
                      <w:lang w:eastAsia="zh-CN"/>
                    </w:rPr>
                    <w:t>O</w:t>
                  </w:r>
                  <w:r>
                    <w:rPr>
                      <w:rFonts w:hint="eastAsia"/>
                      <w:color w:val="FF0000"/>
                      <w:lang w:eastAsia="zh-CN"/>
                    </w:rPr>
                    <w:t>x、颗粒物</w:t>
                  </w:r>
                </w:p>
              </w:tc>
              <w:tc>
                <w:tcPr>
                  <w:tcW w:w="2839" w:type="dxa"/>
                  <w:vAlign w:val="center"/>
                </w:tcPr>
                <w:p>
                  <w:pPr>
                    <w:pStyle w:val="114"/>
                    <w:spacing w:line="240" w:lineRule="auto"/>
                    <w:rPr>
                      <w:color w:val="FF0000"/>
                      <w:lang w:eastAsia="zh-CN"/>
                    </w:rPr>
                  </w:pPr>
                  <w:r>
                    <w:rPr>
                      <w:rFonts w:hint="eastAsia"/>
                      <w:color w:val="FF0000"/>
                      <w:lang w:eastAsia="zh-CN"/>
                    </w:rPr>
                    <w:t>低氮燃烧+烟气再循环技术+</w:t>
                  </w:r>
                  <w:r>
                    <w:rPr>
                      <w:color w:val="FF0000"/>
                      <w:lang w:eastAsia="zh-CN"/>
                    </w:rPr>
                    <w:t>15</w:t>
                  </w:r>
                  <w:r>
                    <w:rPr>
                      <w:rFonts w:hint="eastAsia"/>
                      <w:color w:val="FF0000"/>
                      <w:lang w:eastAsia="zh-CN"/>
                    </w:rPr>
                    <w:t>m高排气筒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03" w:type="dxa"/>
                  <w:vMerge w:val="continue"/>
                  <w:vAlign w:val="center"/>
                </w:tcPr>
                <w:p>
                  <w:pPr>
                    <w:pStyle w:val="114"/>
                    <w:spacing w:line="240" w:lineRule="auto"/>
                    <w:rPr>
                      <w:color w:val="FF0000"/>
                      <w:lang w:eastAsia="zh-CN"/>
                    </w:rPr>
                  </w:pPr>
                </w:p>
              </w:tc>
              <w:tc>
                <w:tcPr>
                  <w:tcW w:w="1909" w:type="dxa"/>
                  <w:vAlign w:val="center"/>
                </w:tcPr>
                <w:p>
                  <w:pPr>
                    <w:pStyle w:val="114"/>
                    <w:spacing w:line="240" w:lineRule="auto"/>
                    <w:rPr>
                      <w:color w:val="FF0000"/>
                      <w:lang w:eastAsia="zh-CN"/>
                    </w:rPr>
                  </w:pPr>
                  <w:r>
                    <w:rPr>
                      <w:rFonts w:hint="eastAsia"/>
                      <w:color w:val="FF0000"/>
                      <w:lang w:eastAsia="zh-CN"/>
                    </w:rPr>
                    <w:t>污水处理站曝气池、水解池、氧化池以及板框压滤环节产生的恶臭</w:t>
                  </w:r>
                </w:p>
              </w:tc>
              <w:tc>
                <w:tcPr>
                  <w:tcW w:w="2126" w:type="dxa"/>
                  <w:vAlign w:val="center"/>
                </w:tcPr>
                <w:p>
                  <w:pPr>
                    <w:pStyle w:val="114"/>
                    <w:spacing w:line="240" w:lineRule="auto"/>
                    <w:rPr>
                      <w:color w:val="FF0000"/>
                      <w:lang w:eastAsia="zh-CN"/>
                    </w:rPr>
                  </w:pPr>
                  <w:r>
                    <w:rPr>
                      <w:rFonts w:hint="eastAsia"/>
                      <w:color w:val="FF0000"/>
                      <w:lang w:eastAsia="zh-CN"/>
                    </w:rPr>
                    <w:t>臭气浓度</w:t>
                  </w:r>
                </w:p>
              </w:tc>
              <w:tc>
                <w:tcPr>
                  <w:tcW w:w="2839" w:type="dxa"/>
                  <w:vAlign w:val="center"/>
                </w:tcPr>
                <w:p>
                  <w:pPr>
                    <w:pStyle w:val="114"/>
                    <w:spacing w:line="240" w:lineRule="auto"/>
                    <w:rPr>
                      <w:color w:val="FF0000"/>
                      <w:lang w:eastAsia="zh-CN"/>
                    </w:rPr>
                  </w:pPr>
                  <w:r>
                    <w:rPr>
                      <w:rFonts w:hint="eastAsia"/>
                      <w:color w:val="FF0000"/>
                      <w:lang w:eastAsia="zh-CN"/>
                    </w:rPr>
                    <w:t>产生恶臭的区域加盖密闭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03" w:type="dxa"/>
                  <w:vAlign w:val="center"/>
                </w:tcPr>
                <w:p>
                  <w:pPr>
                    <w:pStyle w:val="114"/>
                    <w:spacing w:line="240" w:lineRule="auto"/>
                    <w:rPr>
                      <w:color w:val="FF0000"/>
                      <w:lang w:eastAsia="zh-CN"/>
                    </w:rPr>
                  </w:pPr>
                  <w:r>
                    <w:rPr>
                      <w:rFonts w:hint="eastAsia"/>
                      <w:color w:val="FF0000"/>
                      <w:lang w:eastAsia="zh-CN"/>
                    </w:rPr>
                    <w:t>废水</w:t>
                  </w:r>
                </w:p>
              </w:tc>
              <w:tc>
                <w:tcPr>
                  <w:tcW w:w="1909" w:type="dxa"/>
                  <w:vAlign w:val="center"/>
                </w:tcPr>
                <w:p>
                  <w:pPr>
                    <w:pStyle w:val="114"/>
                    <w:spacing w:line="240" w:lineRule="auto"/>
                    <w:rPr>
                      <w:color w:val="FF0000"/>
                      <w:lang w:eastAsia="zh-CN"/>
                    </w:rPr>
                  </w:pPr>
                  <w:r>
                    <w:rPr>
                      <w:rFonts w:hint="eastAsia"/>
                      <w:color w:val="FF0000"/>
                      <w:lang w:eastAsia="zh-CN"/>
                    </w:rPr>
                    <w:t>污水处理站出水</w:t>
                  </w:r>
                </w:p>
              </w:tc>
              <w:tc>
                <w:tcPr>
                  <w:tcW w:w="2126" w:type="dxa"/>
                  <w:vAlign w:val="center"/>
                </w:tcPr>
                <w:p>
                  <w:pPr>
                    <w:pStyle w:val="114"/>
                    <w:spacing w:line="240" w:lineRule="auto"/>
                    <w:rPr>
                      <w:color w:val="FF0000"/>
                      <w:lang w:eastAsia="zh-CN"/>
                    </w:rPr>
                  </w:pPr>
                  <w:r>
                    <w:rPr>
                      <w:color w:val="FF0000"/>
                      <w:lang w:eastAsia="zh-CN"/>
                    </w:rPr>
                    <w:t>pH</w:t>
                  </w:r>
                  <w:r>
                    <w:rPr>
                      <w:rFonts w:hint="eastAsia"/>
                      <w:color w:val="FF0000"/>
                      <w:lang w:eastAsia="zh-CN"/>
                    </w:rPr>
                    <w:t>、C</w:t>
                  </w:r>
                  <w:r>
                    <w:rPr>
                      <w:color w:val="FF0000"/>
                      <w:lang w:eastAsia="zh-CN"/>
                    </w:rPr>
                    <w:t>OD</w:t>
                  </w:r>
                  <w:r>
                    <w:rPr>
                      <w:rFonts w:hint="eastAsia"/>
                      <w:color w:val="FF0000"/>
                      <w:lang w:eastAsia="zh-CN"/>
                    </w:rPr>
                    <w:t>、B</w:t>
                  </w:r>
                  <w:r>
                    <w:rPr>
                      <w:color w:val="FF0000"/>
                      <w:lang w:eastAsia="zh-CN"/>
                    </w:rPr>
                    <w:t>OD</w:t>
                  </w:r>
                  <w:r>
                    <w:rPr>
                      <w:color w:val="FF0000"/>
                      <w:vertAlign w:val="subscript"/>
                      <w:lang w:eastAsia="zh-CN"/>
                    </w:rPr>
                    <w:t>5</w:t>
                  </w:r>
                  <w:r>
                    <w:rPr>
                      <w:rFonts w:hint="eastAsia"/>
                      <w:color w:val="FF0000"/>
                      <w:lang w:eastAsia="zh-CN"/>
                    </w:rPr>
                    <w:t>、氨氮、S</w:t>
                  </w:r>
                  <w:r>
                    <w:rPr>
                      <w:color w:val="FF0000"/>
                      <w:lang w:eastAsia="zh-CN"/>
                    </w:rPr>
                    <w:t>S</w:t>
                  </w:r>
                  <w:r>
                    <w:rPr>
                      <w:rFonts w:hint="eastAsia"/>
                      <w:color w:val="FF0000"/>
                      <w:lang w:eastAsia="zh-CN"/>
                    </w:rPr>
                    <w:t>、磷酸盐、动植物油</w:t>
                  </w:r>
                </w:p>
              </w:tc>
              <w:tc>
                <w:tcPr>
                  <w:tcW w:w="2839" w:type="dxa"/>
                  <w:vAlign w:val="center"/>
                </w:tcPr>
                <w:p>
                  <w:pPr>
                    <w:pStyle w:val="114"/>
                    <w:spacing w:line="240" w:lineRule="auto"/>
                    <w:rPr>
                      <w:color w:val="FF0000"/>
                      <w:lang w:eastAsia="zh-CN"/>
                    </w:rPr>
                  </w:pPr>
                  <w:r>
                    <w:rPr>
                      <w:rFonts w:hint="eastAsia"/>
                      <w:color w:val="FF0000"/>
                      <w:lang w:eastAsia="zh-CN"/>
                    </w:rPr>
                    <w:t>经污水处理站处理后达标排至污水管网，最终进入呼图壁县丰泉污水处理厂处置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03" w:type="dxa"/>
                  <w:vAlign w:val="center"/>
                </w:tcPr>
                <w:p>
                  <w:pPr>
                    <w:pStyle w:val="114"/>
                    <w:spacing w:line="240" w:lineRule="auto"/>
                    <w:rPr>
                      <w:color w:val="FF0000"/>
                      <w:lang w:eastAsia="zh-CN"/>
                    </w:rPr>
                  </w:pPr>
                  <w:r>
                    <w:rPr>
                      <w:rFonts w:hint="eastAsia"/>
                      <w:color w:val="FF0000"/>
                      <w:lang w:eastAsia="zh-CN"/>
                    </w:rPr>
                    <w:t>噪声</w:t>
                  </w:r>
                </w:p>
              </w:tc>
              <w:tc>
                <w:tcPr>
                  <w:tcW w:w="1909" w:type="dxa"/>
                  <w:vAlign w:val="center"/>
                </w:tcPr>
                <w:p>
                  <w:pPr>
                    <w:pStyle w:val="114"/>
                    <w:spacing w:line="240" w:lineRule="auto"/>
                    <w:rPr>
                      <w:color w:val="FF0000"/>
                      <w:lang w:eastAsia="zh-CN"/>
                    </w:rPr>
                  </w:pPr>
                  <w:r>
                    <w:rPr>
                      <w:rFonts w:hint="eastAsia"/>
                      <w:color w:val="FF0000"/>
                      <w:lang w:eastAsia="zh-CN"/>
                    </w:rPr>
                    <w:t>泵、风机、板框压滤机等设备</w:t>
                  </w:r>
                </w:p>
              </w:tc>
              <w:tc>
                <w:tcPr>
                  <w:tcW w:w="2126" w:type="dxa"/>
                  <w:vAlign w:val="center"/>
                </w:tcPr>
                <w:p>
                  <w:pPr>
                    <w:pStyle w:val="114"/>
                    <w:spacing w:line="240" w:lineRule="auto"/>
                    <w:rPr>
                      <w:color w:val="FF0000"/>
                      <w:lang w:eastAsia="zh-CN"/>
                    </w:rPr>
                  </w:pPr>
                  <w:r>
                    <w:rPr>
                      <w:rFonts w:hint="eastAsia"/>
                      <w:color w:val="FF0000"/>
                      <w:lang w:eastAsia="zh-CN"/>
                    </w:rPr>
                    <w:t>等效声级</w:t>
                  </w:r>
                </w:p>
              </w:tc>
              <w:tc>
                <w:tcPr>
                  <w:tcW w:w="2839" w:type="dxa"/>
                  <w:vAlign w:val="center"/>
                </w:tcPr>
                <w:p>
                  <w:pPr>
                    <w:pStyle w:val="114"/>
                    <w:spacing w:line="240" w:lineRule="auto"/>
                    <w:rPr>
                      <w:color w:val="FF0000"/>
                      <w:lang w:eastAsia="zh-CN"/>
                    </w:rPr>
                  </w:pPr>
                  <w:r>
                    <w:rPr>
                      <w:rFonts w:hint="eastAsia"/>
                      <w:color w:val="FF0000"/>
                      <w:lang w:eastAsia="zh-CN"/>
                    </w:rPr>
                    <w:t>水泵、风机等高噪声设备采取室内布置，做好设备基础减振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03" w:type="dxa"/>
                  <w:vMerge w:val="restart"/>
                  <w:vAlign w:val="center"/>
                </w:tcPr>
                <w:p>
                  <w:pPr>
                    <w:pStyle w:val="114"/>
                    <w:spacing w:line="240" w:lineRule="auto"/>
                    <w:rPr>
                      <w:color w:val="FF0000"/>
                      <w:lang w:eastAsia="zh-CN"/>
                    </w:rPr>
                  </w:pPr>
                  <w:r>
                    <w:rPr>
                      <w:rFonts w:hint="eastAsia"/>
                      <w:color w:val="FF0000"/>
                      <w:lang w:eastAsia="zh-CN"/>
                    </w:rPr>
                    <w:t>固废</w:t>
                  </w:r>
                </w:p>
              </w:tc>
              <w:tc>
                <w:tcPr>
                  <w:tcW w:w="1909" w:type="dxa"/>
                  <w:vAlign w:val="center"/>
                </w:tcPr>
                <w:p>
                  <w:pPr>
                    <w:pStyle w:val="114"/>
                    <w:spacing w:line="240" w:lineRule="auto"/>
                    <w:rPr>
                      <w:color w:val="FF0000"/>
                      <w:lang w:eastAsia="zh-CN"/>
                    </w:rPr>
                  </w:pPr>
                  <w:r>
                    <w:rPr>
                      <w:rFonts w:hint="eastAsia"/>
                      <w:color w:val="FF0000"/>
                      <w:lang w:eastAsia="zh-CN"/>
                    </w:rPr>
                    <w:t>软水制备设备</w:t>
                  </w:r>
                </w:p>
              </w:tc>
              <w:tc>
                <w:tcPr>
                  <w:tcW w:w="2126" w:type="dxa"/>
                  <w:vAlign w:val="center"/>
                </w:tcPr>
                <w:p>
                  <w:pPr>
                    <w:pStyle w:val="114"/>
                    <w:spacing w:line="240" w:lineRule="auto"/>
                    <w:rPr>
                      <w:color w:val="FF0000"/>
                      <w:lang w:eastAsia="zh-CN"/>
                    </w:rPr>
                  </w:pPr>
                  <w:r>
                    <w:rPr>
                      <w:rFonts w:hint="eastAsia"/>
                      <w:color w:val="FF0000"/>
                      <w:lang w:eastAsia="zh-CN"/>
                    </w:rPr>
                    <w:t>废弃离子交换树脂</w:t>
                  </w:r>
                </w:p>
              </w:tc>
              <w:tc>
                <w:tcPr>
                  <w:tcW w:w="2839" w:type="dxa"/>
                  <w:vAlign w:val="center"/>
                </w:tcPr>
                <w:p>
                  <w:pPr>
                    <w:pStyle w:val="114"/>
                    <w:spacing w:line="240" w:lineRule="auto"/>
                    <w:rPr>
                      <w:color w:val="FF0000"/>
                      <w:lang w:eastAsia="zh-CN"/>
                    </w:rPr>
                  </w:pPr>
                  <w:r>
                    <w:rPr>
                      <w:rFonts w:hint="eastAsia"/>
                      <w:color w:val="FF0000"/>
                      <w:lang w:eastAsia="zh-CN"/>
                    </w:rPr>
                    <w:t>由厂家更换并带走回收处置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03" w:type="dxa"/>
                  <w:vMerge w:val="continue"/>
                  <w:vAlign w:val="center"/>
                </w:tcPr>
                <w:p>
                  <w:pPr>
                    <w:pStyle w:val="114"/>
                    <w:spacing w:line="240" w:lineRule="auto"/>
                    <w:rPr>
                      <w:color w:val="FF0000"/>
                      <w:lang w:eastAsia="zh-CN"/>
                    </w:rPr>
                  </w:pPr>
                </w:p>
              </w:tc>
              <w:tc>
                <w:tcPr>
                  <w:tcW w:w="1909" w:type="dxa"/>
                  <w:vAlign w:val="center"/>
                </w:tcPr>
                <w:p>
                  <w:pPr>
                    <w:pStyle w:val="114"/>
                    <w:spacing w:line="240" w:lineRule="auto"/>
                    <w:rPr>
                      <w:color w:val="FF0000"/>
                      <w:lang w:eastAsia="zh-CN"/>
                    </w:rPr>
                  </w:pPr>
                  <w:r>
                    <w:rPr>
                      <w:rFonts w:hint="eastAsia"/>
                      <w:color w:val="FF0000"/>
                      <w:lang w:eastAsia="zh-CN"/>
                    </w:rPr>
                    <w:t>污泥脱水工序</w:t>
                  </w:r>
                </w:p>
              </w:tc>
              <w:tc>
                <w:tcPr>
                  <w:tcW w:w="2126" w:type="dxa"/>
                  <w:vAlign w:val="center"/>
                </w:tcPr>
                <w:p>
                  <w:pPr>
                    <w:pStyle w:val="114"/>
                    <w:spacing w:line="240" w:lineRule="auto"/>
                    <w:rPr>
                      <w:color w:val="FF0000"/>
                      <w:lang w:eastAsia="zh-CN"/>
                    </w:rPr>
                  </w:pPr>
                  <w:r>
                    <w:rPr>
                      <w:rFonts w:hint="eastAsia"/>
                      <w:color w:val="FF0000"/>
                      <w:lang w:eastAsia="zh-CN"/>
                    </w:rPr>
                    <w:t>污泥</w:t>
                  </w:r>
                </w:p>
              </w:tc>
              <w:tc>
                <w:tcPr>
                  <w:tcW w:w="2839" w:type="dxa"/>
                  <w:vAlign w:val="center"/>
                </w:tcPr>
                <w:p>
                  <w:pPr>
                    <w:pStyle w:val="114"/>
                    <w:spacing w:line="240" w:lineRule="auto"/>
                    <w:rPr>
                      <w:color w:val="FF0000"/>
                      <w:lang w:eastAsia="zh-CN"/>
                    </w:rPr>
                  </w:pPr>
                  <w:r>
                    <w:rPr>
                      <w:rFonts w:hint="eastAsia"/>
                      <w:color w:val="FF0000"/>
                      <w:lang w:eastAsia="zh-CN"/>
                    </w:rPr>
                    <w:t>收集后拉运至呼图壁县生活垃圾填埋场处置</w:t>
                  </w:r>
                </w:p>
              </w:tc>
            </w:tr>
            <w:bookmarkEnd w:id="16"/>
          </w:tbl>
          <w:p>
            <w:pPr>
              <w:spacing w:line="440" w:lineRule="exact"/>
              <w:ind w:firstLine="482" w:firstLineChars="200"/>
              <w:rPr>
                <w:b/>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1" w:type="dxa"/>
            <w:vAlign w:val="center"/>
          </w:tcPr>
          <w:p>
            <w:pPr>
              <w:pStyle w:val="40"/>
              <w:adjustRightInd w:val="0"/>
              <w:snapToGrid w:val="0"/>
              <w:spacing w:before="0" w:beforeAutospacing="0" w:after="0" w:afterAutospacing="0"/>
              <w:jc w:val="center"/>
              <w:rPr>
                <w:rFonts w:ascii="Times New Roman" w:hAnsi="Times New Roman"/>
                <w:kern w:val="2"/>
                <w:sz w:val="21"/>
                <w:szCs w:val="24"/>
              </w:rPr>
            </w:pPr>
            <w:r>
              <w:rPr>
                <w:rFonts w:ascii="Times New Roman" w:hAnsi="Times New Roman"/>
                <w:bCs/>
                <w:kern w:val="2"/>
                <w:szCs w:val="21"/>
              </w:rPr>
              <w:t>与项目有关的原有环境污染问题</w:t>
            </w:r>
          </w:p>
        </w:tc>
        <w:tc>
          <w:tcPr>
            <w:tcW w:w="8303" w:type="dxa"/>
            <w:vAlign w:val="center"/>
          </w:tcPr>
          <w:p>
            <w:pPr>
              <w:pStyle w:val="77"/>
              <w:ind w:firstLine="480"/>
              <w:rPr>
                <w:color w:val="FF0000"/>
              </w:rPr>
            </w:pPr>
            <w:bookmarkStart w:id="17" w:name="_Hlk147658612"/>
            <w:r>
              <w:rPr>
                <w:rFonts w:hint="eastAsia"/>
                <w:color w:val="FF0000"/>
              </w:rPr>
              <w:t>1、现有项目环保手续执行情况</w:t>
            </w:r>
          </w:p>
          <w:p>
            <w:pPr>
              <w:pStyle w:val="77"/>
              <w:ind w:firstLine="480"/>
              <w:rPr>
                <w:color w:val="FF0000"/>
              </w:rPr>
            </w:pPr>
            <w:r>
              <w:rPr>
                <w:rFonts w:hint="eastAsia"/>
                <w:color w:val="FF0000"/>
              </w:rPr>
              <w:t>新疆维维天山雪乳业有限公司原名新疆维维牛奶有限公司，成立于2</w:t>
            </w:r>
            <w:r>
              <w:rPr>
                <w:color w:val="FF0000"/>
              </w:rPr>
              <w:t>002</w:t>
            </w:r>
            <w:r>
              <w:rPr>
                <w:rFonts w:hint="eastAsia"/>
                <w:color w:val="FF0000"/>
              </w:rPr>
              <w:t>年1月，2</w:t>
            </w:r>
            <w:r>
              <w:rPr>
                <w:color w:val="FF0000"/>
              </w:rPr>
              <w:t>003</w:t>
            </w:r>
            <w:r>
              <w:rPr>
                <w:rFonts w:hint="eastAsia"/>
                <w:color w:val="FF0000"/>
              </w:rPr>
              <w:t>年4月委托新疆建材工业设计院编制完成了《新疆维维牛奶有限公司乳品深加工项目环境影响报告表》，同意项目建设，项目建成后年处理原料乳3</w:t>
            </w:r>
            <w:r>
              <w:rPr>
                <w:color w:val="FF0000"/>
              </w:rPr>
              <w:t>3000</w:t>
            </w:r>
            <w:r>
              <w:rPr>
                <w:rFonts w:hint="eastAsia"/>
                <w:color w:val="FF0000"/>
              </w:rPr>
              <w:t>吨；2</w:t>
            </w:r>
            <w:r>
              <w:rPr>
                <w:color w:val="FF0000"/>
              </w:rPr>
              <w:t>008</w:t>
            </w:r>
            <w:r>
              <w:rPr>
                <w:rFonts w:hint="eastAsia"/>
                <w:color w:val="FF0000"/>
              </w:rPr>
              <w:t>年9月委托昌吉州环境监测站编制完成了项目竣工环境保护验收工作。目前企业年产发酵乳2</w:t>
            </w:r>
            <w:r>
              <w:rPr>
                <w:color w:val="FF0000"/>
              </w:rPr>
              <w:t>000</w:t>
            </w:r>
            <w:r>
              <w:rPr>
                <w:rFonts w:hint="eastAsia"/>
                <w:color w:val="FF0000"/>
              </w:rPr>
              <w:t>吨，年产灭菌乳5</w:t>
            </w:r>
            <w:r>
              <w:rPr>
                <w:color w:val="FF0000"/>
              </w:rPr>
              <w:t>000</w:t>
            </w:r>
            <w:r>
              <w:rPr>
                <w:rFonts w:hint="eastAsia"/>
                <w:color w:val="FF0000"/>
              </w:rPr>
              <w:t>吨。相关环保手续执行情况如下：</w:t>
            </w:r>
          </w:p>
          <w:p>
            <w:pPr>
              <w:pStyle w:val="77"/>
              <w:ind w:firstLine="480"/>
              <w:rPr>
                <w:color w:val="FF0000"/>
              </w:rPr>
            </w:pPr>
            <w:r>
              <w:rPr>
                <w:rFonts w:hint="eastAsia"/>
                <w:color w:val="FF0000"/>
              </w:rPr>
              <w:t>①现有工程环境影响评价手续履行情况</w:t>
            </w:r>
          </w:p>
          <w:p>
            <w:pPr>
              <w:pStyle w:val="77"/>
              <w:spacing w:line="240" w:lineRule="auto"/>
              <w:ind w:firstLine="420"/>
              <w:rPr>
                <w:rFonts w:ascii="黑体" w:hAnsi="黑体" w:eastAsia="黑体"/>
                <w:color w:val="FF0000"/>
                <w:sz w:val="21"/>
              </w:rPr>
            </w:pPr>
            <w:r>
              <w:rPr>
                <w:rFonts w:hint="eastAsia" w:ascii="黑体" w:hAnsi="黑体" w:eastAsia="黑体"/>
                <w:color w:val="FF0000"/>
                <w:sz w:val="21"/>
              </w:rPr>
              <w:t>表</w:t>
            </w:r>
            <w:r>
              <w:rPr>
                <w:rFonts w:ascii="黑体" w:hAnsi="黑体" w:eastAsia="黑体"/>
                <w:color w:val="FF0000"/>
                <w:sz w:val="21"/>
              </w:rPr>
              <w:t xml:space="preserve">2-9           </w:t>
            </w:r>
            <w:r>
              <w:rPr>
                <w:rFonts w:hint="eastAsia" w:ascii="黑体" w:hAnsi="黑体" w:eastAsia="黑体"/>
                <w:color w:val="FF0000"/>
                <w:sz w:val="21"/>
              </w:rPr>
              <w:t>企业环境影响评价手续情况一览表</w:t>
            </w:r>
          </w:p>
          <w:tbl>
            <w:tblPr>
              <w:tblStyle w:val="47"/>
              <w:tblW w:w="807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2692"/>
              <w:gridCol w:w="26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92" w:type="dxa"/>
                  <w:vAlign w:val="center"/>
                </w:tcPr>
                <w:p>
                  <w:pPr>
                    <w:pStyle w:val="77"/>
                    <w:spacing w:line="240" w:lineRule="auto"/>
                    <w:ind w:firstLine="0" w:firstLineChars="0"/>
                    <w:jc w:val="center"/>
                    <w:rPr>
                      <w:color w:val="FF0000"/>
                      <w:sz w:val="21"/>
                      <w:szCs w:val="21"/>
                    </w:rPr>
                  </w:pPr>
                  <w:r>
                    <w:rPr>
                      <w:rFonts w:hint="eastAsia"/>
                      <w:color w:val="FF0000"/>
                      <w:sz w:val="21"/>
                      <w:szCs w:val="21"/>
                    </w:rPr>
                    <w:t>项目</w:t>
                  </w:r>
                </w:p>
              </w:tc>
              <w:tc>
                <w:tcPr>
                  <w:tcW w:w="2692" w:type="dxa"/>
                  <w:vAlign w:val="center"/>
                </w:tcPr>
                <w:p>
                  <w:pPr>
                    <w:pStyle w:val="77"/>
                    <w:spacing w:line="240" w:lineRule="auto"/>
                    <w:ind w:firstLine="0" w:firstLineChars="0"/>
                    <w:jc w:val="center"/>
                    <w:rPr>
                      <w:color w:val="FF0000"/>
                      <w:sz w:val="21"/>
                      <w:szCs w:val="21"/>
                    </w:rPr>
                  </w:pPr>
                  <w:r>
                    <w:rPr>
                      <w:rFonts w:hint="eastAsia"/>
                      <w:color w:val="FF0000"/>
                      <w:sz w:val="21"/>
                      <w:szCs w:val="21"/>
                    </w:rPr>
                    <w:t>环境影响评价情况</w:t>
                  </w:r>
                </w:p>
              </w:tc>
              <w:tc>
                <w:tcPr>
                  <w:tcW w:w="2693" w:type="dxa"/>
                  <w:vAlign w:val="center"/>
                </w:tcPr>
                <w:p>
                  <w:pPr>
                    <w:pStyle w:val="77"/>
                    <w:spacing w:line="240" w:lineRule="auto"/>
                    <w:ind w:firstLine="0" w:firstLineChars="0"/>
                    <w:jc w:val="center"/>
                    <w:rPr>
                      <w:color w:val="FF0000"/>
                      <w:sz w:val="21"/>
                      <w:szCs w:val="21"/>
                    </w:rPr>
                  </w:pPr>
                  <w:r>
                    <w:rPr>
                      <w:rFonts w:hint="eastAsia"/>
                      <w:color w:val="FF0000"/>
                      <w:sz w:val="21"/>
                      <w:szCs w:val="21"/>
                    </w:rPr>
                    <w:t>竣工环境保护验收情况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92" w:type="dxa"/>
                  <w:vAlign w:val="center"/>
                </w:tcPr>
                <w:p>
                  <w:pPr>
                    <w:pStyle w:val="77"/>
                    <w:spacing w:line="240" w:lineRule="auto"/>
                    <w:ind w:firstLine="0" w:firstLineChars="0"/>
                    <w:jc w:val="center"/>
                    <w:rPr>
                      <w:color w:val="FF0000"/>
                      <w:sz w:val="21"/>
                      <w:szCs w:val="21"/>
                    </w:rPr>
                  </w:pPr>
                  <w:r>
                    <w:rPr>
                      <w:rFonts w:hint="eastAsia"/>
                      <w:color w:val="FF0000"/>
                      <w:sz w:val="21"/>
                      <w:szCs w:val="21"/>
                    </w:rPr>
                    <w:t>新疆维维牛奶有限公司乳品深加工项目</w:t>
                  </w:r>
                </w:p>
              </w:tc>
              <w:tc>
                <w:tcPr>
                  <w:tcW w:w="2692" w:type="dxa"/>
                  <w:vAlign w:val="center"/>
                </w:tcPr>
                <w:p>
                  <w:pPr>
                    <w:pStyle w:val="77"/>
                    <w:spacing w:line="240" w:lineRule="auto"/>
                    <w:ind w:firstLine="0" w:firstLineChars="0"/>
                    <w:jc w:val="center"/>
                    <w:rPr>
                      <w:color w:val="FF0000"/>
                      <w:sz w:val="21"/>
                      <w:szCs w:val="21"/>
                    </w:rPr>
                  </w:pPr>
                  <w:r>
                    <w:rPr>
                      <w:rFonts w:hint="eastAsia"/>
                      <w:color w:val="FF0000"/>
                      <w:sz w:val="21"/>
                      <w:szCs w:val="21"/>
                    </w:rPr>
                    <w:t>2</w:t>
                  </w:r>
                  <w:r>
                    <w:rPr>
                      <w:color w:val="FF0000"/>
                      <w:sz w:val="21"/>
                      <w:szCs w:val="21"/>
                    </w:rPr>
                    <w:t>003</w:t>
                  </w:r>
                  <w:r>
                    <w:rPr>
                      <w:rFonts w:hint="eastAsia"/>
                      <w:color w:val="FF0000"/>
                      <w:sz w:val="21"/>
                      <w:szCs w:val="21"/>
                    </w:rPr>
                    <w:t>年5月2</w:t>
                  </w:r>
                  <w:r>
                    <w:rPr>
                      <w:color w:val="FF0000"/>
                      <w:sz w:val="21"/>
                      <w:szCs w:val="21"/>
                    </w:rPr>
                    <w:t>2</w:t>
                  </w:r>
                  <w:r>
                    <w:rPr>
                      <w:rFonts w:hint="eastAsia"/>
                      <w:color w:val="FF0000"/>
                      <w:sz w:val="21"/>
                      <w:szCs w:val="21"/>
                    </w:rPr>
                    <w:t>日取得了原呼图壁县环境保护局的审批意见</w:t>
                  </w:r>
                </w:p>
              </w:tc>
              <w:tc>
                <w:tcPr>
                  <w:tcW w:w="2693" w:type="dxa"/>
                  <w:vAlign w:val="center"/>
                </w:tcPr>
                <w:p>
                  <w:pPr>
                    <w:pStyle w:val="77"/>
                    <w:spacing w:line="240" w:lineRule="auto"/>
                    <w:ind w:firstLine="0" w:firstLineChars="0"/>
                    <w:jc w:val="center"/>
                    <w:rPr>
                      <w:color w:val="FF0000"/>
                      <w:sz w:val="21"/>
                      <w:szCs w:val="21"/>
                    </w:rPr>
                  </w:pPr>
                  <w:r>
                    <w:rPr>
                      <w:rFonts w:hint="eastAsia"/>
                      <w:color w:val="FF0000"/>
                      <w:sz w:val="21"/>
                      <w:szCs w:val="21"/>
                    </w:rPr>
                    <w:t>2</w:t>
                  </w:r>
                  <w:r>
                    <w:rPr>
                      <w:color w:val="FF0000"/>
                      <w:sz w:val="21"/>
                      <w:szCs w:val="21"/>
                    </w:rPr>
                    <w:t>008</w:t>
                  </w:r>
                  <w:r>
                    <w:rPr>
                      <w:rFonts w:hint="eastAsia"/>
                      <w:color w:val="FF0000"/>
                      <w:sz w:val="21"/>
                      <w:szCs w:val="21"/>
                    </w:rPr>
                    <w:t>年1</w:t>
                  </w:r>
                  <w:r>
                    <w:rPr>
                      <w:color w:val="FF0000"/>
                      <w:sz w:val="21"/>
                      <w:szCs w:val="21"/>
                    </w:rPr>
                    <w:t>2</w:t>
                  </w:r>
                  <w:r>
                    <w:rPr>
                      <w:rFonts w:hint="eastAsia"/>
                      <w:color w:val="FF0000"/>
                      <w:sz w:val="21"/>
                      <w:szCs w:val="21"/>
                    </w:rPr>
                    <w:t>月2</w:t>
                  </w:r>
                  <w:r>
                    <w:rPr>
                      <w:color w:val="FF0000"/>
                      <w:sz w:val="21"/>
                      <w:szCs w:val="21"/>
                    </w:rPr>
                    <w:t>1</w:t>
                  </w:r>
                  <w:r>
                    <w:rPr>
                      <w:rFonts w:hint="eastAsia"/>
                      <w:color w:val="FF0000"/>
                      <w:sz w:val="21"/>
                      <w:szCs w:val="21"/>
                    </w:rPr>
                    <w:t>日取得了原呼图壁县环境保护局验收意见（环验[</w:t>
                  </w:r>
                  <w:r>
                    <w:rPr>
                      <w:color w:val="FF0000"/>
                      <w:sz w:val="21"/>
                      <w:szCs w:val="21"/>
                    </w:rPr>
                    <w:t>2008]01</w:t>
                  </w:r>
                  <w:r>
                    <w:rPr>
                      <w:rFonts w:hint="eastAsia"/>
                      <w:color w:val="FF0000"/>
                      <w:sz w:val="21"/>
                      <w:szCs w:val="21"/>
                    </w:rPr>
                    <w:t>号）</w:t>
                  </w:r>
                </w:p>
              </w:tc>
            </w:tr>
          </w:tbl>
          <w:p>
            <w:pPr>
              <w:pStyle w:val="77"/>
              <w:ind w:firstLine="480"/>
              <w:rPr>
                <w:color w:val="FF0000"/>
              </w:rPr>
            </w:pPr>
            <w:r>
              <w:rPr>
                <w:rFonts w:hint="eastAsia"/>
                <w:color w:val="FF0000"/>
              </w:rPr>
              <w:t>②排污许可证情况</w:t>
            </w:r>
          </w:p>
          <w:p>
            <w:pPr>
              <w:pStyle w:val="77"/>
              <w:ind w:firstLine="480"/>
              <w:rPr>
                <w:color w:val="FF0000"/>
              </w:rPr>
            </w:pPr>
            <w:bookmarkStart w:id="18" w:name="_Hlk147828875"/>
            <w:r>
              <w:rPr>
                <w:rFonts w:hint="eastAsia"/>
                <w:color w:val="FF0000"/>
              </w:rPr>
              <w:t>建设单位于2</w:t>
            </w:r>
            <w:r>
              <w:rPr>
                <w:color w:val="FF0000"/>
              </w:rPr>
              <w:t>019</w:t>
            </w:r>
            <w:r>
              <w:rPr>
                <w:rFonts w:hint="eastAsia"/>
                <w:color w:val="FF0000"/>
              </w:rPr>
              <w:t>年1</w:t>
            </w:r>
            <w:r>
              <w:rPr>
                <w:color w:val="FF0000"/>
              </w:rPr>
              <w:t>2</w:t>
            </w:r>
            <w:r>
              <w:rPr>
                <w:rFonts w:hint="eastAsia"/>
                <w:color w:val="FF0000"/>
              </w:rPr>
              <w:t>月1</w:t>
            </w:r>
            <w:r>
              <w:rPr>
                <w:color w:val="FF0000"/>
              </w:rPr>
              <w:t>1</w:t>
            </w:r>
            <w:r>
              <w:rPr>
                <w:rFonts w:hint="eastAsia"/>
                <w:color w:val="FF0000"/>
              </w:rPr>
              <w:t>日取得了昌吉回族自治州生态环境局下发的排污许可证（证书编号：</w:t>
            </w:r>
            <w:r>
              <w:rPr>
                <w:color w:val="FF0000"/>
              </w:rPr>
              <w:t>91652323734452225X001Q</w:t>
            </w:r>
            <w:r>
              <w:rPr>
                <w:rFonts w:hint="eastAsia"/>
                <w:color w:val="FF0000"/>
              </w:rPr>
              <w:t>），有效期自2</w:t>
            </w:r>
            <w:r>
              <w:rPr>
                <w:color w:val="FF0000"/>
              </w:rPr>
              <w:t>019</w:t>
            </w:r>
            <w:r>
              <w:rPr>
                <w:rFonts w:hint="eastAsia"/>
                <w:color w:val="FF0000"/>
              </w:rPr>
              <w:t>年1</w:t>
            </w:r>
            <w:r>
              <w:rPr>
                <w:color w:val="FF0000"/>
              </w:rPr>
              <w:t>2</w:t>
            </w:r>
            <w:r>
              <w:rPr>
                <w:rFonts w:hint="eastAsia"/>
                <w:color w:val="FF0000"/>
              </w:rPr>
              <w:t>月1</w:t>
            </w:r>
            <w:r>
              <w:rPr>
                <w:color w:val="FF0000"/>
              </w:rPr>
              <w:t>1</w:t>
            </w:r>
            <w:r>
              <w:rPr>
                <w:rFonts w:hint="eastAsia"/>
                <w:color w:val="FF0000"/>
              </w:rPr>
              <w:t>日至2</w:t>
            </w:r>
            <w:r>
              <w:rPr>
                <w:color w:val="FF0000"/>
              </w:rPr>
              <w:t>024</w:t>
            </w:r>
            <w:r>
              <w:rPr>
                <w:rFonts w:hint="eastAsia"/>
                <w:color w:val="FF0000"/>
              </w:rPr>
              <w:t>年1</w:t>
            </w:r>
            <w:r>
              <w:rPr>
                <w:color w:val="FF0000"/>
              </w:rPr>
              <w:t>2</w:t>
            </w:r>
            <w:r>
              <w:rPr>
                <w:rFonts w:hint="eastAsia"/>
                <w:color w:val="FF0000"/>
              </w:rPr>
              <w:t>月1</w:t>
            </w:r>
            <w:r>
              <w:rPr>
                <w:color w:val="FF0000"/>
              </w:rPr>
              <w:t>0</w:t>
            </w:r>
            <w:r>
              <w:rPr>
                <w:rFonts w:hint="eastAsia"/>
                <w:color w:val="FF0000"/>
              </w:rPr>
              <w:t>日止；根据查阅排污许可证填报情况，企业已按本次补做的工程内容进行填报。</w:t>
            </w:r>
          </w:p>
          <w:bookmarkEnd w:id="18"/>
          <w:p>
            <w:pPr>
              <w:pStyle w:val="77"/>
              <w:ind w:firstLine="480"/>
              <w:rPr>
                <w:color w:val="FF0000"/>
              </w:rPr>
            </w:pPr>
            <w:r>
              <w:rPr>
                <w:color w:val="FF0000"/>
              </w:rPr>
              <w:t>2</w:t>
            </w:r>
            <w:r>
              <w:rPr>
                <w:rFonts w:hint="eastAsia"/>
                <w:color w:val="FF0000"/>
              </w:rPr>
              <w:t>、原有工程污染物排放情况</w:t>
            </w:r>
          </w:p>
          <w:p>
            <w:pPr>
              <w:pStyle w:val="77"/>
              <w:ind w:firstLine="480"/>
              <w:rPr>
                <w:color w:val="FF0000"/>
              </w:rPr>
            </w:pPr>
            <w:r>
              <w:rPr>
                <w:rFonts w:hint="eastAsia"/>
                <w:color w:val="FF0000"/>
              </w:rPr>
              <w:t>新疆维维天山雪乳业有限公司2</w:t>
            </w:r>
            <w:r>
              <w:rPr>
                <w:color w:val="FF0000"/>
              </w:rPr>
              <w:t>003</w:t>
            </w:r>
            <w:r>
              <w:rPr>
                <w:rFonts w:hint="eastAsia"/>
                <w:color w:val="FF0000"/>
              </w:rPr>
              <w:t>年4月委托新疆建材工业设计院编制完成了《新疆维维牛奶有限公司乳品深加工项目环境影响报告表》，同意项目建设，项目建成后年处理原料乳3</w:t>
            </w:r>
            <w:r>
              <w:rPr>
                <w:color w:val="FF0000"/>
              </w:rPr>
              <w:t>3000</w:t>
            </w:r>
            <w:r>
              <w:rPr>
                <w:rFonts w:hint="eastAsia"/>
                <w:color w:val="FF0000"/>
              </w:rPr>
              <w:t>吨；2</w:t>
            </w:r>
            <w:r>
              <w:rPr>
                <w:color w:val="FF0000"/>
              </w:rPr>
              <w:t>008</w:t>
            </w:r>
            <w:r>
              <w:rPr>
                <w:rFonts w:hint="eastAsia"/>
                <w:color w:val="FF0000"/>
              </w:rPr>
              <w:t>年9月委托昌吉州环境监测站编制完成了项目竣工环境保护验收工作。建设单位于2</w:t>
            </w:r>
            <w:r>
              <w:rPr>
                <w:color w:val="FF0000"/>
              </w:rPr>
              <w:t>003</w:t>
            </w:r>
            <w:r>
              <w:rPr>
                <w:rFonts w:hint="eastAsia"/>
                <w:color w:val="FF0000"/>
              </w:rPr>
              <w:t>年建成了“新疆维维牛奶有限公司乳品深加工项目”，并配套建设了</w:t>
            </w:r>
            <w:r>
              <w:rPr>
                <w:color w:val="FF0000"/>
              </w:rPr>
              <w:t>2台4t/h燃煤锅炉</w:t>
            </w:r>
            <w:r>
              <w:rPr>
                <w:rFonts w:hint="eastAsia"/>
                <w:color w:val="FF0000"/>
              </w:rPr>
              <w:t>（一用一备）</w:t>
            </w:r>
            <w:r>
              <w:rPr>
                <w:color w:val="FF0000"/>
              </w:rPr>
              <w:t>及配套</w:t>
            </w:r>
            <w:r>
              <w:rPr>
                <w:rFonts w:hint="eastAsia"/>
                <w:color w:val="FF0000"/>
              </w:rPr>
              <w:t>设备，根据现场勘查，原有燃煤锅炉及配套设施已拆除。原有工程主要污染物为锅炉烟气、生产废水、废弃离子交换树脂、锅炉炉渣、污水处理站污泥以及废包装材料等。</w:t>
            </w:r>
          </w:p>
          <w:p>
            <w:pPr>
              <w:pStyle w:val="77"/>
              <w:ind w:firstLine="480"/>
              <w:rPr>
                <w:color w:val="FF0000"/>
              </w:rPr>
            </w:pPr>
            <w:r>
              <w:rPr>
                <w:rFonts w:hint="eastAsia"/>
                <w:color w:val="FF0000"/>
              </w:rPr>
              <w:t>本次评价对原有工程污染物排放量进行核算。</w:t>
            </w:r>
          </w:p>
          <w:p>
            <w:pPr>
              <w:pStyle w:val="77"/>
              <w:spacing w:line="460" w:lineRule="exact"/>
              <w:ind w:firstLine="480"/>
              <w:rPr>
                <w:color w:val="FF0000"/>
              </w:rPr>
            </w:pPr>
            <w:r>
              <w:rPr>
                <w:color w:val="FF0000"/>
              </w:rPr>
              <w:t>（1）废气</w:t>
            </w:r>
          </w:p>
          <w:p>
            <w:pPr>
              <w:pStyle w:val="77"/>
              <w:spacing w:line="460" w:lineRule="exact"/>
              <w:ind w:firstLine="480"/>
              <w:rPr>
                <w:color w:val="FF0000"/>
              </w:rPr>
            </w:pPr>
            <w:bookmarkStart w:id="19" w:name="_Hlk147770393"/>
            <w:r>
              <w:rPr>
                <w:rFonts w:hint="eastAsia"/>
                <w:color w:val="FF0000"/>
              </w:rPr>
              <w:t>因原环评及验收仅对二氧化硫和颗粒物进行了分析，措施仅采取了多管旋风除尘器，其中二氧化硫排放量约为8</w:t>
            </w:r>
            <w:r>
              <w:rPr>
                <w:color w:val="FF0000"/>
              </w:rPr>
              <w:t>.4</w:t>
            </w:r>
            <w:r>
              <w:rPr>
                <w:rFonts w:hint="eastAsia"/>
                <w:color w:val="FF0000"/>
              </w:rPr>
              <w:t>t/a，颗粒物排放量约为1</w:t>
            </w:r>
            <w:r>
              <w:rPr>
                <w:color w:val="FF0000"/>
              </w:rPr>
              <w:t>2.07</w:t>
            </w:r>
            <w:r>
              <w:rPr>
                <w:rFonts w:hint="eastAsia"/>
                <w:color w:val="FF0000"/>
              </w:rPr>
              <w:t>t/a；本次评价氮氧化物产生情况根据</w:t>
            </w:r>
            <w:r>
              <w:rPr>
                <w:color w:val="FF0000"/>
              </w:rPr>
              <w:t>《</w:t>
            </w:r>
            <w:r>
              <w:rPr>
                <w:rFonts w:hint="eastAsia"/>
                <w:color w:val="FF0000"/>
              </w:rPr>
              <w:t>排放源统计调查产排污核算方法和系数手册</w:t>
            </w:r>
            <w:r>
              <w:rPr>
                <w:color w:val="FF0000"/>
              </w:rPr>
              <w:t>》（</w:t>
            </w:r>
            <w:r>
              <w:rPr>
                <w:rFonts w:hint="eastAsia"/>
                <w:color w:val="FF0000"/>
              </w:rPr>
              <w:t>公告2</w:t>
            </w:r>
            <w:r>
              <w:rPr>
                <w:color w:val="FF0000"/>
              </w:rPr>
              <w:t>021</w:t>
            </w:r>
            <w:r>
              <w:rPr>
                <w:rFonts w:hint="eastAsia"/>
                <w:color w:val="FF0000"/>
              </w:rPr>
              <w:t>年第2</w:t>
            </w:r>
            <w:r>
              <w:rPr>
                <w:color w:val="FF0000"/>
              </w:rPr>
              <w:t>4</w:t>
            </w:r>
            <w:r>
              <w:rPr>
                <w:rFonts w:hint="eastAsia"/>
                <w:color w:val="FF0000"/>
              </w:rPr>
              <w:t>号</w:t>
            </w:r>
            <w:r>
              <w:rPr>
                <w:color w:val="FF0000"/>
              </w:rPr>
              <w:t>）</w:t>
            </w:r>
            <w:r>
              <w:rPr>
                <w:rFonts w:hint="eastAsia"/>
                <w:color w:val="FF0000"/>
              </w:rPr>
              <w:t>中“</w:t>
            </w:r>
            <w:r>
              <w:rPr>
                <w:color w:val="FF0000"/>
              </w:rPr>
              <w:t>4430 工业锅炉（热力生产和供应行业）产污系数表-燃</w:t>
            </w:r>
            <w:r>
              <w:rPr>
                <w:rFonts w:hint="eastAsia"/>
                <w:color w:val="FF0000"/>
              </w:rPr>
              <w:t>煤</w:t>
            </w:r>
            <w:r>
              <w:rPr>
                <w:color w:val="FF0000"/>
              </w:rPr>
              <w:t>工业锅炉</w:t>
            </w:r>
            <w:r>
              <w:rPr>
                <w:rFonts w:hint="eastAsia"/>
                <w:color w:val="FF0000"/>
              </w:rPr>
              <w:t>”计算，耗煤量约2</w:t>
            </w:r>
            <w:r>
              <w:rPr>
                <w:color w:val="FF0000"/>
              </w:rPr>
              <w:t>000</w:t>
            </w:r>
            <w:r>
              <w:rPr>
                <w:rFonts w:hint="eastAsia"/>
                <w:color w:val="FF0000"/>
              </w:rPr>
              <w:t>t/a，氮氧化物产生量约为5</w:t>
            </w:r>
            <w:r>
              <w:rPr>
                <w:color w:val="FF0000"/>
              </w:rPr>
              <w:t>.88</w:t>
            </w:r>
            <w:r>
              <w:rPr>
                <w:rFonts w:hint="eastAsia"/>
                <w:color w:val="FF0000"/>
              </w:rPr>
              <w:t>t/a。</w:t>
            </w:r>
          </w:p>
          <w:bookmarkEnd w:id="19"/>
          <w:p>
            <w:pPr>
              <w:pStyle w:val="77"/>
              <w:spacing w:line="460" w:lineRule="exact"/>
              <w:ind w:firstLine="480"/>
              <w:rPr>
                <w:color w:val="FF0000"/>
              </w:rPr>
            </w:pPr>
            <w:r>
              <w:rPr>
                <w:rFonts w:hint="eastAsia"/>
                <w:color w:val="FF0000"/>
              </w:rPr>
              <w:t>（2）废水</w:t>
            </w:r>
          </w:p>
          <w:p>
            <w:pPr>
              <w:pStyle w:val="77"/>
              <w:spacing w:line="460" w:lineRule="exact"/>
              <w:ind w:firstLine="480"/>
              <w:rPr>
                <w:color w:val="FF0000"/>
              </w:rPr>
            </w:pPr>
            <w:r>
              <w:rPr>
                <w:rFonts w:hint="eastAsia"/>
                <w:color w:val="FF0000"/>
              </w:rPr>
              <w:t>根据企业提供资料，</w:t>
            </w:r>
            <w:r>
              <w:rPr>
                <w:rFonts w:hint="eastAsia"/>
                <w:color w:val="FF0000"/>
                <w:kern w:val="2"/>
              </w:rPr>
              <w:t>根据废水例行监测结果，C</w:t>
            </w:r>
            <w:r>
              <w:rPr>
                <w:color w:val="FF0000"/>
                <w:kern w:val="2"/>
              </w:rPr>
              <w:t>OD</w:t>
            </w:r>
            <w:r>
              <w:rPr>
                <w:rFonts w:hint="eastAsia"/>
                <w:color w:val="FF0000"/>
                <w:kern w:val="2"/>
              </w:rPr>
              <w:t>排放浓度为7</w:t>
            </w:r>
            <w:r>
              <w:rPr>
                <w:color w:val="FF0000"/>
                <w:kern w:val="2"/>
              </w:rPr>
              <w:t>4</w:t>
            </w:r>
            <w:r>
              <w:rPr>
                <w:rFonts w:hint="eastAsia"/>
                <w:color w:val="FF0000"/>
                <w:kern w:val="2"/>
              </w:rPr>
              <w:t>mg/L，N</w:t>
            </w:r>
            <w:r>
              <w:rPr>
                <w:color w:val="FF0000"/>
                <w:kern w:val="2"/>
              </w:rPr>
              <w:t>H</w:t>
            </w:r>
            <w:r>
              <w:rPr>
                <w:color w:val="FF0000"/>
                <w:kern w:val="2"/>
                <w:vertAlign w:val="subscript"/>
              </w:rPr>
              <w:t>3</w:t>
            </w:r>
            <w:r>
              <w:rPr>
                <w:color w:val="FF0000"/>
                <w:kern w:val="2"/>
              </w:rPr>
              <w:t>-N</w:t>
            </w:r>
            <w:r>
              <w:rPr>
                <w:rFonts w:hint="eastAsia"/>
                <w:color w:val="FF0000"/>
                <w:kern w:val="2"/>
              </w:rPr>
              <w:t>排放浓度为1</w:t>
            </w:r>
            <w:r>
              <w:rPr>
                <w:color w:val="FF0000"/>
                <w:kern w:val="2"/>
              </w:rPr>
              <w:t>3.3</w:t>
            </w:r>
            <w:r>
              <w:rPr>
                <w:rFonts w:hint="eastAsia"/>
                <w:color w:val="FF0000"/>
                <w:kern w:val="2"/>
              </w:rPr>
              <w:t>mg/L，废水量约为3</w:t>
            </w:r>
            <w:r>
              <w:rPr>
                <w:color w:val="FF0000"/>
                <w:kern w:val="2"/>
              </w:rPr>
              <w:t>3600</w:t>
            </w:r>
            <w:r>
              <w:rPr>
                <w:rFonts w:hint="eastAsia"/>
                <w:color w:val="FF0000"/>
                <w:kern w:val="2"/>
              </w:rPr>
              <w:t>m</w:t>
            </w:r>
            <w:r>
              <w:rPr>
                <w:rFonts w:hint="eastAsia"/>
                <w:color w:val="FF0000"/>
                <w:kern w:val="2"/>
                <w:vertAlign w:val="superscript"/>
              </w:rPr>
              <w:t>3</w:t>
            </w:r>
            <w:r>
              <w:rPr>
                <w:rFonts w:hint="eastAsia"/>
                <w:color w:val="FF0000"/>
                <w:kern w:val="2"/>
              </w:rPr>
              <w:t>/a，则C</w:t>
            </w:r>
            <w:r>
              <w:rPr>
                <w:color w:val="FF0000"/>
                <w:kern w:val="2"/>
              </w:rPr>
              <w:t>OD</w:t>
            </w:r>
            <w:r>
              <w:rPr>
                <w:rFonts w:hint="eastAsia"/>
                <w:color w:val="FF0000"/>
                <w:kern w:val="2"/>
              </w:rPr>
              <w:t>排放量约为</w:t>
            </w:r>
            <w:r>
              <w:rPr>
                <w:color w:val="FF0000"/>
                <w:kern w:val="2"/>
              </w:rPr>
              <w:t>2.49</w:t>
            </w:r>
            <w:r>
              <w:rPr>
                <w:rFonts w:hint="eastAsia"/>
                <w:color w:val="FF0000"/>
                <w:kern w:val="2"/>
              </w:rPr>
              <w:t>t/a，N</w:t>
            </w:r>
            <w:r>
              <w:rPr>
                <w:color w:val="FF0000"/>
                <w:kern w:val="2"/>
              </w:rPr>
              <w:t>H</w:t>
            </w:r>
            <w:r>
              <w:rPr>
                <w:color w:val="FF0000"/>
                <w:kern w:val="2"/>
                <w:vertAlign w:val="subscript"/>
              </w:rPr>
              <w:t>3</w:t>
            </w:r>
            <w:r>
              <w:rPr>
                <w:color w:val="FF0000"/>
                <w:kern w:val="2"/>
              </w:rPr>
              <w:t>-N</w:t>
            </w:r>
            <w:r>
              <w:rPr>
                <w:rFonts w:hint="eastAsia"/>
                <w:color w:val="FF0000"/>
                <w:kern w:val="2"/>
              </w:rPr>
              <w:t>排放量约为0</w:t>
            </w:r>
            <w:r>
              <w:rPr>
                <w:color w:val="FF0000"/>
                <w:kern w:val="2"/>
              </w:rPr>
              <w:t>.447</w:t>
            </w:r>
            <w:r>
              <w:rPr>
                <w:rFonts w:hint="eastAsia"/>
                <w:color w:val="FF0000"/>
                <w:kern w:val="2"/>
              </w:rPr>
              <w:t>t/a</w:t>
            </w:r>
            <w:r>
              <w:rPr>
                <w:color w:val="FF0000"/>
                <w:kern w:val="2"/>
              </w:rPr>
              <w:t>。</w:t>
            </w:r>
          </w:p>
          <w:p>
            <w:pPr>
              <w:pStyle w:val="77"/>
              <w:spacing w:line="460" w:lineRule="exact"/>
              <w:ind w:firstLine="480"/>
              <w:rPr>
                <w:color w:val="FF0000"/>
              </w:rPr>
            </w:pPr>
            <w:r>
              <w:rPr>
                <w:rFonts w:hint="eastAsia"/>
                <w:color w:val="FF0000"/>
              </w:rPr>
              <w:t>③固废</w:t>
            </w:r>
          </w:p>
          <w:p>
            <w:pPr>
              <w:pStyle w:val="77"/>
              <w:spacing w:line="460" w:lineRule="exact"/>
              <w:ind w:firstLine="480"/>
              <w:rPr>
                <w:color w:val="FF0000"/>
              </w:rPr>
            </w:pPr>
            <w:r>
              <w:rPr>
                <w:rFonts w:hint="eastAsia"/>
                <w:color w:val="FF0000"/>
              </w:rPr>
              <w:t>根据企业提供资料，废弃离子交换树脂产生量约为0</w:t>
            </w:r>
            <w:r>
              <w:rPr>
                <w:color w:val="FF0000"/>
              </w:rPr>
              <w:t>.2</w:t>
            </w:r>
            <w:r>
              <w:rPr>
                <w:rFonts w:hint="eastAsia"/>
                <w:color w:val="FF0000"/>
              </w:rPr>
              <w:t>t/a，交由有资质的单位进行处置；锅炉炉渣产生量约为</w:t>
            </w:r>
            <w:r>
              <w:rPr>
                <w:color w:val="FF0000"/>
              </w:rPr>
              <w:t>277.2</w:t>
            </w:r>
            <w:r>
              <w:rPr>
                <w:rFonts w:hint="eastAsia"/>
                <w:color w:val="FF0000"/>
              </w:rPr>
              <w:t>t/a，外售于建筑材料公司；污水处理站污泥约为0</w:t>
            </w:r>
            <w:r>
              <w:rPr>
                <w:color w:val="FF0000"/>
              </w:rPr>
              <w:t>.3</w:t>
            </w:r>
            <w:r>
              <w:rPr>
                <w:rFonts w:hint="eastAsia"/>
                <w:color w:val="FF0000"/>
              </w:rPr>
              <w:t>t/a，产生运至呼图壁县生活垃圾填埋场处置；废包装材料为0</w:t>
            </w:r>
            <w:r>
              <w:rPr>
                <w:color w:val="FF0000"/>
              </w:rPr>
              <w:t>.5</w:t>
            </w:r>
            <w:r>
              <w:rPr>
                <w:rFonts w:hint="eastAsia"/>
                <w:color w:val="FF0000"/>
              </w:rPr>
              <w:t>t/a，外售于物资回收公司。</w:t>
            </w:r>
          </w:p>
          <w:p>
            <w:pPr>
              <w:pStyle w:val="77"/>
              <w:spacing w:line="460" w:lineRule="exact"/>
              <w:ind w:firstLine="480"/>
              <w:rPr>
                <w:color w:val="FF0000"/>
              </w:rPr>
            </w:pPr>
            <w:r>
              <w:rPr>
                <w:rFonts w:hint="eastAsia"/>
                <w:color w:val="FF0000"/>
              </w:rPr>
              <w:t>根据企业提供资料，原有工程污染物排放量见下表。</w:t>
            </w:r>
          </w:p>
          <w:p>
            <w:pPr>
              <w:pStyle w:val="77"/>
              <w:spacing w:line="240" w:lineRule="auto"/>
              <w:ind w:firstLine="420"/>
              <w:rPr>
                <w:rFonts w:ascii="黑体" w:hAnsi="黑体" w:eastAsia="黑体"/>
                <w:color w:val="FF0000"/>
                <w:sz w:val="21"/>
                <w:szCs w:val="21"/>
              </w:rPr>
            </w:pPr>
            <w:bookmarkStart w:id="20" w:name="_Hlk147658577"/>
            <w:r>
              <w:rPr>
                <w:rFonts w:hint="eastAsia" w:ascii="黑体" w:hAnsi="黑体" w:eastAsia="黑体"/>
                <w:color w:val="FF0000"/>
                <w:sz w:val="21"/>
                <w:szCs w:val="21"/>
              </w:rPr>
              <w:t>表</w:t>
            </w:r>
            <w:r>
              <w:rPr>
                <w:rFonts w:ascii="黑体" w:hAnsi="黑体" w:eastAsia="黑体"/>
                <w:color w:val="FF0000"/>
                <w:sz w:val="21"/>
                <w:szCs w:val="21"/>
              </w:rPr>
              <w:t xml:space="preserve">2-10                 </w:t>
            </w:r>
            <w:r>
              <w:rPr>
                <w:rFonts w:hint="eastAsia" w:ascii="黑体" w:hAnsi="黑体" w:eastAsia="黑体"/>
                <w:color w:val="FF0000"/>
                <w:sz w:val="21"/>
                <w:szCs w:val="21"/>
              </w:rPr>
              <w:t>原有工程污染物排放量</w:t>
            </w:r>
          </w:p>
          <w:tbl>
            <w:tblPr>
              <w:tblStyle w:val="47"/>
              <w:tblW w:w="808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3217"/>
              <w:gridCol w:w="27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17" w:type="dxa"/>
                  <w:vAlign w:val="center"/>
                </w:tcPr>
                <w:p>
                  <w:pPr>
                    <w:pStyle w:val="77"/>
                    <w:spacing w:line="240" w:lineRule="auto"/>
                    <w:ind w:firstLine="0" w:firstLineChars="0"/>
                    <w:jc w:val="center"/>
                    <w:rPr>
                      <w:color w:val="FF0000"/>
                      <w:sz w:val="21"/>
                      <w:szCs w:val="21"/>
                    </w:rPr>
                  </w:pPr>
                  <w:r>
                    <w:rPr>
                      <w:rFonts w:hint="eastAsia"/>
                      <w:color w:val="FF0000"/>
                      <w:sz w:val="21"/>
                      <w:szCs w:val="21"/>
                    </w:rPr>
                    <w:t>项目</w:t>
                  </w:r>
                </w:p>
              </w:tc>
              <w:tc>
                <w:tcPr>
                  <w:tcW w:w="3217" w:type="dxa"/>
                  <w:vAlign w:val="center"/>
                </w:tcPr>
                <w:p>
                  <w:pPr>
                    <w:pStyle w:val="77"/>
                    <w:spacing w:line="240" w:lineRule="auto"/>
                    <w:ind w:firstLine="0" w:firstLineChars="0"/>
                    <w:jc w:val="center"/>
                    <w:rPr>
                      <w:color w:val="FF0000"/>
                      <w:sz w:val="21"/>
                      <w:szCs w:val="21"/>
                    </w:rPr>
                  </w:pPr>
                  <w:r>
                    <w:rPr>
                      <w:rFonts w:hint="eastAsia"/>
                      <w:color w:val="FF0000"/>
                      <w:sz w:val="21"/>
                      <w:szCs w:val="21"/>
                    </w:rPr>
                    <w:t>污染物</w:t>
                  </w:r>
                </w:p>
              </w:tc>
              <w:tc>
                <w:tcPr>
                  <w:tcW w:w="2753" w:type="dxa"/>
                  <w:vAlign w:val="center"/>
                </w:tcPr>
                <w:p>
                  <w:pPr>
                    <w:pStyle w:val="77"/>
                    <w:spacing w:line="240" w:lineRule="auto"/>
                    <w:ind w:firstLine="0" w:firstLineChars="0"/>
                    <w:jc w:val="center"/>
                    <w:rPr>
                      <w:color w:val="FF0000"/>
                      <w:sz w:val="21"/>
                      <w:szCs w:val="21"/>
                    </w:rPr>
                  </w:pPr>
                  <w:r>
                    <w:rPr>
                      <w:rFonts w:hint="eastAsia"/>
                      <w:color w:val="FF0000"/>
                      <w:sz w:val="21"/>
                      <w:szCs w:val="21"/>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17" w:type="dxa"/>
                  <w:vMerge w:val="restart"/>
                  <w:vAlign w:val="center"/>
                </w:tcPr>
                <w:p>
                  <w:pPr>
                    <w:pStyle w:val="77"/>
                    <w:spacing w:line="240" w:lineRule="auto"/>
                    <w:ind w:firstLine="0" w:firstLineChars="0"/>
                    <w:jc w:val="center"/>
                    <w:rPr>
                      <w:color w:val="FF0000"/>
                      <w:sz w:val="21"/>
                      <w:szCs w:val="21"/>
                    </w:rPr>
                  </w:pPr>
                  <w:r>
                    <w:rPr>
                      <w:rFonts w:hint="eastAsia"/>
                      <w:color w:val="FF0000"/>
                      <w:sz w:val="21"/>
                      <w:szCs w:val="21"/>
                    </w:rPr>
                    <w:t>废气</w:t>
                  </w:r>
                </w:p>
              </w:tc>
              <w:tc>
                <w:tcPr>
                  <w:tcW w:w="3217" w:type="dxa"/>
                  <w:vAlign w:val="center"/>
                </w:tcPr>
                <w:p>
                  <w:pPr>
                    <w:pStyle w:val="77"/>
                    <w:spacing w:line="240" w:lineRule="auto"/>
                    <w:ind w:firstLine="0" w:firstLineChars="0"/>
                    <w:jc w:val="center"/>
                    <w:rPr>
                      <w:color w:val="FF0000"/>
                      <w:sz w:val="21"/>
                      <w:szCs w:val="21"/>
                    </w:rPr>
                  </w:pPr>
                  <w:r>
                    <w:rPr>
                      <w:rFonts w:hint="eastAsia"/>
                      <w:color w:val="FF0000"/>
                      <w:sz w:val="21"/>
                      <w:szCs w:val="21"/>
                    </w:rPr>
                    <w:t>S</w:t>
                  </w:r>
                  <w:r>
                    <w:rPr>
                      <w:color w:val="FF0000"/>
                      <w:sz w:val="21"/>
                      <w:szCs w:val="21"/>
                    </w:rPr>
                    <w:t>O</w:t>
                  </w:r>
                  <w:r>
                    <w:rPr>
                      <w:color w:val="FF0000"/>
                      <w:sz w:val="21"/>
                      <w:szCs w:val="21"/>
                      <w:vertAlign w:val="subscript"/>
                    </w:rPr>
                    <w:t>2</w:t>
                  </w:r>
                </w:p>
              </w:tc>
              <w:tc>
                <w:tcPr>
                  <w:tcW w:w="2753" w:type="dxa"/>
                  <w:vAlign w:val="center"/>
                </w:tcPr>
                <w:p>
                  <w:pPr>
                    <w:pStyle w:val="77"/>
                    <w:spacing w:line="240" w:lineRule="auto"/>
                    <w:ind w:firstLine="0" w:firstLineChars="0"/>
                    <w:jc w:val="center"/>
                    <w:rPr>
                      <w:color w:val="FF0000"/>
                      <w:sz w:val="21"/>
                      <w:szCs w:val="21"/>
                    </w:rPr>
                  </w:pPr>
                  <w:r>
                    <w:rPr>
                      <w:color w:val="FF0000"/>
                      <w:sz w:val="21"/>
                      <w:szCs w:val="21"/>
                    </w:rPr>
                    <w:t>8.4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17" w:type="dxa"/>
                  <w:vMerge w:val="continue"/>
                  <w:vAlign w:val="center"/>
                </w:tcPr>
                <w:p>
                  <w:pPr>
                    <w:pStyle w:val="77"/>
                    <w:spacing w:line="240" w:lineRule="auto"/>
                    <w:ind w:firstLine="0" w:firstLineChars="0"/>
                    <w:jc w:val="center"/>
                    <w:rPr>
                      <w:color w:val="FF0000"/>
                      <w:sz w:val="21"/>
                      <w:szCs w:val="21"/>
                    </w:rPr>
                  </w:pPr>
                </w:p>
              </w:tc>
              <w:tc>
                <w:tcPr>
                  <w:tcW w:w="3217" w:type="dxa"/>
                  <w:vAlign w:val="center"/>
                </w:tcPr>
                <w:p>
                  <w:pPr>
                    <w:pStyle w:val="77"/>
                    <w:spacing w:line="240" w:lineRule="auto"/>
                    <w:ind w:firstLine="0" w:firstLineChars="0"/>
                    <w:jc w:val="center"/>
                    <w:rPr>
                      <w:color w:val="FF0000"/>
                      <w:sz w:val="21"/>
                      <w:szCs w:val="21"/>
                    </w:rPr>
                  </w:pPr>
                  <w:r>
                    <w:rPr>
                      <w:rFonts w:hint="eastAsia"/>
                      <w:color w:val="FF0000"/>
                      <w:sz w:val="21"/>
                      <w:szCs w:val="21"/>
                    </w:rPr>
                    <w:t>N</w:t>
                  </w:r>
                  <w:r>
                    <w:rPr>
                      <w:color w:val="FF0000"/>
                      <w:sz w:val="21"/>
                      <w:szCs w:val="21"/>
                    </w:rPr>
                    <w:t>O</w:t>
                  </w:r>
                  <w:r>
                    <w:rPr>
                      <w:rFonts w:hint="eastAsia"/>
                      <w:color w:val="FF0000"/>
                      <w:sz w:val="21"/>
                      <w:szCs w:val="21"/>
                    </w:rPr>
                    <w:t>x</w:t>
                  </w:r>
                </w:p>
              </w:tc>
              <w:tc>
                <w:tcPr>
                  <w:tcW w:w="2753" w:type="dxa"/>
                  <w:vAlign w:val="center"/>
                </w:tcPr>
                <w:p>
                  <w:pPr>
                    <w:pStyle w:val="77"/>
                    <w:spacing w:line="240" w:lineRule="auto"/>
                    <w:ind w:firstLine="0" w:firstLineChars="0"/>
                    <w:jc w:val="center"/>
                    <w:rPr>
                      <w:color w:val="FF0000"/>
                      <w:sz w:val="21"/>
                      <w:szCs w:val="21"/>
                    </w:rPr>
                  </w:pPr>
                  <w:r>
                    <w:rPr>
                      <w:rFonts w:hint="eastAsia"/>
                      <w:color w:val="FF0000"/>
                      <w:sz w:val="21"/>
                      <w:szCs w:val="21"/>
                    </w:rPr>
                    <w:t>5.88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17" w:type="dxa"/>
                  <w:vMerge w:val="continue"/>
                  <w:vAlign w:val="center"/>
                </w:tcPr>
                <w:p>
                  <w:pPr>
                    <w:pStyle w:val="77"/>
                    <w:spacing w:line="240" w:lineRule="auto"/>
                    <w:ind w:firstLine="0" w:firstLineChars="0"/>
                    <w:jc w:val="center"/>
                    <w:rPr>
                      <w:color w:val="FF0000"/>
                      <w:sz w:val="21"/>
                      <w:szCs w:val="21"/>
                    </w:rPr>
                  </w:pPr>
                </w:p>
              </w:tc>
              <w:tc>
                <w:tcPr>
                  <w:tcW w:w="3217" w:type="dxa"/>
                  <w:vAlign w:val="center"/>
                </w:tcPr>
                <w:p>
                  <w:pPr>
                    <w:pStyle w:val="77"/>
                    <w:spacing w:line="240" w:lineRule="auto"/>
                    <w:ind w:firstLine="0" w:firstLineChars="0"/>
                    <w:jc w:val="center"/>
                    <w:rPr>
                      <w:color w:val="FF0000"/>
                      <w:sz w:val="21"/>
                      <w:szCs w:val="21"/>
                    </w:rPr>
                  </w:pPr>
                  <w:r>
                    <w:rPr>
                      <w:rFonts w:hint="eastAsia"/>
                      <w:color w:val="FF0000"/>
                      <w:sz w:val="21"/>
                      <w:szCs w:val="21"/>
                    </w:rPr>
                    <w:t>颗粒物</w:t>
                  </w:r>
                </w:p>
              </w:tc>
              <w:tc>
                <w:tcPr>
                  <w:tcW w:w="2753" w:type="dxa"/>
                  <w:vAlign w:val="center"/>
                </w:tcPr>
                <w:p>
                  <w:pPr>
                    <w:pStyle w:val="77"/>
                    <w:spacing w:line="240" w:lineRule="auto"/>
                    <w:ind w:firstLine="0" w:firstLineChars="0"/>
                    <w:jc w:val="center"/>
                    <w:rPr>
                      <w:color w:val="FF0000"/>
                      <w:sz w:val="21"/>
                      <w:szCs w:val="21"/>
                    </w:rPr>
                  </w:pPr>
                  <w:r>
                    <w:rPr>
                      <w:color w:val="FF0000"/>
                      <w:sz w:val="21"/>
                      <w:szCs w:val="21"/>
                    </w:rPr>
                    <w:t>12.07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17" w:type="dxa"/>
                  <w:vMerge w:val="restart"/>
                  <w:vAlign w:val="center"/>
                </w:tcPr>
                <w:p>
                  <w:pPr>
                    <w:pStyle w:val="77"/>
                    <w:spacing w:line="240" w:lineRule="auto"/>
                    <w:ind w:firstLine="0" w:firstLineChars="0"/>
                    <w:jc w:val="center"/>
                    <w:rPr>
                      <w:color w:val="FF0000"/>
                      <w:sz w:val="21"/>
                      <w:szCs w:val="21"/>
                    </w:rPr>
                  </w:pPr>
                  <w:r>
                    <w:rPr>
                      <w:rFonts w:hint="eastAsia"/>
                      <w:color w:val="FF0000"/>
                      <w:sz w:val="21"/>
                      <w:szCs w:val="21"/>
                    </w:rPr>
                    <w:t>废水</w:t>
                  </w:r>
                </w:p>
              </w:tc>
              <w:tc>
                <w:tcPr>
                  <w:tcW w:w="3217" w:type="dxa"/>
                  <w:vAlign w:val="center"/>
                </w:tcPr>
                <w:p>
                  <w:pPr>
                    <w:pStyle w:val="77"/>
                    <w:spacing w:line="240" w:lineRule="auto"/>
                    <w:ind w:firstLine="0" w:firstLineChars="0"/>
                    <w:jc w:val="center"/>
                    <w:rPr>
                      <w:color w:val="FF0000"/>
                      <w:sz w:val="21"/>
                      <w:szCs w:val="21"/>
                    </w:rPr>
                  </w:pPr>
                  <w:r>
                    <w:rPr>
                      <w:rFonts w:hint="eastAsia"/>
                      <w:color w:val="FF0000"/>
                      <w:sz w:val="21"/>
                      <w:szCs w:val="21"/>
                    </w:rPr>
                    <w:t>C</w:t>
                  </w:r>
                  <w:r>
                    <w:rPr>
                      <w:color w:val="FF0000"/>
                      <w:sz w:val="21"/>
                      <w:szCs w:val="21"/>
                    </w:rPr>
                    <w:t>OD</w:t>
                  </w:r>
                </w:p>
              </w:tc>
              <w:tc>
                <w:tcPr>
                  <w:tcW w:w="2753" w:type="dxa"/>
                  <w:vAlign w:val="center"/>
                </w:tcPr>
                <w:p>
                  <w:pPr>
                    <w:pStyle w:val="77"/>
                    <w:spacing w:line="240" w:lineRule="auto"/>
                    <w:ind w:firstLine="0" w:firstLineChars="0"/>
                    <w:jc w:val="center"/>
                    <w:rPr>
                      <w:color w:val="FF0000"/>
                      <w:sz w:val="21"/>
                      <w:szCs w:val="21"/>
                    </w:rPr>
                  </w:pPr>
                  <w:r>
                    <w:rPr>
                      <w:color w:val="FF0000"/>
                      <w:sz w:val="21"/>
                      <w:szCs w:val="21"/>
                    </w:rPr>
                    <w:t>2.49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17" w:type="dxa"/>
                  <w:vMerge w:val="continue"/>
                  <w:vAlign w:val="center"/>
                </w:tcPr>
                <w:p>
                  <w:pPr>
                    <w:pStyle w:val="77"/>
                    <w:spacing w:line="240" w:lineRule="auto"/>
                    <w:ind w:firstLine="0" w:firstLineChars="0"/>
                    <w:jc w:val="center"/>
                    <w:rPr>
                      <w:color w:val="FF0000"/>
                      <w:sz w:val="21"/>
                      <w:szCs w:val="21"/>
                    </w:rPr>
                  </w:pPr>
                </w:p>
              </w:tc>
              <w:tc>
                <w:tcPr>
                  <w:tcW w:w="3217" w:type="dxa"/>
                  <w:vAlign w:val="center"/>
                </w:tcPr>
                <w:p>
                  <w:pPr>
                    <w:pStyle w:val="77"/>
                    <w:spacing w:line="240" w:lineRule="auto"/>
                    <w:ind w:firstLine="0" w:firstLineChars="0"/>
                    <w:jc w:val="center"/>
                    <w:rPr>
                      <w:color w:val="FF0000"/>
                      <w:sz w:val="21"/>
                      <w:szCs w:val="21"/>
                    </w:rPr>
                  </w:pPr>
                  <w:r>
                    <w:rPr>
                      <w:rFonts w:hint="eastAsia"/>
                      <w:color w:val="FF0000"/>
                      <w:sz w:val="21"/>
                      <w:szCs w:val="21"/>
                    </w:rPr>
                    <w:t>N</w:t>
                  </w:r>
                  <w:r>
                    <w:rPr>
                      <w:color w:val="FF0000"/>
                      <w:sz w:val="21"/>
                      <w:szCs w:val="21"/>
                    </w:rPr>
                    <w:t>H</w:t>
                  </w:r>
                  <w:r>
                    <w:rPr>
                      <w:color w:val="FF0000"/>
                      <w:sz w:val="21"/>
                      <w:szCs w:val="21"/>
                      <w:vertAlign w:val="subscript"/>
                    </w:rPr>
                    <w:t>3</w:t>
                  </w:r>
                  <w:r>
                    <w:rPr>
                      <w:color w:val="FF0000"/>
                      <w:sz w:val="21"/>
                      <w:szCs w:val="21"/>
                    </w:rPr>
                    <w:t>-N</w:t>
                  </w:r>
                </w:p>
              </w:tc>
              <w:tc>
                <w:tcPr>
                  <w:tcW w:w="2753" w:type="dxa"/>
                  <w:vAlign w:val="center"/>
                </w:tcPr>
                <w:p>
                  <w:pPr>
                    <w:pStyle w:val="77"/>
                    <w:spacing w:line="240" w:lineRule="auto"/>
                    <w:ind w:firstLine="0" w:firstLineChars="0"/>
                    <w:jc w:val="center"/>
                    <w:rPr>
                      <w:color w:val="FF0000"/>
                      <w:sz w:val="21"/>
                      <w:szCs w:val="21"/>
                    </w:rPr>
                  </w:pPr>
                  <w:r>
                    <w:rPr>
                      <w:color w:val="FF0000"/>
                      <w:sz w:val="21"/>
                      <w:szCs w:val="21"/>
                    </w:rPr>
                    <w:t>0.447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17" w:type="dxa"/>
                  <w:vMerge w:val="restart"/>
                  <w:vAlign w:val="center"/>
                </w:tcPr>
                <w:p>
                  <w:pPr>
                    <w:pStyle w:val="77"/>
                    <w:spacing w:line="240" w:lineRule="auto"/>
                    <w:ind w:firstLine="0" w:firstLineChars="0"/>
                    <w:jc w:val="center"/>
                    <w:rPr>
                      <w:color w:val="FF0000"/>
                      <w:sz w:val="21"/>
                      <w:szCs w:val="21"/>
                    </w:rPr>
                  </w:pPr>
                  <w:r>
                    <w:rPr>
                      <w:rFonts w:hint="eastAsia"/>
                      <w:color w:val="FF0000"/>
                      <w:sz w:val="21"/>
                      <w:szCs w:val="21"/>
                    </w:rPr>
                    <w:t>固废</w:t>
                  </w:r>
                </w:p>
              </w:tc>
              <w:tc>
                <w:tcPr>
                  <w:tcW w:w="3217" w:type="dxa"/>
                  <w:vAlign w:val="center"/>
                </w:tcPr>
                <w:p>
                  <w:pPr>
                    <w:pStyle w:val="77"/>
                    <w:spacing w:line="240" w:lineRule="auto"/>
                    <w:ind w:firstLine="0" w:firstLineChars="0"/>
                    <w:jc w:val="center"/>
                    <w:rPr>
                      <w:color w:val="FF0000"/>
                      <w:sz w:val="21"/>
                      <w:szCs w:val="21"/>
                    </w:rPr>
                  </w:pPr>
                  <w:r>
                    <w:rPr>
                      <w:rFonts w:hint="eastAsia"/>
                      <w:color w:val="FF0000"/>
                      <w:sz w:val="21"/>
                      <w:szCs w:val="21"/>
                    </w:rPr>
                    <w:t>废弃离子交换树脂</w:t>
                  </w:r>
                </w:p>
              </w:tc>
              <w:tc>
                <w:tcPr>
                  <w:tcW w:w="2753" w:type="dxa"/>
                  <w:vAlign w:val="center"/>
                </w:tcPr>
                <w:p>
                  <w:pPr>
                    <w:pStyle w:val="77"/>
                    <w:spacing w:line="240" w:lineRule="auto"/>
                    <w:ind w:firstLine="0" w:firstLineChars="0"/>
                    <w:jc w:val="center"/>
                    <w:rPr>
                      <w:color w:val="FF0000"/>
                      <w:sz w:val="21"/>
                      <w:szCs w:val="21"/>
                    </w:rPr>
                  </w:pPr>
                  <w:r>
                    <w:rPr>
                      <w:rFonts w:hint="eastAsia"/>
                      <w:color w:val="FF0000"/>
                      <w:sz w:val="21"/>
                      <w:szCs w:val="21"/>
                    </w:rPr>
                    <w:t>0</w:t>
                  </w:r>
                  <w:r>
                    <w:rPr>
                      <w:color w:val="FF0000"/>
                      <w:sz w:val="21"/>
                      <w:szCs w:val="21"/>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17" w:type="dxa"/>
                  <w:vMerge w:val="continue"/>
                  <w:vAlign w:val="center"/>
                </w:tcPr>
                <w:p>
                  <w:pPr>
                    <w:pStyle w:val="77"/>
                    <w:spacing w:line="240" w:lineRule="auto"/>
                    <w:ind w:firstLine="0" w:firstLineChars="0"/>
                    <w:jc w:val="center"/>
                    <w:rPr>
                      <w:color w:val="FF0000"/>
                      <w:sz w:val="21"/>
                      <w:szCs w:val="21"/>
                    </w:rPr>
                  </w:pPr>
                </w:p>
              </w:tc>
              <w:tc>
                <w:tcPr>
                  <w:tcW w:w="3217" w:type="dxa"/>
                  <w:vAlign w:val="center"/>
                </w:tcPr>
                <w:p>
                  <w:pPr>
                    <w:pStyle w:val="77"/>
                    <w:spacing w:line="240" w:lineRule="auto"/>
                    <w:ind w:firstLine="0" w:firstLineChars="0"/>
                    <w:jc w:val="center"/>
                    <w:rPr>
                      <w:color w:val="FF0000"/>
                      <w:sz w:val="21"/>
                      <w:szCs w:val="21"/>
                    </w:rPr>
                  </w:pPr>
                  <w:r>
                    <w:rPr>
                      <w:rFonts w:hint="eastAsia"/>
                      <w:color w:val="FF0000"/>
                      <w:sz w:val="21"/>
                      <w:szCs w:val="21"/>
                    </w:rPr>
                    <w:t>锅炉炉渣</w:t>
                  </w:r>
                </w:p>
              </w:tc>
              <w:tc>
                <w:tcPr>
                  <w:tcW w:w="2753" w:type="dxa"/>
                  <w:vAlign w:val="center"/>
                </w:tcPr>
                <w:p>
                  <w:pPr>
                    <w:pStyle w:val="77"/>
                    <w:spacing w:line="240" w:lineRule="auto"/>
                    <w:ind w:firstLine="0" w:firstLineChars="0"/>
                    <w:jc w:val="center"/>
                    <w:rPr>
                      <w:color w:val="FF0000"/>
                      <w:sz w:val="21"/>
                      <w:szCs w:val="21"/>
                    </w:rPr>
                  </w:pPr>
                  <w:r>
                    <w:rPr>
                      <w:color w:val="FF0000"/>
                      <w:sz w:val="21"/>
                      <w:szCs w:val="21"/>
                    </w:rPr>
                    <w:t>277.2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17" w:type="dxa"/>
                  <w:vMerge w:val="continue"/>
                  <w:vAlign w:val="center"/>
                </w:tcPr>
                <w:p>
                  <w:pPr>
                    <w:pStyle w:val="77"/>
                    <w:spacing w:line="240" w:lineRule="auto"/>
                    <w:ind w:firstLine="0" w:firstLineChars="0"/>
                    <w:jc w:val="center"/>
                    <w:rPr>
                      <w:color w:val="FF0000"/>
                      <w:sz w:val="21"/>
                      <w:szCs w:val="21"/>
                    </w:rPr>
                  </w:pPr>
                </w:p>
              </w:tc>
              <w:tc>
                <w:tcPr>
                  <w:tcW w:w="3217" w:type="dxa"/>
                  <w:vAlign w:val="center"/>
                </w:tcPr>
                <w:p>
                  <w:pPr>
                    <w:pStyle w:val="77"/>
                    <w:spacing w:line="240" w:lineRule="auto"/>
                    <w:ind w:firstLine="0" w:firstLineChars="0"/>
                    <w:jc w:val="center"/>
                    <w:rPr>
                      <w:color w:val="FF0000"/>
                      <w:sz w:val="21"/>
                      <w:szCs w:val="21"/>
                    </w:rPr>
                  </w:pPr>
                  <w:r>
                    <w:rPr>
                      <w:rFonts w:hint="eastAsia"/>
                      <w:color w:val="FF0000"/>
                      <w:sz w:val="21"/>
                      <w:szCs w:val="21"/>
                    </w:rPr>
                    <w:t>污水处理站污泥</w:t>
                  </w:r>
                </w:p>
              </w:tc>
              <w:tc>
                <w:tcPr>
                  <w:tcW w:w="2753" w:type="dxa"/>
                  <w:vAlign w:val="center"/>
                </w:tcPr>
                <w:p>
                  <w:pPr>
                    <w:pStyle w:val="77"/>
                    <w:spacing w:line="240" w:lineRule="auto"/>
                    <w:ind w:firstLine="0" w:firstLineChars="0"/>
                    <w:jc w:val="center"/>
                    <w:rPr>
                      <w:color w:val="FF0000"/>
                      <w:sz w:val="21"/>
                      <w:szCs w:val="21"/>
                    </w:rPr>
                  </w:pPr>
                  <w:r>
                    <w:rPr>
                      <w:color w:val="FF0000"/>
                      <w:sz w:val="21"/>
                      <w:szCs w:val="21"/>
                    </w:rPr>
                    <w:t>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2117" w:type="dxa"/>
                  <w:vMerge w:val="continue"/>
                  <w:vAlign w:val="center"/>
                </w:tcPr>
                <w:p>
                  <w:pPr>
                    <w:pStyle w:val="77"/>
                    <w:spacing w:line="240" w:lineRule="auto"/>
                    <w:ind w:firstLine="0" w:firstLineChars="0"/>
                    <w:jc w:val="center"/>
                    <w:rPr>
                      <w:color w:val="FF0000"/>
                      <w:sz w:val="21"/>
                      <w:szCs w:val="21"/>
                    </w:rPr>
                  </w:pPr>
                </w:p>
              </w:tc>
              <w:tc>
                <w:tcPr>
                  <w:tcW w:w="3217" w:type="dxa"/>
                  <w:vAlign w:val="center"/>
                </w:tcPr>
                <w:p>
                  <w:pPr>
                    <w:pStyle w:val="77"/>
                    <w:spacing w:line="240" w:lineRule="auto"/>
                    <w:ind w:firstLine="0" w:firstLineChars="0"/>
                    <w:jc w:val="center"/>
                    <w:rPr>
                      <w:color w:val="FF0000"/>
                      <w:sz w:val="21"/>
                      <w:szCs w:val="21"/>
                    </w:rPr>
                  </w:pPr>
                  <w:r>
                    <w:rPr>
                      <w:rFonts w:hint="eastAsia"/>
                      <w:color w:val="FF0000"/>
                      <w:sz w:val="21"/>
                      <w:szCs w:val="21"/>
                    </w:rPr>
                    <w:t>废包装材料</w:t>
                  </w:r>
                </w:p>
              </w:tc>
              <w:tc>
                <w:tcPr>
                  <w:tcW w:w="2753" w:type="dxa"/>
                  <w:vAlign w:val="center"/>
                </w:tcPr>
                <w:p>
                  <w:pPr>
                    <w:pStyle w:val="77"/>
                    <w:spacing w:line="240" w:lineRule="auto"/>
                    <w:ind w:firstLine="0" w:firstLineChars="0"/>
                    <w:jc w:val="center"/>
                    <w:rPr>
                      <w:color w:val="FF0000"/>
                      <w:sz w:val="21"/>
                      <w:szCs w:val="21"/>
                    </w:rPr>
                  </w:pPr>
                  <w:r>
                    <w:rPr>
                      <w:rFonts w:hint="eastAsia"/>
                      <w:color w:val="FF0000"/>
                      <w:sz w:val="21"/>
                      <w:szCs w:val="21"/>
                    </w:rPr>
                    <w:t>0</w:t>
                  </w:r>
                  <w:r>
                    <w:rPr>
                      <w:color w:val="FF0000"/>
                      <w:sz w:val="21"/>
                      <w:szCs w:val="21"/>
                    </w:rPr>
                    <w:t>.5</w:t>
                  </w:r>
                </w:p>
              </w:tc>
            </w:tr>
            <w:bookmarkEnd w:id="20"/>
          </w:tbl>
          <w:p>
            <w:pPr>
              <w:pStyle w:val="77"/>
              <w:spacing w:line="460" w:lineRule="exact"/>
              <w:ind w:firstLine="480"/>
              <w:rPr>
                <w:color w:val="FF0000"/>
              </w:rPr>
            </w:pPr>
            <w:r>
              <w:rPr>
                <w:color w:val="FF0000"/>
              </w:rPr>
              <w:t>3</w:t>
            </w:r>
            <w:r>
              <w:rPr>
                <w:rFonts w:hint="eastAsia"/>
                <w:color w:val="FF0000"/>
              </w:rPr>
              <w:t>、现有工程主要环境问题及整改措施</w:t>
            </w:r>
          </w:p>
          <w:p>
            <w:pPr>
              <w:pStyle w:val="77"/>
              <w:spacing w:line="460" w:lineRule="exact"/>
              <w:ind w:firstLine="480"/>
              <w:rPr>
                <w:color w:val="FF0000"/>
              </w:rPr>
            </w:pPr>
            <w:r>
              <w:rPr>
                <w:rFonts w:hint="eastAsia"/>
                <w:color w:val="FF0000"/>
              </w:rPr>
              <w:t>（1）现有环境问题</w:t>
            </w:r>
          </w:p>
          <w:p>
            <w:pPr>
              <w:pStyle w:val="77"/>
              <w:spacing w:line="460" w:lineRule="exact"/>
              <w:ind w:firstLine="480"/>
              <w:rPr>
                <w:bCs/>
                <w:color w:val="FF0000"/>
              </w:rPr>
            </w:pPr>
            <w:r>
              <w:rPr>
                <w:rFonts w:hint="eastAsia"/>
                <w:color w:val="FF0000"/>
                <w:lang w:bidi="en-US"/>
              </w:rPr>
              <w:t>①根据现场调查及查阅资料，本项目属于“未批先建”项目，燃气锅炉于2</w:t>
            </w:r>
            <w:r>
              <w:rPr>
                <w:color w:val="FF0000"/>
                <w:lang w:bidi="en-US"/>
              </w:rPr>
              <w:t>018</w:t>
            </w:r>
            <w:r>
              <w:rPr>
                <w:rFonts w:hint="eastAsia"/>
                <w:color w:val="FF0000"/>
                <w:lang w:bidi="en-US"/>
              </w:rPr>
              <w:t>年9月改造建成运行，污水处理设施于2</w:t>
            </w:r>
            <w:r>
              <w:rPr>
                <w:color w:val="FF0000"/>
                <w:lang w:bidi="en-US"/>
              </w:rPr>
              <w:t>021</w:t>
            </w:r>
            <w:r>
              <w:rPr>
                <w:rFonts w:hint="eastAsia"/>
                <w:color w:val="FF0000"/>
                <w:lang w:bidi="en-US"/>
              </w:rPr>
              <w:t>年7月改造建成运行，均未办理环境影响评价相关手续</w:t>
            </w:r>
            <w:r>
              <w:rPr>
                <w:rFonts w:hint="eastAsia"/>
                <w:color w:val="FF0000"/>
              </w:rPr>
              <w:t>。</w:t>
            </w:r>
          </w:p>
          <w:p>
            <w:pPr>
              <w:pStyle w:val="77"/>
              <w:spacing w:line="460" w:lineRule="exact"/>
              <w:ind w:firstLine="480"/>
              <w:rPr>
                <w:color w:val="FF0000"/>
              </w:rPr>
            </w:pPr>
            <w:r>
              <w:rPr>
                <w:rFonts w:hint="eastAsia"/>
                <w:color w:val="FF0000"/>
              </w:rPr>
              <w:t>②未</w:t>
            </w:r>
            <w:r>
              <w:rPr>
                <w:color w:val="FF0000"/>
              </w:rPr>
              <w:t>按照国家《环境保护图形标志》（GB15562.1-1995）的规定</w:t>
            </w:r>
            <w:r>
              <w:rPr>
                <w:rFonts w:hint="eastAsia"/>
                <w:color w:val="FF0000"/>
              </w:rPr>
              <w:t>设置排污口标识标牌。</w:t>
            </w:r>
          </w:p>
          <w:p>
            <w:pPr>
              <w:pStyle w:val="77"/>
              <w:spacing w:line="460" w:lineRule="exact"/>
              <w:ind w:firstLine="480"/>
              <w:rPr>
                <w:color w:val="FF0000"/>
              </w:rPr>
            </w:pPr>
            <w:r>
              <w:rPr>
                <w:rFonts w:hint="eastAsia"/>
                <w:color w:val="FF0000"/>
              </w:rPr>
              <w:t>（2）</w:t>
            </w:r>
            <w:bookmarkStart w:id="21" w:name="_Hlk147827528"/>
            <w:r>
              <w:rPr>
                <w:rFonts w:hint="eastAsia"/>
                <w:color w:val="FF0000"/>
              </w:rPr>
              <w:t>整改措施</w:t>
            </w:r>
          </w:p>
          <w:p>
            <w:pPr>
              <w:spacing w:line="460" w:lineRule="exact"/>
              <w:ind w:firstLine="480" w:firstLineChars="200"/>
              <w:rPr>
                <w:bCs/>
                <w:color w:val="FF0000"/>
                <w:sz w:val="24"/>
                <w:szCs w:val="32"/>
              </w:rPr>
            </w:pPr>
            <w:r>
              <w:rPr>
                <w:rFonts w:hint="eastAsia"/>
                <w:bCs/>
                <w:color w:val="FF0000"/>
                <w:sz w:val="24"/>
                <w:szCs w:val="32"/>
              </w:rPr>
              <w:t>①详见附件，锅炉设计文件审查报告、锅炉设计文件鉴定报告、锅炉产品数据表以及产品合格证，产品合格证日期为2</w:t>
            </w:r>
            <w:r>
              <w:rPr>
                <w:bCs/>
                <w:color w:val="FF0000"/>
                <w:sz w:val="24"/>
                <w:szCs w:val="32"/>
              </w:rPr>
              <w:t>017年</w:t>
            </w:r>
            <w:r>
              <w:rPr>
                <w:rFonts w:hint="eastAsia"/>
                <w:bCs/>
                <w:color w:val="FF0000"/>
                <w:sz w:val="24"/>
                <w:szCs w:val="32"/>
              </w:rPr>
              <w:t>1</w:t>
            </w:r>
            <w:r>
              <w:rPr>
                <w:bCs/>
                <w:color w:val="FF0000"/>
                <w:sz w:val="24"/>
                <w:szCs w:val="32"/>
              </w:rPr>
              <w:t>0月</w:t>
            </w:r>
            <w:r>
              <w:rPr>
                <w:rFonts w:hint="eastAsia"/>
                <w:bCs/>
                <w:color w:val="FF0000"/>
                <w:sz w:val="24"/>
                <w:szCs w:val="32"/>
              </w:rPr>
              <w:t>2</w:t>
            </w:r>
            <w:r>
              <w:rPr>
                <w:bCs/>
                <w:color w:val="FF0000"/>
                <w:sz w:val="24"/>
                <w:szCs w:val="32"/>
              </w:rPr>
              <w:t>6日，本</w:t>
            </w:r>
            <w:r>
              <w:rPr>
                <w:rFonts w:hint="eastAsia"/>
                <w:bCs/>
                <w:color w:val="FF0000"/>
                <w:sz w:val="24"/>
                <w:szCs w:val="32"/>
              </w:rPr>
              <w:t>项目锅炉于2</w:t>
            </w:r>
            <w:r>
              <w:rPr>
                <w:bCs/>
                <w:color w:val="FF0000"/>
                <w:sz w:val="24"/>
                <w:szCs w:val="32"/>
              </w:rPr>
              <w:t>018年改造建设完成</w:t>
            </w:r>
            <w:r>
              <w:rPr>
                <w:rFonts w:hint="eastAsia"/>
                <w:bCs/>
                <w:color w:val="FF0000"/>
                <w:sz w:val="24"/>
                <w:szCs w:val="32"/>
              </w:rPr>
              <w:t>；污水处理站合同于2</w:t>
            </w:r>
            <w:r>
              <w:rPr>
                <w:bCs/>
                <w:color w:val="FF0000"/>
                <w:sz w:val="24"/>
                <w:szCs w:val="32"/>
              </w:rPr>
              <w:t>021年5月</w:t>
            </w:r>
            <w:r>
              <w:rPr>
                <w:rFonts w:hint="eastAsia"/>
                <w:bCs/>
                <w:color w:val="FF0000"/>
                <w:sz w:val="24"/>
                <w:szCs w:val="32"/>
              </w:rPr>
              <w:t>2</w:t>
            </w:r>
            <w:r>
              <w:rPr>
                <w:bCs/>
                <w:color w:val="FF0000"/>
                <w:sz w:val="24"/>
                <w:szCs w:val="32"/>
              </w:rPr>
              <w:t>7日签订，于</w:t>
            </w:r>
            <w:r>
              <w:rPr>
                <w:rFonts w:hint="eastAsia"/>
                <w:bCs/>
                <w:color w:val="FF0000"/>
                <w:sz w:val="24"/>
                <w:szCs w:val="32"/>
              </w:rPr>
              <w:t>2</w:t>
            </w:r>
            <w:r>
              <w:rPr>
                <w:bCs/>
                <w:color w:val="FF0000"/>
                <w:sz w:val="24"/>
                <w:szCs w:val="32"/>
              </w:rPr>
              <w:t>021年</w:t>
            </w:r>
            <w:r>
              <w:rPr>
                <w:rFonts w:hint="eastAsia"/>
                <w:bCs/>
                <w:color w:val="FF0000"/>
                <w:sz w:val="24"/>
                <w:szCs w:val="32"/>
              </w:rPr>
              <w:t>7</w:t>
            </w:r>
            <w:r>
              <w:rPr>
                <w:bCs/>
                <w:color w:val="FF0000"/>
                <w:sz w:val="24"/>
                <w:szCs w:val="32"/>
              </w:rPr>
              <w:t>月建设</w:t>
            </w:r>
            <w:r>
              <w:rPr>
                <w:rFonts w:hint="eastAsia"/>
                <w:bCs/>
                <w:color w:val="FF0000"/>
                <w:sz w:val="24"/>
                <w:szCs w:val="32"/>
              </w:rPr>
              <w:t>完成，根据生态环境部《关于加强“未批先建”建设项目环境影响评价管理工作的通知》、《关于建设项目“未批先建”违法行为法律适用问题的意见》中规定，本项目未批先建违法行为已超过二年，不需再给予行政处罚。</w:t>
            </w:r>
          </w:p>
          <w:p>
            <w:pPr>
              <w:spacing w:line="460" w:lineRule="exact"/>
              <w:ind w:firstLine="480" w:firstLineChars="200"/>
              <w:rPr>
                <w:color w:val="FF0000"/>
                <w:sz w:val="24"/>
                <w:szCs w:val="32"/>
              </w:rPr>
            </w:pPr>
            <w:r>
              <w:rPr>
                <w:rFonts w:hint="eastAsia"/>
                <w:bCs/>
                <w:color w:val="FF0000"/>
                <w:sz w:val="24"/>
                <w:szCs w:val="32"/>
              </w:rPr>
              <w:t>本次环评批复后，应尽快整改，三个月内进行竣工环境保护验收工作。</w:t>
            </w:r>
          </w:p>
          <w:p>
            <w:pPr>
              <w:pStyle w:val="77"/>
              <w:spacing w:line="460" w:lineRule="exact"/>
              <w:ind w:firstLine="480"/>
              <w:rPr>
                <w:color w:val="FF0000"/>
              </w:rPr>
            </w:pPr>
            <w:r>
              <w:rPr>
                <w:rFonts w:hint="eastAsia"/>
                <w:color w:val="FF0000"/>
              </w:rPr>
              <w:t>②本次评价要求</w:t>
            </w:r>
            <w:r>
              <w:rPr>
                <w:color w:val="FF0000"/>
              </w:rPr>
              <w:t>按照国家《环境保护图形标志》（GB15562.1-1995）的规定</w:t>
            </w:r>
            <w:r>
              <w:rPr>
                <w:rFonts w:hint="eastAsia"/>
                <w:color w:val="FF0000"/>
              </w:rPr>
              <w:t>设置排污口标识标牌。</w:t>
            </w:r>
            <w:bookmarkEnd w:id="17"/>
            <w:bookmarkEnd w:id="21"/>
          </w:p>
        </w:tc>
      </w:tr>
      <w:bookmarkEnd w:id="15"/>
    </w:tbl>
    <w:p>
      <w:pPr>
        <w:tabs>
          <w:tab w:val="left" w:pos="767"/>
        </w:tabs>
        <w:rPr>
          <w:rFonts w:eastAsia="黑体"/>
          <w:snapToGrid w:val="0"/>
          <w:sz w:val="36"/>
          <w:szCs w:val="36"/>
        </w:rPr>
        <w:sectPr>
          <w:pgSz w:w="11906" w:h="16838"/>
          <w:pgMar w:top="1701" w:right="1531" w:bottom="1701" w:left="1531" w:header="851" w:footer="851" w:gutter="0"/>
          <w:cols w:space="720" w:num="1"/>
          <w:docGrid w:linePitch="312" w:charSpace="0"/>
        </w:sectPr>
      </w:pPr>
    </w:p>
    <w:p>
      <w:pPr>
        <w:pStyle w:val="4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46"/>
        <w:tblW w:w="882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4"/>
        <w:gridCol w:w="83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464" w:type="dxa"/>
            <w:vAlign w:val="center"/>
          </w:tcPr>
          <w:p>
            <w:pPr>
              <w:adjustRightInd w:val="0"/>
              <w:snapToGrid w:val="0"/>
              <w:jc w:val="center"/>
              <w:rPr>
                <w:kern w:val="0"/>
                <w:sz w:val="24"/>
                <w:szCs w:val="21"/>
              </w:rPr>
            </w:pPr>
            <w:r>
              <w:rPr>
                <w:kern w:val="0"/>
                <w:sz w:val="24"/>
                <w:szCs w:val="21"/>
              </w:rPr>
              <w:t>区域</w:t>
            </w:r>
          </w:p>
          <w:p>
            <w:pPr>
              <w:adjustRightInd w:val="0"/>
              <w:snapToGrid w:val="0"/>
              <w:jc w:val="center"/>
              <w:rPr>
                <w:kern w:val="0"/>
                <w:sz w:val="24"/>
                <w:szCs w:val="21"/>
              </w:rPr>
            </w:pPr>
            <w:r>
              <w:rPr>
                <w:kern w:val="0"/>
                <w:sz w:val="24"/>
                <w:szCs w:val="21"/>
              </w:rPr>
              <w:t>环境</w:t>
            </w:r>
          </w:p>
          <w:p>
            <w:pPr>
              <w:adjustRightInd w:val="0"/>
              <w:snapToGrid w:val="0"/>
              <w:jc w:val="center"/>
              <w:rPr>
                <w:kern w:val="0"/>
                <w:sz w:val="24"/>
                <w:szCs w:val="21"/>
              </w:rPr>
            </w:pPr>
            <w:r>
              <w:rPr>
                <w:kern w:val="0"/>
                <w:sz w:val="24"/>
                <w:szCs w:val="21"/>
              </w:rPr>
              <w:t>质量</w:t>
            </w:r>
          </w:p>
          <w:p>
            <w:pPr>
              <w:adjustRightInd w:val="0"/>
              <w:snapToGrid w:val="0"/>
              <w:jc w:val="center"/>
              <w:rPr>
                <w:kern w:val="0"/>
                <w:szCs w:val="21"/>
              </w:rPr>
            </w:pPr>
            <w:r>
              <w:rPr>
                <w:kern w:val="0"/>
                <w:sz w:val="24"/>
                <w:szCs w:val="21"/>
              </w:rPr>
              <w:t>现状</w:t>
            </w:r>
          </w:p>
        </w:tc>
        <w:tc>
          <w:tcPr>
            <w:tcW w:w="8360" w:type="dxa"/>
            <w:vAlign w:val="center"/>
          </w:tcPr>
          <w:p>
            <w:pPr>
              <w:widowControl/>
              <w:spacing w:line="440" w:lineRule="exact"/>
              <w:ind w:firstLine="482" w:firstLineChars="200"/>
              <w:rPr>
                <w:b/>
                <w:kern w:val="0"/>
                <w:sz w:val="24"/>
                <w:szCs w:val="22"/>
              </w:rPr>
            </w:pPr>
            <w:r>
              <w:rPr>
                <w:b/>
                <w:kern w:val="0"/>
                <w:sz w:val="24"/>
                <w:szCs w:val="22"/>
              </w:rPr>
              <w:t>1、大气环境质量现状调查及分析</w:t>
            </w:r>
          </w:p>
          <w:p>
            <w:pPr>
              <w:pStyle w:val="77"/>
              <w:spacing w:line="440" w:lineRule="exact"/>
              <w:ind w:firstLine="480"/>
              <w:rPr>
                <w:bCs/>
              </w:rPr>
            </w:pPr>
            <w:r>
              <w:t>（</w:t>
            </w:r>
            <w:r>
              <w:rPr>
                <w:bCs/>
              </w:rPr>
              <w:t>1）数据来源</w:t>
            </w:r>
          </w:p>
          <w:p>
            <w:pPr>
              <w:pStyle w:val="77"/>
              <w:spacing w:line="440" w:lineRule="exact"/>
              <w:ind w:firstLine="480"/>
              <w:rPr>
                <w:bCs/>
              </w:rPr>
            </w:pPr>
            <w:r>
              <w:rPr>
                <w:bCs/>
              </w:rPr>
              <w:t>根据《环境影响评价技术导则大气环境》(HJ2.2-2018)要求，</w:t>
            </w:r>
            <w:r>
              <w:rPr>
                <w:rFonts w:hint="eastAsia"/>
                <w:bCs/>
              </w:rPr>
              <w:t>项目所在区域达标判定，优先采用国家或地方生态环境主管部门公开发布的评价基准年环境质量公告或环境质量报告中的数据或结论。本次评价选择呼图壁县人民政府网站（</w:t>
            </w:r>
            <w:r>
              <w:rPr>
                <w:bCs/>
              </w:rPr>
              <w:t>http://www.htb.gov.cn/gk/kqzl/890194.htm</w:t>
            </w:r>
            <w:r>
              <w:rPr>
                <w:rFonts w:hint="eastAsia"/>
                <w:bCs/>
              </w:rPr>
              <w:t>）发布的呼图壁县2</w:t>
            </w:r>
            <w:r>
              <w:rPr>
                <w:bCs/>
              </w:rPr>
              <w:t>022</w:t>
            </w:r>
            <w:r>
              <w:rPr>
                <w:rFonts w:hint="eastAsia"/>
                <w:bCs/>
              </w:rPr>
              <w:t>年12月环境空气质量月报中表3呼图壁县2</w:t>
            </w:r>
            <w:r>
              <w:rPr>
                <w:bCs/>
              </w:rPr>
              <w:t>022</w:t>
            </w:r>
            <w:r>
              <w:rPr>
                <w:rFonts w:hint="eastAsia"/>
                <w:bCs/>
              </w:rPr>
              <w:t>年1月-</w:t>
            </w:r>
            <w:r>
              <w:rPr>
                <w:bCs/>
              </w:rPr>
              <w:t>12</w:t>
            </w:r>
            <w:r>
              <w:rPr>
                <w:rFonts w:hint="eastAsia"/>
                <w:bCs/>
              </w:rPr>
              <w:t>月各项指标与上年同期对比表中的2</w:t>
            </w:r>
            <w:r>
              <w:rPr>
                <w:bCs/>
              </w:rPr>
              <w:t>022</w:t>
            </w:r>
            <w:r>
              <w:rPr>
                <w:rFonts w:hint="eastAsia"/>
                <w:bCs/>
              </w:rPr>
              <w:t>年各基本污染物数据</w:t>
            </w:r>
            <w:r>
              <w:rPr>
                <w:bCs/>
              </w:rPr>
              <w:t>，作为本项目环境空气现状评价基本污染物SO</w:t>
            </w:r>
            <w:r>
              <w:rPr>
                <w:bCs/>
                <w:vertAlign w:val="subscript"/>
              </w:rPr>
              <w:t>2</w:t>
            </w:r>
            <w:r>
              <w:rPr>
                <w:bCs/>
              </w:rPr>
              <w:t>、NO</w:t>
            </w:r>
            <w:r>
              <w:rPr>
                <w:bCs/>
                <w:vertAlign w:val="subscript"/>
              </w:rPr>
              <w:t>2</w:t>
            </w:r>
            <w:r>
              <w:rPr>
                <w:bCs/>
              </w:rPr>
              <w:t>、PM</w:t>
            </w:r>
            <w:r>
              <w:rPr>
                <w:bCs/>
                <w:vertAlign w:val="subscript"/>
              </w:rPr>
              <w:t>10</w:t>
            </w:r>
            <w:r>
              <w:rPr>
                <w:bCs/>
              </w:rPr>
              <w:t>、PM</w:t>
            </w:r>
            <w:r>
              <w:rPr>
                <w:bCs/>
                <w:vertAlign w:val="subscript"/>
              </w:rPr>
              <w:t>2.5</w:t>
            </w:r>
            <w:r>
              <w:rPr>
                <w:bCs/>
              </w:rPr>
              <w:t>、CO 和O</w:t>
            </w:r>
            <w:r>
              <w:rPr>
                <w:bCs/>
                <w:vertAlign w:val="subscript"/>
              </w:rPr>
              <w:t>3</w:t>
            </w:r>
            <w:r>
              <w:rPr>
                <w:bCs/>
              </w:rPr>
              <w:t>的数据来源。</w:t>
            </w:r>
          </w:p>
          <w:p>
            <w:pPr>
              <w:pStyle w:val="77"/>
              <w:spacing w:line="440" w:lineRule="exact"/>
              <w:ind w:firstLine="480"/>
            </w:pPr>
            <w:r>
              <w:t>（2）环境质量现状评价</w:t>
            </w:r>
          </w:p>
          <w:p>
            <w:pPr>
              <w:pStyle w:val="77"/>
              <w:spacing w:line="440" w:lineRule="exact"/>
              <w:ind w:firstLine="480"/>
            </w:pPr>
            <w:r>
              <w:t>根据《环境影响评价技术导则大气环境》（HJ2.2-2018）的要求，分别对基本污染物的环境质量现状进行评价。</w:t>
            </w:r>
          </w:p>
          <w:p>
            <w:pPr>
              <w:pStyle w:val="77"/>
              <w:spacing w:line="440" w:lineRule="exact"/>
              <w:ind w:firstLine="480"/>
            </w:pPr>
            <w:r>
              <w:t>（3）评价标准</w:t>
            </w:r>
          </w:p>
          <w:p>
            <w:pPr>
              <w:pStyle w:val="77"/>
              <w:spacing w:line="440" w:lineRule="exact"/>
              <w:ind w:firstLine="480"/>
            </w:pPr>
            <w:r>
              <w:t>本项目环境空气质量评价标准采用《环境空气质量标准》（GB3095-2012）的二级标准。</w:t>
            </w:r>
          </w:p>
          <w:p>
            <w:pPr>
              <w:pStyle w:val="77"/>
              <w:spacing w:line="440" w:lineRule="exact"/>
              <w:ind w:firstLine="480"/>
            </w:pPr>
            <w:r>
              <w:t>（4）评价方法</w:t>
            </w:r>
          </w:p>
          <w:p>
            <w:pPr>
              <w:pStyle w:val="77"/>
              <w:spacing w:line="440" w:lineRule="exact"/>
              <w:ind w:firstLine="480"/>
            </w:pPr>
            <w:r>
              <w:t>评价方法采用最大质量浓度占相应标准质量浓度限值的百分比及超标率对监测结果进行评价分析。计算公式如下：</w:t>
            </w:r>
          </w:p>
          <w:p>
            <w:pPr>
              <w:pStyle w:val="77"/>
              <w:spacing w:line="440" w:lineRule="exact"/>
              <w:ind w:firstLine="0" w:firstLineChars="0"/>
              <w:jc w:val="center"/>
            </w:pPr>
            <w:r>
              <w:t>Pi=Ci/Coi×100%</w:t>
            </w:r>
          </w:p>
          <w:p>
            <w:pPr>
              <w:pStyle w:val="77"/>
              <w:spacing w:line="440" w:lineRule="exact"/>
              <w:ind w:firstLine="480"/>
            </w:pPr>
            <w:r>
              <w:t>式中：Pi—第i个污染物的最大占标百分比；</w:t>
            </w:r>
          </w:p>
          <w:p>
            <w:pPr>
              <w:pStyle w:val="77"/>
              <w:spacing w:line="440" w:lineRule="exact"/>
              <w:ind w:firstLine="480"/>
            </w:pPr>
            <w:r>
              <w:t>Ci—第i个污染物的监测浓度值，mg/m</w:t>
            </w:r>
            <w:r>
              <w:rPr>
                <w:vertAlign w:val="superscript"/>
              </w:rPr>
              <w:t>3</w:t>
            </w:r>
            <w:r>
              <w:t>；</w:t>
            </w:r>
          </w:p>
          <w:p>
            <w:pPr>
              <w:pStyle w:val="77"/>
              <w:spacing w:line="440" w:lineRule="exact"/>
              <w:ind w:firstLine="480"/>
            </w:pPr>
            <w:r>
              <w:t>Coi—第i个污染物的环境空气质量标准，mg/m</w:t>
            </w:r>
            <w:r>
              <w:rPr>
                <w:vertAlign w:val="superscript"/>
              </w:rPr>
              <w:t>3</w:t>
            </w:r>
            <w:r>
              <w:t>。</w:t>
            </w:r>
          </w:p>
          <w:p>
            <w:pPr>
              <w:pStyle w:val="77"/>
              <w:spacing w:line="440" w:lineRule="exact"/>
              <w:ind w:firstLine="480"/>
              <w:rPr>
                <w:bCs/>
                <w:kern w:val="2"/>
              </w:rPr>
            </w:pPr>
            <w:r>
              <w:rPr>
                <w:bCs/>
                <w:kern w:val="2"/>
              </w:rPr>
              <w:t>（5）</w:t>
            </w:r>
            <w:r>
              <w:rPr>
                <w:rFonts w:hint="eastAsia"/>
                <w:bCs/>
                <w:kern w:val="2"/>
              </w:rPr>
              <w:t>空气质量达标区判定</w:t>
            </w:r>
          </w:p>
          <w:p>
            <w:pPr>
              <w:pStyle w:val="77"/>
              <w:spacing w:line="440" w:lineRule="exact"/>
              <w:ind w:firstLine="480"/>
              <w:rPr>
                <w:bCs/>
                <w:kern w:val="2"/>
              </w:rPr>
            </w:pPr>
            <w:r>
              <w:rPr>
                <w:bCs/>
                <w:kern w:val="2"/>
              </w:rPr>
              <w:t>2022年</w:t>
            </w:r>
            <w:r>
              <w:rPr>
                <w:rFonts w:hint="eastAsia"/>
              </w:rPr>
              <w:t>呼图壁县</w:t>
            </w:r>
            <w:r>
              <w:rPr>
                <w:bCs/>
                <w:kern w:val="2"/>
              </w:rPr>
              <w:t>环境空气质量监测结果见</w:t>
            </w:r>
            <w:r>
              <w:rPr>
                <w:rFonts w:hint="eastAsia"/>
                <w:bCs/>
                <w:kern w:val="2"/>
              </w:rPr>
              <w:t>下表</w:t>
            </w:r>
            <w:r>
              <w:rPr>
                <w:bCs/>
                <w:kern w:val="2"/>
              </w:rPr>
              <w:t>。</w:t>
            </w:r>
          </w:p>
          <w:p>
            <w:pPr>
              <w:pStyle w:val="25"/>
              <w:adjustRightInd w:val="0"/>
              <w:snapToGrid w:val="0"/>
              <w:ind w:firstLine="525" w:firstLineChars="250"/>
              <w:rPr>
                <w:rFonts w:ascii="黑体" w:hAnsi="黑体" w:eastAsia="黑体"/>
                <w:bCs/>
                <w:sz w:val="21"/>
              </w:rPr>
            </w:pPr>
            <w:r>
              <w:rPr>
                <w:rFonts w:ascii="黑体" w:hAnsi="黑体" w:eastAsia="黑体"/>
                <w:bCs/>
                <w:sz w:val="21"/>
              </w:rPr>
              <w:t>表3-1                  环境空气质量评价结果一览表</w:t>
            </w:r>
          </w:p>
          <w:tbl>
            <w:tblPr>
              <w:tblStyle w:val="46"/>
              <w:tblW w:w="8144"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57"/>
              <w:gridCol w:w="1799"/>
              <w:gridCol w:w="1290"/>
              <w:gridCol w:w="1267"/>
              <w:gridCol w:w="1248"/>
              <w:gridCol w:w="128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9" w:hRule="atLeast"/>
                <w:jc w:val="center"/>
              </w:trPr>
              <w:tc>
                <w:tcPr>
                  <w:tcW w:w="1257" w:type="dxa"/>
                  <w:vAlign w:val="center"/>
                </w:tcPr>
                <w:p>
                  <w:pPr>
                    <w:pStyle w:val="18"/>
                    <w:adjustRightInd w:val="0"/>
                    <w:spacing w:after="0"/>
                    <w:jc w:val="center"/>
                    <w:rPr>
                      <w:sz w:val="21"/>
                      <w:szCs w:val="24"/>
                    </w:rPr>
                  </w:pPr>
                  <w:r>
                    <w:rPr>
                      <w:sz w:val="21"/>
                      <w:szCs w:val="24"/>
                    </w:rPr>
                    <w:t>评价因子</w:t>
                  </w:r>
                </w:p>
              </w:tc>
              <w:tc>
                <w:tcPr>
                  <w:tcW w:w="1799" w:type="dxa"/>
                  <w:vAlign w:val="center"/>
                </w:tcPr>
                <w:p>
                  <w:pPr>
                    <w:pStyle w:val="18"/>
                    <w:adjustRightInd w:val="0"/>
                    <w:spacing w:after="0"/>
                    <w:jc w:val="center"/>
                    <w:rPr>
                      <w:sz w:val="21"/>
                      <w:szCs w:val="24"/>
                    </w:rPr>
                  </w:pPr>
                  <w:r>
                    <w:rPr>
                      <w:sz w:val="21"/>
                      <w:szCs w:val="24"/>
                    </w:rPr>
                    <w:t>平均时段</w:t>
                  </w:r>
                </w:p>
              </w:tc>
              <w:tc>
                <w:tcPr>
                  <w:tcW w:w="1290" w:type="dxa"/>
                  <w:vAlign w:val="center"/>
                </w:tcPr>
                <w:p>
                  <w:pPr>
                    <w:pStyle w:val="18"/>
                    <w:adjustRightInd w:val="0"/>
                    <w:spacing w:after="0"/>
                    <w:jc w:val="center"/>
                    <w:rPr>
                      <w:sz w:val="21"/>
                      <w:szCs w:val="24"/>
                    </w:rPr>
                  </w:pPr>
                  <w:r>
                    <w:rPr>
                      <w:sz w:val="21"/>
                      <w:szCs w:val="24"/>
                    </w:rPr>
                    <w:t>现状浓度μg/m</w:t>
                  </w:r>
                  <w:r>
                    <w:rPr>
                      <w:sz w:val="21"/>
                      <w:szCs w:val="24"/>
                      <w:vertAlign w:val="superscript"/>
                    </w:rPr>
                    <w:t>3</w:t>
                  </w:r>
                </w:p>
              </w:tc>
              <w:tc>
                <w:tcPr>
                  <w:tcW w:w="1267" w:type="dxa"/>
                  <w:vAlign w:val="center"/>
                </w:tcPr>
                <w:p>
                  <w:pPr>
                    <w:pStyle w:val="18"/>
                    <w:adjustRightInd w:val="0"/>
                    <w:spacing w:after="0"/>
                    <w:jc w:val="center"/>
                    <w:rPr>
                      <w:sz w:val="21"/>
                      <w:szCs w:val="24"/>
                    </w:rPr>
                  </w:pPr>
                  <w:r>
                    <w:rPr>
                      <w:sz w:val="21"/>
                      <w:szCs w:val="24"/>
                    </w:rPr>
                    <w:t>标准限值μg/m</w:t>
                  </w:r>
                  <w:r>
                    <w:rPr>
                      <w:sz w:val="21"/>
                      <w:szCs w:val="24"/>
                      <w:vertAlign w:val="superscript"/>
                    </w:rPr>
                    <w:t>3</w:t>
                  </w:r>
                </w:p>
              </w:tc>
              <w:tc>
                <w:tcPr>
                  <w:tcW w:w="1248" w:type="dxa"/>
                  <w:vAlign w:val="center"/>
                </w:tcPr>
                <w:p>
                  <w:pPr>
                    <w:pStyle w:val="18"/>
                    <w:adjustRightInd w:val="0"/>
                    <w:spacing w:after="0"/>
                    <w:jc w:val="center"/>
                    <w:rPr>
                      <w:sz w:val="21"/>
                      <w:szCs w:val="24"/>
                    </w:rPr>
                  </w:pPr>
                  <w:r>
                    <w:rPr>
                      <w:sz w:val="21"/>
                      <w:szCs w:val="24"/>
                    </w:rPr>
                    <w:t>占标率%</w:t>
                  </w:r>
                </w:p>
              </w:tc>
              <w:tc>
                <w:tcPr>
                  <w:tcW w:w="1283" w:type="dxa"/>
                  <w:vAlign w:val="center"/>
                </w:tcPr>
                <w:p>
                  <w:pPr>
                    <w:pStyle w:val="18"/>
                    <w:adjustRightInd w:val="0"/>
                    <w:spacing w:after="0"/>
                    <w:jc w:val="center"/>
                    <w:rPr>
                      <w:sz w:val="21"/>
                      <w:szCs w:val="24"/>
                    </w:rPr>
                  </w:pPr>
                  <w:r>
                    <w:rPr>
                      <w:sz w:val="21"/>
                      <w:szCs w:val="24"/>
                    </w:rPr>
                    <w:t>达标情况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32" w:hRule="atLeast"/>
                <w:jc w:val="center"/>
              </w:trPr>
              <w:tc>
                <w:tcPr>
                  <w:tcW w:w="1257" w:type="dxa"/>
                  <w:vAlign w:val="center"/>
                </w:tcPr>
                <w:p>
                  <w:pPr>
                    <w:pStyle w:val="18"/>
                    <w:adjustRightInd w:val="0"/>
                    <w:spacing w:after="0"/>
                    <w:jc w:val="center"/>
                    <w:rPr>
                      <w:sz w:val="21"/>
                      <w:szCs w:val="24"/>
                    </w:rPr>
                  </w:pPr>
                  <w:r>
                    <w:rPr>
                      <w:sz w:val="21"/>
                      <w:szCs w:val="24"/>
                    </w:rPr>
                    <w:t>SO</w:t>
                  </w:r>
                  <w:r>
                    <w:rPr>
                      <w:sz w:val="21"/>
                      <w:szCs w:val="24"/>
                      <w:vertAlign w:val="subscript"/>
                    </w:rPr>
                    <w:t>2</w:t>
                  </w:r>
                </w:p>
              </w:tc>
              <w:tc>
                <w:tcPr>
                  <w:tcW w:w="1799" w:type="dxa"/>
                  <w:vAlign w:val="center"/>
                </w:tcPr>
                <w:p>
                  <w:pPr>
                    <w:pStyle w:val="18"/>
                    <w:adjustRightInd w:val="0"/>
                    <w:spacing w:after="0"/>
                    <w:jc w:val="center"/>
                    <w:rPr>
                      <w:sz w:val="21"/>
                      <w:szCs w:val="24"/>
                    </w:rPr>
                  </w:pPr>
                  <w:r>
                    <w:rPr>
                      <w:sz w:val="21"/>
                      <w:szCs w:val="24"/>
                    </w:rPr>
                    <w:t>年平均浓度</w:t>
                  </w:r>
                </w:p>
              </w:tc>
              <w:tc>
                <w:tcPr>
                  <w:tcW w:w="1290" w:type="dxa"/>
                  <w:vAlign w:val="center"/>
                </w:tcPr>
                <w:p>
                  <w:pPr>
                    <w:pStyle w:val="18"/>
                    <w:adjustRightInd w:val="0"/>
                    <w:spacing w:after="0"/>
                    <w:jc w:val="center"/>
                    <w:rPr>
                      <w:sz w:val="21"/>
                      <w:szCs w:val="24"/>
                    </w:rPr>
                  </w:pPr>
                  <w:r>
                    <w:rPr>
                      <w:rFonts w:hint="eastAsia"/>
                      <w:sz w:val="21"/>
                      <w:szCs w:val="24"/>
                    </w:rPr>
                    <w:t>1</w:t>
                  </w:r>
                  <w:r>
                    <w:rPr>
                      <w:sz w:val="21"/>
                      <w:szCs w:val="24"/>
                    </w:rPr>
                    <w:t>0</w:t>
                  </w:r>
                </w:p>
              </w:tc>
              <w:tc>
                <w:tcPr>
                  <w:tcW w:w="1267" w:type="dxa"/>
                  <w:vAlign w:val="center"/>
                </w:tcPr>
                <w:p>
                  <w:pPr>
                    <w:pStyle w:val="18"/>
                    <w:adjustRightInd w:val="0"/>
                    <w:spacing w:after="0"/>
                    <w:jc w:val="center"/>
                    <w:rPr>
                      <w:sz w:val="21"/>
                      <w:szCs w:val="24"/>
                    </w:rPr>
                  </w:pPr>
                  <w:r>
                    <w:rPr>
                      <w:sz w:val="21"/>
                      <w:szCs w:val="24"/>
                    </w:rPr>
                    <w:t>60</w:t>
                  </w:r>
                </w:p>
              </w:tc>
              <w:tc>
                <w:tcPr>
                  <w:tcW w:w="1248" w:type="dxa"/>
                  <w:vAlign w:val="center"/>
                </w:tcPr>
                <w:p>
                  <w:pPr>
                    <w:pStyle w:val="18"/>
                    <w:adjustRightInd w:val="0"/>
                    <w:spacing w:after="0"/>
                    <w:jc w:val="center"/>
                    <w:rPr>
                      <w:sz w:val="21"/>
                      <w:szCs w:val="24"/>
                    </w:rPr>
                  </w:pPr>
                  <w:r>
                    <w:rPr>
                      <w:rFonts w:hint="eastAsia"/>
                      <w:sz w:val="21"/>
                      <w:szCs w:val="24"/>
                    </w:rPr>
                    <w:t>1</w:t>
                  </w:r>
                  <w:r>
                    <w:rPr>
                      <w:sz w:val="21"/>
                      <w:szCs w:val="24"/>
                    </w:rPr>
                    <w:t>6.67</w:t>
                  </w:r>
                </w:p>
              </w:tc>
              <w:tc>
                <w:tcPr>
                  <w:tcW w:w="1283" w:type="dxa"/>
                  <w:vAlign w:val="center"/>
                </w:tcPr>
                <w:p>
                  <w:pPr>
                    <w:pStyle w:val="18"/>
                    <w:adjustRightInd w:val="0"/>
                    <w:spacing w:after="0"/>
                    <w:jc w:val="center"/>
                    <w:rPr>
                      <w:sz w:val="21"/>
                      <w:szCs w:val="24"/>
                    </w:rPr>
                  </w:pPr>
                  <w:r>
                    <w:rPr>
                      <w:sz w:val="21"/>
                      <w:szCs w:val="24"/>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62" w:hRule="atLeast"/>
                <w:jc w:val="center"/>
              </w:trPr>
              <w:tc>
                <w:tcPr>
                  <w:tcW w:w="1257" w:type="dxa"/>
                  <w:vAlign w:val="center"/>
                </w:tcPr>
                <w:p>
                  <w:pPr>
                    <w:pStyle w:val="18"/>
                    <w:adjustRightInd w:val="0"/>
                    <w:spacing w:after="0"/>
                    <w:jc w:val="center"/>
                    <w:rPr>
                      <w:sz w:val="21"/>
                      <w:szCs w:val="24"/>
                    </w:rPr>
                  </w:pPr>
                  <w:r>
                    <w:rPr>
                      <w:sz w:val="21"/>
                      <w:szCs w:val="24"/>
                    </w:rPr>
                    <w:t>NO</w:t>
                  </w:r>
                  <w:r>
                    <w:rPr>
                      <w:sz w:val="21"/>
                      <w:szCs w:val="24"/>
                      <w:vertAlign w:val="subscript"/>
                    </w:rPr>
                    <w:t>2</w:t>
                  </w:r>
                </w:p>
              </w:tc>
              <w:tc>
                <w:tcPr>
                  <w:tcW w:w="1799" w:type="dxa"/>
                  <w:vAlign w:val="center"/>
                </w:tcPr>
                <w:p>
                  <w:pPr>
                    <w:pStyle w:val="18"/>
                    <w:adjustRightInd w:val="0"/>
                    <w:spacing w:after="0"/>
                    <w:jc w:val="center"/>
                    <w:rPr>
                      <w:sz w:val="21"/>
                      <w:szCs w:val="24"/>
                    </w:rPr>
                  </w:pPr>
                  <w:r>
                    <w:rPr>
                      <w:sz w:val="21"/>
                      <w:szCs w:val="24"/>
                    </w:rPr>
                    <w:t>年平均浓度</w:t>
                  </w:r>
                </w:p>
              </w:tc>
              <w:tc>
                <w:tcPr>
                  <w:tcW w:w="1290" w:type="dxa"/>
                  <w:vAlign w:val="center"/>
                </w:tcPr>
                <w:p>
                  <w:pPr>
                    <w:pStyle w:val="18"/>
                    <w:adjustRightInd w:val="0"/>
                    <w:spacing w:after="0"/>
                    <w:jc w:val="center"/>
                    <w:rPr>
                      <w:sz w:val="21"/>
                      <w:szCs w:val="24"/>
                    </w:rPr>
                  </w:pPr>
                  <w:r>
                    <w:rPr>
                      <w:rFonts w:hint="eastAsia"/>
                      <w:sz w:val="21"/>
                      <w:szCs w:val="24"/>
                    </w:rPr>
                    <w:t>2</w:t>
                  </w:r>
                  <w:r>
                    <w:rPr>
                      <w:sz w:val="21"/>
                      <w:szCs w:val="24"/>
                    </w:rPr>
                    <w:t>4</w:t>
                  </w:r>
                </w:p>
              </w:tc>
              <w:tc>
                <w:tcPr>
                  <w:tcW w:w="1267" w:type="dxa"/>
                  <w:vAlign w:val="center"/>
                </w:tcPr>
                <w:p>
                  <w:pPr>
                    <w:pStyle w:val="18"/>
                    <w:adjustRightInd w:val="0"/>
                    <w:spacing w:after="0"/>
                    <w:jc w:val="center"/>
                    <w:rPr>
                      <w:sz w:val="21"/>
                      <w:szCs w:val="24"/>
                    </w:rPr>
                  </w:pPr>
                  <w:r>
                    <w:rPr>
                      <w:sz w:val="21"/>
                      <w:szCs w:val="24"/>
                    </w:rPr>
                    <w:t>40</w:t>
                  </w:r>
                </w:p>
              </w:tc>
              <w:tc>
                <w:tcPr>
                  <w:tcW w:w="1248" w:type="dxa"/>
                  <w:vAlign w:val="center"/>
                </w:tcPr>
                <w:p>
                  <w:pPr>
                    <w:pStyle w:val="18"/>
                    <w:adjustRightInd w:val="0"/>
                    <w:spacing w:after="0"/>
                    <w:jc w:val="center"/>
                    <w:rPr>
                      <w:sz w:val="21"/>
                      <w:szCs w:val="24"/>
                    </w:rPr>
                  </w:pPr>
                  <w:r>
                    <w:rPr>
                      <w:rFonts w:hint="eastAsia"/>
                      <w:sz w:val="21"/>
                      <w:szCs w:val="24"/>
                    </w:rPr>
                    <w:t>6</w:t>
                  </w:r>
                  <w:r>
                    <w:rPr>
                      <w:sz w:val="21"/>
                      <w:szCs w:val="24"/>
                    </w:rPr>
                    <w:t>0</w:t>
                  </w:r>
                </w:p>
              </w:tc>
              <w:tc>
                <w:tcPr>
                  <w:tcW w:w="1283" w:type="dxa"/>
                  <w:vAlign w:val="center"/>
                </w:tcPr>
                <w:p>
                  <w:pPr>
                    <w:pStyle w:val="18"/>
                    <w:adjustRightInd w:val="0"/>
                    <w:spacing w:after="0"/>
                    <w:jc w:val="center"/>
                    <w:rPr>
                      <w:sz w:val="21"/>
                      <w:szCs w:val="24"/>
                    </w:rPr>
                  </w:pPr>
                  <w:r>
                    <w:rPr>
                      <w:sz w:val="21"/>
                      <w:szCs w:val="24"/>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97" w:hRule="atLeast"/>
                <w:jc w:val="center"/>
              </w:trPr>
              <w:tc>
                <w:tcPr>
                  <w:tcW w:w="1257" w:type="dxa"/>
                  <w:vAlign w:val="center"/>
                </w:tcPr>
                <w:p>
                  <w:pPr>
                    <w:pStyle w:val="18"/>
                    <w:adjustRightInd w:val="0"/>
                    <w:spacing w:after="0"/>
                    <w:jc w:val="center"/>
                    <w:rPr>
                      <w:sz w:val="21"/>
                      <w:szCs w:val="24"/>
                    </w:rPr>
                  </w:pPr>
                  <w:r>
                    <w:rPr>
                      <w:sz w:val="21"/>
                      <w:szCs w:val="24"/>
                    </w:rPr>
                    <w:t>CO</w:t>
                  </w:r>
                </w:p>
              </w:tc>
              <w:tc>
                <w:tcPr>
                  <w:tcW w:w="1799" w:type="dxa"/>
                  <w:vAlign w:val="center"/>
                </w:tcPr>
                <w:p>
                  <w:pPr>
                    <w:pStyle w:val="18"/>
                    <w:adjustRightInd w:val="0"/>
                    <w:spacing w:after="0"/>
                    <w:jc w:val="center"/>
                    <w:rPr>
                      <w:sz w:val="21"/>
                      <w:szCs w:val="24"/>
                    </w:rPr>
                  </w:pPr>
                  <w:r>
                    <w:rPr>
                      <w:rFonts w:hint="eastAsia"/>
                      <w:sz w:val="21"/>
                      <w:szCs w:val="24"/>
                    </w:rPr>
                    <w:t>2</w:t>
                  </w:r>
                  <w:r>
                    <w:rPr>
                      <w:sz w:val="21"/>
                      <w:szCs w:val="24"/>
                    </w:rPr>
                    <w:t>4</w:t>
                  </w:r>
                  <w:r>
                    <w:rPr>
                      <w:rFonts w:hint="eastAsia"/>
                      <w:sz w:val="21"/>
                      <w:szCs w:val="24"/>
                    </w:rPr>
                    <w:t>小时平均第9</w:t>
                  </w:r>
                  <w:r>
                    <w:rPr>
                      <w:sz w:val="21"/>
                      <w:szCs w:val="24"/>
                    </w:rPr>
                    <w:t>5</w:t>
                  </w:r>
                  <w:r>
                    <w:rPr>
                      <w:rFonts w:hint="eastAsia"/>
                      <w:sz w:val="21"/>
                      <w:szCs w:val="24"/>
                    </w:rPr>
                    <w:t>百分位数</w:t>
                  </w:r>
                </w:p>
              </w:tc>
              <w:tc>
                <w:tcPr>
                  <w:tcW w:w="1290" w:type="dxa"/>
                  <w:vAlign w:val="center"/>
                </w:tcPr>
                <w:p>
                  <w:pPr>
                    <w:pStyle w:val="18"/>
                    <w:adjustRightInd w:val="0"/>
                    <w:spacing w:after="0"/>
                    <w:jc w:val="center"/>
                    <w:rPr>
                      <w:sz w:val="21"/>
                      <w:szCs w:val="24"/>
                    </w:rPr>
                  </w:pPr>
                  <w:r>
                    <w:rPr>
                      <w:rFonts w:hint="eastAsia"/>
                      <w:sz w:val="21"/>
                      <w:szCs w:val="24"/>
                    </w:rPr>
                    <w:t>9</w:t>
                  </w:r>
                  <w:r>
                    <w:rPr>
                      <w:sz w:val="21"/>
                      <w:szCs w:val="24"/>
                    </w:rPr>
                    <w:t>00</w:t>
                  </w:r>
                </w:p>
              </w:tc>
              <w:tc>
                <w:tcPr>
                  <w:tcW w:w="1267" w:type="dxa"/>
                  <w:vAlign w:val="center"/>
                </w:tcPr>
                <w:p>
                  <w:pPr>
                    <w:pStyle w:val="18"/>
                    <w:adjustRightInd w:val="0"/>
                    <w:spacing w:after="0"/>
                    <w:jc w:val="center"/>
                    <w:rPr>
                      <w:sz w:val="21"/>
                      <w:szCs w:val="24"/>
                    </w:rPr>
                  </w:pPr>
                  <w:r>
                    <w:rPr>
                      <w:sz w:val="21"/>
                      <w:szCs w:val="24"/>
                    </w:rPr>
                    <w:t>4000</w:t>
                  </w:r>
                </w:p>
              </w:tc>
              <w:tc>
                <w:tcPr>
                  <w:tcW w:w="1248" w:type="dxa"/>
                  <w:vAlign w:val="center"/>
                </w:tcPr>
                <w:p>
                  <w:pPr>
                    <w:pStyle w:val="18"/>
                    <w:adjustRightInd w:val="0"/>
                    <w:spacing w:after="0"/>
                    <w:jc w:val="center"/>
                    <w:rPr>
                      <w:sz w:val="21"/>
                      <w:szCs w:val="24"/>
                    </w:rPr>
                  </w:pPr>
                  <w:r>
                    <w:rPr>
                      <w:rFonts w:hint="eastAsia"/>
                      <w:sz w:val="21"/>
                      <w:szCs w:val="24"/>
                    </w:rPr>
                    <w:t>2</w:t>
                  </w:r>
                  <w:r>
                    <w:rPr>
                      <w:sz w:val="21"/>
                      <w:szCs w:val="24"/>
                    </w:rPr>
                    <w:t>2.5</w:t>
                  </w:r>
                </w:p>
              </w:tc>
              <w:tc>
                <w:tcPr>
                  <w:tcW w:w="1283" w:type="dxa"/>
                  <w:vAlign w:val="center"/>
                </w:tcPr>
                <w:p>
                  <w:pPr>
                    <w:pStyle w:val="18"/>
                    <w:adjustRightInd w:val="0"/>
                    <w:spacing w:after="0"/>
                    <w:jc w:val="center"/>
                    <w:rPr>
                      <w:sz w:val="21"/>
                      <w:szCs w:val="24"/>
                    </w:rPr>
                  </w:pPr>
                  <w:r>
                    <w:rPr>
                      <w:sz w:val="21"/>
                      <w:szCs w:val="24"/>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97" w:hRule="atLeast"/>
                <w:jc w:val="center"/>
              </w:trPr>
              <w:tc>
                <w:tcPr>
                  <w:tcW w:w="1257" w:type="dxa"/>
                  <w:vAlign w:val="center"/>
                </w:tcPr>
                <w:p>
                  <w:pPr>
                    <w:pStyle w:val="18"/>
                    <w:adjustRightInd w:val="0"/>
                    <w:spacing w:after="0"/>
                    <w:jc w:val="center"/>
                    <w:rPr>
                      <w:sz w:val="21"/>
                      <w:szCs w:val="24"/>
                    </w:rPr>
                  </w:pPr>
                  <w:r>
                    <w:rPr>
                      <w:sz w:val="21"/>
                      <w:szCs w:val="24"/>
                    </w:rPr>
                    <w:t>O</w:t>
                  </w:r>
                  <w:r>
                    <w:rPr>
                      <w:sz w:val="21"/>
                      <w:szCs w:val="24"/>
                      <w:vertAlign w:val="subscript"/>
                    </w:rPr>
                    <w:t>3</w:t>
                  </w:r>
                </w:p>
              </w:tc>
              <w:tc>
                <w:tcPr>
                  <w:tcW w:w="1799" w:type="dxa"/>
                  <w:vAlign w:val="center"/>
                </w:tcPr>
                <w:p>
                  <w:pPr>
                    <w:pStyle w:val="18"/>
                    <w:adjustRightInd w:val="0"/>
                    <w:spacing w:after="0"/>
                    <w:jc w:val="center"/>
                    <w:rPr>
                      <w:sz w:val="21"/>
                      <w:szCs w:val="24"/>
                    </w:rPr>
                  </w:pPr>
                  <w:r>
                    <w:rPr>
                      <w:rFonts w:hint="eastAsia"/>
                      <w:sz w:val="21"/>
                      <w:szCs w:val="24"/>
                    </w:rPr>
                    <w:t>日最大8小时平均第9</w:t>
                  </w:r>
                  <w:r>
                    <w:rPr>
                      <w:sz w:val="21"/>
                      <w:szCs w:val="24"/>
                    </w:rPr>
                    <w:t>0</w:t>
                  </w:r>
                  <w:r>
                    <w:rPr>
                      <w:rFonts w:hint="eastAsia"/>
                      <w:sz w:val="21"/>
                      <w:szCs w:val="24"/>
                    </w:rPr>
                    <w:t>百分位数</w:t>
                  </w:r>
                </w:p>
              </w:tc>
              <w:tc>
                <w:tcPr>
                  <w:tcW w:w="1290" w:type="dxa"/>
                  <w:vAlign w:val="center"/>
                </w:tcPr>
                <w:p>
                  <w:pPr>
                    <w:pStyle w:val="18"/>
                    <w:adjustRightInd w:val="0"/>
                    <w:spacing w:after="0"/>
                    <w:jc w:val="center"/>
                    <w:rPr>
                      <w:sz w:val="21"/>
                      <w:szCs w:val="24"/>
                    </w:rPr>
                  </w:pPr>
                  <w:r>
                    <w:rPr>
                      <w:rFonts w:hint="eastAsia"/>
                      <w:sz w:val="21"/>
                      <w:szCs w:val="24"/>
                    </w:rPr>
                    <w:t>8</w:t>
                  </w:r>
                  <w:r>
                    <w:rPr>
                      <w:sz w:val="21"/>
                      <w:szCs w:val="24"/>
                    </w:rPr>
                    <w:t>8</w:t>
                  </w:r>
                </w:p>
              </w:tc>
              <w:tc>
                <w:tcPr>
                  <w:tcW w:w="1267" w:type="dxa"/>
                  <w:vAlign w:val="center"/>
                </w:tcPr>
                <w:p>
                  <w:pPr>
                    <w:pStyle w:val="18"/>
                    <w:adjustRightInd w:val="0"/>
                    <w:spacing w:after="0"/>
                    <w:jc w:val="center"/>
                    <w:rPr>
                      <w:sz w:val="21"/>
                      <w:szCs w:val="24"/>
                    </w:rPr>
                  </w:pPr>
                  <w:r>
                    <w:rPr>
                      <w:sz w:val="21"/>
                      <w:szCs w:val="24"/>
                    </w:rPr>
                    <w:t>160</w:t>
                  </w:r>
                </w:p>
              </w:tc>
              <w:tc>
                <w:tcPr>
                  <w:tcW w:w="1248" w:type="dxa"/>
                  <w:vAlign w:val="center"/>
                </w:tcPr>
                <w:p>
                  <w:pPr>
                    <w:pStyle w:val="18"/>
                    <w:adjustRightInd w:val="0"/>
                    <w:spacing w:after="0"/>
                    <w:jc w:val="center"/>
                    <w:rPr>
                      <w:sz w:val="21"/>
                      <w:szCs w:val="24"/>
                    </w:rPr>
                  </w:pPr>
                  <w:r>
                    <w:rPr>
                      <w:rFonts w:hint="eastAsia"/>
                      <w:sz w:val="21"/>
                      <w:szCs w:val="24"/>
                    </w:rPr>
                    <w:t>5</w:t>
                  </w:r>
                  <w:r>
                    <w:rPr>
                      <w:sz w:val="21"/>
                      <w:szCs w:val="24"/>
                    </w:rPr>
                    <w:t>5</w:t>
                  </w:r>
                </w:p>
              </w:tc>
              <w:tc>
                <w:tcPr>
                  <w:tcW w:w="1283" w:type="dxa"/>
                  <w:vAlign w:val="center"/>
                </w:tcPr>
                <w:p>
                  <w:pPr>
                    <w:pStyle w:val="18"/>
                    <w:adjustRightInd w:val="0"/>
                    <w:spacing w:after="0"/>
                    <w:jc w:val="center"/>
                    <w:rPr>
                      <w:sz w:val="21"/>
                      <w:szCs w:val="24"/>
                    </w:rPr>
                  </w:pPr>
                  <w:r>
                    <w:rPr>
                      <w:sz w:val="21"/>
                      <w:szCs w:val="24"/>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62" w:hRule="atLeast"/>
                <w:jc w:val="center"/>
              </w:trPr>
              <w:tc>
                <w:tcPr>
                  <w:tcW w:w="1257" w:type="dxa"/>
                  <w:vAlign w:val="center"/>
                </w:tcPr>
                <w:p>
                  <w:pPr>
                    <w:pStyle w:val="18"/>
                    <w:adjustRightInd w:val="0"/>
                    <w:spacing w:after="0"/>
                    <w:jc w:val="center"/>
                    <w:rPr>
                      <w:sz w:val="21"/>
                      <w:szCs w:val="24"/>
                    </w:rPr>
                  </w:pPr>
                  <w:r>
                    <w:rPr>
                      <w:sz w:val="21"/>
                      <w:szCs w:val="24"/>
                    </w:rPr>
                    <w:t>PM</w:t>
                  </w:r>
                  <w:r>
                    <w:rPr>
                      <w:sz w:val="21"/>
                      <w:szCs w:val="24"/>
                      <w:vertAlign w:val="subscript"/>
                    </w:rPr>
                    <w:t>2.5</w:t>
                  </w:r>
                </w:p>
              </w:tc>
              <w:tc>
                <w:tcPr>
                  <w:tcW w:w="1799" w:type="dxa"/>
                  <w:vAlign w:val="center"/>
                </w:tcPr>
                <w:p>
                  <w:pPr>
                    <w:pStyle w:val="18"/>
                    <w:adjustRightInd w:val="0"/>
                    <w:spacing w:after="0"/>
                    <w:jc w:val="center"/>
                    <w:rPr>
                      <w:sz w:val="21"/>
                      <w:szCs w:val="24"/>
                    </w:rPr>
                  </w:pPr>
                  <w:r>
                    <w:rPr>
                      <w:sz w:val="21"/>
                      <w:szCs w:val="24"/>
                    </w:rPr>
                    <w:t>年平均浓度</w:t>
                  </w:r>
                </w:p>
              </w:tc>
              <w:tc>
                <w:tcPr>
                  <w:tcW w:w="1290" w:type="dxa"/>
                  <w:vAlign w:val="center"/>
                </w:tcPr>
                <w:p>
                  <w:pPr>
                    <w:pStyle w:val="18"/>
                    <w:adjustRightInd w:val="0"/>
                    <w:spacing w:after="0"/>
                    <w:jc w:val="center"/>
                    <w:rPr>
                      <w:sz w:val="21"/>
                      <w:szCs w:val="24"/>
                    </w:rPr>
                  </w:pPr>
                  <w:r>
                    <w:rPr>
                      <w:rFonts w:hint="eastAsia"/>
                      <w:sz w:val="21"/>
                      <w:szCs w:val="24"/>
                    </w:rPr>
                    <w:t>3</w:t>
                  </w:r>
                  <w:r>
                    <w:rPr>
                      <w:sz w:val="21"/>
                      <w:szCs w:val="24"/>
                    </w:rPr>
                    <w:t>8</w:t>
                  </w:r>
                </w:p>
              </w:tc>
              <w:tc>
                <w:tcPr>
                  <w:tcW w:w="1267" w:type="dxa"/>
                  <w:vAlign w:val="center"/>
                </w:tcPr>
                <w:p>
                  <w:pPr>
                    <w:pStyle w:val="18"/>
                    <w:adjustRightInd w:val="0"/>
                    <w:spacing w:after="0"/>
                    <w:jc w:val="center"/>
                    <w:rPr>
                      <w:sz w:val="21"/>
                      <w:szCs w:val="24"/>
                    </w:rPr>
                  </w:pPr>
                  <w:r>
                    <w:rPr>
                      <w:sz w:val="21"/>
                      <w:szCs w:val="24"/>
                    </w:rPr>
                    <w:t>35</w:t>
                  </w:r>
                </w:p>
              </w:tc>
              <w:tc>
                <w:tcPr>
                  <w:tcW w:w="1248" w:type="dxa"/>
                  <w:vAlign w:val="center"/>
                </w:tcPr>
                <w:p>
                  <w:pPr>
                    <w:pStyle w:val="18"/>
                    <w:adjustRightInd w:val="0"/>
                    <w:spacing w:after="0"/>
                    <w:jc w:val="center"/>
                    <w:rPr>
                      <w:sz w:val="21"/>
                      <w:szCs w:val="24"/>
                    </w:rPr>
                  </w:pPr>
                  <w:r>
                    <w:rPr>
                      <w:rFonts w:hint="eastAsia"/>
                      <w:sz w:val="21"/>
                      <w:szCs w:val="24"/>
                    </w:rPr>
                    <w:t>1</w:t>
                  </w:r>
                  <w:r>
                    <w:rPr>
                      <w:sz w:val="21"/>
                      <w:szCs w:val="24"/>
                    </w:rPr>
                    <w:t>08.57</w:t>
                  </w:r>
                </w:p>
              </w:tc>
              <w:tc>
                <w:tcPr>
                  <w:tcW w:w="1283" w:type="dxa"/>
                  <w:vAlign w:val="center"/>
                </w:tcPr>
                <w:p>
                  <w:pPr>
                    <w:pStyle w:val="18"/>
                    <w:adjustRightInd w:val="0"/>
                    <w:spacing w:after="0"/>
                    <w:jc w:val="center"/>
                    <w:rPr>
                      <w:sz w:val="21"/>
                      <w:szCs w:val="24"/>
                    </w:rPr>
                  </w:pPr>
                  <w:r>
                    <w:rPr>
                      <w:rFonts w:hint="eastAsia"/>
                      <w:sz w:val="21"/>
                      <w:szCs w:val="24"/>
                    </w:rPr>
                    <w:t>超标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15" w:hRule="atLeast"/>
                <w:jc w:val="center"/>
              </w:trPr>
              <w:tc>
                <w:tcPr>
                  <w:tcW w:w="1257" w:type="dxa"/>
                  <w:vAlign w:val="center"/>
                </w:tcPr>
                <w:p>
                  <w:pPr>
                    <w:pStyle w:val="18"/>
                    <w:adjustRightInd w:val="0"/>
                    <w:spacing w:after="0"/>
                    <w:jc w:val="center"/>
                    <w:rPr>
                      <w:sz w:val="21"/>
                      <w:szCs w:val="24"/>
                    </w:rPr>
                  </w:pPr>
                  <w:r>
                    <w:rPr>
                      <w:sz w:val="21"/>
                      <w:szCs w:val="24"/>
                    </w:rPr>
                    <w:t>PM</w:t>
                  </w:r>
                  <w:r>
                    <w:rPr>
                      <w:sz w:val="21"/>
                      <w:szCs w:val="24"/>
                      <w:vertAlign w:val="subscript"/>
                    </w:rPr>
                    <w:t>10</w:t>
                  </w:r>
                </w:p>
              </w:tc>
              <w:tc>
                <w:tcPr>
                  <w:tcW w:w="1799" w:type="dxa"/>
                  <w:vAlign w:val="center"/>
                </w:tcPr>
                <w:p>
                  <w:pPr>
                    <w:pStyle w:val="18"/>
                    <w:adjustRightInd w:val="0"/>
                    <w:spacing w:after="0"/>
                    <w:jc w:val="center"/>
                    <w:rPr>
                      <w:sz w:val="21"/>
                      <w:szCs w:val="24"/>
                    </w:rPr>
                  </w:pPr>
                  <w:r>
                    <w:rPr>
                      <w:sz w:val="21"/>
                      <w:szCs w:val="24"/>
                    </w:rPr>
                    <w:t>年平均浓度</w:t>
                  </w:r>
                </w:p>
              </w:tc>
              <w:tc>
                <w:tcPr>
                  <w:tcW w:w="1290" w:type="dxa"/>
                  <w:vAlign w:val="center"/>
                </w:tcPr>
                <w:p>
                  <w:pPr>
                    <w:pStyle w:val="18"/>
                    <w:adjustRightInd w:val="0"/>
                    <w:spacing w:after="0"/>
                    <w:jc w:val="center"/>
                    <w:rPr>
                      <w:sz w:val="21"/>
                      <w:szCs w:val="24"/>
                    </w:rPr>
                  </w:pPr>
                  <w:r>
                    <w:rPr>
                      <w:rFonts w:hint="eastAsia"/>
                      <w:sz w:val="21"/>
                      <w:szCs w:val="24"/>
                    </w:rPr>
                    <w:t>7</w:t>
                  </w:r>
                  <w:r>
                    <w:rPr>
                      <w:sz w:val="21"/>
                      <w:szCs w:val="24"/>
                    </w:rPr>
                    <w:t>3</w:t>
                  </w:r>
                </w:p>
              </w:tc>
              <w:tc>
                <w:tcPr>
                  <w:tcW w:w="1267" w:type="dxa"/>
                  <w:vAlign w:val="center"/>
                </w:tcPr>
                <w:p>
                  <w:pPr>
                    <w:pStyle w:val="18"/>
                    <w:adjustRightInd w:val="0"/>
                    <w:spacing w:after="0"/>
                    <w:jc w:val="center"/>
                    <w:rPr>
                      <w:sz w:val="21"/>
                      <w:szCs w:val="24"/>
                    </w:rPr>
                  </w:pPr>
                  <w:r>
                    <w:rPr>
                      <w:sz w:val="21"/>
                      <w:szCs w:val="24"/>
                    </w:rPr>
                    <w:t>70</w:t>
                  </w:r>
                </w:p>
              </w:tc>
              <w:tc>
                <w:tcPr>
                  <w:tcW w:w="1248" w:type="dxa"/>
                  <w:vAlign w:val="center"/>
                </w:tcPr>
                <w:p>
                  <w:pPr>
                    <w:pStyle w:val="18"/>
                    <w:adjustRightInd w:val="0"/>
                    <w:spacing w:after="0"/>
                    <w:jc w:val="center"/>
                    <w:rPr>
                      <w:sz w:val="21"/>
                      <w:szCs w:val="24"/>
                    </w:rPr>
                  </w:pPr>
                  <w:r>
                    <w:rPr>
                      <w:rFonts w:hint="eastAsia"/>
                      <w:sz w:val="21"/>
                      <w:szCs w:val="24"/>
                    </w:rPr>
                    <w:t>1</w:t>
                  </w:r>
                  <w:r>
                    <w:rPr>
                      <w:sz w:val="21"/>
                      <w:szCs w:val="24"/>
                    </w:rPr>
                    <w:t>04.29</w:t>
                  </w:r>
                </w:p>
              </w:tc>
              <w:tc>
                <w:tcPr>
                  <w:tcW w:w="1283" w:type="dxa"/>
                  <w:vAlign w:val="center"/>
                </w:tcPr>
                <w:p>
                  <w:pPr>
                    <w:pStyle w:val="18"/>
                    <w:adjustRightInd w:val="0"/>
                    <w:spacing w:after="0"/>
                    <w:jc w:val="center"/>
                    <w:rPr>
                      <w:sz w:val="21"/>
                      <w:szCs w:val="24"/>
                    </w:rPr>
                  </w:pPr>
                  <w:r>
                    <w:rPr>
                      <w:rFonts w:hint="eastAsia"/>
                      <w:sz w:val="21"/>
                      <w:szCs w:val="24"/>
                    </w:rPr>
                    <w:t>超标</w:t>
                  </w:r>
                </w:p>
              </w:tc>
            </w:tr>
          </w:tbl>
          <w:p>
            <w:pPr>
              <w:pStyle w:val="77"/>
              <w:spacing w:line="440" w:lineRule="exact"/>
              <w:ind w:firstLine="480"/>
              <w:rPr>
                <w:bCs/>
              </w:rPr>
            </w:pPr>
            <w:r>
              <w:rPr>
                <w:bCs/>
              </w:rPr>
              <w:t>项目所在区域SO</w:t>
            </w:r>
            <w:r>
              <w:rPr>
                <w:bCs/>
                <w:vertAlign w:val="subscript"/>
              </w:rPr>
              <w:t>2</w:t>
            </w:r>
            <w:r>
              <w:rPr>
                <w:bCs/>
              </w:rPr>
              <w:t>、CO、O</w:t>
            </w:r>
            <w:r>
              <w:rPr>
                <w:bCs/>
                <w:vertAlign w:val="subscript"/>
              </w:rPr>
              <w:t>3</w:t>
            </w:r>
            <w:r>
              <w:rPr>
                <w:bCs/>
              </w:rPr>
              <w:t>、NO</w:t>
            </w:r>
            <w:r>
              <w:rPr>
                <w:bCs/>
                <w:vertAlign w:val="subscript"/>
              </w:rPr>
              <w:t>2</w:t>
            </w:r>
            <w:r>
              <w:rPr>
                <w:bCs/>
              </w:rPr>
              <w:t>的年评价指标均为</w:t>
            </w:r>
            <w:r>
              <w:rPr>
                <w:rFonts w:hint="eastAsia"/>
                <w:bCs/>
              </w:rPr>
              <w:t>达标，</w:t>
            </w:r>
            <w:r>
              <w:rPr>
                <w:bCs/>
              </w:rPr>
              <w:t>PM</w:t>
            </w:r>
            <w:r>
              <w:rPr>
                <w:bCs/>
                <w:vertAlign w:val="subscript"/>
              </w:rPr>
              <w:t>10</w:t>
            </w:r>
            <w:r>
              <w:rPr>
                <w:bCs/>
              </w:rPr>
              <w:t>、PM</w:t>
            </w:r>
            <w:r>
              <w:rPr>
                <w:bCs/>
                <w:vertAlign w:val="subscript"/>
              </w:rPr>
              <w:t>2.5</w:t>
            </w:r>
            <w:r>
              <w:rPr>
                <w:bCs/>
              </w:rPr>
              <w:t>的</w:t>
            </w:r>
            <w:r>
              <w:rPr>
                <w:rFonts w:hint="eastAsia"/>
                <w:bCs/>
              </w:rPr>
              <w:t>年评价指标为超标，故</w:t>
            </w:r>
            <w:r>
              <w:rPr>
                <w:bCs/>
              </w:rPr>
              <w:t>项目所在区域为大气环境质量</w:t>
            </w:r>
            <w:r>
              <w:rPr>
                <w:rFonts w:hint="eastAsia"/>
                <w:bCs/>
              </w:rPr>
              <w:t>不</w:t>
            </w:r>
            <w:r>
              <w:rPr>
                <w:bCs/>
              </w:rPr>
              <w:t>达标区。</w:t>
            </w:r>
          </w:p>
          <w:p>
            <w:pPr>
              <w:topLinePunct/>
              <w:adjustRightInd w:val="0"/>
              <w:spacing w:line="440" w:lineRule="exact"/>
              <w:ind w:firstLine="482" w:firstLineChars="200"/>
              <w:outlineLvl w:val="2"/>
              <w:rPr>
                <w:b/>
                <w:bCs/>
                <w:sz w:val="24"/>
              </w:rPr>
            </w:pPr>
            <w:r>
              <w:rPr>
                <w:b/>
                <w:bCs/>
                <w:sz w:val="24"/>
              </w:rPr>
              <w:t>2、声环境质量现状调查与评价</w:t>
            </w:r>
          </w:p>
          <w:p>
            <w:pPr>
              <w:widowControl/>
              <w:spacing w:line="440" w:lineRule="exact"/>
              <w:ind w:firstLine="456" w:firstLineChars="200"/>
              <w:rPr>
                <w:spacing w:val="-6"/>
                <w:sz w:val="24"/>
              </w:rPr>
            </w:pPr>
            <w:r>
              <w:rPr>
                <w:rFonts w:hint="eastAsia"/>
                <w:spacing w:val="-6"/>
                <w:sz w:val="24"/>
              </w:rPr>
              <w:t>项目厂界外周边5</w:t>
            </w:r>
            <w:r>
              <w:rPr>
                <w:spacing w:val="-6"/>
                <w:sz w:val="24"/>
              </w:rPr>
              <w:t>0</w:t>
            </w:r>
            <w:r>
              <w:rPr>
                <w:rFonts w:hint="eastAsia"/>
                <w:spacing w:val="-6"/>
                <w:sz w:val="24"/>
              </w:rPr>
              <w:t>米范围内无声环境保护目标，故未监测声环境质量现状。</w:t>
            </w:r>
          </w:p>
          <w:p>
            <w:pPr>
              <w:widowControl/>
              <w:spacing w:line="440" w:lineRule="exact"/>
              <w:ind w:firstLine="472" w:firstLineChars="196"/>
              <w:rPr>
                <w:b/>
                <w:bCs/>
                <w:kern w:val="0"/>
                <w:sz w:val="24"/>
              </w:rPr>
            </w:pPr>
            <w:r>
              <w:rPr>
                <w:b/>
                <w:bCs/>
                <w:kern w:val="0"/>
                <w:sz w:val="24"/>
              </w:rPr>
              <w:t>3、生态环境质量现状调查与评价</w:t>
            </w:r>
          </w:p>
          <w:p>
            <w:pPr>
              <w:adjustRightInd w:val="0"/>
              <w:snapToGrid w:val="0"/>
              <w:spacing w:line="440" w:lineRule="exact"/>
              <w:ind w:firstLine="480" w:firstLineChars="200"/>
              <w:rPr>
                <w:sz w:val="24"/>
              </w:rPr>
            </w:pPr>
            <w:r>
              <w:rPr>
                <w:sz w:val="24"/>
              </w:rPr>
              <w:t>根据</w:t>
            </w:r>
            <w:r>
              <w:rPr>
                <w:bCs/>
                <w:sz w:val="24"/>
              </w:rPr>
              <w:t>《建设项目环境影响报告表编制技术指南（污染影响类）（试行）》，</w:t>
            </w:r>
            <w:r>
              <w:rPr>
                <w:rFonts w:hint="eastAsia"/>
                <w:bCs/>
                <w:sz w:val="24"/>
              </w:rPr>
              <w:t>产业园区外建设项目新增用地且用地范围内含有生态环境保护目标时，应进行生态环境现状调查</w:t>
            </w:r>
            <w:r>
              <w:rPr>
                <w:bCs/>
                <w:sz w:val="24"/>
              </w:rPr>
              <w:t>，</w:t>
            </w:r>
            <w:r>
              <w:rPr>
                <w:rFonts w:hint="eastAsia"/>
                <w:bCs/>
                <w:sz w:val="24"/>
              </w:rPr>
              <w:t>本项目不新增用地，故</w:t>
            </w:r>
            <w:r>
              <w:rPr>
                <w:bCs/>
                <w:sz w:val="24"/>
              </w:rPr>
              <w:t>无需进行生态环境质量现状调查。</w:t>
            </w:r>
          </w:p>
          <w:p>
            <w:pPr>
              <w:adjustRightInd w:val="0"/>
              <w:snapToGrid w:val="0"/>
              <w:spacing w:line="440" w:lineRule="exact"/>
              <w:ind w:firstLine="482" w:firstLineChars="200"/>
              <w:rPr>
                <w:b/>
                <w:bCs/>
                <w:sz w:val="24"/>
              </w:rPr>
            </w:pPr>
            <w:r>
              <w:rPr>
                <w:b/>
                <w:bCs/>
                <w:sz w:val="24"/>
              </w:rPr>
              <w:t>4、地表水环境质量调查与评价</w:t>
            </w:r>
          </w:p>
          <w:p>
            <w:pPr>
              <w:spacing w:line="440" w:lineRule="exact"/>
              <w:ind w:left="119" w:right="28" w:firstLine="482"/>
              <w:rPr>
                <w:color w:val="FF0000"/>
                <w:spacing w:val="7"/>
                <w:sz w:val="24"/>
              </w:rPr>
            </w:pPr>
            <w:bookmarkStart w:id="22" w:name="_Hlk147830548"/>
            <w:r>
              <w:rPr>
                <w:color w:val="FF0000"/>
                <w:spacing w:val="7"/>
                <w:sz w:val="24"/>
              </w:rPr>
              <w:t>依现场勘查，本项目所在区域</w:t>
            </w:r>
            <w:r>
              <w:rPr>
                <w:rFonts w:hint="eastAsia"/>
                <w:color w:val="FF0000"/>
                <w:spacing w:val="7"/>
                <w:sz w:val="24"/>
              </w:rPr>
              <w:t>西侧约2km处为呼图壁河</w:t>
            </w:r>
            <w:r>
              <w:rPr>
                <w:color w:val="FF0000"/>
                <w:spacing w:val="7"/>
                <w:sz w:val="24"/>
              </w:rPr>
              <w:t>，</w:t>
            </w:r>
            <w:r>
              <w:rPr>
                <w:rFonts w:hint="eastAsia"/>
                <w:color w:val="FF0000"/>
                <w:spacing w:val="7"/>
                <w:sz w:val="24"/>
              </w:rPr>
              <w:t>根据昌吉州生态环境局发布的2</w:t>
            </w:r>
            <w:r>
              <w:rPr>
                <w:color w:val="FF0000"/>
                <w:spacing w:val="7"/>
                <w:sz w:val="24"/>
              </w:rPr>
              <w:t>022</w:t>
            </w:r>
            <w:r>
              <w:rPr>
                <w:rFonts w:hint="eastAsia"/>
                <w:color w:val="FF0000"/>
                <w:spacing w:val="7"/>
                <w:sz w:val="24"/>
              </w:rPr>
              <w:t>年1</w:t>
            </w:r>
            <w:r>
              <w:rPr>
                <w:color w:val="FF0000"/>
                <w:spacing w:val="7"/>
                <w:sz w:val="24"/>
              </w:rPr>
              <w:t>0</w:t>
            </w:r>
            <w:r>
              <w:rPr>
                <w:rFonts w:hint="eastAsia"/>
                <w:color w:val="FF0000"/>
                <w:spacing w:val="7"/>
                <w:sz w:val="24"/>
              </w:rPr>
              <w:t>月水环境检测报告显示，呼图壁河流水质监测基本项目见表3</w:t>
            </w:r>
            <w:r>
              <w:rPr>
                <w:color w:val="FF0000"/>
                <w:spacing w:val="7"/>
                <w:sz w:val="24"/>
              </w:rPr>
              <w:t>-2</w:t>
            </w:r>
            <w:r>
              <w:rPr>
                <w:rFonts w:hint="eastAsia"/>
                <w:color w:val="FF0000"/>
                <w:spacing w:val="7"/>
                <w:sz w:val="24"/>
              </w:rPr>
              <w:t>，断面水质状况见表3</w:t>
            </w:r>
            <w:r>
              <w:rPr>
                <w:color w:val="FF0000"/>
                <w:spacing w:val="7"/>
                <w:sz w:val="24"/>
              </w:rPr>
              <w:t>-3</w:t>
            </w:r>
            <w:r>
              <w:rPr>
                <w:rFonts w:hint="eastAsia"/>
                <w:color w:val="FF0000"/>
                <w:spacing w:val="7"/>
                <w:sz w:val="24"/>
              </w:rPr>
              <w:t>。</w:t>
            </w:r>
          </w:p>
          <w:p>
            <w:pPr>
              <w:ind w:firstLine="448" w:firstLineChars="200"/>
              <w:rPr>
                <w:rFonts w:eastAsia="黑体"/>
                <w:color w:val="FF0000"/>
                <w:spacing w:val="7"/>
                <w:szCs w:val="21"/>
              </w:rPr>
            </w:pPr>
            <w:r>
              <w:rPr>
                <w:rFonts w:hint="eastAsia" w:eastAsia="黑体"/>
                <w:color w:val="FF0000"/>
                <w:spacing w:val="7"/>
                <w:szCs w:val="21"/>
              </w:rPr>
              <w:t>表3</w:t>
            </w:r>
            <w:r>
              <w:rPr>
                <w:rFonts w:eastAsia="黑体"/>
                <w:color w:val="FF0000"/>
                <w:spacing w:val="7"/>
                <w:szCs w:val="21"/>
              </w:rPr>
              <w:t xml:space="preserve">-2                  </w:t>
            </w:r>
            <w:r>
              <w:rPr>
                <w:rFonts w:hint="eastAsia" w:eastAsia="黑体"/>
                <w:color w:val="FF0000"/>
                <w:spacing w:val="7"/>
                <w:szCs w:val="21"/>
              </w:rPr>
              <w:t>河流水质监测基本项目</w:t>
            </w:r>
          </w:p>
          <w:tbl>
            <w:tblPr>
              <w:tblStyle w:val="47"/>
              <w:tblW w:w="796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9"/>
              <w:gridCol w:w="3063"/>
              <w:gridCol w:w="1048"/>
              <w:gridCol w:w="293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序号</w:t>
                  </w:r>
                </w:p>
              </w:tc>
              <w:tc>
                <w:tcPr>
                  <w:tcW w:w="3063" w:type="dxa"/>
                  <w:vAlign w:val="center"/>
                </w:tcPr>
                <w:p>
                  <w:pPr>
                    <w:jc w:val="center"/>
                    <w:rPr>
                      <w:color w:val="FF0000"/>
                      <w:spacing w:val="7"/>
                      <w:szCs w:val="21"/>
                    </w:rPr>
                  </w:pPr>
                  <w:r>
                    <w:rPr>
                      <w:color w:val="FF0000"/>
                      <w:spacing w:val="7"/>
                      <w:szCs w:val="21"/>
                    </w:rPr>
                    <w:t>项目</w:t>
                  </w:r>
                </w:p>
              </w:tc>
              <w:tc>
                <w:tcPr>
                  <w:tcW w:w="1048" w:type="dxa"/>
                  <w:vAlign w:val="center"/>
                </w:tcPr>
                <w:p>
                  <w:pPr>
                    <w:jc w:val="center"/>
                    <w:rPr>
                      <w:color w:val="FF0000"/>
                      <w:spacing w:val="7"/>
                      <w:szCs w:val="21"/>
                    </w:rPr>
                  </w:pPr>
                  <w:r>
                    <w:rPr>
                      <w:color w:val="FF0000"/>
                      <w:spacing w:val="7"/>
                      <w:szCs w:val="21"/>
                    </w:rPr>
                    <w:t>序号</w:t>
                  </w:r>
                </w:p>
              </w:tc>
              <w:tc>
                <w:tcPr>
                  <w:tcW w:w="2934" w:type="dxa"/>
                  <w:vAlign w:val="center"/>
                </w:tcPr>
                <w:p>
                  <w:pPr>
                    <w:jc w:val="center"/>
                    <w:rPr>
                      <w:color w:val="FF0000"/>
                      <w:spacing w:val="7"/>
                      <w:szCs w:val="21"/>
                    </w:rPr>
                  </w:pPr>
                  <w:r>
                    <w:rPr>
                      <w:color w:val="FF0000"/>
                      <w:spacing w:val="7"/>
                      <w:szCs w:val="21"/>
                    </w:rPr>
                    <w:t>项目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1</w:t>
                  </w:r>
                </w:p>
              </w:tc>
              <w:tc>
                <w:tcPr>
                  <w:tcW w:w="3063" w:type="dxa"/>
                  <w:vAlign w:val="center"/>
                </w:tcPr>
                <w:p>
                  <w:pPr>
                    <w:jc w:val="center"/>
                    <w:rPr>
                      <w:color w:val="FF0000"/>
                      <w:spacing w:val="7"/>
                      <w:szCs w:val="21"/>
                    </w:rPr>
                  </w:pPr>
                  <w:r>
                    <w:rPr>
                      <w:color w:val="FF0000"/>
                      <w:szCs w:val="21"/>
                      <w:shd w:val="clear" w:color="auto" w:fill="FFFFFF"/>
                    </w:rPr>
                    <w:t>水温</w:t>
                  </w:r>
                </w:p>
              </w:tc>
              <w:tc>
                <w:tcPr>
                  <w:tcW w:w="1048" w:type="dxa"/>
                  <w:vAlign w:val="center"/>
                </w:tcPr>
                <w:p>
                  <w:pPr>
                    <w:jc w:val="center"/>
                    <w:rPr>
                      <w:color w:val="FF0000"/>
                      <w:spacing w:val="7"/>
                      <w:szCs w:val="21"/>
                    </w:rPr>
                  </w:pPr>
                  <w:r>
                    <w:rPr>
                      <w:color w:val="FF0000"/>
                      <w:spacing w:val="7"/>
                      <w:szCs w:val="21"/>
                    </w:rPr>
                    <w:t>18</w:t>
                  </w:r>
                </w:p>
              </w:tc>
              <w:tc>
                <w:tcPr>
                  <w:tcW w:w="2934" w:type="dxa"/>
                  <w:vAlign w:val="center"/>
                </w:tcPr>
                <w:p>
                  <w:pPr>
                    <w:jc w:val="center"/>
                    <w:rPr>
                      <w:color w:val="FF0000"/>
                      <w:spacing w:val="7"/>
                      <w:szCs w:val="21"/>
                    </w:rPr>
                  </w:pPr>
                  <w:r>
                    <w:rPr>
                      <w:color w:val="FF0000"/>
                      <w:szCs w:val="21"/>
                      <w:shd w:val="clear" w:color="auto" w:fill="FFFFFF"/>
                    </w:rPr>
                    <w:t>铅</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2</w:t>
                  </w:r>
                </w:p>
              </w:tc>
              <w:tc>
                <w:tcPr>
                  <w:tcW w:w="3063" w:type="dxa"/>
                  <w:vAlign w:val="center"/>
                </w:tcPr>
                <w:p>
                  <w:pPr>
                    <w:jc w:val="center"/>
                    <w:rPr>
                      <w:color w:val="FF0000"/>
                      <w:spacing w:val="7"/>
                      <w:szCs w:val="21"/>
                    </w:rPr>
                  </w:pPr>
                  <w:r>
                    <w:rPr>
                      <w:color w:val="FF0000"/>
                      <w:szCs w:val="21"/>
                      <w:shd w:val="clear" w:color="auto" w:fill="FFFFFF"/>
                    </w:rPr>
                    <w:t>pH值</w:t>
                  </w:r>
                </w:p>
              </w:tc>
              <w:tc>
                <w:tcPr>
                  <w:tcW w:w="1048" w:type="dxa"/>
                  <w:vAlign w:val="center"/>
                </w:tcPr>
                <w:p>
                  <w:pPr>
                    <w:jc w:val="center"/>
                    <w:rPr>
                      <w:color w:val="FF0000"/>
                      <w:spacing w:val="7"/>
                      <w:szCs w:val="21"/>
                    </w:rPr>
                  </w:pPr>
                  <w:r>
                    <w:rPr>
                      <w:color w:val="FF0000"/>
                      <w:spacing w:val="7"/>
                      <w:szCs w:val="21"/>
                    </w:rPr>
                    <w:t>19</w:t>
                  </w:r>
                </w:p>
              </w:tc>
              <w:tc>
                <w:tcPr>
                  <w:tcW w:w="2934" w:type="dxa"/>
                  <w:vAlign w:val="center"/>
                </w:tcPr>
                <w:p>
                  <w:pPr>
                    <w:jc w:val="center"/>
                    <w:rPr>
                      <w:color w:val="FF0000"/>
                      <w:spacing w:val="7"/>
                      <w:szCs w:val="21"/>
                    </w:rPr>
                  </w:pPr>
                  <w:r>
                    <w:rPr>
                      <w:color w:val="FF0000"/>
                      <w:szCs w:val="21"/>
                      <w:shd w:val="clear" w:color="auto" w:fill="FFFFFF"/>
                    </w:rPr>
                    <w:t>氰化物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3</w:t>
                  </w:r>
                </w:p>
              </w:tc>
              <w:tc>
                <w:tcPr>
                  <w:tcW w:w="3063" w:type="dxa"/>
                  <w:vAlign w:val="center"/>
                </w:tcPr>
                <w:p>
                  <w:pPr>
                    <w:jc w:val="center"/>
                    <w:rPr>
                      <w:color w:val="FF0000"/>
                      <w:spacing w:val="7"/>
                      <w:szCs w:val="21"/>
                    </w:rPr>
                  </w:pPr>
                  <w:r>
                    <w:rPr>
                      <w:color w:val="FF0000"/>
                      <w:szCs w:val="21"/>
                      <w:shd w:val="clear" w:color="auto" w:fill="FFFFFF"/>
                    </w:rPr>
                    <w:t>溶解氧</w:t>
                  </w:r>
                </w:p>
              </w:tc>
              <w:tc>
                <w:tcPr>
                  <w:tcW w:w="1048" w:type="dxa"/>
                  <w:vAlign w:val="center"/>
                </w:tcPr>
                <w:p>
                  <w:pPr>
                    <w:jc w:val="center"/>
                    <w:rPr>
                      <w:color w:val="FF0000"/>
                      <w:spacing w:val="7"/>
                      <w:szCs w:val="21"/>
                    </w:rPr>
                  </w:pPr>
                  <w:r>
                    <w:rPr>
                      <w:color w:val="FF0000"/>
                      <w:spacing w:val="7"/>
                      <w:szCs w:val="21"/>
                    </w:rPr>
                    <w:t>20</w:t>
                  </w:r>
                </w:p>
              </w:tc>
              <w:tc>
                <w:tcPr>
                  <w:tcW w:w="2934" w:type="dxa"/>
                  <w:vAlign w:val="center"/>
                </w:tcPr>
                <w:p>
                  <w:pPr>
                    <w:jc w:val="center"/>
                    <w:rPr>
                      <w:color w:val="FF0000"/>
                      <w:spacing w:val="7"/>
                      <w:szCs w:val="21"/>
                    </w:rPr>
                  </w:pPr>
                  <w:r>
                    <w:rPr>
                      <w:color w:val="FF0000"/>
                      <w:szCs w:val="21"/>
                      <w:shd w:val="clear" w:color="auto" w:fill="FFFFFF"/>
                    </w:rPr>
                    <w:t>挥发酚</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4</w:t>
                  </w:r>
                </w:p>
              </w:tc>
              <w:tc>
                <w:tcPr>
                  <w:tcW w:w="3063" w:type="dxa"/>
                  <w:vAlign w:val="center"/>
                </w:tcPr>
                <w:p>
                  <w:pPr>
                    <w:jc w:val="center"/>
                    <w:rPr>
                      <w:color w:val="FF0000"/>
                      <w:spacing w:val="7"/>
                      <w:szCs w:val="21"/>
                    </w:rPr>
                  </w:pPr>
                  <w:r>
                    <w:rPr>
                      <w:color w:val="FF0000"/>
                      <w:szCs w:val="21"/>
                      <w:shd w:val="clear" w:color="auto" w:fill="FFFFFF"/>
                    </w:rPr>
                    <w:t>高锰酸盐指数</w:t>
                  </w:r>
                </w:p>
              </w:tc>
              <w:tc>
                <w:tcPr>
                  <w:tcW w:w="1048" w:type="dxa"/>
                  <w:vAlign w:val="center"/>
                </w:tcPr>
                <w:p>
                  <w:pPr>
                    <w:jc w:val="center"/>
                    <w:rPr>
                      <w:color w:val="FF0000"/>
                      <w:spacing w:val="7"/>
                      <w:szCs w:val="21"/>
                    </w:rPr>
                  </w:pPr>
                  <w:r>
                    <w:rPr>
                      <w:color w:val="FF0000"/>
                      <w:spacing w:val="7"/>
                      <w:szCs w:val="21"/>
                    </w:rPr>
                    <w:t>21</w:t>
                  </w:r>
                </w:p>
              </w:tc>
              <w:tc>
                <w:tcPr>
                  <w:tcW w:w="2934" w:type="dxa"/>
                  <w:vAlign w:val="center"/>
                </w:tcPr>
                <w:p>
                  <w:pPr>
                    <w:jc w:val="center"/>
                    <w:rPr>
                      <w:color w:val="FF0000"/>
                      <w:spacing w:val="7"/>
                      <w:szCs w:val="21"/>
                    </w:rPr>
                  </w:pPr>
                  <w:r>
                    <w:rPr>
                      <w:color w:val="FF0000"/>
                      <w:szCs w:val="21"/>
                      <w:shd w:val="clear" w:color="auto" w:fill="FFFFFF"/>
                    </w:rPr>
                    <w:t>石油类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5</w:t>
                  </w:r>
                </w:p>
              </w:tc>
              <w:tc>
                <w:tcPr>
                  <w:tcW w:w="3063" w:type="dxa"/>
                  <w:vAlign w:val="center"/>
                </w:tcPr>
                <w:p>
                  <w:pPr>
                    <w:jc w:val="center"/>
                    <w:rPr>
                      <w:color w:val="FF0000"/>
                      <w:spacing w:val="7"/>
                      <w:szCs w:val="21"/>
                    </w:rPr>
                  </w:pPr>
                  <w:r>
                    <w:rPr>
                      <w:color w:val="FF0000"/>
                      <w:szCs w:val="21"/>
                      <w:shd w:val="clear" w:color="auto" w:fill="FFFFFF"/>
                    </w:rPr>
                    <w:t>化学需氧量</w:t>
                  </w:r>
                </w:p>
              </w:tc>
              <w:tc>
                <w:tcPr>
                  <w:tcW w:w="1048" w:type="dxa"/>
                  <w:vAlign w:val="center"/>
                </w:tcPr>
                <w:p>
                  <w:pPr>
                    <w:jc w:val="center"/>
                    <w:rPr>
                      <w:color w:val="FF0000"/>
                      <w:spacing w:val="7"/>
                      <w:szCs w:val="21"/>
                    </w:rPr>
                  </w:pPr>
                  <w:r>
                    <w:rPr>
                      <w:color w:val="FF0000"/>
                      <w:spacing w:val="7"/>
                      <w:szCs w:val="21"/>
                    </w:rPr>
                    <w:t>22</w:t>
                  </w:r>
                </w:p>
              </w:tc>
              <w:tc>
                <w:tcPr>
                  <w:tcW w:w="2934" w:type="dxa"/>
                  <w:vAlign w:val="center"/>
                </w:tcPr>
                <w:p>
                  <w:pPr>
                    <w:jc w:val="center"/>
                    <w:rPr>
                      <w:color w:val="FF0000"/>
                      <w:spacing w:val="7"/>
                      <w:szCs w:val="21"/>
                    </w:rPr>
                  </w:pPr>
                  <w:r>
                    <w:rPr>
                      <w:color w:val="FF0000"/>
                      <w:szCs w:val="21"/>
                      <w:shd w:val="clear" w:color="auto" w:fill="FFFFFF"/>
                    </w:rPr>
                    <w:t>阴离子表面活性剂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6</w:t>
                  </w:r>
                </w:p>
              </w:tc>
              <w:tc>
                <w:tcPr>
                  <w:tcW w:w="3063" w:type="dxa"/>
                  <w:vAlign w:val="center"/>
                </w:tcPr>
                <w:p>
                  <w:pPr>
                    <w:jc w:val="center"/>
                    <w:rPr>
                      <w:color w:val="FF0000"/>
                      <w:spacing w:val="7"/>
                      <w:szCs w:val="21"/>
                    </w:rPr>
                  </w:pPr>
                  <w:r>
                    <w:rPr>
                      <w:color w:val="FF0000"/>
                      <w:szCs w:val="21"/>
                      <w:shd w:val="clear" w:color="auto" w:fill="FFFFFF"/>
                    </w:rPr>
                    <w:t>五日生化需氧量</w:t>
                  </w:r>
                </w:p>
              </w:tc>
              <w:tc>
                <w:tcPr>
                  <w:tcW w:w="1048" w:type="dxa"/>
                  <w:vAlign w:val="center"/>
                </w:tcPr>
                <w:p>
                  <w:pPr>
                    <w:jc w:val="center"/>
                    <w:rPr>
                      <w:color w:val="FF0000"/>
                      <w:spacing w:val="7"/>
                      <w:szCs w:val="21"/>
                    </w:rPr>
                  </w:pPr>
                  <w:r>
                    <w:rPr>
                      <w:color w:val="FF0000"/>
                      <w:spacing w:val="7"/>
                      <w:szCs w:val="21"/>
                    </w:rPr>
                    <w:t>23</w:t>
                  </w:r>
                </w:p>
              </w:tc>
              <w:tc>
                <w:tcPr>
                  <w:tcW w:w="2934" w:type="dxa"/>
                  <w:vAlign w:val="center"/>
                </w:tcPr>
                <w:p>
                  <w:pPr>
                    <w:jc w:val="center"/>
                    <w:rPr>
                      <w:color w:val="FF0000"/>
                      <w:spacing w:val="7"/>
                      <w:szCs w:val="21"/>
                    </w:rPr>
                  </w:pPr>
                  <w:r>
                    <w:rPr>
                      <w:color w:val="FF0000"/>
                      <w:szCs w:val="21"/>
                      <w:shd w:val="clear" w:color="auto" w:fill="FFFFFF"/>
                    </w:rPr>
                    <w:t>硫化物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7</w:t>
                  </w:r>
                </w:p>
              </w:tc>
              <w:tc>
                <w:tcPr>
                  <w:tcW w:w="3063" w:type="dxa"/>
                  <w:vAlign w:val="center"/>
                </w:tcPr>
                <w:p>
                  <w:pPr>
                    <w:jc w:val="center"/>
                    <w:rPr>
                      <w:color w:val="FF0000"/>
                      <w:spacing w:val="7"/>
                      <w:szCs w:val="21"/>
                    </w:rPr>
                  </w:pPr>
                  <w:r>
                    <w:rPr>
                      <w:color w:val="FF0000"/>
                      <w:szCs w:val="21"/>
                      <w:shd w:val="clear" w:color="auto" w:fill="FFFFFF"/>
                    </w:rPr>
                    <w:t>氨氮</w:t>
                  </w:r>
                </w:p>
              </w:tc>
              <w:tc>
                <w:tcPr>
                  <w:tcW w:w="1048" w:type="dxa"/>
                  <w:vAlign w:val="center"/>
                </w:tcPr>
                <w:p>
                  <w:pPr>
                    <w:jc w:val="center"/>
                    <w:rPr>
                      <w:color w:val="FF0000"/>
                      <w:spacing w:val="7"/>
                      <w:szCs w:val="21"/>
                    </w:rPr>
                  </w:pPr>
                  <w:r>
                    <w:rPr>
                      <w:color w:val="FF0000"/>
                      <w:spacing w:val="7"/>
                      <w:szCs w:val="21"/>
                    </w:rPr>
                    <w:t>24</w:t>
                  </w:r>
                </w:p>
              </w:tc>
              <w:tc>
                <w:tcPr>
                  <w:tcW w:w="2934" w:type="dxa"/>
                  <w:vAlign w:val="center"/>
                </w:tcPr>
                <w:p>
                  <w:pPr>
                    <w:jc w:val="center"/>
                    <w:rPr>
                      <w:color w:val="FF0000"/>
                      <w:spacing w:val="7"/>
                      <w:szCs w:val="21"/>
                    </w:rPr>
                  </w:pPr>
                  <w:r>
                    <w:rPr>
                      <w:color w:val="FF0000"/>
                      <w:szCs w:val="21"/>
                      <w:shd w:val="clear" w:color="auto" w:fill="FFFFFF"/>
                    </w:rPr>
                    <w:t>粪大肠菌群</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8</w:t>
                  </w:r>
                </w:p>
              </w:tc>
              <w:tc>
                <w:tcPr>
                  <w:tcW w:w="3063" w:type="dxa"/>
                  <w:vAlign w:val="center"/>
                </w:tcPr>
                <w:p>
                  <w:pPr>
                    <w:jc w:val="center"/>
                    <w:rPr>
                      <w:color w:val="FF0000"/>
                      <w:spacing w:val="7"/>
                      <w:szCs w:val="21"/>
                    </w:rPr>
                  </w:pPr>
                  <w:r>
                    <w:rPr>
                      <w:color w:val="FF0000"/>
                      <w:szCs w:val="21"/>
                      <w:shd w:val="clear" w:color="auto" w:fill="FFFFFF"/>
                    </w:rPr>
                    <w:t>总磷</w:t>
                  </w:r>
                </w:p>
              </w:tc>
              <w:tc>
                <w:tcPr>
                  <w:tcW w:w="1048" w:type="dxa"/>
                  <w:vAlign w:val="center"/>
                </w:tcPr>
                <w:p>
                  <w:pPr>
                    <w:jc w:val="center"/>
                    <w:rPr>
                      <w:color w:val="FF0000"/>
                      <w:spacing w:val="7"/>
                      <w:szCs w:val="21"/>
                    </w:rPr>
                  </w:pPr>
                  <w:r>
                    <w:rPr>
                      <w:color w:val="FF0000"/>
                      <w:spacing w:val="7"/>
                      <w:szCs w:val="21"/>
                    </w:rPr>
                    <w:t>25</w:t>
                  </w:r>
                </w:p>
              </w:tc>
              <w:tc>
                <w:tcPr>
                  <w:tcW w:w="2934" w:type="dxa"/>
                  <w:vAlign w:val="center"/>
                </w:tcPr>
                <w:p>
                  <w:pPr>
                    <w:jc w:val="center"/>
                    <w:rPr>
                      <w:color w:val="FF0000"/>
                      <w:spacing w:val="7"/>
                      <w:szCs w:val="21"/>
                    </w:rPr>
                  </w:pPr>
                  <w:r>
                    <w:rPr>
                      <w:color w:val="FF0000"/>
                      <w:szCs w:val="21"/>
                      <w:shd w:val="clear" w:color="auto" w:fill="FFFFFF"/>
                    </w:rPr>
                    <w:t>硫酸盐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9</w:t>
                  </w:r>
                </w:p>
              </w:tc>
              <w:tc>
                <w:tcPr>
                  <w:tcW w:w="3063" w:type="dxa"/>
                  <w:vAlign w:val="center"/>
                </w:tcPr>
                <w:p>
                  <w:pPr>
                    <w:jc w:val="center"/>
                    <w:rPr>
                      <w:color w:val="FF0000"/>
                      <w:spacing w:val="7"/>
                      <w:szCs w:val="21"/>
                    </w:rPr>
                  </w:pPr>
                  <w:r>
                    <w:rPr>
                      <w:color w:val="FF0000"/>
                      <w:szCs w:val="21"/>
                      <w:shd w:val="clear" w:color="auto" w:fill="FFFFFF"/>
                    </w:rPr>
                    <w:t>总氮</w:t>
                  </w:r>
                </w:p>
              </w:tc>
              <w:tc>
                <w:tcPr>
                  <w:tcW w:w="1048" w:type="dxa"/>
                  <w:vAlign w:val="center"/>
                </w:tcPr>
                <w:p>
                  <w:pPr>
                    <w:jc w:val="center"/>
                    <w:rPr>
                      <w:color w:val="FF0000"/>
                      <w:spacing w:val="7"/>
                      <w:szCs w:val="21"/>
                    </w:rPr>
                  </w:pPr>
                  <w:r>
                    <w:rPr>
                      <w:color w:val="FF0000"/>
                      <w:spacing w:val="7"/>
                      <w:szCs w:val="21"/>
                    </w:rPr>
                    <w:t>26</w:t>
                  </w:r>
                </w:p>
              </w:tc>
              <w:tc>
                <w:tcPr>
                  <w:tcW w:w="2934" w:type="dxa"/>
                  <w:vAlign w:val="center"/>
                </w:tcPr>
                <w:p>
                  <w:pPr>
                    <w:jc w:val="center"/>
                    <w:rPr>
                      <w:color w:val="FF0000"/>
                      <w:spacing w:val="7"/>
                      <w:szCs w:val="21"/>
                    </w:rPr>
                  </w:pPr>
                  <w:r>
                    <w:rPr>
                      <w:color w:val="FF0000"/>
                      <w:szCs w:val="21"/>
                      <w:shd w:val="clear" w:color="auto" w:fill="FFFFFF"/>
                    </w:rPr>
                    <w:t>氯化物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10</w:t>
                  </w:r>
                </w:p>
              </w:tc>
              <w:tc>
                <w:tcPr>
                  <w:tcW w:w="3063" w:type="dxa"/>
                  <w:vAlign w:val="center"/>
                </w:tcPr>
                <w:p>
                  <w:pPr>
                    <w:jc w:val="center"/>
                    <w:rPr>
                      <w:color w:val="FF0000"/>
                      <w:spacing w:val="7"/>
                      <w:szCs w:val="21"/>
                    </w:rPr>
                  </w:pPr>
                  <w:r>
                    <w:rPr>
                      <w:color w:val="FF0000"/>
                      <w:szCs w:val="21"/>
                      <w:shd w:val="clear" w:color="auto" w:fill="FFFFFF"/>
                    </w:rPr>
                    <w:t>铜</w:t>
                  </w:r>
                </w:p>
              </w:tc>
              <w:tc>
                <w:tcPr>
                  <w:tcW w:w="1048" w:type="dxa"/>
                  <w:vAlign w:val="center"/>
                </w:tcPr>
                <w:p>
                  <w:pPr>
                    <w:jc w:val="center"/>
                    <w:rPr>
                      <w:color w:val="FF0000"/>
                      <w:spacing w:val="7"/>
                      <w:szCs w:val="21"/>
                    </w:rPr>
                  </w:pPr>
                  <w:r>
                    <w:rPr>
                      <w:color w:val="FF0000"/>
                      <w:spacing w:val="7"/>
                      <w:szCs w:val="21"/>
                    </w:rPr>
                    <w:t>27</w:t>
                  </w:r>
                </w:p>
              </w:tc>
              <w:tc>
                <w:tcPr>
                  <w:tcW w:w="2934" w:type="dxa"/>
                  <w:vAlign w:val="center"/>
                </w:tcPr>
                <w:p>
                  <w:pPr>
                    <w:jc w:val="center"/>
                    <w:rPr>
                      <w:color w:val="FF0000"/>
                      <w:spacing w:val="7"/>
                      <w:szCs w:val="21"/>
                    </w:rPr>
                  </w:pPr>
                  <w:r>
                    <w:rPr>
                      <w:color w:val="FF0000"/>
                      <w:szCs w:val="21"/>
                      <w:shd w:val="clear" w:color="auto" w:fill="FFFFFF"/>
                    </w:rPr>
                    <w:t>硝酸盐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11</w:t>
                  </w:r>
                </w:p>
              </w:tc>
              <w:tc>
                <w:tcPr>
                  <w:tcW w:w="3063" w:type="dxa"/>
                  <w:vAlign w:val="center"/>
                </w:tcPr>
                <w:p>
                  <w:pPr>
                    <w:jc w:val="center"/>
                    <w:rPr>
                      <w:color w:val="FF0000"/>
                      <w:spacing w:val="7"/>
                      <w:szCs w:val="21"/>
                    </w:rPr>
                  </w:pPr>
                  <w:r>
                    <w:rPr>
                      <w:color w:val="FF0000"/>
                      <w:szCs w:val="21"/>
                      <w:shd w:val="clear" w:color="auto" w:fill="FFFFFF"/>
                    </w:rPr>
                    <w:t>锌</w:t>
                  </w:r>
                </w:p>
              </w:tc>
              <w:tc>
                <w:tcPr>
                  <w:tcW w:w="1048" w:type="dxa"/>
                  <w:vAlign w:val="center"/>
                </w:tcPr>
                <w:p>
                  <w:pPr>
                    <w:jc w:val="center"/>
                    <w:rPr>
                      <w:color w:val="FF0000"/>
                      <w:spacing w:val="7"/>
                      <w:szCs w:val="21"/>
                    </w:rPr>
                  </w:pPr>
                  <w:r>
                    <w:rPr>
                      <w:color w:val="FF0000"/>
                      <w:spacing w:val="7"/>
                      <w:szCs w:val="21"/>
                    </w:rPr>
                    <w:t>28</w:t>
                  </w:r>
                </w:p>
              </w:tc>
              <w:tc>
                <w:tcPr>
                  <w:tcW w:w="2934" w:type="dxa"/>
                  <w:vAlign w:val="center"/>
                </w:tcPr>
                <w:p>
                  <w:pPr>
                    <w:jc w:val="center"/>
                    <w:rPr>
                      <w:color w:val="FF0000"/>
                      <w:spacing w:val="7"/>
                      <w:szCs w:val="21"/>
                    </w:rPr>
                  </w:pPr>
                  <w:r>
                    <w:rPr>
                      <w:color w:val="FF0000"/>
                      <w:szCs w:val="21"/>
                      <w:shd w:val="clear" w:color="auto" w:fill="FFFFFF"/>
                    </w:rPr>
                    <w:t>悬浮物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12</w:t>
                  </w:r>
                </w:p>
              </w:tc>
              <w:tc>
                <w:tcPr>
                  <w:tcW w:w="3063" w:type="dxa"/>
                  <w:vAlign w:val="center"/>
                </w:tcPr>
                <w:p>
                  <w:pPr>
                    <w:jc w:val="center"/>
                    <w:rPr>
                      <w:color w:val="FF0000"/>
                      <w:spacing w:val="7"/>
                      <w:szCs w:val="21"/>
                    </w:rPr>
                  </w:pPr>
                  <w:r>
                    <w:rPr>
                      <w:color w:val="FF0000"/>
                      <w:szCs w:val="21"/>
                      <w:shd w:val="clear" w:color="auto" w:fill="FFFFFF"/>
                    </w:rPr>
                    <w:t>氟化物</w:t>
                  </w:r>
                </w:p>
              </w:tc>
              <w:tc>
                <w:tcPr>
                  <w:tcW w:w="1048" w:type="dxa"/>
                  <w:vAlign w:val="center"/>
                </w:tcPr>
                <w:p>
                  <w:pPr>
                    <w:jc w:val="center"/>
                    <w:rPr>
                      <w:color w:val="FF0000"/>
                      <w:spacing w:val="7"/>
                      <w:szCs w:val="21"/>
                    </w:rPr>
                  </w:pPr>
                  <w:r>
                    <w:rPr>
                      <w:color w:val="FF0000"/>
                      <w:spacing w:val="7"/>
                      <w:szCs w:val="21"/>
                    </w:rPr>
                    <w:t>29</w:t>
                  </w:r>
                </w:p>
              </w:tc>
              <w:tc>
                <w:tcPr>
                  <w:tcW w:w="2934" w:type="dxa"/>
                  <w:vAlign w:val="center"/>
                </w:tcPr>
                <w:p>
                  <w:pPr>
                    <w:jc w:val="center"/>
                    <w:rPr>
                      <w:color w:val="FF0000"/>
                      <w:spacing w:val="7"/>
                      <w:szCs w:val="21"/>
                    </w:rPr>
                  </w:pPr>
                  <w:r>
                    <w:rPr>
                      <w:color w:val="FF0000"/>
                      <w:szCs w:val="21"/>
                      <w:shd w:val="clear" w:color="auto" w:fill="FFFFFF"/>
                    </w:rPr>
                    <w:t>矿化度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13</w:t>
                  </w:r>
                </w:p>
              </w:tc>
              <w:tc>
                <w:tcPr>
                  <w:tcW w:w="3063" w:type="dxa"/>
                  <w:vAlign w:val="center"/>
                </w:tcPr>
                <w:p>
                  <w:pPr>
                    <w:jc w:val="center"/>
                    <w:rPr>
                      <w:color w:val="FF0000"/>
                      <w:spacing w:val="7"/>
                      <w:szCs w:val="21"/>
                    </w:rPr>
                  </w:pPr>
                  <w:r>
                    <w:rPr>
                      <w:color w:val="FF0000"/>
                      <w:szCs w:val="21"/>
                      <w:shd w:val="clear" w:color="auto" w:fill="FFFFFF"/>
                    </w:rPr>
                    <w:t>硒</w:t>
                  </w:r>
                </w:p>
              </w:tc>
              <w:tc>
                <w:tcPr>
                  <w:tcW w:w="1048" w:type="dxa"/>
                  <w:vAlign w:val="center"/>
                </w:tcPr>
                <w:p>
                  <w:pPr>
                    <w:jc w:val="center"/>
                    <w:rPr>
                      <w:color w:val="FF0000"/>
                      <w:spacing w:val="7"/>
                      <w:szCs w:val="21"/>
                    </w:rPr>
                  </w:pPr>
                  <w:r>
                    <w:rPr>
                      <w:color w:val="FF0000"/>
                      <w:spacing w:val="7"/>
                      <w:szCs w:val="21"/>
                    </w:rPr>
                    <w:t>30</w:t>
                  </w:r>
                </w:p>
              </w:tc>
              <w:tc>
                <w:tcPr>
                  <w:tcW w:w="2934" w:type="dxa"/>
                  <w:vAlign w:val="center"/>
                </w:tcPr>
                <w:p>
                  <w:pPr>
                    <w:jc w:val="center"/>
                    <w:rPr>
                      <w:color w:val="FF0000"/>
                      <w:spacing w:val="7"/>
                      <w:szCs w:val="21"/>
                    </w:rPr>
                  </w:pPr>
                  <w:r>
                    <w:rPr>
                      <w:color w:val="FF0000"/>
                      <w:szCs w:val="21"/>
                      <w:shd w:val="clear" w:color="auto" w:fill="FFFFFF"/>
                    </w:rPr>
                    <w:t>电导率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14</w:t>
                  </w:r>
                </w:p>
              </w:tc>
              <w:tc>
                <w:tcPr>
                  <w:tcW w:w="3063" w:type="dxa"/>
                  <w:vAlign w:val="center"/>
                </w:tcPr>
                <w:p>
                  <w:pPr>
                    <w:jc w:val="center"/>
                    <w:rPr>
                      <w:color w:val="FF0000"/>
                      <w:spacing w:val="7"/>
                      <w:szCs w:val="21"/>
                    </w:rPr>
                  </w:pPr>
                  <w:r>
                    <w:rPr>
                      <w:color w:val="FF0000"/>
                      <w:szCs w:val="21"/>
                      <w:shd w:val="clear" w:color="auto" w:fill="FFFFFF"/>
                    </w:rPr>
                    <w:t>砷</w:t>
                  </w:r>
                </w:p>
              </w:tc>
              <w:tc>
                <w:tcPr>
                  <w:tcW w:w="1048" w:type="dxa"/>
                  <w:vAlign w:val="center"/>
                </w:tcPr>
                <w:p>
                  <w:pPr>
                    <w:jc w:val="center"/>
                    <w:rPr>
                      <w:color w:val="FF0000"/>
                      <w:spacing w:val="7"/>
                      <w:szCs w:val="21"/>
                    </w:rPr>
                  </w:pPr>
                  <w:r>
                    <w:rPr>
                      <w:color w:val="FF0000"/>
                      <w:spacing w:val="7"/>
                      <w:szCs w:val="21"/>
                    </w:rPr>
                    <w:t>31</w:t>
                  </w:r>
                </w:p>
              </w:tc>
              <w:tc>
                <w:tcPr>
                  <w:tcW w:w="2934" w:type="dxa"/>
                  <w:vAlign w:val="center"/>
                </w:tcPr>
                <w:p>
                  <w:pPr>
                    <w:jc w:val="center"/>
                    <w:rPr>
                      <w:color w:val="FF0000"/>
                      <w:spacing w:val="7"/>
                      <w:szCs w:val="21"/>
                    </w:rPr>
                  </w:pPr>
                  <w:r>
                    <w:rPr>
                      <w:color w:val="FF0000"/>
                      <w:szCs w:val="21"/>
                      <w:shd w:val="clear" w:color="auto" w:fill="FFFFFF"/>
                    </w:rPr>
                    <w:t>流量</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15</w:t>
                  </w:r>
                </w:p>
              </w:tc>
              <w:tc>
                <w:tcPr>
                  <w:tcW w:w="3063" w:type="dxa"/>
                  <w:vAlign w:val="center"/>
                </w:tcPr>
                <w:p>
                  <w:pPr>
                    <w:jc w:val="center"/>
                    <w:rPr>
                      <w:color w:val="FF0000"/>
                      <w:spacing w:val="7"/>
                      <w:szCs w:val="21"/>
                    </w:rPr>
                  </w:pPr>
                  <w:r>
                    <w:rPr>
                      <w:color w:val="FF0000"/>
                      <w:szCs w:val="21"/>
                      <w:shd w:val="clear" w:color="auto" w:fill="FFFFFF"/>
                    </w:rPr>
                    <w:t>汞</w:t>
                  </w:r>
                </w:p>
              </w:tc>
              <w:tc>
                <w:tcPr>
                  <w:tcW w:w="1048" w:type="dxa"/>
                  <w:vAlign w:val="center"/>
                </w:tcPr>
                <w:p>
                  <w:pPr>
                    <w:jc w:val="center"/>
                    <w:rPr>
                      <w:color w:val="FF0000"/>
                      <w:spacing w:val="7"/>
                      <w:szCs w:val="21"/>
                    </w:rPr>
                  </w:pPr>
                  <w:r>
                    <w:rPr>
                      <w:color w:val="FF0000"/>
                      <w:spacing w:val="7"/>
                      <w:szCs w:val="21"/>
                    </w:rPr>
                    <w:t>32</w:t>
                  </w:r>
                </w:p>
              </w:tc>
              <w:tc>
                <w:tcPr>
                  <w:tcW w:w="2934" w:type="dxa"/>
                  <w:vAlign w:val="center"/>
                </w:tcPr>
                <w:p>
                  <w:pPr>
                    <w:jc w:val="center"/>
                    <w:rPr>
                      <w:color w:val="FF0000"/>
                      <w:spacing w:val="7"/>
                      <w:szCs w:val="21"/>
                    </w:rPr>
                  </w:pPr>
                  <w:r>
                    <w:rPr>
                      <w:color w:val="FF0000"/>
                      <w:szCs w:val="21"/>
                      <w:shd w:val="clear" w:color="auto" w:fill="FFFFFF"/>
                    </w:rPr>
                    <w:t>总悬浮物</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16</w:t>
                  </w:r>
                </w:p>
              </w:tc>
              <w:tc>
                <w:tcPr>
                  <w:tcW w:w="3063" w:type="dxa"/>
                  <w:vAlign w:val="center"/>
                </w:tcPr>
                <w:p>
                  <w:pPr>
                    <w:jc w:val="center"/>
                    <w:rPr>
                      <w:color w:val="FF0000"/>
                      <w:spacing w:val="7"/>
                      <w:szCs w:val="21"/>
                    </w:rPr>
                  </w:pPr>
                  <w:r>
                    <w:rPr>
                      <w:color w:val="FF0000"/>
                      <w:szCs w:val="21"/>
                      <w:shd w:val="clear" w:color="auto" w:fill="FFFFFF"/>
                    </w:rPr>
                    <w:t>镉</w:t>
                  </w:r>
                </w:p>
              </w:tc>
              <w:tc>
                <w:tcPr>
                  <w:tcW w:w="1048" w:type="dxa"/>
                  <w:vAlign w:val="center"/>
                </w:tcPr>
                <w:p>
                  <w:pPr>
                    <w:jc w:val="center"/>
                    <w:rPr>
                      <w:color w:val="FF0000"/>
                      <w:spacing w:val="7"/>
                      <w:szCs w:val="21"/>
                    </w:rPr>
                  </w:pPr>
                  <w:r>
                    <w:rPr>
                      <w:color w:val="FF0000"/>
                      <w:spacing w:val="7"/>
                      <w:szCs w:val="21"/>
                    </w:rPr>
                    <w:t>33</w:t>
                  </w:r>
                </w:p>
              </w:tc>
              <w:tc>
                <w:tcPr>
                  <w:tcW w:w="2934" w:type="dxa"/>
                  <w:vAlign w:val="center"/>
                </w:tcPr>
                <w:p>
                  <w:pPr>
                    <w:jc w:val="center"/>
                    <w:rPr>
                      <w:color w:val="FF0000"/>
                      <w:spacing w:val="7"/>
                      <w:szCs w:val="21"/>
                    </w:rPr>
                  </w:pPr>
                  <w:r>
                    <w:rPr>
                      <w:color w:val="FF0000"/>
                      <w:szCs w:val="21"/>
                      <w:shd w:val="clear" w:color="auto" w:fill="FFFFFF"/>
                    </w:rPr>
                    <w:t>浊度</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19" w:type="dxa"/>
                  <w:vAlign w:val="center"/>
                </w:tcPr>
                <w:p>
                  <w:pPr>
                    <w:jc w:val="center"/>
                    <w:rPr>
                      <w:color w:val="FF0000"/>
                      <w:spacing w:val="7"/>
                      <w:szCs w:val="21"/>
                    </w:rPr>
                  </w:pPr>
                  <w:r>
                    <w:rPr>
                      <w:color w:val="FF0000"/>
                      <w:spacing w:val="7"/>
                      <w:szCs w:val="21"/>
                    </w:rPr>
                    <w:t>17</w:t>
                  </w:r>
                  <w:r>
                    <w:rPr>
                      <w:color w:val="FF0000"/>
                      <w:szCs w:val="21"/>
                      <w:shd w:val="clear" w:color="auto" w:fill="FFFFFF"/>
                    </w:rPr>
                    <w:t>）</w:t>
                  </w:r>
                </w:p>
              </w:tc>
              <w:tc>
                <w:tcPr>
                  <w:tcW w:w="3063" w:type="dxa"/>
                  <w:vAlign w:val="center"/>
                </w:tcPr>
                <w:p>
                  <w:pPr>
                    <w:jc w:val="center"/>
                    <w:rPr>
                      <w:color w:val="FF0000"/>
                      <w:spacing w:val="7"/>
                      <w:szCs w:val="21"/>
                    </w:rPr>
                  </w:pPr>
                  <w:r>
                    <w:rPr>
                      <w:color w:val="FF0000"/>
                      <w:szCs w:val="21"/>
                      <w:shd w:val="clear" w:color="auto" w:fill="FFFFFF"/>
                    </w:rPr>
                    <w:t>铬（六价</w:t>
                  </w:r>
                </w:p>
              </w:tc>
              <w:tc>
                <w:tcPr>
                  <w:tcW w:w="1048" w:type="dxa"/>
                  <w:vAlign w:val="center"/>
                </w:tcPr>
                <w:p>
                  <w:pPr>
                    <w:jc w:val="center"/>
                    <w:rPr>
                      <w:color w:val="FF0000"/>
                      <w:spacing w:val="7"/>
                      <w:szCs w:val="21"/>
                    </w:rPr>
                  </w:pPr>
                  <w:r>
                    <w:rPr>
                      <w:color w:val="FF0000"/>
                      <w:spacing w:val="7"/>
                      <w:szCs w:val="21"/>
                    </w:rPr>
                    <w:t>34</w:t>
                  </w:r>
                </w:p>
              </w:tc>
              <w:tc>
                <w:tcPr>
                  <w:tcW w:w="2934" w:type="dxa"/>
                  <w:vAlign w:val="center"/>
                </w:tcPr>
                <w:p>
                  <w:pPr>
                    <w:jc w:val="center"/>
                    <w:rPr>
                      <w:color w:val="FF0000"/>
                      <w:spacing w:val="7"/>
                      <w:szCs w:val="21"/>
                    </w:rPr>
                  </w:pPr>
                  <w:r>
                    <w:rPr>
                      <w:color w:val="FF0000"/>
                      <w:szCs w:val="21"/>
                      <w:shd w:val="clear" w:color="auto" w:fill="FFFFFF"/>
                    </w:rPr>
                    <w:t>盐度</w:t>
                  </w:r>
                </w:p>
              </w:tc>
            </w:tr>
          </w:tbl>
          <w:p>
            <w:pPr>
              <w:ind w:firstLine="448" w:firstLineChars="200"/>
              <w:rPr>
                <w:rFonts w:eastAsia="黑体"/>
                <w:color w:val="FF0000"/>
                <w:spacing w:val="7"/>
                <w:szCs w:val="21"/>
              </w:rPr>
            </w:pPr>
            <w:r>
              <w:rPr>
                <w:rFonts w:eastAsia="黑体"/>
                <w:color w:val="FF0000"/>
                <w:spacing w:val="7"/>
                <w:szCs w:val="21"/>
              </w:rPr>
              <w:t xml:space="preserve">表3-3                </w:t>
            </w:r>
            <w:r>
              <w:rPr>
                <w:rFonts w:hint="eastAsia" w:eastAsia="黑体"/>
                <w:color w:val="FF0000"/>
                <w:spacing w:val="7"/>
                <w:szCs w:val="21"/>
              </w:rPr>
              <w:t>呼图壁河断面水质状况</w:t>
            </w:r>
          </w:p>
          <w:tbl>
            <w:tblPr>
              <w:tblStyle w:val="47"/>
              <w:tblW w:w="8144"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56"/>
              <w:gridCol w:w="1357"/>
              <w:gridCol w:w="1357"/>
              <w:gridCol w:w="1357"/>
              <w:gridCol w:w="1500"/>
              <w:gridCol w:w="12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356" w:type="dxa"/>
                  <w:vAlign w:val="center"/>
                </w:tcPr>
                <w:p>
                  <w:pPr>
                    <w:jc w:val="center"/>
                    <w:rPr>
                      <w:color w:val="FF0000"/>
                      <w:spacing w:val="7"/>
                      <w:szCs w:val="21"/>
                    </w:rPr>
                  </w:pPr>
                  <w:r>
                    <w:rPr>
                      <w:color w:val="FF0000"/>
                      <w:spacing w:val="7"/>
                      <w:szCs w:val="21"/>
                    </w:rPr>
                    <w:t>序号</w:t>
                  </w:r>
                </w:p>
              </w:tc>
              <w:tc>
                <w:tcPr>
                  <w:tcW w:w="1357" w:type="dxa"/>
                  <w:vAlign w:val="center"/>
                </w:tcPr>
                <w:p>
                  <w:pPr>
                    <w:jc w:val="center"/>
                    <w:rPr>
                      <w:color w:val="FF0000"/>
                      <w:spacing w:val="7"/>
                      <w:szCs w:val="21"/>
                    </w:rPr>
                  </w:pPr>
                  <w:r>
                    <w:rPr>
                      <w:rFonts w:hint="eastAsia"/>
                      <w:color w:val="FF0000"/>
                      <w:spacing w:val="7"/>
                      <w:szCs w:val="21"/>
                    </w:rPr>
                    <w:t>所在水体名称</w:t>
                  </w:r>
                </w:p>
              </w:tc>
              <w:tc>
                <w:tcPr>
                  <w:tcW w:w="1357" w:type="dxa"/>
                  <w:vAlign w:val="center"/>
                </w:tcPr>
                <w:p>
                  <w:pPr>
                    <w:jc w:val="center"/>
                    <w:rPr>
                      <w:color w:val="FF0000"/>
                      <w:spacing w:val="7"/>
                      <w:szCs w:val="21"/>
                    </w:rPr>
                  </w:pPr>
                  <w:r>
                    <w:rPr>
                      <w:color w:val="FF0000"/>
                      <w:spacing w:val="7"/>
                      <w:szCs w:val="21"/>
                    </w:rPr>
                    <w:t>断面名称</w:t>
                  </w:r>
                </w:p>
              </w:tc>
              <w:tc>
                <w:tcPr>
                  <w:tcW w:w="1357" w:type="dxa"/>
                  <w:vAlign w:val="center"/>
                </w:tcPr>
                <w:p>
                  <w:pPr>
                    <w:jc w:val="center"/>
                    <w:rPr>
                      <w:color w:val="FF0000"/>
                      <w:spacing w:val="7"/>
                      <w:szCs w:val="21"/>
                    </w:rPr>
                  </w:pPr>
                  <w:r>
                    <w:rPr>
                      <w:color w:val="FF0000"/>
                      <w:spacing w:val="7"/>
                      <w:szCs w:val="21"/>
                    </w:rPr>
                    <w:t>断面属性</w:t>
                  </w:r>
                </w:p>
              </w:tc>
              <w:tc>
                <w:tcPr>
                  <w:tcW w:w="1500" w:type="dxa"/>
                  <w:vAlign w:val="center"/>
                </w:tcPr>
                <w:p>
                  <w:pPr>
                    <w:jc w:val="center"/>
                    <w:rPr>
                      <w:color w:val="FF0000"/>
                      <w:spacing w:val="7"/>
                      <w:szCs w:val="21"/>
                    </w:rPr>
                  </w:pPr>
                  <w:r>
                    <w:rPr>
                      <w:color w:val="FF0000"/>
                      <w:spacing w:val="7"/>
                      <w:szCs w:val="21"/>
                    </w:rPr>
                    <w:t>坐标</w:t>
                  </w:r>
                </w:p>
              </w:tc>
              <w:tc>
                <w:tcPr>
                  <w:tcW w:w="1217" w:type="dxa"/>
                  <w:vAlign w:val="center"/>
                </w:tcPr>
                <w:p>
                  <w:pPr>
                    <w:jc w:val="center"/>
                    <w:rPr>
                      <w:color w:val="FF0000"/>
                      <w:spacing w:val="7"/>
                      <w:szCs w:val="21"/>
                    </w:rPr>
                  </w:pPr>
                  <w:r>
                    <w:rPr>
                      <w:color w:val="FF0000"/>
                      <w:spacing w:val="7"/>
                      <w:szCs w:val="21"/>
                    </w:rPr>
                    <w:t>1-10月水质类别</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356" w:type="dxa"/>
                  <w:vAlign w:val="center"/>
                </w:tcPr>
                <w:p>
                  <w:pPr>
                    <w:jc w:val="center"/>
                    <w:rPr>
                      <w:color w:val="FF0000"/>
                      <w:spacing w:val="7"/>
                      <w:szCs w:val="21"/>
                    </w:rPr>
                  </w:pPr>
                  <w:r>
                    <w:rPr>
                      <w:rFonts w:hint="eastAsia"/>
                      <w:color w:val="FF0000"/>
                      <w:spacing w:val="7"/>
                      <w:szCs w:val="21"/>
                    </w:rPr>
                    <w:t>1</w:t>
                  </w:r>
                </w:p>
              </w:tc>
              <w:tc>
                <w:tcPr>
                  <w:tcW w:w="1357" w:type="dxa"/>
                  <w:vAlign w:val="center"/>
                </w:tcPr>
                <w:p>
                  <w:pPr>
                    <w:jc w:val="center"/>
                    <w:rPr>
                      <w:color w:val="FF0000"/>
                      <w:spacing w:val="7"/>
                      <w:szCs w:val="21"/>
                    </w:rPr>
                  </w:pPr>
                  <w:r>
                    <w:rPr>
                      <w:rFonts w:hint="eastAsia"/>
                      <w:color w:val="FF0000"/>
                      <w:spacing w:val="7"/>
                      <w:szCs w:val="21"/>
                    </w:rPr>
                    <w:t>呼图壁河</w:t>
                  </w:r>
                </w:p>
              </w:tc>
              <w:tc>
                <w:tcPr>
                  <w:tcW w:w="1357" w:type="dxa"/>
                  <w:vAlign w:val="center"/>
                </w:tcPr>
                <w:p>
                  <w:pPr>
                    <w:jc w:val="center"/>
                    <w:rPr>
                      <w:color w:val="FF0000"/>
                      <w:spacing w:val="7"/>
                      <w:szCs w:val="21"/>
                    </w:rPr>
                  </w:pPr>
                  <w:r>
                    <w:rPr>
                      <w:rFonts w:hint="eastAsia"/>
                      <w:color w:val="FF0000"/>
                      <w:spacing w:val="7"/>
                      <w:szCs w:val="21"/>
                    </w:rPr>
                    <w:t>棉纺厂</w:t>
                  </w:r>
                </w:p>
              </w:tc>
              <w:tc>
                <w:tcPr>
                  <w:tcW w:w="1357" w:type="dxa"/>
                  <w:vAlign w:val="center"/>
                </w:tcPr>
                <w:p>
                  <w:pPr>
                    <w:jc w:val="center"/>
                    <w:rPr>
                      <w:color w:val="FF0000"/>
                      <w:spacing w:val="7"/>
                      <w:szCs w:val="21"/>
                    </w:rPr>
                  </w:pPr>
                  <w:r>
                    <w:rPr>
                      <w:rFonts w:hint="eastAsia"/>
                      <w:color w:val="FF0000"/>
                      <w:spacing w:val="7"/>
                      <w:szCs w:val="21"/>
                    </w:rPr>
                    <w:t>国控</w:t>
                  </w:r>
                </w:p>
              </w:tc>
              <w:tc>
                <w:tcPr>
                  <w:tcW w:w="1500" w:type="dxa"/>
                  <w:vAlign w:val="center"/>
                </w:tcPr>
                <w:p>
                  <w:pPr>
                    <w:jc w:val="center"/>
                    <w:rPr>
                      <w:color w:val="FF0000"/>
                      <w:szCs w:val="21"/>
                      <w:shd w:val="clear" w:color="auto" w:fill="FFFFFF"/>
                    </w:rPr>
                  </w:pPr>
                  <w:r>
                    <w:rPr>
                      <w:color w:val="FF0000"/>
                      <w:szCs w:val="21"/>
                      <w:shd w:val="clear" w:color="auto" w:fill="FFFFFF"/>
                    </w:rPr>
                    <w:t>86.86502</w:t>
                  </w:r>
                  <w:r>
                    <w:rPr>
                      <w:rFonts w:hint="eastAsia"/>
                      <w:color w:val="FF0000"/>
                      <w:szCs w:val="21"/>
                      <w:shd w:val="clear" w:color="auto" w:fill="FFFFFF"/>
                    </w:rPr>
                    <w:t>°</w:t>
                  </w:r>
                  <w:r>
                    <w:rPr>
                      <w:color w:val="FF0000"/>
                      <w:szCs w:val="21"/>
                      <w:shd w:val="clear" w:color="auto" w:fill="FFFFFF"/>
                    </w:rPr>
                    <w:t>E</w:t>
                  </w:r>
                </w:p>
                <w:p>
                  <w:pPr>
                    <w:jc w:val="center"/>
                    <w:rPr>
                      <w:color w:val="FF0000"/>
                      <w:spacing w:val="7"/>
                      <w:szCs w:val="21"/>
                    </w:rPr>
                  </w:pPr>
                  <w:r>
                    <w:rPr>
                      <w:color w:val="FF0000"/>
                      <w:szCs w:val="21"/>
                      <w:shd w:val="clear" w:color="auto" w:fill="FFFFFF"/>
                    </w:rPr>
                    <w:t>44.19136</w:t>
                  </w:r>
                  <w:r>
                    <w:rPr>
                      <w:rFonts w:hint="eastAsia"/>
                      <w:color w:val="FF0000"/>
                      <w:szCs w:val="21"/>
                      <w:shd w:val="clear" w:color="auto" w:fill="FFFFFF"/>
                    </w:rPr>
                    <w:t>°</w:t>
                  </w:r>
                  <w:r>
                    <w:rPr>
                      <w:color w:val="FF0000"/>
                      <w:szCs w:val="21"/>
                      <w:shd w:val="clear" w:color="auto" w:fill="FFFFFF"/>
                    </w:rPr>
                    <w:t>N</w:t>
                  </w:r>
                </w:p>
              </w:tc>
              <w:tc>
                <w:tcPr>
                  <w:tcW w:w="1217" w:type="dxa"/>
                  <w:vAlign w:val="center"/>
                </w:tcPr>
                <w:p>
                  <w:pPr>
                    <w:jc w:val="center"/>
                    <w:rPr>
                      <w:color w:val="FF0000"/>
                      <w:spacing w:val="7"/>
                      <w:szCs w:val="21"/>
                    </w:rPr>
                  </w:pPr>
                  <w:r>
                    <w:rPr>
                      <w:rFonts w:hint="eastAsia"/>
                      <w:color w:val="FF0000"/>
                      <w:spacing w:val="7"/>
                      <w:szCs w:val="21"/>
                    </w:rPr>
                    <w:t>Ⅱ</w:t>
                  </w:r>
                </w:p>
              </w:tc>
            </w:tr>
          </w:tbl>
          <w:p>
            <w:pPr>
              <w:widowControl/>
              <w:spacing w:line="440" w:lineRule="exact"/>
              <w:ind w:firstLine="480" w:firstLineChars="200"/>
              <w:rPr>
                <w:color w:val="FF0000"/>
                <w:sz w:val="24"/>
              </w:rPr>
            </w:pPr>
            <w:r>
              <w:rPr>
                <w:color w:val="FF0000"/>
                <w:sz w:val="24"/>
              </w:rPr>
              <w:t>由地</w:t>
            </w:r>
            <w:r>
              <w:rPr>
                <w:rFonts w:hint="eastAsia"/>
                <w:color w:val="FF0000"/>
                <w:sz w:val="24"/>
              </w:rPr>
              <w:t>表</w:t>
            </w:r>
            <w:r>
              <w:rPr>
                <w:color w:val="FF0000"/>
                <w:sz w:val="24"/>
              </w:rPr>
              <w:t>水现状监测及评价结果可知，</w:t>
            </w:r>
            <w:r>
              <w:rPr>
                <w:rFonts w:hint="eastAsia"/>
                <w:bCs/>
                <w:color w:val="FF0000"/>
                <w:sz w:val="24"/>
              </w:rPr>
              <w:t>呼图壁河满足</w:t>
            </w:r>
            <w:r>
              <w:rPr>
                <w:bCs/>
                <w:color w:val="FF0000"/>
                <w:sz w:val="24"/>
              </w:rPr>
              <w:t>《地表水环境质量标准》GB3838-2002）</w:t>
            </w:r>
            <w:r>
              <w:rPr>
                <w:rFonts w:hint="eastAsia" w:ascii="宋体" w:hAnsi="宋体" w:cs="宋体"/>
                <w:bCs/>
                <w:color w:val="FF0000"/>
                <w:sz w:val="24"/>
              </w:rPr>
              <w:t>Ⅱ</w:t>
            </w:r>
            <w:r>
              <w:rPr>
                <w:bCs/>
                <w:color w:val="FF0000"/>
                <w:sz w:val="24"/>
              </w:rPr>
              <w:t>类</w:t>
            </w:r>
            <w:r>
              <w:rPr>
                <w:rFonts w:hint="eastAsia"/>
                <w:bCs/>
                <w:color w:val="FF0000"/>
                <w:sz w:val="24"/>
              </w:rPr>
              <w:t>标准</w:t>
            </w:r>
            <w:r>
              <w:rPr>
                <w:bCs/>
                <w:color w:val="FF0000"/>
                <w:sz w:val="24"/>
              </w:rPr>
              <w:t>，总体水环境良好。</w:t>
            </w:r>
          </w:p>
          <w:bookmarkEnd w:id="22"/>
          <w:p>
            <w:pPr>
              <w:spacing w:line="440" w:lineRule="exact"/>
              <w:ind w:firstLine="482" w:firstLineChars="200"/>
              <w:rPr>
                <w:b/>
                <w:bCs/>
                <w:kern w:val="0"/>
                <w:sz w:val="24"/>
              </w:rPr>
            </w:pPr>
            <w:r>
              <w:rPr>
                <w:b/>
                <w:bCs/>
                <w:kern w:val="0"/>
                <w:sz w:val="24"/>
              </w:rPr>
              <w:t>5、</w:t>
            </w:r>
            <w:r>
              <w:rPr>
                <w:rFonts w:hint="eastAsia"/>
                <w:b/>
                <w:bCs/>
                <w:kern w:val="0"/>
                <w:sz w:val="24"/>
              </w:rPr>
              <w:t>地下水、土壤环境质量现状调查与评价</w:t>
            </w:r>
          </w:p>
          <w:p>
            <w:pPr>
              <w:spacing w:line="440" w:lineRule="exact"/>
              <w:ind w:firstLine="480" w:firstLineChars="200"/>
              <w:rPr>
                <w:kern w:val="0"/>
                <w:sz w:val="24"/>
              </w:rPr>
            </w:pPr>
            <w:r>
              <w:rPr>
                <w:rFonts w:hint="eastAsia"/>
                <w:kern w:val="0"/>
                <w:sz w:val="24"/>
              </w:rPr>
              <w:t>根据《建设项目环境影响报告表编制技术指南（污染影响类）（试行）》，原则上不开展环境质量现状调查，根据现场勘查，污水处理站已做好防渗措施，不存在土壤、地下水环境污染途径，因此本次评价不开展地下水及土壤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4" w:type="dxa"/>
            <w:vAlign w:val="center"/>
          </w:tcPr>
          <w:p>
            <w:pPr>
              <w:adjustRightInd w:val="0"/>
              <w:snapToGrid w:val="0"/>
              <w:jc w:val="center"/>
              <w:rPr>
                <w:kern w:val="0"/>
                <w:sz w:val="24"/>
                <w:szCs w:val="21"/>
              </w:rPr>
            </w:pPr>
            <w:r>
              <w:rPr>
                <w:kern w:val="0"/>
                <w:sz w:val="24"/>
                <w:szCs w:val="21"/>
              </w:rPr>
              <w:t>环境</w:t>
            </w:r>
          </w:p>
          <w:p>
            <w:pPr>
              <w:adjustRightInd w:val="0"/>
              <w:snapToGrid w:val="0"/>
              <w:jc w:val="center"/>
              <w:rPr>
                <w:kern w:val="0"/>
                <w:sz w:val="24"/>
                <w:szCs w:val="21"/>
              </w:rPr>
            </w:pPr>
            <w:r>
              <w:rPr>
                <w:kern w:val="0"/>
                <w:sz w:val="24"/>
                <w:szCs w:val="21"/>
              </w:rPr>
              <w:t>保护</w:t>
            </w:r>
          </w:p>
          <w:p>
            <w:pPr>
              <w:adjustRightInd w:val="0"/>
              <w:snapToGrid w:val="0"/>
              <w:jc w:val="center"/>
              <w:rPr>
                <w:kern w:val="0"/>
                <w:szCs w:val="21"/>
              </w:rPr>
            </w:pPr>
            <w:r>
              <w:rPr>
                <w:kern w:val="0"/>
                <w:sz w:val="24"/>
                <w:szCs w:val="21"/>
              </w:rPr>
              <w:t>目标</w:t>
            </w:r>
          </w:p>
        </w:tc>
        <w:tc>
          <w:tcPr>
            <w:tcW w:w="8360" w:type="dxa"/>
          </w:tcPr>
          <w:p>
            <w:pPr>
              <w:pStyle w:val="112"/>
              <w:numPr>
                <w:ilvl w:val="0"/>
                <w:numId w:val="1"/>
              </w:numPr>
              <w:spacing w:line="440" w:lineRule="exact"/>
              <w:rPr>
                <w:bCs/>
              </w:rPr>
            </w:pPr>
            <w:r>
              <w:rPr>
                <w:bCs/>
              </w:rPr>
              <w:t>大气环境：</w:t>
            </w:r>
            <w:r>
              <w:rPr>
                <w:rFonts w:hint="eastAsia"/>
                <w:bCs/>
              </w:rPr>
              <w:t>厂界外5</w:t>
            </w:r>
            <w:r>
              <w:rPr>
                <w:bCs/>
              </w:rPr>
              <w:t>00</w:t>
            </w:r>
            <w:r>
              <w:rPr>
                <w:rFonts w:hint="eastAsia"/>
                <w:bCs/>
              </w:rPr>
              <w:t>米范围内无自然保护区、风景名胜区、居住区、文化区和农村地区中人群较集中的区域</w:t>
            </w:r>
            <w:r>
              <w:rPr>
                <w:bCs/>
              </w:rPr>
              <w:t>；</w:t>
            </w:r>
          </w:p>
          <w:p>
            <w:pPr>
              <w:pStyle w:val="112"/>
              <w:numPr>
                <w:ilvl w:val="0"/>
                <w:numId w:val="1"/>
              </w:numPr>
              <w:spacing w:line="440" w:lineRule="exact"/>
              <w:ind w:firstLine="200" w:firstLineChars="0"/>
            </w:pPr>
            <w:r>
              <w:rPr>
                <w:bCs/>
              </w:rPr>
              <w:t>声环境：</w:t>
            </w:r>
            <w:r>
              <w:rPr>
                <w:rFonts w:hint="eastAsia"/>
                <w:bCs/>
              </w:rPr>
              <w:t>厂界5</w:t>
            </w:r>
            <w:r>
              <w:rPr>
                <w:bCs/>
              </w:rPr>
              <w:t>0</w:t>
            </w:r>
            <w:r>
              <w:rPr>
                <w:rFonts w:hint="eastAsia"/>
                <w:bCs/>
              </w:rPr>
              <w:t>米范围内无声环境保护目标</w:t>
            </w:r>
            <w:r>
              <w:rPr>
                <w:bCs/>
              </w:rPr>
              <w:t>；</w:t>
            </w:r>
          </w:p>
          <w:p>
            <w:pPr>
              <w:pStyle w:val="112"/>
              <w:numPr>
                <w:ilvl w:val="0"/>
                <w:numId w:val="1"/>
              </w:numPr>
              <w:spacing w:line="440" w:lineRule="exact"/>
            </w:pPr>
            <w:r>
              <w:rPr>
                <w:bCs/>
              </w:rPr>
              <w:t>地下水环境：厂界外500米范围内无地下水集中式饮用水水源和热水、矿泉水、温泉等特殊地下水资源。</w:t>
            </w:r>
          </w:p>
          <w:p>
            <w:pPr>
              <w:pStyle w:val="112"/>
              <w:numPr>
                <w:ilvl w:val="0"/>
                <w:numId w:val="1"/>
              </w:numPr>
              <w:spacing w:line="440" w:lineRule="exact"/>
            </w:pPr>
            <w:r>
              <w:t>生态环境：本项目</w:t>
            </w:r>
            <w:r>
              <w:rPr>
                <w:rFonts w:hint="eastAsia"/>
              </w:rPr>
              <w:t>无需设置生态环境保护目标</w:t>
            </w:r>
            <w: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28" w:hRule="atLeast"/>
          <w:jc w:val="center"/>
        </w:trPr>
        <w:tc>
          <w:tcPr>
            <w:tcW w:w="464" w:type="dxa"/>
            <w:tcMar>
              <w:left w:w="28" w:type="dxa"/>
              <w:right w:w="28" w:type="dxa"/>
            </w:tcMar>
            <w:vAlign w:val="center"/>
          </w:tcPr>
          <w:p>
            <w:pPr>
              <w:adjustRightInd w:val="0"/>
              <w:snapToGrid w:val="0"/>
              <w:jc w:val="center"/>
              <w:rPr>
                <w:kern w:val="0"/>
                <w:sz w:val="24"/>
                <w:szCs w:val="21"/>
              </w:rPr>
            </w:pPr>
            <w:r>
              <w:rPr>
                <w:kern w:val="0"/>
                <w:sz w:val="24"/>
                <w:szCs w:val="21"/>
              </w:rPr>
              <w:t>污染</w:t>
            </w:r>
          </w:p>
          <w:p>
            <w:pPr>
              <w:adjustRightInd w:val="0"/>
              <w:snapToGrid w:val="0"/>
              <w:jc w:val="center"/>
              <w:rPr>
                <w:kern w:val="0"/>
                <w:sz w:val="24"/>
                <w:szCs w:val="21"/>
              </w:rPr>
            </w:pPr>
            <w:r>
              <w:rPr>
                <w:kern w:val="0"/>
                <w:sz w:val="24"/>
                <w:szCs w:val="21"/>
              </w:rPr>
              <w:t>物排</w:t>
            </w:r>
          </w:p>
          <w:p>
            <w:pPr>
              <w:adjustRightInd w:val="0"/>
              <w:snapToGrid w:val="0"/>
              <w:jc w:val="center"/>
              <w:rPr>
                <w:kern w:val="0"/>
                <w:sz w:val="24"/>
                <w:szCs w:val="21"/>
              </w:rPr>
            </w:pPr>
            <w:r>
              <w:rPr>
                <w:kern w:val="0"/>
                <w:sz w:val="24"/>
                <w:szCs w:val="21"/>
              </w:rPr>
              <w:t>放控</w:t>
            </w:r>
          </w:p>
          <w:p>
            <w:pPr>
              <w:adjustRightInd w:val="0"/>
              <w:snapToGrid w:val="0"/>
              <w:jc w:val="center"/>
              <w:rPr>
                <w:kern w:val="0"/>
                <w:sz w:val="24"/>
                <w:szCs w:val="21"/>
              </w:rPr>
            </w:pPr>
            <w:r>
              <w:rPr>
                <w:kern w:val="0"/>
                <w:sz w:val="24"/>
                <w:szCs w:val="21"/>
              </w:rPr>
              <w:t>制标</w:t>
            </w:r>
          </w:p>
          <w:p>
            <w:pPr>
              <w:adjustRightInd w:val="0"/>
              <w:snapToGrid w:val="0"/>
              <w:jc w:val="center"/>
              <w:rPr>
                <w:kern w:val="0"/>
                <w:szCs w:val="21"/>
              </w:rPr>
            </w:pPr>
            <w:r>
              <w:rPr>
                <w:kern w:val="0"/>
                <w:sz w:val="24"/>
                <w:szCs w:val="21"/>
              </w:rPr>
              <w:t>准</w:t>
            </w:r>
          </w:p>
        </w:tc>
        <w:tc>
          <w:tcPr>
            <w:tcW w:w="8360" w:type="dxa"/>
            <w:vAlign w:val="center"/>
          </w:tcPr>
          <w:p>
            <w:pPr>
              <w:spacing w:line="440" w:lineRule="exact"/>
              <w:ind w:firstLine="480" w:firstLineChars="200"/>
              <w:rPr>
                <w:sz w:val="24"/>
              </w:rPr>
            </w:pPr>
            <w:r>
              <w:rPr>
                <w:rFonts w:hint="eastAsia"/>
                <w:sz w:val="24"/>
              </w:rPr>
              <w:t>1、大气污染物排放标准限值</w:t>
            </w:r>
          </w:p>
          <w:p>
            <w:pPr>
              <w:pStyle w:val="77"/>
              <w:spacing w:line="440" w:lineRule="exact"/>
              <w:ind w:firstLine="480"/>
            </w:pPr>
            <w:r>
              <w:rPr>
                <w:rFonts w:hint="eastAsia"/>
              </w:rPr>
              <w:t>项目锅炉烟气执行</w:t>
            </w:r>
            <w:r>
              <w:t>《锅炉大气污染物排放标准》（GB13271-2014）表</w:t>
            </w:r>
            <w:r>
              <w:rPr>
                <w:rFonts w:hint="eastAsia"/>
              </w:rPr>
              <w:t>3燃气锅炉特别排放限值要求，其中</w:t>
            </w:r>
            <w:r>
              <w:rPr>
                <w:rFonts w:hint="eastAsia"/>
                <w:szCs w:val="21"/>
              </w:rPr>
              <w:t>N</w:t>
            </w:r>
            <w:r>
              <w:rPr>
                <w:szCs w:val="21"/>
              </w:rPr>
              <w:t>O</w:t>
            </w:r>
            <w:r>
              <w:rPr>
                <w:rFonts w:hint="eastAsia"/>
                <w:szCs w:val="21"/>
              </w:rPr>
              <w:t>x执行《</w:t>
            </w:r>
            <w:r>
              <w:rPr>
                <w:szCs w:val="21"/>
              </w:rPr>
              <w:t>关于开展自治区 2022 年度夏秋季大气污染防治“冬病夏治”工作的通知</w:t>
            </w:r>
            <w:r>
              <w:rPr>
                <w:rFonts w:hint="eastAsia"/>
                <w:szCs w:val="21"/>
              </w:rPr>
              <w:t>》中要求限值，</w:t>
            </w:r>
            <w:r>
              <w:rPr>
                <w:rFonts w:hint="eastAsia"/>
              </w:rPr>
              <w:t>污水处理站产生的恶臭气体执行《恶臭污染物排放标准》（</w:t>
            </w:r>
            <w:r>
              <w:t>GB14554-93）中限值</w:t>
            </w:r>
            <w:r>
              <w:rPr>
                <w:rFonts w:hint="eastAsia"/>
              </w:rPr>
              <w:t>。本项目大气污染物排放标准限值详见表</w:t>
            </w:r>
            <w:r>
              <w:t>3-4</w:t>
            </w:r>
            <w:r>
              <w:rPr>
                <w:rFonts w:hint="eastAsia"/>
              </w:rPr>
              <w:t>。</w:t>
            </w:r>
          </w:p>
          <w:p>
            <w:pPr>
              <w:pStyle w:val="137"/>
              <w:ind w:firstLine="420" w:firstLineChars="200"/>
              <w:jc w:val="both"/>
              <w:rPr>
                <w:rFonts w:ascii="黑体" w:hAnsi="黑体" w:eastAsia="黑体"/>
                <w:b w:val="0"/>
                <w:bCs w:val="0"/>
              </w:rPr>
            </w:pPr>
            <w:r>
              <w:rPr>
                <w:rFonts w:hint="eastAsia" w:ascii="黑体" w:hAnsi="黑体" w:eastAsia="黑体"/>
                <w:b w:val="0"/>
                <w:bCs w:val="0"/>
              </w:rPr>
              <w:t>表</w:t>
            </w:r>
            <w:r>
              <w:rPr>
                <w:rFonts w:ascii="黑体" w:hAnsi="黑体" w:eastAsia="黑体"/>
                <w:b w:val="0"/>
                <w:bCs w:val="0"/>
              </w:rPr>
              <w:t xml:space="preserve">3-4 </w:t>
            </w:r>
            <w:r>
              <w:rPr>
                <w:rFonts w:hint="eastAsia" w:ascii="黑体" w:hAnsi="黑体" w:eastAsia="黑体"/>
                <w:b w:val="0"/>
                <w:bCs w:val="0"/>
              </w:rPr>
              <w:t xml:space="preserve">  </w:t>
            </w:r>
            <w:r>
              <w:rPr>
                <w:rFonts w:ascii="黑体" w:hAnsi="黑体" w:eastAsia="黑体"/>
                <w:b w:val="0"/>
                <w:bCs w:val="0"/>
              </w:rPr>
              <w:t xml:space="preserve">               </w:t>
            </w:r>
            <w:r>
              <w:rPr>
                <w:rFonts w:hint="eastAsia" w:ascii="黑体" w:hAnsi="黑体" w:eastAsia="黑体"/>
                <w:b w:val="0"/>
                <w:bCs w:val="0"/>
              </w:rPr>
              <w:t>大气污染物排放标准限值</w:t>
            </w:r>
          </w:p>
          <w:tbl>
            <w:tblPr>
              <w:tblStyle w:val="46"/>
              <w:tblW w:w="814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292"/>
              <w:gridCol w:w="3114"/>
              <w:gridCol w:w="20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jc w:val="center"/>
                    <w:rPr>
                      <w:szCs w:val="21"/>
                    </w:rPr>
                  </w:pPr>
                  <w:r>
                    <w:rPr>
                      <w:rFonts w:hint="eastAsia"/>
                      <w:szCs w:val="21"/>
                    </w:rPr>
                    <w:t>污染物</w:t>
                  </w:r>
                </w:p>
              </w:tc>
              <w:tc>
                <w:tcPr>
                  <w:tcW w:w="1292" w:type="dxa"/>
                  <w:vAlign w:val="center"/>
                </w:tcPr>
                <w:p>
                  <w:pPr>
                    <w:jc w:val="center"/>
                    <w:rPr>
                      <w:szCs w:val="21"/>
                    </w:rPr>
                  </w:pPr>
                  <w:r>
                    <w:rPr>
                      <w:rFonts w:hint="eastAsia"/>
                      <w:szCs w:val="21"/>
                    </w:rPr>
                    <w:t>排放形式</w:t>
                  </w:r>
                </w:p>
              </w:tc>
              <w:tc>
                <w:tcPr>
                  <w:tcW w:w="3114" w:type="dxa"/>
                  <w:vAlign w:val="center"/>
                </w:tcPr>
                <w:p>
                  <w:pPr>
                    <w:jc w:val="center"/>
                    <w:rPr>
                      <w:szCs w:val="21"/>
                    </w:rPr>
                  </w:pPr>
                  <w:r>
                    <w:rPr>
                      <w:rFonts w:hint="eastAsia"/>
                      <w:szCs w:val="21"/>
                    </w:rPr>
                    <w:t>标准</w:t>
                  </w:r>
                </w:p>
              </w:tc>
              <w:tc>
                <w:tcPr>
                  <w:tcW w:w="2034" w:type="dxa"/>
                  <w:vAlign w:val="center"/>
                </w:tcPr>
                <w:p>
                  <w:pPr>
                    <w:jc w:val="center"/>
                    <w:rPr>
                      <w:szCs w:val="21"/>
                    </w:rPr>
                  </w:pPr>
                  <w:r>
                    <w:rPr>
                      <w:rFonts w:hint="eastAsia"/>
                      <w:szCs w:val="21"/>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jc w:val="center"/>
                    <w:rPr>
                      <w:szCs w:val="21"/>
                    </w:rPr>
                  </w:pPr>
                  <w:r>
                    <w:rPr>
                      <w:rFonts w:hint="eastAsia"/>
                      <w:szCs w:val="21"/>
                    </w:rPr>
                    <w:t>S</w:t>
                  </w:r>
                  <w:r>
                    <w:rPr>
                      <w:szCs w:val="21"/>
                    </w:rPr>
                    <w:t>O</w:t>
                  </w:r>
                  <w:r>
                    <w:rPr>
                      <w:szCs w:val="21"/>
                      <w:vertAlign w:val="subscript"/>
                    </w:rPr>
                    <w:t>2</w:t>
                  </w:r>
                </w:p>
              </w:tc>
              <w:tc>
                <w:tcPr>
                  <w:tcW w:w="1292" w:type="dxa"/>
                  <w:vAlign w:val="center"/>
                </w:tcPr>
                <w:p>
                  <w:pPr>
                    <w:jc w:val="center"/>
                    <w:rPr>
                      <w:szCs w:val="21"/>
                    </w:rPr>
                  </w:pPr>
                  <w:r>
                    <w:rPr>
                      <w:rFonts w:hint="eastAsia"/>
                      <w:szCs w:val="21"/>
                    </w:rPr>
                    <w:t>有组织</w:t>
                  </w:r>
                </w:p>
              </w:tc>
              <w:tc>
                <w:tcPr>
                  <w:tcW w:w="3114" w:type="dxa"/>
                  <w:vMerge w:val="restart"/>
                  <w:vAlign w:val="center"/>
                </w:tcPr>
                <w:p>
                  <w:pPr>
                    <w:jc w:val="center"/>
                    <w:rPr>
                      <w:szCs w:val="21"/>
                    </w:rPr>
                  </w:pPr>
                  <w:r>
                    <w:rPr>
                      <w:szCs w:val="21"/>
                    </w:rPr>
                    <w:t>《锅炉大气污染物排放标准》（GB13271-2014）表</w:t>
                  </w:r>
                  <w:r>
                    <w:rPr>
                      <w:rFonts w:hint="eastAsia"/>
                      <w:szCs w:val="21"/>
                    </w:rPr>
                    <w:t>3燃气锅炉特别排放限值要求</w:t>
                  </w:r>
                </w:p>
              </w:tc>
              <w:tc>
                <w:tcPr>
                  <w:tcW w:w="2034" w:type="dxa"/>
                  <w:vAlign w:val="center"/>
                </w:tcPr>
                <w:p>
                  <w:pPr>
                    <w:jc w:val="center"/>
                    <w:rPr>
                      <w:szCs w:val="21"/>
                    </w:rPr>
                  </w:pPr>
                  <w:r>
                    <w:rPr>
                      <w:rFonts w:hint="eastAsia"/>
                      <w:szCs w:val="21"/>
                    </w:rPr>
                    <w:t>5</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jc w:val="center"/>
                    <w:rPr>
                      <w:szCs w:val="21"/>
                    </w:rPr>
                  </w:pPr>
                  <w:r>
                    <w:rPr>
                      <w:rFonts w:hint="eastAsia"/>
                      <w:szCs w:val="21"/>
                    </w:rPr>
                    <w:t>颗粒物</w:t>
                  </w:r>
                </w:p>
              </w:tc>
              <w:tc>
                <w:tcPr>
                  <w:tcW w:w="1292" w:type="dxa"/>
                  <w:vAlign w:val="center"/>
                </w:tcPr>
                <w:p>
                  <w:pPr>
                    <w:jc w:val="center"/>
                    <w:rPr>
                      <w:szCs w:val="21"/>
                    </w:rPr>
                  </w:pPr>
                  <w:r>
                    <w:rPr>
                      <w:rFonts w:hint="eastAsia"/>
                      <w:szCs w:val="21"/>
                    </w:rPr>
                    <w:t>有组织</w:t>
                  </w:r>
                </w:p>
              </w:tc>
              <w:tc>
                <w:tcPr>
                  <w:tcW w:w="3114" w:type="dxa"/>
                  <w:vMerge w:val="continue"/>
                  <w:vAlign w:val="center"/>
                </w:tcPr>
                <w:p>
                  <w:pPr>
                    <w:jc w:val="center"/>
                    <w:rPr>
                      <w:szCs w:val="21"/>
                    </w:rPr>
                  </w:pPr>
                </w:p>
              </w:tc>
              <w:tc>
                <w:tcPr>
                  <w:tcW w:w="2034" w:type="dxa"/>
                  <w:vAlign w:val="center"/>
                </w:tcPr>
                <w:p>
                  <w:pPr>
                    <w:jc w:val="center"/>
                    <w:rPr>
                      <w:szCs w:val="21"/>
                    </w:rPr>
                  </w:pPr>
                  <w:r>
                    <w:rPr>
                      <w:szCs w:val="21"/>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jc w:val="center"/>
                    <w:rPr>
                      <w:szCs w:val="21"/>
                    </w:rPr>
                  </w:pPr>
                  <w:r>
                    <w:rPr>
                      <w:rFonts w:hint="eastAsia"/>
                      <w:szCs w:val="21"/>
                    </w:rPr>
                    <w:t>N</w:t>
                  </w:r>
                  <w:r>
                    <w:rPr>
                      <w:szCs w:val="21"/>
                    </w:rPr>
                    <w:t>O</w:t>
                  </w:r>
                  <w:r>
                    <w:rPr>
                      <w:rFonts w:hint="eastAsia"/>
                      <w:szCs w:val="21"/>
                    </w:rPr>
                    <w:t>x</w:t>
                  </w:r>
                </w:p>
              </w:tc>
              <w:tc>
                <w:tcPr>
                  <w:tcW w:w="1292" w:type="dxa"/>
                  <w:vAlign w:val="center"/>
                </w:tcPr>
                <w:p>
                  <w:pPr>
                    <w:jc w:val="center"/>
                    <w:rPr>
                      <w:szCs w:val="21"/>
                    </w:rPr>
                  </w:pPr>
                  <w:r>
                    <w:rPr>
                      <w:rFonts w:hint="eastAsia"/>
                      <w:szCs w:val="21"/>
                    </w:rPr>
                    <w:t>有组织</w:t>
                  </w:r>
                </w:p>
              </w:tc>
              <w:tc>
                <w:tcPr>
                  <w:tcW w:w="3114" w:type="dxa"/>
                  <w:vAlign w:val="center"/>
                </w:tcPr>
                <w:p>
                  <w:pPr>
                    <w:jc w:val="center"/>
                    <w:rPr>
                      <w:szCs w:val="21"/>
                    </w:rPr>
                  </w:pPr>
                  <w:r>
                    <w:rPr>
                      <w:rFonts w:hint="eastAsia"/>
                      <w:szCs w:val="21"/>
                    </w:rPr>
                    <w:t>《</w:t>
                  </w:r>
                  <w:r>
                    <w:rPr>
                      <w:szCs w:val="21"/>
                    </w:rPr>
                    <w:t>关于开展自治区 2022 年度夏秋季大气污染防治“冬病夏治”工作的通知</w:t>
                  </w:r>
                  <w:r>
                    <w:rPr>
                      <w:rFonts w:hint="eastAsia"/>
                      <w:szCs w:val="21"/>
                    </w:rPr>
                    <w:t>》</w:t>
                  </w:r>
                </w:p>
              </w:tc>
              <w:tc>
                <w:tcPr>
                  <w:tcW w:w="2034" w:type="dxa"/>
                  <w:vAlign w:val="center"/>
                </w:tcPr>
                <w:p>
                  <w:pPr>
                    <w:jc w:val="center"/>
                    <w:rPr>
                      <w:szCs w:val="21"/>
                    </w:rPr>
                  </w:pPr>
                  <w:r>
                    <w:rPr>
                      <w:rFonts w:hint="eastAsia"/>
                      <w:szCs w:val="21"/>
                    </w:rPr>
                    <w:t>5</w:t>
                  </w:r>
                  <w:r>
                    <w:rPr>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vAlign w:val="center"/>
                </w:tcPr>
                <w:p>
                  <w:pPr>
                    <w:jc w:val="center"/>
                    <w:rPr>
                      <w:szCs w:val="21"/>
                    </w:rPr>
                  </w:pPr>
                  <w:r>
                    <w:rPr>
                      <w:rFonts w:hint="eastAsia"/>
                      <w:szCs w:val="21"/>
                    </w:rPr>
                    <w:t>臭气浓度</w:t>
                  </w:r>
                </w:p>
              </w:tc>
              <w:tc>
                <w:tcPr>
                  <w:tcW w:w="1292" w:type="dxa"/>
                  <w:vAlign w:val="center"/>
                </w:tcPr>
                <w:p>
                  <w:pPr>
                    <w:jc w:val="center"/>
                    <w:rPr>
                      <w:szCs w:val="21"/>
                    </w:rPr>
                  </w:pPr>
                  <w:r>
                    <w:rPr>
                      <w:rFonts w:hint="eastAsia"/>
                      <w:szCs w:val="21"/>
                    </w:rPr>
                    <w:t>无组织</w:t>
                  </w:r>
                </w:p>
              </w:tc>
              <w:tc>
                <w:tcPr>
                  <w:tcW w:w="3114" w:type="dxa"/>
                  <w:vAlign w:val="center"/>
                </w:tcPr>
                <w:p>
                  <w:pPr>
                    <w:jc w:val="center"/>
                    <w:rPr>
                      <w:szCs w:val="21"/>
                    </w:rPr>
                  </w:pPr>
                  <w:r>
                    <w:rPr>
                      <w:rFonts w:hint="eastAsia"/>
                      <w:szCs w:val="21"/>
                    </w:rPr>
                    <w:t>《恶臭污染物排放标准》（</w:t>
                  </w:r>
                  <w:r>
                    <w:rPr>
                      <w:szCs w:val="21"/>
                    </w:rPr>
                    <w:t>GB14554-93）中限值</w:t>
                  </w:r>
                </w:p>
              </w:tc>
              <w:tc>
                <w:tcPr>
                  <w:tcW w:w="2034" w:type="dxa"/>
                  <w:vAlign w:val="center"/>
                </w:tcPr>
                <w:p>
                  <w:pPr>
                    <w:jc w:val="center"/>
                    <w:rPr>
                      <w:szCs w:val="21"/>
                    </w:rPr>
                  </w:pPr>
                  <w:r>
                    <w:rPr>
                      <w:rFonts w:hint="eastAsia"/>
                      <w:szCs w:val="21"/>
                    </w:rPr>
                    <w:t>2</w:t>
                  </w:r>
                  <w:r>
                    <w:rPr>
                      <w:szCs w:val="21"/>
                    </w:rPr>
                    <w:t>0</w:t>
                  </w:r>
                  <w:r>
                    <w:rPr>
                      <w:rFonts w:hint="eastAsia"/>
                      <w:szCs w:val="21"/>
                    </w:rPr>
                    <w:t>（无量纲）</w:t>
                  </w:r>
                </w:p>
              </w:tc>
            </w:tr>
          </w:tbl>
          <w:p>
            <w:pPr>
              <w:spacing w:line="440" w:lineRule="exact"/>
              <w:ind w:firstLine="480" w:firstLineChars="200"/>
              <w:rPr>
                <w:sz w:val="24"/>
              </w:rPr>
            </w:pPr>
            <w:r>
              <w:rPr>
                <w:rFonts w:hint="eastAsia"/>
                <w:sz w:val="24"/>
              </w:rPr>
              <w:t>2、项目生产废水及生活污水经污水处理站处理后排入污水管网，最终进入呼图壁县丰泉污水处理厂处置，污水处理站出水污染物满足《污水综合排放标准》（G</w:t>
            </w:r>
            <w:r>
              <w:rPr>
                <w:sz w:val="24"/>
              </w:rPr>
              <w:t>B8978-1996</w:t>
            </w:r>
            <w:r>
              <w:rPr>
                <w:rFonts w:hint="eastAsia"/>
                <w:sz w:val="24"/>
              </w:rPr>
              <w:t>）中表4三级标准，详见表</w:t>
            </w:r>
            <w:r>
              <w:rPr>
                <w:sz w:val="24"/>
              </w:rPr>
              <w:t>3-5</w:t>
            </w:r>
            <w:r>
              <w:rPr>
                <w:rFonts w:hint="eastAsia"/>
                <w:sz w:val="24"/>
              </w:rPr>
              <w:t>。</w:t>
            </w:r>
          </w:p>
          <w:p>
            <w:pPr>
              <w:pStyle w:val="137"/>
              <w:ind w:firstLine="420" w:firstLineChars="200"/>
              <w:jc w:val="both"/>
              <w:rPr>
                <w:rFonts w:ascii="黑体" w:hAnsi="黑体" w:eastAsia="黑体"/>
                <w:b w:val="0"/>
                <w:bCs w:val="0"/>
              </w:rPr>
            </w:pPr>
            <w:r>
              <w:rPr>
                <w:rFonts w:hint="eastAsia" w:ascii="黑体" w:hAnsi="黑体" w:eastAsia="黑体"/>
                <w:b w:val="0"/>
                <w:bCs w:val="0"/>
              </w:rPr>
              <w:t>表</w:t>
            </w:r>
            <w:r>
              <w:rPr>
                <w:rFonts w:ascii="黑体" w:hAnsi="黑体" w:eastAsia="黑体"/>
                <w:b w:val="0"/>
                <w:bCs w:val="0"/>
              </w:rPr>
              <w:t>3-5</w:t>
            </w:r>
            <w:r>
              <w:rPr>
                <w:rFonts w:hint="eastAsia" w:ascii="黑体" w:hAnsi="黑体" w:eastAsia="黑体"/>
                <w:b w:val="0"/>
                <w:bCs w:val="0"/>
              </w:rPr>
              <w:t xml:space="preserve">   </w:t>
            </w:r>
            <w:r>
              <w:rPr>
                <w:rFonts w:ascii="黑体" w:hAnsi="黑体" w:eastAsia="黑体"/>
                <w:b w:val="0"/>
                <w:bCs w:val="0"/>
              </w:rPr>
              <w:t xml:space="preserve">               </w:t>
            </w:r>
            <w:r>
              <w:rPr>
                <w:rFonts w:hint="eastAsia" w:ascii="黑体" w:hAnsi="黑体" w:eastAsia="黑体"/>
                <w:b w:val="0"/>
                <w:bCs w:val="0"/>
              </w:rPr>
              <w:t xml:space="preserve">污水排放标准限值 </w:t>
            </w:r>
            <w:r>
              <w:rPr>
                <w:rFonts w:ascii="黑体" w:hAnsi="黑体" w:eastAsia="黑体"/>
                <w:b w:val="0"/>
                <w:bCs w:val="0"/>
              </w:rPr>
              <w:t xml:space="preserve">                   </w:t>
            </w:r>
            <w:r>
              <w:rPr>
                <w:rFonts w:eastAsia="黑体"/>
                <w:b w:val="0"/>
                <w:bCs w:val="0"/>
              </w:rPr>
              <w:t>单位：mg/L</w:t>
            </w:r>
          </w:p>
          <w:tbl>
            <w:tblPr>
              <w:tblStyle w:val="46"/>
              <w:tblW w:w="814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2360"/>
              <w:gridCol w:w="2259"/>
              <w:gridCol w:w="24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6" w:type="dxa"/>
                  <w:vAlign w:val="center"/>
                </w:tcPr>
                <w:p>
                  <w:pPr>
                    <w:jc w:val="center"/>
                    <w:rPr>
                      <w:bCs/>
                    </w:rPr>
                  </w:pPr>
                  <w:r>
                    <w:rPr>
                      <w:bCs/>
                    </w:rPr>
                    <w:t>污染源</w:t>
                  </w:r>
                </w:p>
              </w:tc>
              <w:tc>
                <w:tcPr>
                  <w:tcW w:w="2360" w:type="dxa"/>
                  <w:vAlign w:val="center"/>
                </w:tcPr>
                <w:p>
                  <w:pPr>
                    <w:jc w:val="center"/>
                    <w:rPr>
                      <w:bCs/>
                    </w:rPr>
                  </w:pPr>
                  <w:r>
                    <w:rPr>
                      <w:bCs/>
                    </w:rPr>
                    <w:t>污染物</w:t>
                  </w:r>
                </w:p>
              </w:tc>
              <w:tc>
                <w:tcPr>
                  <w:tcW w:w="2259" w:type="dxa"/>
                  <w:vAlign w:val="center"/>
                </w:tcPr>
                <w:p>
                  <w:pPr>
                    <w:jc w:val="center"/>
                    <w:rPr>
                      <w:bCs/>
                    </w:rPr>
                  </w:pPr>
                  <w:r>
                    <w:rPr>
                      <w:rFonts w:hint="eastAsia"/>
                    </w:rPr>
                    <w:t>限值</w:t>
                  </w:r>
                </w:p>
              </w:tc>
              <w:tc>
                <w:tcPr>
                  <w:tcW w:w="2489" w:type="dxa"/>
                  <w:vAlign w:val="center"/>
                </w:tcPr>
                <w:p>
                  <w:pPr>
                    <w:jc w:val="center"/>
                    <w:rPr>
                      <w:bCs/>
                    </w:rPr>
                  </w:pPr>
                  <w:r>
                    <w:rPr>
                      <w:bCs/>
                    </w:rPr>
                    <w:t>标准依据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restart"/>
                  <w:vAlign w:val="center"/>
                </w:tcPr>
                <w:p>
                  <w:pPr>
                    <w:jc w:val="center"/>
                  </w:pPr>
                  <w:r>
                    <w:rPr>
                      <w:rFonts w:hint="eastAsia"/>
                    </w:rPr>
                    <w:t>综合废水</w:t>
                  </w:r>
                </w:p>
              </w:tc>
              <w:tc>
                <w:tcPr>
                  <w:tcW w:w="2360" w:type="dxa"/>
                  <w:vAlign w:val="center"/>
                </w:tcPr>
                <w:p>
                  <w:pPr>
                    <w:jc w:val="center"/>
                  </w:pPr>
                  <w:r>
                    <w:rPr>
                      <w:rFonts w:hint="eastAsia"/>
                    </w:rPr>
                    <w:t>p</w:t>
                  </w:r>
                  <w:r>
                    <w:t>H</w:t>
                  </w:r>
                </w:p>
              </w:tc>
              <w:tc>
                <w:tcPr>
                  <w:tcW w:w="2259" w:type="dxa"/>
                  <w:vAlign w:val="center"/>
                </w:tcPr>
                <w:p>
                  <w:pPr>
                    <w:jc w:val="center"/>
                  </w:pPr>
                  <w:r>
                    <w:rPr>
                      <w:rFonts w:hint="eastAsia"/>
                    </w:rPr>
                    <w:t>6</w:t>
                  </w:r>
                  <w:r>
                    <w:t>~9</w:t>
                  </w:r>
                  <w:r>
                    <w:rPr>
                      <w:rFonts w:hint="eastAsia"/>
                    </w:rPr>
                    <w:t>（无量纲）</w:t>
                  </w:r>
                </w:p>
              </w:tc>
              <w:tc>
                <w:tcPr>
                  <w:tcW w:w="2489" w:type="dxa"/>
                  <w:vMerge w:val="restart"/>
                  <w:vAlign w:val="center"/>
                </w:tcPr>
                <w:p>
                  <w:pPr>
                    <w:jc w:val="center"/>
                  </w:pPr>
                  <w:r>
                    <w:rPr>
                      <w:rFonts w:hint="eastAsia"/>
                    </w:rPr>
                    <w:t>《污水综合排放标准》（G</w:t>
                  </w:r>
                  <w:r>
                    <w:t>B8978-1996</w:t>
                  </w:r>
                  <w:r>
                    <w:rPr>
                      <w:rFonts w:hint="eastAsia"/>
                    </w:rPr>
                    <w:t>）中表4三级标准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vAlign w:val="center"/>
                </w:tcPr>
                <w:p>
                  <w:pPr>
                    <w:jc w:val="center"/>
                  </w:pPr>
                </w:p>
              </w:tc>
              <w:tc>
                <w:tcPr>
                  <w:tcW w:w="2360" w:type="dxa"/>
                  <w:vAlign w:val="center"/>
                </w:tcPr>
                <w:p>
                  <w:pPr>
                    <w:jc w:val="center"/>
                  </w:pPr>
                  <w:r>
                    <w:rPr>
                      <w:rFonts w:hint="eastAsia"/>
                    </w:rPr>
                    <w:t>C</w:t>
                  </w:r>
                  <w:r>
                    <w:t>ODcr</w:t>
                  </w:r>
                </w:p>
              </w:tc>
              <w:tc>
                <w:tcPr>
                  <w:tcW w:w="2259" w:type="dxa"/>
                  <w:vAlign w:val="center"/>
                </w:tcPr>
                <w:p>
                  <w:pPr>
                    <w:jc w:val="center"/>
                  </w:pPr>
                  <w:r>
                    <w:rPr>
                      <w:rFonts w:hint="eastAsia"/>
                    </w:rPr>
                    <w:t>5</w:t>
                  </w:r>
                  <w:r>
                    <w:t>00</w:t>
                  </w:r>
                </w:p>
              </w:tc>
              <w:tc>
                <w:tcPr>
                  <w:tcW w:w="2489" w:type="dxa"/>
                  <w:vMerge w:val="continue"/>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vAlign w:val="center"/>
                </w:tcPr>
                <w:p>
                  <w:pPr>
                    <w:jc w:val="center"/>
                  </w:pPr>
                </w:p>
              </w:tc>
              <w:tc>
                <w:tcPr>
                  <w:tcW w:w="2360" w:type="dxa"/>
                  <w:vAlign w:val="center"/>
                </w:tcPr>
                <w:p>
                  <w:pPr>
                    <w:jc w:val="center"/>
                  </w:pPr>
                  <w:r>
                    <w:rPr>
                      <w:rFonts w:hint="eastAsia"/>
                    </w:rPr>
                    <w:t>氨氮</w:t>
                  </w:r>
                </w:p>
              </w:tc>
              <w:tc>
                <w:tcPr>
                  <w:tcW w:w="2259" w:type="dxa"/>
                  <w:vAlign w:val="center"/>
                </w:tcPr>
                <w:p>
                  <w:pPr>
                    <w:jc w:val="center"/>
                  </w:pPr>
                  <w:r>
                    <w:rPr>
                      <w:rFonts w:hint="eastAsia"/>
                    </w:rPr>
                    <w:t>-</w:t>
                  </w:r>
                </w:p>
              </w:tc>
              <w:tc>
                <w:tcPr>
                  <w:tcW w:w="2489" w:type="dxa"/>
                  <w:vMerge w:val="continue"/>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vAlign w:val="center"/>
                </w:tcPr>
                <w:p>
                  <w:pPr>
                    <w:jc w:val="center"/>
                  </w:pPr>
                </w:p>
              </w:tc>
              <w:tc>
                <w:tcPr>
                  <w:tcW w:w="2360" w:type="dxa"/>
                  <w:vAlign w:val="center"/>
                </w:tcPr>
                <w:p>
                  <w:pPr>
                    <w:jc w:val="center"/>
                  </w:pPr>
                  <w:r>
                    <w:rPr>
                      <w:rFonts w:hint="eastAsia"/>
                    </w:rPr>
                    <w:t>S</w:t>
                  </w:r>
                  <w:r>
                    <w:t>S</w:t>
                  </w:r>
                </w:p>
              </w:tc>
              <w:tc>
                <w:tcPr>
                  <w:tcW w:w="2259" w:type="dxa"/>
                  <w:vAlign w:val="center"/>
                </w:tcPr>
                <w:p>
                  <w:pPr>
                    <w:jc w:val="center"/>
                  </w:pPr>
                  <w:r>
                    <w:rPr>
                      <w:rFonts w:hint="eastAsia"/>
                    </w:rPr>
                    <w:t>4</w:t>
                  </w:r>
                  <w:r>
                    <w:t>00</w:t>
                  </w:r>
                </w:p>
              </w:tc>
              <w:tc>
                <w:tcPr>
                  <w:tcW w:w="2489" w:type="dxa"/>
                  <w:vMerge w:val="continue"/>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vAlign w:val="center"/>
                </w:tcPr>
                <w:p>
                  <w:pPr>
                    <w:jc w:val="center"/>
                  </w:pPr>
                </w:p>
              </w:tc>
              <w:tc>
                <w:tcPr>
                  <w:tcW w:w="2360" w:type="dxa"/>
                  <w:vAlign w:val="center"/>
                </w:tcPr>
                <w:p>
                  <w:pPr>
                    <w:jc w:val="center"/>
                  </w:pPr>
                  <w:r>
                    <w:rPr>
                      <w:rFonts w:hint="eastAsia"/>
                    </w:rPr>
                    <w:t>B</w:t>
                  </w:r>
                  <w:r>
                    <w:t>OD</w:t>
                  </w:r>
                  <w:r>
                    <w:rPr>
                      <w:vertAlign w:val="subscript"/>
                    </w:rPr>
                    <w:t>5</w:t>
                  </w:r>
                </w:p>
              </w:tc>
              <w:tc>
                <w:tcPr>
                  <w:tcW w:w="2259" w:type="dxa"/>
                  <w:vAlign w:val="center"/>
                </w:tcPr>
                <w:p>
                  <w:pPr>
                    <w:jc w:val="center"/>
                  </w:pPr>
                  <w:r>
                    <w:rPr>
                      <w:rFonts w:hint="eastAsia"/>
                    </w:rPr>
                    <w:t>3</w:t>
                  </w:r>
                  <w:r>
                    <w:t>00</w:t>
                  </w:r>
                </w:p>
              </w:tc>
              <w:tc>
                <w:tcPr>
                  <w:tcW w:w="2489" w:type="dxa"/>
                  <w:vMerge w:val="continue"/>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vAlign w:val="center"/>
                </w:tcPr>
                <w:p>
                  <w:pPr>
                    <w:jc w:val="center"/>
                  </w:pPr>
                </w:p>
              </w:tc>
              <w:tc>
                <w:tcPr>
                  <w:tcW w:w="2360" w:type="dxa"/>
                  <w:vAlign w:val="center"/>
                </w:tcPr>
                <w:p>
                  <w:pPr>
                    <w:jc w:val="center"/>
                  </w:pPr>
                  <w:r>
                    <w:rPr>
                      <w:rFonts w:hint="eastAsia"/>
                    </w:rPr>
                    <w:t>磷酸盐</w:t>
                  </w:r>
                </w:p>
              </w:tc>
              <w:tc>
                <w:tcPr>
                  <w:tcW w:w="2259" w:type="dxa"/>
                  <w:vAlign w:val="center"/>
                </w:tcPr>
                <w:p>
                  <w:pPr>
                    <w:jc w:val="center"/>
                  </w:pPr>
                  <w:r>
                    <w:rPr>
                      <w:rFonts w:hint="eastAsia"/>
                    </w:rPr>
                    <w:t>-</w:t>
                  </w:r>
                </w:p>
              </w:tc>
              <w:tc>
                <w:tcPr>
                  <w:tcW w:w="2489" w:type="dxa"/>
                  <w:vMerge w:val="continue"/>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036" w:type="dxa"/>
                  <w:vMerge w:val="continue"/>
                  <w:tcBorders>
                    <w:bottom w:val="single" w:color="auto" w:sz="12" w:space="0"/>
                  </w:tcBorders>
                  <w:vAlign w:val="center"/>
                </w:tcPr>
                <w:p>
                  <w:pPr>
                    <w:jc w:val="center"/>
                  </w:pPr>
                </w:p>
              </w:tc>
              <w:tc>
                <w:tcPr>
                  <w:tcW w:w="2360" w:type="dxa"/>
                  <w:tcBorders>
                    <w:bottom w:val="single" w:color="auto" w:sz="12" w:space="0"/>
                  </w:tcBorders>
                  <w:vAlign w:val="center"/>
                </w:tcPr>
                <w:p>
                  <w:pPr>
                    <w:jc w:val="center"/>
                  </w:pPr>
                  <w:r>
                    <w:rPr>
                      <w:rFonts w:hint="eastAsia"/>
                    </w:rPr>
                    <w:t>动植物油</w:t>
                  </w:r>
                </w:p>
              </w:tc>
              <w:tc>
                <w:tcPr>
                  <w:tcW w:w="2259" w:type="dxa"/>
                  <w:tcBorders>
                    <w:bottom w:val="single" w:color="auto" w:sz="12" w:space="0"/>
                  </w:tcBorders>
                  <w:vAlign w:val="center"/>
                </w:tcPr>
                <w:p>
                  <w:pPr>
                    <w:jc w:val="center"/>
                  </w:pPr>
                  <w:r>
                    <w:rPr>
                      <w:rFonts w:hint="eastAsia"/>
                    </w:rPr>
                    <w:t>1</w:t>
                  </w:r>
                  <w:r>
                    <w:t>00</w:t>
                  </w:r>
                </w:p>
              </w:tc>
              <w:tc>
                <w:tcPr>
                  <w:tcW w:w="2489" w:type="dxa"/>
                  <w:vMerge w:val="continue"/>
                  <w:tcBorders>
                    <w:bottom w:val="single" w:color="auto" w:sz="12" w:space="0"/>
                  </w:tcBorders>
                  <w:vAlign w:val="center"/>
                </w:tcPr>
                <w:p>
                  <w:pPr>
                    <w:jc w:val="center"/>
                  </w:pPr>
                </w:p>
              </w:tc>
            </w:tr>
          </w:tbl>
          <w:p>
            <w:pPr>
              <w:spacing w:line="440" w:lineRule="exact"/>
              <w:ind w:firstLine="480" w:firstLineChars="200"/>
              <w:rPr>
                <w:color w:val="FF0000"/>
                <w:sz w:val="24"/>
              </w:rPr>
            </w:pPr>
            <w:bookmarkStart w:id="23" w:name="_Hlk147830561"/>
            <w:r>
              <w:rPr>
                <w:color w:val="FF0000"/>
                <w:sz w:val="24"/>
              </w:rPr>
              <w:t>3、运营期噪声执行《工业企业厂界环境噪声排放标准》（GB12348-2008）中2类标准具体标准值见表3-6。</w:t>
            </w:r>
          </w:p>
          <w:p>
            <w:pPr>
              <w:adjustRightInd w:val="0"/>
              <w:snapToGrid w:val="0"/>
              <w:ind w:firstLine="420" w:firstLineChars="200"/>
              <w:rPr>
                <w:rFonts w:ascii="黑体" w:hAnsi="黑体" w:eastAsia="黑体"/>
                <w:color w:val="FF0000"/>
              </w:rPr>
            </w:pPr>
            <w:r>
              <w:rPr>
                <w:rFonts w:ascii="黑体" w:hAnsi="黑体" w:eastAsia="黑体"/>
                <w:color w:val="FF0000"/>
              </w:rPr>
              <w:t>表3-6                 工业企业厂界环境噪声排放标准</w:t>
            </w:r>
          </w:p>
          <w:tbl>
            <w:tblPr>
              <w:tblStyle w:val="46"/>
              <w:tblW w:w="813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579"/>
              <w:gridCol w:w="1587"/>
              <w:gridCol w:w="390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4" w:type="dxa"/>
                  <w:vAlign w:val="center"/>
                </w:tcPr>
                <w:p>
                  <w:pPr>
                    <w:jc w:val="center"/>
                    <w:rPr>
                      <w:color w:val="FF0000"/>
                      <w:szCs w:val="21"/>
                    </w:rPr>
                  </w:pPr>
                  <w:r>
                    <w:rPr>
                      <w:color w:val="FF0000"/>
                      <w:szCs w:val="21"/>
                    </w:rPr>
                    <w:t>时期</w:t>
                  </w:r>
                </w:p>
              </w:tc>
              <w:tc>
                <w:tcPr>
                  <w:tcW w:w="1579" w:type="dxa"/>
                  <w:vAlign w:val="center"/>
                </w:tcPr>
                <w:p>
                  <w:pPr>
                    <w:jc w:val="center"/>
                    <w:rPr>
                      <w:color w:val="FF0000"/>
                      <w:szCs w:val="21"/>
                    </w:rPr>
                  </w:pPr>
                  <w:r>
                    <w:rPr>
                      <w:bCs/>
                      <w:color w:val="FF0000"/>
                      <w:kern w:val="0"/>
                      <w:szCs w:val="21"/>
                    </w:rPr>
                    <w:t>昼间/dB（A）</w:t>
                  </w:r>
                </w:p>
              </w:tc>
              <w:tc>
                <w:tcPr>
                  <w:tcW w:w="1587" w:type="dxa"/>
                  <w:vAlign w:val="center"/>
                </w:tcPr>
                <w:p>
                  <w:pPr>
                    <w:jc w:val="center"/>
                    <w:rPr>
                      <w:color w:val="FF0000"/>
                      <w:szCs w:val="21"/>
                    </w:rPr>
                  </w:pPr>
                  <w:r>
                    <w:rPr>
                      <w:bCs/>
                      <w:color w:val="FF0000"/>
                      <w:kern w:val="0"/>
                      <w:szCs w:val="21"/>
                    </w:rPr>
                    <w:t>夜间/dB（A）</w:t>
                  </w:r>
                </w:p>
              </w:tc>
              <w:tc>
                <w:tcPr>
                  <w:tcW w:w="3904" w:type="dxa"/>
                  <w:vAlign w:val="center"/>
                </w:tcPr>
                <w:p>
                  <w:pPr>
                    <w:jc w:val="center"/>
                    <w:rPr>
                      <w:bCs/>
                      <w:color w:val="FF0000"/>
                      <w:kern w:val="0"/>
                      <w:szCs w:val="21"/>
                    </w:rPr>
                  </w:pPr>
                  <w:r>
                    <w:rPr>
                      <w:bCs/>
                      <w:color w:val="FF0000"/>
                      <w:kern w:val="0"/>
                      <w:szCs w:val="21"/>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64" w:type="dxa"/>
                  <w:vAlign w:val="center"/>
                </w:tcPr>
                <w:p>
                  <w:pPr>
                    <w:jc w:val="center"/>
                    <w:rPr>
                      <w:color w:val="FF0000"/>
                      <w:szCs w:val="21"/>
                    </w:rPr>
                  </w:pPr>
                  <w:r>
                    <w:rPr>
                      <w:color w:val="FF0000"/>
                      <w:szCs w:val="21"/>
                    </w:rPr>
                    <w:t>运营期</w:t>
                  </w:r>
                </w:p>
              </w:tc>
              <w:tc>
                <w:tcPr>
                  <w:tcW w:w="1579" w:type="dxa"/>
                  <w:vAlign w:val="center"/>
                </w:tcPr>
                <w:p>
                  <w:pPr>
                    <w:jc w:val="center"/>
                    <w:rPr>
                      <w:color w:val="FF0000"/>
                      <w:szCs w:val="21"/>
                    </w:rPr>
                  </w:pPr>
                  <w:r>
                    <w:rPr>
                      <w:color w:val="FF0000"/>
                      <w:szCs w:val="21"/>
                    </w:rPr>
                    <w:t>60</w:t>
                  </w:r>
                </w:p>
              </w:tc>
              <w:tc>
                <w:tcPr>
                  <w:tcW w:w="1587" w:type="dxa"/>
                  <w:vAlign w:val="center"/>
                </w:tcPr>
                <w:p>
                  <w:pPr>
                    <w:jc w:val="center"/>
                    <w:rPr>
                      <w:color w:val="FF0000"/>
                      <w:szCs w:val="21"/>
                    </w:rPr>
                  </w:pPr>
                  <w:r>
                    <w:rPr>
                      <w:color w:val="FF0000"/>
                      <w:szCs w:val="21"/>
                    </w:rPr>
                    <w:t>50</w:t>
                  </w:r>
                </w:p>
              </w:tc>
              <w:tc>
                <w:tcPr>
                  <w:tcW w:w="3904" w:type="dxa"/>
                  <w:vAlign w:val="center"/>
                </w:tcPr>
                <w:p>
                  <w:pPr>
                    <w:jc w:val="center"/>
                    <w:rPr>
                      <w:color w:val="FF0000"/>
                      <w:szCs w:val="21"/>
                    </w:rPr>
                  </w:pPr>
                  <w:r>
                    <w:rPr>
                      <w:color w:val="FF0000"/>
                      <w:szCs w:val="21"/>
                    </w:rPr>
                    <w:t>《工业企业厂界环境噪声排放标准》（GB12348-2008）中2类标准</w:t>
                  </w:r>
                </w:p>
              </w:tc>
            </w:tr>
            <w:bookmarkEnd w:id="23"/>
          </w:tbl>
          <w:p>
            <w:pPr>
              <w:spacing w:line="440" w:lineRule="exact"/>
              <w:ind w:firstLine="440" w:firstLineChars="200"/>
              <w:rPr>
                <w:spacing w:val="-10"/>
                <w:sz w:val="24"/>
              </w:rPr>
            </w:pPr>
            <w:r>
              <w:rPr>
                <w:spacing w:val="-10"/>
                <w:sz w:val="24"/>
              </w:rPr>
              <w:t>4、《一般工业固体废物贮存和填埋污染控制标准》 (GB 18599-2020)</w:t>
            </w:r>
            <w:r>
              <w:rPr>
                <w:rFonts w:hint="eastAsia"/>
                <w:spacing w:val="-10"/>
                <w:sz w:val="24"/>
              </w:rPr>
              <w:t>中有关规定</w:t>
            </w:r>
            <w:r>
              <w:rPr>
                <w:spacing w:val="-1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34" w:hRule="atLeast"/>
          <w:jc w:val="center"/>
        </w:trPr>
        <w:tc>
          <w:tcPr>
            <w:tcW w:w="464" w:type="dxa"/>
            <w:vAlign w:val="center"/>
          </w:tcPr>
          <w:p>
            <w:pPr>
              <w:adjustRightInd w:val="0"/>
              <w:snapToGrid w:val="0"/>
              <w:jc w:val="center"/>
              <w:rPr>
                <w:kern w:val="0"/>
                <w:sz w:val="24"/>
                <w:szCs w:val="21"/>
              </w:rPr>
            </w:pPr>
            <w:r>
              <w:rPr>
                <w:kern w:val="0"/>
                <w:sz w:val="24"/>
                <w:szCs w:val="21"/>
              </w:rPr>
              <w:t>总量</w:t>
            </w:r>
          </w:p>
          <w:p>
            <w:pPr>
              <w:adjustRightInd w:val="0"/>
              <w:snapToGrid w:val="0"/>
              <w:jc w:val="center"/>
              <w:rPr>
                <w:kern w:val="0"/>
                <w:sz w:val="24"/>
                <w:szCs w:val="21"/>
              </w:rPr>
            </w:pPr>
            <w:r>
              <w:rPr>
                <w:kern w:val="0"/>
                <w:sz w:val="24"/>
                <w:szCs w:val="21"/>
              </w:rPr>
              <w:t>控制</w:t>
            </w:r>
          </w:p>
          <w:p>
            <w:pPr>
              <w:adjustRightInd w:val="0"/>
              <w:snapToGrid w:val="0"/>
              <w:jc w:val="center"/>
              <w:rPr>
                <w:kern w:val="0"/>
                <w:szCs w:val="21"/>
              </w:rPr>
            </w:pPr>
            <w:r>
              <w:rPr>
                <w:kern w:val="0"/>
                <w:sz w:val="24"/>
                <w:szCs w:val="21"/>
              </w:rPr>
              <w:t>指标</w:t>
            </w:r>
          </w:p>
        </w:tc>
        <w:tc>
          <w:tcPr>
            <w:tcW w:w="8360" w:type="dxa"/>
            <w:vAlign w:val="center"/>
          </w:tcPr>
          <w:p>
            <w:pPr>
              <w:pStyle w:val="77"/>
              <w:spacing w:line="440" w:lineRule="exact"/>
              <w:ind w:firstLine="480"/>
              <w:rPr>
                <w:color w:val="FF0000"/>
              </w:rPr>
            </w:pPr>
            <w:bookmarkStart w:id="24" w:name="_Hlk147771188"/>
            <w:r>
              <w:rPr>
                <w:rFonts w:hint="eastAsia"/>
                <w:color w:val="FF0000"/>
              </w:rPr>
              <w:t>根据《昌吉回族自治州“三线一单”生态环境分区管控方案及生态环境准入清单》（昌州政办发〔2021〕41号）中管控要求中污染物排放管控“</w:t>
            </w:r>
            <w:r>
              <w:rPr>
                <w:color w:val="FF0000"/>
              </w:rPr>
              <w:t>PM</w:t>
            </w:r>
            <w:r>
              <w:rPr>
                <w:color w:val="FF0000"/>
                <w:vertAlign w:val="subscript"/>
              </w:rPr>
              <w:t>2.5</w:t>
            </w:r>
            <w:r>
              <w:rPr>
                <w:color w:val="FF0000"/>
              </w:rPr>
              <w:t>年均浓度不达标县市（园区），禁止新（改、扩）建未落实排放SO</w:t>
            </w:r>
            <w:r>
              <w:rPr>
                <w:color w:val="FF0000"/>
                <w:vertAlign w:val="subscript"/>
              </w:rPr>
              <w:t>2</w:t>
            </w:r>
            <w:r>
              <w:rPr>
                <w:color w:val="FF0000"/>
              </w:rPr>
              <w:t>、NOx、烟粉尘、挥发性有机物（VOCs）等四项大气污染物总量指标昌吉州区域内倍量替代的项目</w:t>
            </w:r>
            <w:r>
              <w:rPr>
                <w:rFonts w:hint="eastAsia"/>
                <w:color w:val="FF0000"/>
              </w:rPr>
              <w:t>”。本项目所在区域呼图壁县为PM</w:t>
            </w:r>
            <w:r>
              <w:rPr>
                <w:rFonts w:hint="eastAsia"/>
                <w:color w:val="FF0000"/>
                <w:vertAlign w:val="subscript"/>
              </w:rPr>
              <w:t>2.5</w:t>
            </w:r>
            <w:r>
              <w:rPr>
                <w:rFonts w:hint="eastAsia"/>
                <w:color w:val="FF0000"/>
              </w:rPr>
              <w:t>不达标区域，因此污染物排放总量需要倍量替代。</w:t>
            </w:r>
          </w:p>
          <w:p>
            <w:pPr>
              <w:pStyle w:val="77"/>
              <w:spacing w:line="440" w:lineRule="exact"/>
              <w:ind w:firstLine="480"/>
              <w:rPr>
                <w:color w:val="FF0000"/>
              </w:rPr>
            </w:pPr>
            <w:r>
              <w:rPr>
                <w:rFonts w:hint="eastAsia"/>
                <w:color w:val="FF0000"/>
              </w:rPr>
              <w:t>因原有工程环评及验收仅对二氧化硫和颗粒物进行了分析，措施仅采取了多管旋风除尘器，其中二氧化硫排放量约为8</w:t>
            </w:r>
            <w:r>
              <w:rPr>
                <w:color w:val="FF0000"/>
              </w:rPr>
              <w:t>.4</w:t>
            </w:r>
            <w:r>
              <w:rPr>
                <w:rFonts w:hint="eastAsia"/>
                <w:color w:val="FF0000"/>
              </w:rPr>
              <w:t>t/a，颗粒物排放量约为1</w:t>
            </w:r>
            <w:r>
              <w:rPr>
                <w:color w:val="FF0000"/>
              </w:rPr>
              <w:t>2.07</w:t>
            </w:r>
            <w:r>
              <w:rPr>
                <w:rFonts w:hint="eastAsia"/>
                <w:color w:val="FF0000"/>
              </w:rPr>
              <w:t>t/a；本次评价氮氧化物产生情况根据</w:t>
            </w:r>
            <w:r>
              <w:rPr>
                <w:color w:val="FF0000"/>
              </w:rPr>
              <w:t>《</w:t>
            </w:r>
            <w:r>
              <w:rPr>
                <w:rFonts w:hint="eastAsia"/>
                <w:color w:val="FF0000"/>
              </w:rPr>
              <w:t>排放源统计调查产排污核算方法和系数手册</w:t>
            </w:r>
            <w:r>
              <w:rPr>
                <w:color w:val="FF0000"/>
              </w:rPr>
              <w:t>》（</w:t>
            </w:r>
            <w:r>
              <w:rPr>
                <w:rFonts w:hint="eastAsia"/>
                <w:color w:val="FF0000"/>
              </w:rPr>
              <w:t>公告2</w:t>
            </w:r>
            <w:r>
              <w:rPr>
                <w:color w:val="FF0000"/>
              </w:rPr>
              <w:t>021</w:t>
            </w:r>
            <w:r>
              <w:rPr>
                <w:rFonts w:hint="eastAsia"/>
                <w:color w:val="FF0000"/>
              </w:rPr>
              <w:t>年第2</w:t>
            </w:r>
            <w:r>
              <w:rPr>
                <w:color w:val="FF0000"/>
              </w:rPr>
              <w:t>4</w:t>
            </w:r>
            <w:r>
              <w:rPr>
                <w:rFonts w:hint="eastAsia"/>
                <w:color w:val="FF0000"/>
              </w:rPr>
              <w:t>号</w:t>
            </w:r>
            <w:r>
              <w:rPr>
                <w:color w:val="FF0000"/>
              </w:rPr>
              <w:t>）</w:t>
            </w:r>
            <w:r>
              <w:rPr>
                <w:rFonts w:hint="eastAsia"/>
                <w:color w:val="FF0000"/>
              </w:rPr>
              <w:t>中“</w:t>
            </w:r>
            <w:r>
              <w:rPr>
                <w:color w:val="FF0000"/>
              </w:rPr>
              <w:t>4430 工业锅炉（热力生产和供应行业）产污系数表-燃</w:t>
            </w:r>
            <w:r>
              <w:rPr>
                <w:rFonts w:hint="eastAsia"/>
                <w:color w:val="FF0000"/>
              </w:rPr>
              <w:t>煤</w:t>
            </w:r>
            <w:r>
              <w:rPr>
                <w:color w:val="FF0000"/>
              </w:rPr>
              <w:t>工业锅炉</w:t>
            </w:r>
            <w:r>
              <w:rPr>
                <w:rFonts w:hint="eastAsia"/>
                <w:color w:val="FF0000"/>
              </w:rPr>
              <w:t>”计算，耗煤量约2</w:t>
            </w:r>
            <w:r>
              <w:rPr>
                <w:color w:val="FF0000"/>
              </w:rPr>
              <w:t>000</w:t>
            </w:r>
            <w:r>
              <w:rPr>
                <w:rFonts w:hint="eastAsia"/>
                <w:color w:val="FF0000"/>
              </w:rPr>
              <w:t>t/a，氮氧化物产生量约为5</w:t>
            </w:r>
            <w:r>
              <w:rPr>
                <w:color w:val="FF0000"/>
              </w:rPr>
              <w:t>.88</w:t>
            </w:r>
            <w:r>
              <w:rPr>
                <w:rFonts w:hint="eastAsia"/>
                <w:color w:val="FF0000"/>
              </w:rPr>
              <w:t>t/a。因此原有工程总量控制指标为</w:t>
            </w:r>
            <w:r>
              <w:rPr>
                <w:color w:val="FF0000"/>
              </w:rPr>
              <w:t>SO</w:t>
            </w:r>
            <w:r>
              <w:rPr>
                <w:color w:val="FF0000"/>
                <w:vertAlign w:val="subscript"/>
              </w:rPr>
              <w:t>2</w:t>
            </w:r>
            <w:r>
              <w:rPr>
                <w:rFonts w:hint="eastAsia"/>
                <w:color w:val="FF0000"/>
              </w:rPr>
              <w:t>：</w:t>
            </w:r>
            <w:r>
              <w:rPr>
                <w:color w:val="FF0000"/>
              </w:rPr>
              <w:t>8.4</w:t>
            </w:r>
            <w:r>
              <w:rPr>
                <w:rFonts w:hint="eastAsia"/>
                <w:color w:val="FF0000"/>
              </w:rPr>
              <w:t>t/a</w:t>
            </w:r>
            <w:r>
              <w:rPr>
                <w:color w:val="FF0000"/>
              </w:rPr>
              <w:t>、NOx</w:t>
            </w:r>
            <w:r>
              <w:rPr>
                <w:rFonts w:hint="eastAsia"/>
                <w:color w:val="FF0000"/>
              </w:rPr>
              <w:t>：</w:t>
            </w:r>
            <w:r>
              <w:rPr>
                <w:color w:val="FF0000"/>
              </w:rPr>
              <w:t>5.88</w:t>
            </w:r>
            <w:r>
              <w:rPr>
                <w:rFonts w:hint="eastAsia"/>
                <w:color w:val="FF0000"/>
              </w:rPr>
              <w:t>t/a</w:t>
            </w:r>
            <w:r>
              <w:rPr>
                <w:color w:val="FF0000"/>
              </w:rPr>
              <w:t>、</w:t>
            </w:r>
            <w:r>
              <w:rPr>
                <w:rFonts w:hint="eastAsia"/>
                <w:color w:val="FF0000"/>
              </w:rPr>
              <w:t>颗粒物：</w:t>
            </w:r>
            <w:r>
              <w:rPr>
                <w:color w:val="FF0000"/>
              </w:rPr>
              <w:t>12.07</w:t>
            </w:r>
            <w:r>
              <w:rPr>
                <w:rFonts w:hint="eastAsia"/>
                <w:color w:val="FF0000"/>
              </w:rPr>
              <w:t>t/a。</w:t>
            </w:r>
          </w:p>
          <w:p>
            <w:pPr>
              <w:pStyle w:val="77"/>
              <w:spacing w:line="440" w:lineRule="exact"/>
              <w:ind w:firstLine="480"/>
              <w:rPr>
                <w:color w:val="FF0000"/>
              </w:rPr>
            </w:pPr>
            <w:r>
              <w:rPr>
                <w:rFonts w:hint="eastAsia"/>
                <w:color w:val="FF0000"/>
              </w:rPr>
              <w:t>根据工程分析本项目总量控制指标为：</w:t>
            </w:r>
            <w:r>
              <w:rPr>
                <w:color w:val="FF0000"/>
              </w:rPr>
              <w:t>SO</w:t>
            </w:r>
            <w:r>
              <w:rPr>
                <w:color w:val="FF0000"/>
                <w:vertAlign w:val="subscript"/>
              </w:rPr>
              <w:t>2</w:t>
            </w:r>
            <w:r>
              <w:rPr>
                <w:rFonts w:hint="eastAsia"/>
                <w:color w:val="FF0000"/>
              </w:rPr>
              <w:t>：0</w:t>
            </w:r>
            <w:r>
              <w:rPr>
                <w:color w:val="FF0000"/>
              </w:rPr>
              <w:t>.023</w:t>
            </w:r>
            <w:r>
              <w:rPr>
                <w:rFonts w:hint="eastAsia"/>
                <w:color w:val="FF0000"/>
              </w:rPr>
              <w:t>t/a</w:t>
            </w:r>
            <w:r>
              <w:rPr>
                <w:color w:val="FF0000"/>
              </w:rPr>
              <w:t>、NOx</w:t>
            </w:r>
            <w:r>
              <w:rPr>
                <w:rFonts w:hint="eastAsia"/>
                <w:color w:val="FF0000"/>
              </w:rPr>
              <w:t>：0</w:t>
            </w:r>
            <w:r>
              <w:rPr>
                <w:color w:val="FF0000"/>
              </w:rPr>
              <w:t>.615</w:t>
            </w:r>
            <w:r>
              <w:rPr>
                <w:rFonts w:hint="eastAsia"/>
                <w:color w:val="FF0000"/>
              </w:rPr>
              <w:t>t/a</w:t>
            </w:r>
            <w:r>
              <w:rPr>
                <w:color w:val="FF0000"/>
              </w:rPr>
              <w:t>、</w:t>
            </w:r>
            <w:r>
              <w:rPr>
                <w:rFonts w:hint="eastAsia"/>
                <w:color w:val="FF0000"/>
              </w:rPr>
              <w:t>颗粒物：0</w:t>
            </w:r>
            <w:r>
              <w:rPr>
                <w:color w:val="FF0000"/>
              </w:rPr>
              <w:t>.008</w:t>
            </w:r>
            <w:r>
              <w:rPr>
                <w:rFonts w:hint="eastAsia"/>
                <w:color w:val="FF0000"/>
              </w:rPr>
              <w:t>t/a，倍量替代量为</w:t>
            </w:r>
            <w:r>
              <w:rPr>
                <w:color w:val="FF0000"/>
              </w:rPr>
              <w:t>SO</w:t>
            </w:r>
            <w:r>
              <w:rPr>
                <w:color w:val="FF0000"/>
                <w:vertAlign w:val="subscript"/>
              </w:rPr>
              <w:t>2</w:t>
            </w:r>
            <w:r>
              <w:rPr>
                <w:rFonts w:hint="eastAsia"/>
                <w:color w:val="FF0000"/>
              </w:rPr>
              <w:t>：0</w:t>
            </w:r>
            <w:r>
              <w:rPr>
                <w:color w:val="FF0000"/>
              </w:rPr>
              <w:t>.046</w:t>
            </w:r>
            <w:r>
              <w:rPr>
                <w:rFonts w:hint="eastAsia"/>
                <w:color w:val="FF0000"/>
              </w:rPr>
              <w:t>t/a</w:t>
            </w:r>
            <w:r>
              <w:rPr>
                <w:color w:val="FF0000"/>
              </w:rPr>
              <w:t>、NOx</w:t>
            </w:r>
            <w:r>
              <w:rPr>
                <w:rFonts w:hint="eastAsia"/>
                <w:color w:val="FF0000"/>
              </w:rPr>
              <w:t>：</w:t>
            </w:r>
            <w:r>
              <w:rPr>
                <w:color w:val="FF0000"/>
              </w:rPr>
              <w:t>1.23</w:t>
            </w:r>
            <w:r>
              <w:rPr>
                <w:rFonts w:hint="eastAsia"/>
                <w:color w:val="FF0000"/>
              </w:rPr>
              <w:t>t/a</w:t>
            </w:r>
            <w:r>
              <w:rPr>
                <w:color w:val="FF0000"/>
              </w:rPr>
              <w:t>、</w:t>
            </w:r>
            <w:r>
              <w:rPr>
                <w:rFonts w:hint="eastAsia"/>
                <w:color w:val="FF0000"/>
              </w:rPr>
              <w:t>颗粒物：0</w:t>
            </w:r>
            <w:r>
              <w:rPr>
                <w:color w:val="FF0000"/>
              </w:rPr>
              <w:t>.016</w:t>
            </w:r>
            <w:r>
              <w:rPr>
                <w:rFonts w:hint="eastAsia"/>
                <w:color w:val="FF0000"/>
              </w:rPr>
              <w:t>t/a。从原有工程中替代。</w:t>
            </w:r>
            <w:bookmarkEnd w:id="24"/>
          </w:p>
          <w:p>
            <w:pPr>
              <w:pStyle w:val="77"/>
              <w:spacing w:line="440" w:lineRule="exact"/>
              <w:ind w:firstLine="480"/>
            </w:pPr>
          </w:p>
        </w:tc>
      </w:tr>
    </w:tbl>
    <w:p>
      <w:pPr>
        <w:pStyle w:val="40"/>
        <w:jc w:val="center"/>
        <w:outlineLvl w:val="0"/>
        <w:rPr>
          <w:rFonts w:ascii="Times New Roman" w:hAnsi="Times New Roman" w:eastAsia="黑体"/>
          <w:snapToGrid w:val="0"/>
          <w:sz w:val="30"/>
          <w:szCs w:val="30"/>
        </w:rPr>
      </w:pPr>
      <w:r>
        <w:rPr>
          <w:rFonts w:ascii="Times New Roman" w:hAnsi="Times New Roman" w:eastAsia="黑体"/>
          <w:snapToGrid w:val="0"/>
          <w:sz w:val="36"/>
          <w:szCs w:val="36"/>
        </w:rPr>
        <w:br w:type="page"/>
      </w:r>
      <w:r>
        <w:rPr>
          <w:rFonts w:ascii="Times New Roman" w:hAnsi="Times New Roman" w:eastAsia="黑体"/>
          <w:snapToGrid w:val="0"/>
          <w:sz w:val="30"/>
          <w:szCs w:val="30"/>
        </w:rPr>
        <w:t>四、主要环境影响和保护措施</w:t>
      </w:r>
    </w:p>
    <w:tbl>
      <w:tblPr>
        <w:tblStyle w:val="46"/>
        <w:tblW w:w="96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4"/>
        <w:gridCol w:w="9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4" w:type="dxa"/>
            <w:tcMar>
              <w:left w:w="28" w:type="dxa"/>
              <w:right w:w="28" w:type="dxa"/>
            </w:tcMar>
            <w:vAlign w:val="center"/>
          </w:tcPr>
          <w:p>
            <w:pPr>
              <w:pStyle w:val="40"/>
              <w:adjustRightInd w:val="0"/>
              <w:snapToGrid w:val="0"/>
              <w:spacing w:before="0" w:beforeAutospacing="0" w:after="0" w:afterAutospacing="0"/>
              <w:jc w:val="center"/>
              <w:rPr>
                <w:rFonts w:ascii="Times New Roman" w:hAnsi="Times New Roman"/>
                <w:kern w:val="2"/>
                <w:szCs w:val="21"/>
              </w:rPr>
            </w:pPr>
            <w:r>
              <w:rPr>
                <w:rFonts w:ascii="Times New Roman" w:hAnsi="Times New Roman"/>
                <w:kern w:val="2"/>
                <w:szCs w:val="21"/>
              </w:rPr>
              <w:t>施工</w:t>
            </w:r>
          </w:p>
          <w:p>
            <w:pPr>
              <w:pStyle w:val="40"/>
              <w:adjustRightInd w:val="0"/>
              <w:snapToGrid w:val="0"/>
              <w:spacing w:before="0" w:beforeAutospacing="0" w:after="0" w:afterAutospacing="0"/>
              <w:jc w:val="center"/>
              <w:rPr>
                <w:rFonts w:ascii="Times New Roman" w:hAnsi="Times New Roman"/>
                <w:kern w:val="2"/>
                <w:szCs w:val="21"/>
              </w:rPr>
            </w:pPr>
            <w:r>
              <w:rPr>
                <w:rFonts w:ascii="Times New Roman" w:hAnsi="Times New Roman"/>
                <w:kern w:val="2"/>
                <w:szCs w:val="21"/>
              </w:rPr>
              <w:t>期环</w:t>
            </w:r>
          </w:p>
          <w:p>
            <w:pPr>
              <w:pStyle w:val="40"/>
              <w:adjustRightInd w:val="0"/>
              <w:snapToGrid w:val="0"/>
              <w:spacing w:before="0" w:beforeAutospacing="0" w:after="0" w:afterAutospacing="0"/>
              <w:jc w:val="center"/>
              <w:rPr>
                <w:rFonts w:ascii="Times New Roman" w:hAnsi="Times New Roman"/>
                <w:kern w:val="2"/>
                <w:szCs w:val="21"/>
              </w:rPr>
            </w:pPr>
            <w:r>
              <w:rPr>
                <w:rFonts w:ascii="Times New Roman" w:hAnsi="Times New Roman"/>
                <w:kern w:val="2"/>
                <w:szCs w:val="21"/>
              </w:rPr>
              <w:t>境保</w:t>
            </w:r>
          </w:p>
          <w:p>
            <w:pPr>
              <w:pStyle w:val="40"/>
              <w:adjustRightInd w:val="0"/>
              <w:snapToGrid w:val="0"/>
              <w:spacing w:before="0" w:beforeAutospacing="0" w:after="0" w:afterAutospacing="0"/>
              <w:jc w:val="center"/>
              <w:rPr>
                <w:rFonts w:ascii="Times New Roman" w:hAnsi="Times New Roman"/>
                <w:kern w:val="2"/>
                <w:szCs w:val="21"/>
              </w:rPr>
            </w:pPr>
            <w:r>
              <w:rPr>
                <w:rFonts w:ascii="Times New Roman" w:hAnsi="Times New Roman"/>
                <w:kern w:val="2"/>
                <w:szCs w:val="21"/>
              </w:rPr>
              <w:t>护措</w:t>
            </w:r>
          </w:p>
          <w:p>
            <w:pPr>
              <w:pStyle w:val="40"/>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Cs w:val="21"/>
              </w:rPr>
              <w:t>施</w:t>
            </w:r>
          </w:p>
        </w:tc>
        <w:tc>
          <w:tcPr>
            <w:tcW w:w="9154" w:type="dxa"/>
            <w:vAlign w:val="center"/>
          </w:tcPr>
          <w:p>
            <w:pPr>
              <w:pStyle w:val="77"/>
              <w:ind w:firstLine="480"/>
            </w:pPr>
            <w:r>
              <w:rPr>
                <w:rFonts w:hint="eastAsia"/>
              </w:rPr>
              <w:t>项目施工期已结束，本次评价不再赘述。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4" w:type="dxa"/>
            <w:tcMar>
              <w:left w:w="28" w:type="dxa"/>
              <w:right w:w="28" w:type="dxa"/>
            </w:tcMar>
            <w:vAlign w:val="center"/>
          </w:tcPr>
          <w:p>
            <w:pPr>
              <w:adjustRightInd w:val="0"/>
              <w:snapToGrid w:val="0"/>
              <w:jc w:val="center"/>
              <w:rPr>
                <w:bCs/>
                <w:sz w:val="24"/>
                <w:szCs w:val="21"/>
              </w:rPr>
            </w:pPr>
            <w:r>
              <w:rPr>
                <w:bCs/>
                <w:sz w:val="24"/>
                <w:szCs w:val="21"/>
              </w:rPr>
              <w:t>运营</w:t>
            </w:r>
          </w:p>
          <w:p>
            <w:pPr>
              <w:adjustRightInd w:val="0"/>
              <w:snapToGrid w:val="0"/>
              <w:jc w:val="center"/>
              <w:rPr>
                <w:bCs/>
                <w:sz w:val="24"/>
                <w:szCs w:val="21"/>
              </w:rPr>
            </w:pPr>
            <w:r>
              <w:rPr>
                <w:bCs/>
                <w:sz w:val="24"/>
                <w:szCs w:val="21"/>
              </w:rPr>
              <w:t>期环</w:t>
            </w:r>
          </w:p>
          <w:p>
            <w:pPr>
              <w:adjustRightInd w:val="0"/>
              <w:snapToGrid w:val="0"/>
              <w:jc w:val="center"/>
              <w:rPr>
                <w:bCs/>
                <w:sz w:val="24"/>
                <w:szCs w:val="21"/>
              </w:rPr>
            </w:pPr>
            <w:r>
              <w:rPr>
                <w:bCs/>
                <w:sz w:val="24"/>
                <w:szCs w:val="21"/>
              </w:rPr>
              <w:t>境影</w:t>
            </w:r>
          </w:p>
          <w:p>
            <w:pPr>
              <w:adjustRightInd w:val="0"/>
              <w:snapToGrid w:val="0"/>
              <w:jc w:val="center"/>
              <w:rPr>
                <w:bCs/>
                <w:sz w:val="24"/>
                <w:szCs w:val="21"/>
              </w:rPr>
            </w:pPr>
            <w:r>
              <w:rPr>
                <w:bCs/>
                <w:sz w:val="24"/>
                <w:szCs w:val="21"/>
              </w:rPr>
              <w:t>响和</w:t>
            </w:r>
          </w:p>
          <w:p>
            <w:pPr>
              <w:adjustRightInd w:val="0"/>
              <w:snapToGrid w:val="0"/>
              <w:jc w:val="center"/>
              <w:rPr>
                <w:bCs/>
                <w:sz w:val="24"/>
                <w:szCs w:val="21"/>
              </w:rPr>
            </w:pPr>
            <w:r>
              <w:rPr>
                <w:bCs/>
                <w:sz w:val="24"/>
                <w:szCs w:val="21"/>
              </w:rPr>
              <w:t>保护</w:t>
            </w:r>
          </w:p>
          <w:p>
            <w:pPr>
              <w:adjustRightInd w:val="0"/>
              <w:snapToGrid w:val="0"/>
              <w:jc w:val="center"/>
              <w:rPr>
                <w:bCs/>
                <w:szCs w:val="21"/>
              </w:rPr>
            </w:pPr>
            <w:r>
              <w:rPr>
                <w:bCs/>
                <w:sz w:val="24"/>
                <w:szCs w:val="21"/>
              </w:rPr>
              <w:t>措施</w:t>
            </w:r>
          </w:p>
        </w:tc>
        <w:tc>
          <w:tcPr>
            <w:tcW w:w="9154" w:type="dxa"/>
            <w:vAlign w:val="center"/>
          </w:tcPr>
          <w:p>
            <w:pPr>
              <w:pStyle w:val="40"/>
              <w:spacing w:before="0" w:beforeAutospacing="0" w:after="0" w:afterAutospacing="0" w:line="460" w:lineRule="exact"/>
              <w:ind w:firstLine="482" w:firstLineChars="200"/>
              <w:outlineLvl w:val="0"/>
              <w:rPr>
                <w:rFonts w:ascii="Times New Roman" w:hAnsi="Times New Roman"/>
                <w:b/>
                <w:bCs/>
              </w:rPr>
            </w:pPr>
            <w:bookmarkStart w:id="25" w:name="_Toc22787"/>
            <w:r>
              <w:rPr>
                <w:rFonts w:hint="eastAsia" w:ascii="Times New Roman" w:hAnsi="Times New Roman"/>
                <w:b/>
                <w:bCs/>
              </w:rPr>
              <w:t>一</w:t>
            </w:r>
            <w:r>
              <w:rPr>
                <w:rFonts w:ascii="Times New Roman" w:hAnsi="Times New Roman"/>
                <w:b/>
                <w:bCs/>
              </w:rPr>
              <w:t>、</w:t>
            </w:r>
            <w:bookmarkEnd w:id="25"/>
            <w:r>
              <w:rPr>
                <w:rFonts w:hint="eastAsia" w:ascii="Times New Roman" w:hAnsi="Times New Roman"/>
                <w:b/>
                <w:bCs/>
              </w:rPr>
              <w:t>废气</w:t>
            </w:r>
          </w:p>
          <w:p>
            <w:pPr>
              <w:pStyle w:val="77"/>
              <w:spacing w:line="460" w:lineRule="exact"/>
              <w:ind w:firstLine="480"/>
            </w:pPr>
            <w:r>
              <w:t>1</w:t>
            </w:r>
            <w:r>
              <w:rPr>
                <w:rFonts w:hint="eastAsia"/>
              </w:rPr>
              <w:t>、废气源强</w:t>
            </w:r>
          </w:p>
          <w:p>
            <w:pPr>
              <w:pStyle w:val="77"/>
              <w:spacing w:line="460" w:lineRule="exact"/>
              <w:ind w:firstLine="480"/>
            </w:pPr>
            <w:r>
              <w:rPr>
                <w:rFonts w:hint="eastAsia"/>
              </w:rPr>
              <w:t>（1）锅炉烟气</w:t>
            </w:r>
          </w:p>
          <w:p>
            <w:pPr>
              <w:pStyle w:val="77"/>
              <w:spacing w:line="460" w:lineRule="exact"/>
              <w:ind w:firstLine="480"/>
            </w:pPr>
            <w:r>
              <w:rPr>
                <w:rFonts w:hint="eastAsia"/>
              </w:rPr>
              <w:t>本项目锅炉采取低氮燃烧+烟气再循环技术，锅炉运行时天然气燃烧会产生二氧化硫、氮氧化物和颗粒物。</w:t>
            </w:r>
          </w:p>
          <w:p>
            <w:pPr>
              <w:tabs>
                <w:tab w:val="center" w:pos="4736"/>
              </w:tabs>
              <w:spacing w:line="460" w:lineRule="exact"/>
              <w:ind w:firstLine="480" w:firstLineChars="200"/>
              <w:rPr>
                <w:color w:val="4F81BD" w:themeColor="accent1"/>
                <w:sz w:val="24"/>
                <w14:textFill>
                  <w14:solidFill>
                    <w14:schemeClr w14:val="accent1"/>
                  </w14:solidFill>
                </w14:textFill>
              </w:rPr>
            </w:pPr>
            <w:r>
              <w:rPr>
                <w:color w:val="4F81BD" w:themeColor="accent1"/>
                <w:sz w:val="24"/>
                <w14:textFill>
                  <w14:solidFill>
                    <w14:schemeClr w14:val="accent1"/>
                  </w14:solidFill>
                </w14:textFill>
              </w:rPr>
              <w:t>根据</w:t>
            </w:r>
            <w:r>
              <w:rPr>
                <w:rFonts w:hint="eastAsia"/>
                <w:color w:val="4F81BD" w:themeColor="accent1"/>
                <w:sz w:val="24"/>
                <w14:textFill>
                  <w14:solidFill>
                    <w14:schemeClr w14:val="accent1"/>
                  </w14:solidFill>
                </w14:textFill>
              </w:rPr>
              <w:t xml:space="preserve">《污染源源强核算技术指南 </w:t>
            </w:r>
            <w:r>
              <w:rPr>
                <w:color w:val="4F81BD" w:themeColor="accent1"/>
                <w:sz w:val="24"/>
                <w14:textFill>
                  <w14:solidFill>
                    <w14:schemeClr w14:val="accent1"/>
                  </w14:solidFill>
                </w14:textFill>
              </w:rPr>
              <w:t xml:space="preserve"> </w:t>
            </w:r>
            <w:r>
              <w:rPr>
                <w:rFonts w:hint="eastAsia"/>
                <w:color w:val="4F81BD" w:themeColor="accent1"/>
                <w:sz w:val="24"/>
                <w14:textFill>
                  <w14:solidFill>
                    <w14:schemeClr w14:val="accent1"/>
                  </w14:solidFill>
                </w14:textFill>
              </w:rPr>
              <w:t>锅炉》（H</w:t>
            </w:r>
            <w:r>
              <w:rPr>
                <w:color w:val="4F81BD" w:themeColor="accent1"/>
                <w:sz w:val="24"/>
                <w14:textFill>
                  <w14:solidFill>
                    <w14:schemeClr w14:val="accent1"/>
                  </w14:solidFill>
                </w14:textFill>
              </w:rPr>
              <w:t>J 991-2018</w:t>
            </w:r>
            <w:r>
              <w:rPr>
                <w:rFonts w:hint="eastAsia"/>
                <w:color w:val="4F81BD" w:themeColor="accent1"/>
                <w:sz w:val="24"/>
                <w14:textFill>
                  <w14:solidFill>
                    <w14:schemeClr w14:val="accent1"/>
                  </w14:solidFill>
                </w14:textFill>
              </w:rPr>
              <w:t>），现有工程污染源，优先采用实测法，本项目燃气锅炉于2</w:t>
            </w:r>
            <w:r>
              <w:rPr>
                <w:color w:val="4F81BD" w:themeColor="accent1"/>
                <w:sz w:val="24"/>
                <w14:textFill>
                  <w14:solidFill>
                    <w14:schemeClr w14:val="accent1"/>
                  </w14:solidFill>
                </w14:textFill>
              </w:rPr>
              <w:t>018</w:t>
            </w:r>
            <w:r>
              <w:rPr>
                <w:rFonts w:hint="eastAsia"/>
                <w:color w:val="4F81BD" w:themeColor="accent1"/>
                <w:sz w:val="24"/>
                <w14:textFill>
                  <w14:solidFill>
                    <w14:schemeClr w14:val="accent1"/>
                  </w14:solidFill>
                </w14:textFill>
              </w:rPr>
              <w:t>年9月建成运行，故本次采用企业例行监测数据，其中颗粒物、二氧化硫及烟气黑度采用企业2</w:t>
            </w:r>
            <w:r>
              <w:rPr>
                <w:color w:val="4F81BD" w:themeColor="accent1"/>
                <w:sz w:val="24"/>
                <w14:textFill>
                  <w14:solidFill>
                    <w14:schemeClr w14:val="accent1"/>
                  </w14:solidFill>
                </w14:textFill>
              </w:rPr>
              <w:t>023</w:t>
            </w:r>
            <w:r>
              <w:rPr>
                <w:rFonts w:hint="eastAsia"/>
                <w:color w:val="4F81BD" w:themeColor="accent1"/>
                <w:sz w:val="24"/>
                <w14:textFill>
                  <w14:solidFill>
                    <w14:schemeClr w14:val="accent1"/>
                  </w14:solidFill>
                </w14:textFill>
              </w:rPr>
              <w:t>年1月9日的监测数据，氮氧化物采用2</w:t>
            </w:r>
            <w:r>
              <w:rPr>
                <w:color w:val="4F81BD" w:themeColor="accent1"/>
                <w:sz w:val="24"/>
                <w14:textFill>
                  <w14:solidFill>
                    <w14:schemeClr w14:val="accent1"/>
                  </w14:solidFill>
                </w14:textFill>
              </w:rPr>
              <w:t>023</w:t>
            </w:r>
            <w:r>
              <w:rPr>
                <w:rFonts w:hint="eastAsia"/>
                <w:color w:val="4F81BD" w:themeColor="accent1"/>
                <w:sz w:val="24"/>
                <w14:textFill>
                  <w14:solidFill>
                    <w14:schemeClr w14:val="accent1"/>
                  </w14:solidFill>
                </w14:textFill>
              </w:rPr>
              <w:t>年</w:t>
            </w:r>
            <w:r>
              <w:rPr>
                <w:color w:val="4F81BD" w:themeColor="accent1"/>
                <w:sz w:val="24"/>
                <w14:textFill>
                  <w14:solidFill>
                    <w14:schemeClr w14:val="accent1"/>
                  </w14:solidFill>
                </w14:textFill>
              </w:rPr>
              <w:t>10</w:t>
            </w:r>
            <w:r>
              <w:rPr>
                <w:rFonts w:hint="eastAsia"/>
                <w:color w:val="4F81BD" w:themeColor="accent1"/>
                <w:sz w:val="24"/>
                <w14:textFill>
                  <w14:solidFill>
                    <w14:schemeClr w14:val="accent1"/>
                  </w14:solidFill>
                </w14:textFill>
              </w:rPr>
              <w:t>月监测数据，详见下表</w:t>
            </w:r>
            <w:r>
              <w:rPr>
                <w:color w:val="4F81BD" w:themeColor="accent1"/>
                <w:sz w:val="24"/>
                <w14:textFill>
                  <w14:solidFill>
                    <w14:schemeClr w14:val="accent1"/>
                  </w14:solidFill>
                </w14:textFill>
              </w:rPr>
              <w:t>。</w:t>
            </w:r>
          </w:p>
          <w:p>
            <w:pPr>
              <w:pStyle w:val="106"/>
              <w:rPr>
                <w:color w:val="4F81BD" w:themeColor="accent1"/>
                <w14:textFill>
                  <w14:solidFill>
                    <w14:schemeClr w14:val="accent1"/>
                  </w14:solidFill>
                </w14:textFill>
              </w:rPr>
            </w:pPr>
            <w:bookmarkStart w:id="26" w:name="_Hlk147827575"/>
            <w:r>
              <w:rPr>
                <w:rFonts w:hint="eastAsia"/>
                <w:color w:val="4F81BD" w:themeColor="accent1"/>
                <w14:textFill>
                  <w14:solidFill>
                    <w14:schemeClr w14:val="accent1"/>
                  </w14:solidFill>
                </w14:textFill>
              </w:rPr>
              <w:t>表4-</w:t>
            </w:r>
            <w:r>
              <w:rPr>
                <w:color w:val="4F81BD" w:themeColor="accent1"/>
                <w14:textFill>
                  <w14:solidFill>
                    <w14:schemeClr w14:val="accent1"/>
                  </w14:solidFill>
                </w14:textFill>
              </w:rPr>
              <w:t>1</w:t>
            </w:r>
            <w:r>
              <w:rPr>
                <w:rFonts w:hint="eastAsia"/>
                <w:color w:val="4F81BD" w:themeColor="accent1"/>
                <w14:textFill>
                  <w14:solidFill>
                    <w14:schemeClr w14:val="accent1"/>
                  </w14:solidFill>
                </w14:textFill>
              </w:rPr>
              <w:t xml:space="preserve">                    锅炉烟气例行监测结果一览表</w:t>
            </w:r>
          </w:p>
          <w:tbl>
            <w:tblPr>
              <w:tblStyle w:val="46"/>
              <w:tblW w:w="893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03"/>
              <w:gridCol w:w="1632"/>
              <w:gridCol w:w="1242"/>
              <w:gridCol w:w="1437"/>
              <w:gridCol w:w="1437"/>
              <w:gridCol w:w="14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restart"/>
                  <w:tcBorders>
                    <w:top w:val="single" w:color="auto" w:sz="12" w:space="0"/>
                  </w:tcBorders>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监测点位</w:t>
                  </w:r>
                </w:p>
              </w:tc>
              <w:tc>
                <w:tcPr>
                  <w:tcW w:w="2635" w:type="dxa"/>
                  <w:gridSpan w:val="2"/>
                  <w:vMerge w:val="restart"/>
                  <w:tcBorders>
                    <w:top w:val="single" w:color="auto" w:sz="12" w:space="0"/>
                  </w:tcBorders>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监测</w:t>
                  </w:r>
                  <w:r>
                    <w:rPr>
                      <w:color w:val="4F81BD" w:themeColor="accent1"/>
                      <w14:textFill>
                        <w14:solidFill>
                          <w14:schemeClr w14:val="accent1"/>
                        </w14:solidFill>
                      </w14:textFill>
                    </w:rPr>
                    <w:t>项目</w:t>
                  </w:r>
                </w:p>
              </w:tc>
              <w:tc>
                <w:tcPr>
                  <w:tcW w:w="1242" w:type="dxa"/>
                  <w:vMerge w:val="restart"/>
                  <w:tcBorders>
                    <w:top w:val="single" w:color="auto" w:sz="12" w:space="0"/>
                  </w:tcBorders>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单位</w:t>
                  </w:r>
                </w:p>
              </w:tc>
              <w:tc>
                <w:tcPr>
                  <w:tcW w:w="4313" w:type="dxa"/>
                  <w:gridSpan w:val="3"/>
                  <w:tcBorders>
                    <w:top w:val="single" w:color="auto" w:sz="12" w:space="0"/>
                  </w:tcBorders>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检测结果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2635" w:type="dxa"/>
                  <w:gridSpan w:val="2"/>
                  <w:vMerge w:val="continue"/>
                  <w:vAlign w:val="center"/>
                </w:tcPr>
                <w:p>
                  <w:pPr>
                    <w:pStyle w:val="284"/>
                    <w:rPr>
                      <w:color w:val="4F81BD" w:themeColor="accent1"/>
                      <w14:textFill>
                        <w14:solidFill>
                          <w14:schemeClr w14:val="accent1"/>
                        </w14:solidFill>
                      </w14:textFill>
                    </w:rPr>
                  </w:pPr>
                </w:p>
              </w:tc>
              <w:tc>
                <w:tcPr>
                  <w:tcW w:w="1242" w:type="dxa"/>
                  <w:vMerge w:val="continue"/>
                  <w:vAlign w:val="center"/>
                </w:tcPr>
                <w:p>
                  <w:pPr>
                    <w:pStyle w:val="284"/>
                    <w:rPr>
                      <w:color w:val="4F81BD" w:themeColor="accent1"/>
                      <w14:textFill>
                        <w14:solidFill>
                          <w14:schemeClr w14:val="accent1"/>
                        </w14:solidFill>
                      </w14:textFill>
                    </w:rPr>
                  </w:pPr>
                </w:p>
              </w:tc>
              <w:tc>
                <w:tcPr>
                  <w:tcW w:w="1437"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第一次</w:t>
                  </w:r>
                </w:p>
              </w:tc>
              <w:tc>
                <w:tcPr>
                  <w:tcW w:w="1437"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第二次</w:t>
                  </w:r>
                </w:p>
              </w:tc>
              <w:tc>
                <w:tcPr>
                  <w:tcW w:w="1439"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第三次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restart"/>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4t/h燃气锅炉排放口</w:t>
                  </w:r>
                </w:p>
              </w:tc>
              <w:tc>
                <w:tcPr>
                  <w:tcW w:w="2635" w:type="dxa"/>
                  <w:gridSpan w:val="2"/>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标态干废气量</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Nm</w:t>
                  </w:r>
                  <w:r>
                    <w:rPr>
                      <w:rFonts w:hint="eastAsia"/>
                      <w:color w:val="4F81BD" w:themeColor="accent1"/>
                      <w:vertAlign w:val="superscript"/>
                      <w14:textFill>
                        <w14:solidFill>
                          <w14:schemeClr w14:val="accent1"/>
                        </w14:solidFill>
                      </w14:textFill>
                    </w:rPr>
                    <w:t>3</w:t>
                  </w:r>
                  <w:r>
                    <w:rPr>
                      <w:rFonts w:hint="eastAsia"/>
                      <w:color w:val="4F81BD" w:themeColor="accent1"/>
                      <w14:textFill>
                        <w14:solidFill>
                          <w14:schemeClr w14:val="accent1"/>
                        </w14:solidFill>
                      </w14:textFill>
                    </w:rPr>
                    <w:t>/h</w:t>
                  </w:r>
                </w:p>
              </w:tc>
              <w:tc>
                <w:tcPr>
                  <w:tcW w:w="1437"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3</w:t>
                  </w:r>
                  <w:r>
                    <w:rPr>
                      <w:color w:val="4F81BD" w:themeColor="accent1"/>
                      <w14:textFill>
                        <w14:solidFill>
                          <w14:schemeClr w14:val="accent1"/>
                        </w14:solidFill>
                      </w14:textFill>
                    </w:rPr>
                    <w:t>63</w:t>
                  </w:r>
                </w:p>
              </w:tc>
              <w:tc>
                <w:tcPr>
                  <w:tcW w:w="1437"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4</w:t>
                  </w:r>
                  <w:r>
                    <w:rPr>
                      <w:color w:val="4F81BD" w:themeColor="accent1"/>
                      <w14:textFill>
                        <w14:solidFill>
                          <w14:schemeClr w14:val="accent1"/>
                        </w14:solidFill>
                      </w14:textFill>
                    </w:rPr>
                    <w:t>14</w:t>
                  </w:r>
                </w:p>
              </w:tc>
              <w:tc>
                <w:tcPr>
                  <w:tcW w:w="1439"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3</w:t>
                  </w:r>
                  <w:r>
                    <w:rPr>
                      <w:color w:val="4F81BD" w:themeColor="accent1"/>
                      <w14:textFill>
                        <w14:solidFill>
                          <w14:schemeClr w14:val="accent1"/>
                        </w14:solidFill>
                      </w14:textFill>
                    </w:rPr>
                    <w:t>79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1003" w:type="dxa"/>
                  <w:vMerge w:val="restart"/>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颗粒物</w:t>
                  </w:r>
                </w:p>
              </w:tc>
              <w:tc>
                <w:tcPr>
                  <w:tcW w:w="163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实测排放浓度</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mg/m</w:t>
                  </w:r>
                  <w:r>
                    <w:rPr>
                      <w:rFonts w:hint="eastAsia"/>
                      <w:color w:val="4F81BD" w:themeColor="accent1"/>
                      <w:vertAlign w:val="superscript"/>
                      <w14:textFill>
                        <w14:solidFill>
                          <w14:schemeClr w14:val="accent1"/>
                        </w14:solidFill>
                      </w14:textFill>
                    </w:rPr>
                    <w:t>3</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4</w:t>
                  </w:r>
                  <w:r>
                    <w:rPr>
                      <w:color w:val="4F81BD" w:themeColor="accent1"/>
                      <w:spacing w:val="-5"/>
                      <w:szCs w:val="21"/>
                      <w14:textFill>
                        <w14:solidFill>
                          <w14:schemeClr w14:val="accent1"/>
                        </w14:solidFill>
                      </w14:textFill>
                    </w:rPr>
                    <w:t>.4</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4</w:t>
                  </w:r>
                  <w:r>
                    <w:rPr>
                      <w:color w:val="4F81BD" w:themeColor="accent1"/>
                      <w:spacing w:val="-5"/>
                      <w:szCs w:val="21"/>
                      <w14:textFill>
                        <w14:solidFill>
                          <w14:schemeClr w14:val="accent1"/>
                        </w14:solidFill>
                      </w14:textFill>
                    </w:rPr>
                    <w:t>.5</w:t>
                  </w:r>
                </w:p>
              </w:tc>
              <w:tc>
                <w:tcPr>
                  <w:tcW w:w="1439"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4</w:t>
                  </w:r>
                  <w:r>
                    <w:rPr>
                      <w:color w:val="4F81BD" w:themeColor="accent1"/>
                      <w:spacing w:val="-5"/>
                      <w:szCs w:val="21"/>
                      <w14:textFill>
                        <w14:solidFill>
                          <w14:schemeClr w14:val="accent1"/>
                        </w14:solidFill>
                      </w14:textFill>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1003" w:type="dxa"/>
                  <w:vMerge w:val="continue"/>
                  <w:vAlign w:val="center"/>
                </w:tcPr>
                <w:p>
                  <w:pPr>
                    <w:pStyle w:val="284"/>
                    <w:rPr>
                      <w:color w:val="4F81BD" w:themeColor="accent1"/>
                      <w14:textFill>
                        <w14:solidFill>
                          <w14:schemeClr w14:val="accent1"/>
                        </w14:solidFill>
                      </w14:textFill>
                    </w:rPr>
                  </w:pPr>
                </w:p>
              </w:tc>
              <w:tc>
                <w:tcPr>
                  <w:tcW w:w="163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折算排放浓度</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mg/m</w:t>
                  </w:r>
                  <w:r>
                    <w:rPr>
                      <w:rFonts w:hint="eastAsia"/>
                      <w:color w:val="4F81BD" w:themeColor="accent1"/>
                      <w:vertAlign w:val="superscript"/>
                      <w14:textFill>
                        <w14:solidFill>
                          <w14:schemeClr w14:val="accent1"/>
                        </w14:solidFill>
                      </w14:textFill>
                    </w:rPr>
                    <w:t>3</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4</w:t>
                  </w:r>
                  <w:r>
                    <w:rPr>
                      <w:color w:val="4F81BD" w:themeColor="accent1"/>
                      <w:spacing w:val="-5"/>
                      <w:szCs w:val="21"/>
                      <w14:textFill>
                        <w14:solidFill>
                          <w14:schemeClr w14:val="accent1"/>
                        </w14:solidFill>
                      </w14:textFill>
                    </w:rPr>
                    <w:t>.5</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4</w:t>
                  </w:r>
                  <w:r>
                    <w:rPr>
                      <w:color w:val="4F81BD" w:themeColor="accent1"/>
                      <w:spacing w:val="-5"/>
                      <w:szCs w:val="21"/>
                      <w14:textFill>
                        <w14:solidFill>
                          <w14:schemeClr w14:val="accent1"/>
                        </w14:solidFill>
                      </w14:textFill>
                    </w:rPr>
                    <w:t>.8</w:t>
                  </w:r>
                </w:p>
              </w:tc>
              <w:tc>
                <w:tcPr>
                  <w:tcW w:w="1439"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4</w:t>
                  </w:r>
                  <w:r>
                    <w:rPr>
                      <w:color w:val="4F81BD" w:themeColor="accent1"/>
                      <w:spacing w:val="-5"/>
                      <w:szCs w:val="21"/>
                      <w14:textFill>
                        <w14:solidFill>
                          <w14:schemeClr w14:val="accent1"/>
                        </w14:solidFill>
                      </w14:textFill>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1003" w:type="dxa"/>
                  <w:vMerge w:val="continue"/>
                  <w:vAlign w:val="center"/>
                </w:tcPr>
                <w:p>
                  <w:pPr>
                    <w:pStyle w:val="284"/>
                    <w:rPr>
                      <w:color w:val="4F81BD" w:themeColor="accent1"/>
                      <w14:textFill>
                        <w14:solidFill>
                          <w14:schemeClr w14:val="accent1"/>
                        </w14:solidFill>
                      </w14:textFill>
                    </w:rPr>
                  </w:pPr>
                </w:p>
              </w:tc>
              <w:tc>
                <w:tcPr>
                  <w:tcW w:w="163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速率</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kg/h</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0</w:t>
                  </w:r>
                  <w:r>
                    <w:rPr>
                      <w:color w:val="4F81BD" w:themeColor="accent1"/>
                      <w:spacing w:val="-5"/>
                      <w:szCs w:val="21"/>
                      <w14:textFill>
                        <w14:solidFill>
                          <w14:schemeClr w14:val="accent1"/>
                        </w14:solidFill>
                      </w14:textFill>
                    </w:rPr>
                    <w:t>.0016</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0</w:t>
                  </w:r>
                  <w:r>
                    <w:rPr>
                      <w:color w:val="4F81BD" w:themeColor="accent1"/>
                      <w:spacing w:val="-5"/>
                      <w:szCs w:val="21"/>
                      <w14:textFill>
                        <w14:solidFill>
                          <w14:schemeClr w14:val="accent1"/>
                        </w14:solidFill>
                      </w14:textFill>
                    </w:rPr>
                    <w:t>.00186</w:t>
                  </w:r>
                </w:p>
              </w:tc>
              <w:tc>
                <w:tcPr>
                  <w:tcW w:w="1439"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0</w:t>
                  </w:r>
                  <w:r>
                    <w:rPr>
                      <w:color w:val="4F81BD" w:themeColor="accent1"/>
                      <w:spacing w:val="-5"/>
                      <w:szCs w:val="21"/>
                      <w14:textFill>
                        <w14:solidFill>
                          <w14:schemeClr w14:val="accent1"/>
                        </w14:solidFill>
                      </w14:textFill>
                    </w:rPr>
                    <w:t>.00171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1003" w:type="dxa"/>
                  <w:vMerge w:val="restart"/>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二氧化硫</w:t>
                  </w:r>
                </w:p>
              </w:tc>
              <w:tc>
                <w:tcPr>
                  <w:tcW w:w="163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实测排放浓度</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mg/m</w:t>
                  </w:r>
                  <w:r>
                    <w:rPr>
                      <w:rFonts w:hint="eastAsia"/>
                      <w:color w:val="4F81BD" w:themeColor="accent1"/>
                      <w:vertAlign w:val="superscript"/>
                      <w14:textFill>
                        <w14:solidFill>
                          <w14:schemeClr w14:val="accent1"/>
                        </w14:solidFill>
                      </w14:textFill>
                    </w:rPr>
                    <w:t>3</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w:t>
                  </w:r>
                  <w:r>
                    <w:rPr>
                      <w:color w:val="4F81BD" w:themeColor="accent1"/>
                      <w:spacing w:val="-5"/>
                      <w:szCs w:val="21"/>
                      <w14:textFill>
                        <w14:solidFill>
                          <w14:schemeClr w14:val="accent1"/>
                        </w14:solidFill>
                      </w14:textFill>
                    </w:rPr>
                    <w:t>2</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w:t>
                  </w:r>
                  <w:r>
                    <w:rPr>
                      <w:color w:val="4F81BD" w:themeColor="accent1"/>
                      <w:spacing w:val="-5"/>
                      <w:szCs w:val="21"/>
                      <w14:textFill>
                        <w14:solidFill>
                          <w14:schemeClr w14:val="accent1"/>
                        </w14:solidFill>
                      </w14:textFill>
                    </w:rPr>
                    <w:t>2</w:t>
                  </w:r>
                </w:p>
              </w:tc>
              <w:tc>
                <w:tcPr>
                  <w:tcW w:w="1439"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w:t>
                  </w:r>
                  <w:r>
                    <w:rPr>
                      <w:color w:val="4F81BD" w:themeColor="accent1"/>
                      <w:spacing w:val="-5"/>
                      <w:szCs w:val="21"/>
                      <w14:textFill>
                        <w14:solidFill>
                          <w14:schemeClr w14:val="accent1"/>
                        </w14:solidFill>
                      </w14:textFill>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1003" w:type="dxa"/>
                  <w:vMerge w:val="continue"/>
                  <w:vAlign w:val="center"/>
                </w:tcPr>
                <w:p>
                  <w:pPr>
                    <w:pStyle w:val="284"/>
                    <w:rPr>
                      <w:color w:val="4F81BD" w:themeColor="accent1"/>
                      <w14:textFill>
                        <w14:solidFill>
                          <w14:schemeClr w14:val="accent1"/>
                        </w14:solidFill>
                      </w14:textFill>
                    </w:rPr>
                  </w:pPr>
                </w:p>
              </w:tc>
              <w:tc>
                <w:tcPr>
                  <w:tcW w:w="163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折算排放浓度</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mg/m</w:t>
                  </w:r>
                  <w:r>
                    <w:rPr>
                      <w:rFonts w:hint="eastAsia"/>
                      <w:color w:val="4F81BD" w:themeColor="accent1"/>
                      <w:vertAlign w:val="superscript"/>
                      <w14:textFill>
                        <w14:solidFill>
                          <w14:schemeClr w14:val="accent1"/>
                        </w14:solidFill>
                      </w14:textFill>
                    </w:rPr>
                    <w:t>3</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w:t>
                  </w:r>
                  <w:r>
                    <w:rPr>
                      <w:color w:val="4F81BD" w:themeColor="accent1"/>
                      <w:spacing w:val="-5"/>
                      <w:szCs w:val="21"/>
                      <w14:textFill>
                        <w14:solidFill>
                          <w14:schemeClr w14:val="accent1"/>
                        </w14:solidFill>
                      </w14:textFill>
                    </w:rPr>
                    <w:t>2</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w:t>
                  </w:r>
                  <w:r>
                    <w:rPr>
                      <w:color w:val="4F81BD" w:themeColor="accent1"/>
                      <w:spacing w:val="-5"/>
                      <w:szCs w:val="21"/>
                      <w14:textFill>
                        <w14:solidFill>
                          <w14:schemeClr w14:val="accent1"/>
                        </w14:solidFill>
                      </w14:textFill>
                    </w:rPr>
                    <w:t>2</w:t>
                  </w:r>
                </w:p>
              </w:tc>
              <w:tc>
                <w:tcPr>
                  <w:tcW w:w="1439"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w:t>
                  </w:r>
                  <w:r>
                    <w:rPr>
                      <w:color w:val="4F81BD" w:themeColor="accent1"/>
                      <w:spacing w:val="-5"/>
                      <w:szCs w:val="21"/>
                      <w14:textFill>
                        <w14:solidFill>
                          <w14:schemeClr w14:val="accent1"/>
                        </w14:solidFill>
                      </w14:textFill>
                    </w:rPr>
                    <w:t>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1003" w:type="dxa"/>
                  <w:vMerge w:val="continue"/>
                  <w:vAlign w:val="center"/>
                </w:tcPr>
                <w:p>
                  <w:pPr>
                    <w:pStyle w:val="284"/>
                    <w:rPr>
                      <w:color w:val="4F81BD" w:themeColor="accent1"/>
                      <w14:textFill>
                        <w14:solidFill>
                          <w14:schemeClr w14:val="accent1"/>
                        </w14:solidFill>
                      </w14:textFill>
                    </w:rPr>
                  </w:pPr>
                </w:p>
              </w:tc>
              <w:tc>
                <w:tcPr>
                  <w:tcW w:w="163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速率</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kg/h</w:t>
                  </w:r>
                </w:p>
              </w:tc>
              <w:tc>
                <w:tcPr>
                  <w:tcW w:w="1437" w:type="dxa"/>
                  <w:vAlign w:val="center"/>
                </w:tcPr>
                <w:p>
                  <w:pPr>
                    <w:jc w:val="center"/>
                    <w:rPr>
                      <w:color w:val="4F81BD" w:themeColor="accent1"/>
                      <w:spacing w:val="-5"/>
                      <w:szCs w:val="21"/>
                      <w14:textFill>
                        <w14:solidFill>
                          <w14:schemeClr w14:val="accent1"/>
                        </w14:solidFill>
                      </w14:textFill>
                    </w:rPr>
                  </w:pPr>
                  <w:r>
                    <w:rPr>
                      <w:color w:val="4F81BD" w:themeColor="accent1"/>
                      <w:spacing w:val="-5"/>
                      <w:szCs w:val="21"/>
                      <w14:textFill>
                        <w14:solidFill>
                          <w14:schemeClr w14:val="accent1"/>
                        </w14:solidFill>
                      </w14:textFill>
                    </w:rPr>
                    <w:t>-</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w:t>
                  </w:r>
                </w:p>
              </w:tc>
              <w:tc>
                <w:tcPr>
                  <w:tcW w:w="1439"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2635" w:type="dxa"/>
                  <w:gridSpan w:val="2"/>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烟气黑度</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无量纲</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zCs w:val="21"/>
                      <w14:textFill>
                        <w14:solidFill>
                          <w14:schemeClr w14:val="accent1"/>
                        </w14:solidFill>
                      </w14:textFill>
                    </w:rPr>
                    <w:t>＜1</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zCs w:val="21"/>
                      <w14:textFill>
                        <w14:solidFill>
                          <w14:schemeClr w14:val="accent1"/>
                        </w14:solidFill>
                      </w14:textFill>
                    </w:rPr>
                    <w:t>＜1</w:t>
                  </w:r>
                </w:p>
              </w:tc>
              <w:tc>
                <w:tcPr>
                  <w:tcW w:w="1439"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zCs w:val="21"/>
                      <w14:textFill>
                        <w14:solidFill>
                          <w14:schemeClr w14:val="accent1"/>
                        </w14:solidFill>
                      </w14:textFill>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938" w:type="dxa"/>
                  <w:gridSpan w:val="7"/>
                  <w:tcBorders>
                    <w:bottom w:val="single" w:color="auto" w:sz="12" w:space="0"/>
                  </w:tcBorders>
                  <w:vAlign w:val="center"/>
                </w:tcPr>
                <w:p>
                  <w:pPr>
                    <w:rPr>
                      <w:color w:val="4F81BD" w:themeColor="accent1"/>
                      <w:szCs w:val="21"/>
                      <w14:textFill>
                        <w14:solidFill>
                          <w14:schemeClr w14:val="accent1"/>
                        </w14:solidFill>
                      </w14:textFill>
                    </w:rPr>
                  </w:pPr>
                  <w:r>
                    <w:rPr>
                      <w:rFonts w:hint="eastAsia"/>
                      <w:b/>
                      <w:bCs/>
                      <w:color w:val="4F81BD" w:themeColor="accent1"/>
                      <w:szCs w:val="21"/>
                      <w14:textFill>
                        <w14:solidFill>
                          <w14:schemeClr w14:val="accent1"/>
                        </w14:solidFill>
                      </w14:textFill>
                    </w:rPr>
                    <w:t>注：设备运行负荷为8</w:t>
                  </w:r>
                  <w:r>
                    <w:rPr>
                      <w:b/>
                      <w:bCs/>
                      <w:color w:val="4F81BD" w:themeColor="accent1"/>
                      <w:szCs w:val="21"/>
                      <w14:textFill>
                        <w14:solidFill>
                          <w14:schemeClr w14:val="accent1"/>
                        </w14:solidFill>
                      </w14:textFill>
                    </w:rPr>
                    <w:t>0%</w:t>
                  </w:r>
                  <w:r>
                    <w:rPr>
                      <w:rFonts w:hint="eastAsia"/>
                      <w:b/>
                      <w:bCs/>
                      <w:color w:val="4F81BD" w:themeColor="accent1"/>
                      <w:szCs w:val="21"/>
                      <w14:textFill>
                        <w14:solidFill>
                          <w14:schemeClr w14:val="accent1"/>
                        </w14:solidFill>
                      </w14:textFill>
                    </w:rPr>
                    <w:t>，监测时间为2</w:t>
                  </w:r>
                  <w:r>
                    <w:rPr>
                      <w:b/>
                      <w:bCs/>
                      <w:color w:val="4F81BD" w:themeColor="accent1"/>
                      <w:szCs w:val="21"/>
                      <w14:textFill>
                        <w14:solidFill>
                          <w14:schemeClr w14:val="accent1"/>
                        </w14:solidFill>
                      </w14:textFill>
                    </w:rPr>
                    <w:t>023</w:t>
                  </w:r>
                  <w:r>
                    <w:rPr>
                      <w:rFonts w:hint="eastAsia"/>
                      <w:b/>
                      <w:bCs/>
                      <w:color w:val="4F81BD" w:themeColor="accent1"/>
                      <w:szCs w:val="21"/>
                      <w14:textFill>
                        <w14:solidFill>
                          <w14:schemeClr w14:val="accent1"/>
                        </w14:solidFill>
                      </w14:textFill>
                    </w:rPr>
                    <w:t>年1月（颗粒物及二氧化硫监测频次为1次/年）</w:t>
                  </w:r>
                </w:p>
              </w:tc>
            </w:tr>
          </w:tbl>
          <w:p>
            <w:pPr>
              <w:pStyle w:val="106"/>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表4-</w:t>
            </w:r>
            <w:r>
              <w:rPr>
                <w:color w:val="4F81BD" w:themeColor="accent1"/>
                <w14:textFill>
                  <w14:solidFill>
                    <w14:schemeClr w14:val="accent1"/>
                  </w14:solidFill>
                </w14:textFill>
              </w:rPr>
              <w:t>2</w:t>
            </w:r>
            <w:r>
              <w:rPr>
                <w:rFonts w:hint="eastAsia"/>
                <w:color w:val="4F81BD" w:themeColor="accent1"/>
                <w14:textFill>
                  <w14:solidFill>
                    <w14:schemeClr w14:val="accent1"/>
                  </w14:solidFill>
                </w14:textFill>
              </w:rPr>
              <w:t xml:space="preserve">                    锅炉烟气氮氧化物例行监测结果一览表</w:t>
            </w:r>
          </w:p>
          <w:tbl>
            <w:tblPr>
              <w:tblStyle w:val="46"/>
              <w:tblW w:w="893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003"/>
              <w:gridCol w:w="1632"/>
              <w:gridCol w:w="1242"/>
              <w:gridCol w:w="1437"/>
              <w:gridCol w:w="1437"/>
              <w:gridCol w:w="14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restart"/>
                  <w:tcBorders>
                    <w:top w:val="single" w:color="auto" w:sz="12" w:space="0"/>
                  </w:tcBorders>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4t/h燃气锅炉排放口</w:t>
                  </w:r>
                </w:p>
              </w:tc>
              <w:tc>
                <w:tcPr>
                  <w:tcW w:w="2635" w:type="dxa"/>
                  <w:gridSpan w:val="2"/>
                  <w:tcBorders>
                    <w:top w:val="single" w:color="auto" w:sz="12" w:space="0"/>
                  </w:tcBorders>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标态干废气量</w:t>
                  </w:r>
                </w:p>
              </w:tc>
              <w:tc>
                <w:tcPr>
                  <w:tcW w:w="1242" w:type="dxa"/>
                  <w:tcBorders>
                    <w:top w:val="single" w:color="auto" w:sz="12" w:space="0"/>
                  </w:tcBorders>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Nm</w:t>
                  </w:r>
                  <w:r>
                    <w:rPr>
                      <w:rFonts w:hint="eastAsia"/>
                      <w:color w:val="4F81BD" w:themeColor="accent1"/>
                      <w:vertAlign w:val="superscript"/>
                      <w14:textFill>
                        <w14:solidFill>
                          <w14:schemeClr w14:val="accent1"/>
                        </w14:solidFill>
                      </w14:textFill>
                    </w:rPr>
                    <w:t>3</w:t>
                  </w:r>
                  <w:r>
                    <w:rPr>
                      <w:rFonts w:hint="eastAsia"/>
                      <w:color w:val="4F81BD" w:themeColor="accent1"/>
                      <w14:textFill>
                        <w14:solidFill>
                          <w14:schemeClr w14:val="accent1"/>
                        </w14:solidFill>
                      </w14:textFill>
                    </w:rPr>
                    <w:t>/h</w:t>
                  </w:r>
                </w:p>
              </w:tc>
              <w:tc>
                <w:tcPr>
                  <w:tcW w:w="1437" w:type="dxa"/>
                  <w:tcBorders>
                    <w:top w:val="single" w:color="auto" w:sz="12" w:space="0"/>
                  </w:tcBorders>
                  <w:vAlign w:val="center"/>
                </w:tcPr>
                <w:p>
                  <w:pPr>
                    <w:jc w:val="center"/>
                    <w:rPr>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4</w:t>
                  </w:r>
                  <w:r>
                    <w:rPr>
                      <w:color w:val="4F81BD" w:themeColor="accent1"/>
                      <w:szCs w:val="21"/>
                      <w14:textFill>
                        <w14:solidFill>
                          <w14:schemeClr w14:val="accent1"/>
                        </w14:solidFill>
                      </w14:textFill>
                    </w:rPr>
                    <w:t>070</w:t>
                  </w:r>
                </w:p>
              </w:tc>
              <w:tc>
                <w:tcPr>
                  <w:tcW w:w="1437" w:type="dxa"/>
                  <w:tcBorders>
                    <w:top w:val="single" w:color="auto" w:sz="12" w:space="0"/>
                  </w:tcBorders>
                  <w:vAlign w:val="center"/>
                </w:tcPr>
                <w:p>
                  <w:pPr>
                    <w:jc w:val="center"/>
                    <w:rPr>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3</w:t>
                  </w:r>
                  <w:r>
                    <w:rPr>
                      <w:color w:val="4F81BD" w:themeColor="accent1"/>
                      <w:szCs w:val="21"/>
                      <w14:textFill>
                        <w14:solidFill>
                          <w14:schemeClr w14:val="accent1"/>
                        </w14:solidFill>
                      </w14:textFill>
                    </w:rPr>
                    <w:t>310</w:t>
                  </w:r>
                </w:p>
              </w:tc>
              <w:tc>
                <w:tcPr>
                  <w:tcW w:w="1439" w:type="dxa"/>
                  <w:tcBorders>
                    <w:top w:val="single" w:color="auto" w:sz="12" w:space="0"/>
                  </w:tcBorders>
                  <w:vAlign w:val="center"/>
                </w:tcPr>
                <w:p>
                  <w:pPr>
                    <w:jc w:val="center"/>
                    <w:rPr>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2</w:t>
                  </w:r>
                  <w:r>
                    <w:rPr>
                      <w:color w:val="4F81BD" w:themeColor="accent1"/>
                      <w:szCs w:val="21"/>
                      <w14:textFill>
                        <w14:solidFill>
                          <w14:schemeClr w14:val="accent1"/>
                        </w14:solidFill>
                      </w14:textFill>
                    </w:rPr>
                    <w:t>720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1003" w:type="dxa"/>
                  <w:vMerge w:val="restart"/>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氮氧化物</w:t>
                  </w:r>
                </w:p>
              </w:tc>
              <w:tc>
                <w:tcPr>
                  <w:tcW w:w="163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实测排放浓度</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mg/m</w:t>
                  </w:r>
                  <w:r>
                    <w:rPr>
                      <w:rFonts w:hint="eastAsia"/>
                      <w:color w:val="4F81BD" w:themeColor="accent1"/>
                      <w:vertAlign w:val="superscript"/>
                      <w14:textFill>
                        <w14:solidFill>
                          <w14:schemeClr w14:val="accent1"/>
                        </w14:solidFill>
                      </w14:textFill>
                    </w:rPr>
                    <w:t>3</w:t>
                  </w:r>
                </w:p>
              </w:tc>
              <w:tc>
                <w:tcPr>
                  <w:tcW w:w="1437" w:type="dxa"/>
                  <w:vAlign w:val="center"/>
                </w:tcPr>
                <w:p>
                  <w:pPr>
                    <w:jc w:val="center"/>
                    <w:rPr>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4</w:t>
                  </w:r>
                  <w:r>
                    <w:rPr>
                      <w:color w:val="4F81BD" w:themeColor="accent1"/>
                      <w:szCs w:val="21"/>
                      <w14:textFill>
                        <w14:solidFill>
                          <w14:schemeClr w14:val="accent1"/>
                        </w14:solidFill>
                      </w14:textFill>
                    </w:rPr>
                    <w:t>5</w:t>
                  </w:r>
                </w:p>
              </w:tc>
              <w:tc>
                <w:tcPr>
                  <w:tcW w:w="1437" w:type="dxa"/>
                  <w:vAlign w:val="center"/>
                </w:tcPr>
                <w:p>
                  <w:pPr>
                    <w:jc w:val="center"/>
                    <w:rPr>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4</w:t>
                  </w:r>
                  <w:r>
                    <w:rPr>
                      <w:color w:val="4F81BD" w:themeColor="accent1"/>
                      <w:szCs w:val="21"/>
                      <w14:textFill>
                        <w14:solidFill>
                          <w14:schemeClr w14:val="accent1"/>
                        </w14:solidFill>
                      </w14:textFill>
                    </w:rPr>
                    <w:t>5</w:t>
                  </w:r>
                </w:p>
              </w:tc>
              <w:tc>
                <w:tcPr>
                  <w:tcW w:w="1439" w:type="dxa"/>
                  <w:vAlign w:val="center"/>
                </w:tcPr>
                <w:p>
                  <w:pPr>
                    <w:jc w:val="center"/>
                    <w:rPr>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4</w:t>
                  </w:r>
                  <w:r>
                    <w:rPr>
                      <w:color w:val="4F81BD" w:themeColor="accent1"/>
                      <w:szCs w:val="21"/>
                      <w14:textFill>
                        <w14:solidFill>
                          <w14:schemeClr w14:val="accent1"/>
                        </w14:solidFill>
                      </w14:textFill>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1003" w:type="dxa"/>
                  <w:vMerge w:val="continue"/>
                  <w:vAlign w:val="center"/>
                </w:tcPr>
                <w:p>
                  <w:pPr>
                    <w:pStyle w:val="284"/>
                    <w:rPr>
                      <w:color w:val="4F81BD" w:themeColor="accent1"/>
                      <w14:textFill>
                        <w14:solidFill>
                          <w14:schemeClr w14:val="accent1"/>
                        </w14:solidFill>
                      </w14:textFill>
                    </w:rPr>
                  </w:pPr>
                </w:p>
              </w:tc>
              <w:tc>
                <w:tcPr>
                  <w:tcW w:w="163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折算排放浓度</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mg/m</w:t>
                  </w:r>
                  <w:r>
                    <w:rPr>
                      <w:rFonts w:hint="eastAsia"/>
                      <w:color w:val="4F81BD" w:themeColor="accent1"/>
                      <w:vertAlign w:val="superscript"/>
                      <w14:textFill>
                        <w14:solidFill>
                          <w14:schemeClr w14:val="accent1"/>
                        </w14:solidFill>
                      </w14:textFill>
                    </w:rPr>
                    <w:t>3</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4</w:t>
                  </w:r>
                  <w:r>
                    <w:rPr>
                      <w:color w:val="4F81BD" w:themeColor="accent1"/>
                      <w:spacing w:val="-5"/>
                      <w:szCs w:val="21"/>
                      <w14:textFill>
                        <w14:solidFill>
                          <w14:schemeClr w14:val="accent1"/>
                        </w14:solidFill>
                      </w14:textFill>
                    </w:rPr>
                    <w:t>5</w:t>
                  </w:r>
                </w:p>
              </w:tc>
              <w:tc>
                <w:tcPr>
                  <w:tcW w:w="1437"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4</w:t>
                  </w:r>
                  <w:r>
                    <w:rPr>
                      <w:color w:val="4F81BD" w:themeColor="accent1"/>
                      <w:spacing w:val="-5"/>
                      <w:szCs w:val="21"/>
                      <w14:textFill>
                        <w14:solidFill>
                          <w14:schemeClr w14:val="accent1"/>
                        </w14:solidFill>
                      </w14:textFill>
                    </w:rPr>
                    <w:t>5</w:t>
                  </w:r>
                </w:p>
              </w:tc>
              <w:tc>
                <w:tcPr>
                  <w:tcW w:w="1439" w:type="dxa"/>
                  <w:vAlign w:val="center"/>
                </w:tcPr>
                <w:p>
                  <w:pPr>
                    <w:jc w:val="center"/>
                    <w:rPr>
                      <w:color w:val="4F81BD" w:themeColor="accent1"/>
                      <w:spacing w:val="-5"/>
                      <w:szCs w:val="21"/>
                      <w14:textFill>
                        <w14:solidFill>
                          <w14:schemeClr w14:val="accent1"/>
                        </w14:solidFill>
                      </w14:textFill>
                    </w:rPr>
                  </w:pPr>
                  <w:r>
                    <w:rPr>
                      <w:rFonts w:hint="eastAsia"/>
                      <w:color w:val="4F81BD" w:themeColor="accent1"/>
                      <w:spacing w:val="-5"/>
                      <w:szCs w:val="21"/>
                      <w14:textFill>
                        <w14:solidFill>
                          <w14:schemeClr w14:val="accent1"/>
                        </w14:solidFill>
                      </w14:textFill>
                    </w:rPr>
                    <w:t>4</w:t>
                  </w:r>
                  <w:r>
                    <w:rPr>
                      <w:color w:val="4F81BD" w:themeColor="accent1"/>
                      <w:spacing w:val="-5"/>
                      <w:szCs w:val="21"/>
                      <w14:textFill>
                        <w14:solidFill>
                          <w14:schemeClr w14:val="accent1"/>
                        </w14:solidFill>
                      </w14:textFill>
                    </w:rPr>
                    <w:t>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748" w:type="dxa"/>
                  <w:vMerge w:val="continue"/>
                  <w:vAlign w:val="center"/>
                </w:tcPr>
                <w:p>
                  <w:pPr>
                    <w:pStyle w:val="284"/>
                    <w:rPr>
                      <w:color w:val="4F81BD" w:themeColor="accent1"/>
                      <w14:textFill>
                        <w14:solidFill>
                          <w14:schemeClr w14:val="accent1"/>
                        </w14:solidFill>
                      </w14:textFill>
                    </w:rPr>
                  </w:pPr>
                </w:p>
              </w:tc>
              <w:tc>
                <w:tcPr>
                  <w:tcW w:w="1003" w:type="dxa"/>
                  <w:vMerge w:val="continue"/>
                  <w:vAlign w:val="center"/>
                </w:tcPr>
                <w:p>
                  <w:pPr>
                    <w:pStyle w:val="284"/>
                    <w:rPr>
                      <w:color w:val="4F81BD" w:themeColor="accent1"/>
                      <w14:textFill>
                        <w14:solidFill>
                          <w14:schemeClr w14:val="accent1"/>
                        </w14:solidFill>
                      </w14:textFill>
                    </w:rPr>
                  </w:pPr>
                </w:p>
              </w:tc>
              <w:tc>
                <w:tcPr>
                  <w:tcW w:w="163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速率</w:t>
                  </w:r>
                </w:p>
              </w:tc>
              <w:tc>
                <w:tcPr>
                  <w:tcW w:w="1242" w:type="dxa"/>
                  <w:vAlign w:val="center"/>
                </w:tcPr>
                <w:p>
                  <w:pPr>
                    <w:pStyle w:val="284"/>
                    <w:rPr>
                      <w:color w:val="4F81BD" w:themeColor="accent1"/>
                      <w14:textFill>
                        <w14:solidFill>
                          <w14:schemeClr w14:val="accent1"/>
                        </w14:solidFill>
                      </w14:textFill>
                    </w:rPr>
                  </w:pPr>
                  <w:r>
                    <w:rPr>
                      <w:rFonts w:hint="eastAsia"/>
                      <w:color w:val="4F81BD" w:themeColor="accent1"/>
                      <w14:textFill>
                        <w14:solidFill>
                          <w14:schemeClr w14:val="accent1"/>
                        </w14:solidFill>
                      </w14:textFill>
                    </w:rPr>
                    <w:t>kg/h</w:t>
                  </w:r>
                </w:p>
              </w:tc>
              <w:tc>
                <w:tcPr>
                  <w:tcW w:w="1437" w:type="dxa"/>
                  <w:vAlign w:val="center"/>
                </w:tcPr>
                <w:p>
                  <w:pPr>
                    <w:jc w:val="center"/>
                    <w:rPr>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0</w:t>
                  </w:r>
                  <w:r>
                    <w:rPr>
                      <w:color w:val="4F81BD" w:themeColor="accent1"/>
                      <w:szCs w:val="21"/>
                      <w14:textFill>
                        <w14:solidFill>
                          <w14:schemeClr w14:val="accent1"/>
                        </w14:solidFill>
                      </w14:textFill>
                    </w:rPr>
                    <w:t>.183</w:t>
                  </w:r>
                </w:p>
              </w:tc>
              <w:tc>
                <w:tcPr>
                  <w:tcW w:w="1437" w:type="dxa"/>
                  <w:vAlign w:val="center"/>
                </w:tcPr>
                <w:p>
                  <w:pPr>
                    <w:jc w:val="center"/>
                    <w:rPr>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0</w:t>
                  </w:r>
                  <w:r>
                    <w:rPr>
                      <w:color w:val="4F81BD" w:themeColor="accent1"/>
                      <w:szCs w:val="21"/>
                      <w14:textFill>
                        <w14:solidFill>
                          <w14:schemeClr w14:val="accent1"/>
                        </w14:solidFill>
                      </w14:textFill>
                    </w:rPr>
                    <w:t>.149</w:t>
                  </w:r>
                </w:p>
              </w:tc>
              <w:tc>
                <w:tcPr>
                  <w:tcW w:w="1439" w:type="dxa"/>
                  <w:vAlign w:val="center"/>
                </w:tcPr>
                <w:p>
                  <w:pPr>
                    <w:jc w:val="center"/>
                    <w:rPr>
                      <w:color w:val="4F81BD" w:themeColor="accent1"/>
                      <w:szCs w:val="21"/>
                      <w14:textFill>
                        <w14:solidFill>
                          <w14:schemeClr w14:val="accent1"/>
                        </w14:solidFill>
                      </w14:textFill>
                    </w:rPr>
                  </w:pPr>
                  <w:r>
                    <w:rPr>
                      <w:rFonts w:hint="eastAsia"/>
                      <w:color w:val="4F81BD" w:themeColor="accent1"/>
                      <w:szCs w:val="21"/>
                      <w14:textFill>
                        <w14:solidFill>
                          <w14:schemeClr w14:val="accent1"/>
                        </w14:solidFill>
                      </w14:textFill>
                    </w:rPr>
                    <w:t>0</w:t>
                  </w:r>
                  <w:r>
                    <w:rPr>
                      <w:color w:val="4F81BD" w:themeColor="accent1"/>
                      <w:szCs w:val="21"/>
                      <w14:textFill>
                        <w14:solidFill>
                          <w14:schemeClr w14:val="accent1"/>
                        </w14:solidFill>
                      </w14:textFill>
                    </w:rPr>
                    <w:t>.117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340" w:hRule="atLeast"/>
                <w:jc w:val="center"/>
              </w:trPr>
              <w:tc>
                <w:tcPr>
                  <w:tcW w:w="8938" w:type="dxa"/>
                  <w:gridSpan w:val="7"/>
                  <w:tcBorders>
                    <w:bottom w:val="single" w:color="auto" w:sz="12" w:space="0"/>
                  </w:tcBorders>
                  <w:vAlign w:val="center"/>
                </w:tcPr>
                <w:p>
                  <w:pPr>
                    <w:rPr>
                      <w:rFonts w:hint="eastAsia"/>
                      <w:b/>
                      <w:bCs/>
                      <w:color w:val="4F81BD" w:themeColor="accent1"/>
                      <w:szCs w:val="21"/>
                      <w14:textFill>
                        <w14:solidFill>
                          <w14:schemeClr w14:val="accent1"/>
                        </w14:solidFill>
                      </w14:textFill>
                    </w:rPr>
                  </w:pPr>
                  <w:r>
                    <w:rPr>
                      <w:rFonts w:hint="eastAsia"/>
                      <w:b/>
                      <w:bCs/>
                      <w:color w:val="4F81BD" w:themeColor="accent1"/>
                      <w:szCs w:val="21"/>
                      <w14:textFill>
                        <w14:solidFill>
                          <w14:schemeClr w14:val="accent1"/>
                        </w14:solidFill>
                      </w14:textFill>
                    </w:rPr>
                    <w:t>因颗粒物及二氧化硫监测频次为1</w:t>
                  </w:r>
                  <w:r>
                    <w:rPr>
                      <w:b/>
                      <w:bCs/>
                      <w:color w:val="4F81BD" w:themeColor="accent1"/>
                      <w:szCs w:val="21"/>
                      <w14:textFill>
                        <w14:solidFill>
                          <w14:schemeClr w14:val="accent1"/>
                        </w14:solidFill>
                      </w14:textFill>
                    </w:rPr>
                    <w:t>次</w:t>
                  </w:r>
                  <w:r>
                    <w:rPr>
                      <w:rFonts w:hint="eastAsia"/>
                      <w:b/>
                      <w:bCs/>
                      <w:color w:val="4F81BD" w:themeColor="accent1"/>
                      <w:szCs w:val="21"/>
                      <w14:textFill>
                        <w14:solidFill>
                          <w14:schemeClr w14:val="accent1"/>
                        </w14:solidFill>
                      </w14:textFill>
                    </w:rPr>
                    <w:t>/</w:t>
                  </w:r>
                  <w:r>
                    <w:rPr>
                      <w:b/>
                      <w:bCs/>
                      <w:color w:val="4F81BD" w:themeColor="accent1"/>
                      <w:szCs w:val="21"/>
                      <w14:textFill>
                        <w14:solidFill>
                          <w14:schemeClr w14:val="accent1"/>
                        </w14:solidFill>
                      </w14:textFill>
                    </w:rPr>
                    <w:t>年</w:t>
                  </w:r>
                  <w:r>
                    <w:rPr>
                      <w:rFonts w:hint="eastAsia"/>
                      <w:b/>
                      <w:bCs/>
                      <w:color w:val="4F81BD" w:themeColor="accent1"/>
                      <w:szCs w:val="21"/>
                      <w14:textFill>
                        <w14:solidFill>
                          <w14:schemeClr w14:val="accent1"/>
                        </w14:solidFill>
                      </w14:textFill>
                    </w:rPr>
                    <w:t>，且锅炉运行工况为8</w:t>
                  </w:r>
                  <w:r>
                    <w:rPr>
                      <w:b/>
                      <w:bCs/>
                      <w:color w:val="4F81BD" w:themeColor="accent1"/>
                      <w:szCs w:val="21"/>
                      <w14:textFill>
                        <w14:solidFill>
                          <w14:schemeClr w14:val="accent1"/>
                        </w14:solidFill>
                      </w14:textFill>
                    </w:rPr>
                    <w:t>0%</w:t>
                  </w:r>
                  <w:r>
                    <w:rPr>
                      <w:rFonts w:hint="eastAsia"/>
                      <w:b/>
                      <w:bCs/>
                      <w:color w:val="4F81BD" w:themeColor="accent1"/>
                      <w:szCs w:val="21"/>
                      <w14:textFill>
                        <w14:solidFill>
                          <w14:schemeClr w14:val="accent1"/>
                        </w14:solidFill>
                      </w14:textFill>
                    </w:rPr>
                    <w:t>，因此本次评价采用2</w:t>
                  </w:r>
                  <w:r>
                    <w:rPr>
                      <w:b/>
                      <w:bCs/>
                      <w:color w:val="4F81BD" w:themeColor="accent1"/>
                      <w:szCs w:val="21"/>
                      <w14:textFill>
                        <w14:solidFill>
                          <w14:schemeClr w14:val="accent1"/>
                        </w14:solidFill>
                      </w14:textFill>
                    </w:rPr>
                    <w:t>023</w:t>
                  </w:r>
                  <w:r>
                    <w:rPr>
                      <w:rFonts w:hint="eastAsia"/>
                      <w:b/>
                      <w:bCs/>
                      <w:color w:val="4F81BD" w:themeColor="accent1"/>
                      <w:szCs w:val="21"/>
                      <w14:textFill>
                        <w14:solidFill>
                          <w14:schemeClr w14:val="accent1"/>
                        </w14:solidFill>
                      </w14:textFill>
                    </w:rPr>
                    <w:t>年</w:t>
                  </w:r>
                  <w:r>
                    <w:rPr>
                      <w:b/>
                      <w:bCs/>
                      <w:color w:val="4F81BD" w:themeColor="accent1"/>
                      <w:szCs w:val="21"/>
                      <w14:textFill>
                        <w14:solidFill>
                          <w14:schemeClr w14:val="accent1"/>
                        </w14:solidFill>
                      </w14:textFill>
                    </w:rPr>
                    <w:t>10</w:t>
                  </w:r>
                  <w:r>
                    <w:rPr>
                      <w:rFonts w:hint="eastAsia"/>
                      <w:b/>
                      <w:bCs/>
                      <w:color w:val="4F81BD" w:themeColor="accent1"/>
                      <w:szCs w:val="21"/>
                      <w14:textFill>
                        <w14:solidFill>
                          <w14:schemeClr w14:val="accent1"/>
                        </w14:solidFill>
                      </w14:textFill>
                    </w:rPr>
                    <w:t>月锅炉满负荷运行状态下的氮氧化物监测数据</w:t>
                  </w:r>
                </w:p>
              </w:tc>
            </w:tr>
            <w:bookmarkEnd w:id="26"/>
          </w:tbl>
          <w:p>
            <w:pPr>
              <w:widowControl/>
              <w:spacing w:line="480" w:lineRule="exact"/>
              <w:ind w:firstLine="480" w:firstLineChars="200"/>
              <w:rPr>
                <w:color w:val="4F81BD" w:themeColor="accent1"/>
                <w:kern w:val="0"/>
                <w:sz w:val="24"/>
                <w14:textFill>
                  <w14:solidFill>
                    <w14:schemeClr w14:val="accent1"/>
                  </w14:solidFill>
                </w14:textFill>
              </w:rPr>
            </w:pPr>
            <w:r>
              <w:rPr>
                <w:rFonts w:hint="eastAsia"/>
                <w:color w:val="4F81BD" w:themeColor="accent1"/>
                <w:kern w:val="0"/>
                <w:sz w:val="24"/>
                <w14:textFill>
                  <w14:solidFill>
                    <w14:schemeClr w14:val="accent1"/>
                  </w14:solidFill>
                </w14:textFill>
              </w:rPr>
              <w:t>根据上表，颗粒物最大排放速率为0</w:t>
            </w:r>
            <w:r>
              <w:rPr>
                <w:color w:val="4F81BD" w:themeColor="accent1"/>
                <w:kern w:val="0"/>
                <w:sz w:val="24"/>
                <w14:textFill>
                  <w14:solidFill>
                    <w14:schemeClr w14:val="accent1"/>
                  </w14:solidFill>
                </w14:textFill>
              </w:rPr>
              <w:t>.00186</w:t>
            </w:r>
            <w:r>
              <w:rPr>
                <w:rFonts w:hint="eastAsia"/>
                <w:color w:val="4F81BD" w:themeColor="accent1"/>
                <w:kern w:val="0"/>
                <w:sz w:val="24"/>
                <w14:textFill>
                  <w14:solidFill>
                    <w14:schemeClr w14:val="accent1"/>
                  </w14:solidFill>
                </w14:textFill>
              </w:rPr>
              <w:t>kg/h，锅炉运行负荷为8</w:t>
            </w:r>
            <w:r>
              <w:rPr>
                <w:color w:val="4F81BD" w:themeColor="accent1"/>
                <w:kern w:val="0"/>
                <w:sz w:val="24"/>
                <w14:textFill>
                  <w14:solidFill>
                    <w14:schemeClr w14:val="accent1"/>
                  </w14:solidFill>
                </w14:textFill>
              </w:rPr>
              <w:t>0%</w:t>
            </w:r>
            <w:r>
              <w:rPr>
                <w:rFonts w:hint="eastAsia"/>
                <w:color w:val="4F81BD" w:themeColor="accent1"/>
                <w:kern w:val="0"/>
                <w:sz w:val="24"/>
                <w14:textFill>
                  <w14:solidFill>
                    <w14:schemeClr w14:val="accent1"/>
                  </w14:solidFill>
                </w14:textFill>
              </w:rPr>
              <w:t>，则运行负荷在1</w:t>
            </w:r>
            <w:r>
              <w:rPr>
                <w:color w:val="4F81BD" w:themeColor="accent1"/>
                <w:kern w:val="0"/>
                <w:sz w:val="24"/>
                <w14:textFill>
                  <w14:solidFill>
                    <w14:schemeClr w14:val="accent1"/>
                  </w14:solidFill>
                </w14:textFill>
              </w:rPr>
              <w:t>00%</w:t>
            </w:r>
            <w:r>
              <w:rPr>
                <w:rFonts w:hint="eastAsia"/>
                <w:color w:val="4F81BD" w:themeColor="accent1"/>
                <w:kern w:val="0"/>
                <w:sz w:val="24"/>
                <w14:textFill>
                  <w14:solidFill>
                    <w14:schemeClr w14:val="accent1"/>
                  </w14:solidFill>
                </w14:textFill>
              </w:rPr>
              <w:t>的情况下，颗粒物最大排放速率为0</w:t>
            </w:r>
            <w:r>
              <w:rPr>
                <w:color w:val="4F81BD" w:themeColor="accent1"/>
                <w:kern w:val="0"/>
                <w:sz w:val="24"/>
                <w14:textFill>
                  <w14:solidFill>
                    <w14:schemeClr w14:val="accent1"/>
                  </w14:solidFill>
                </w14:textFill>
              </w:rPr>
              <w:t>.00233</w:t>
            </w:r>
            <w:r>
              <w:rPr>
                <w:rFonts w:hint="eastAsia"/>
                <w:color w:val="4F81BD" w:themeColor="accent1"/>
                <w:kern w:val="0"/>
                <w:sz w:val="24"/>
                <w14:textFill>
                  <w14:solidFill>
                    <w14:schemeClr w14:val="accent1"/>
                  </w14:solidFill>
                </w14:textFill>
              </w:rPr>
              <w:t>kg/h，氮氧化物最大排放速率为0</w:t>
            </w:r>
            <w:r>
              <w:rPr>
                <w:color w:val="4F81BD" w:themeColor="accent1"/>
                <w:kern w:val="0"/>
                <w:sz w:val="24"/>
                <w14:textFill>
                  <w14:solidFill>
                    <w14:schemeClr w14:val="accent1"/>
                  </w14:solidFill>
                </w14:textFill>
              </w:rPr>
              <w:t>.183</w:t>
            </w:r>
            <w:r>
              <w:rPr>
                <w:rFonts w:hint="eastAsia"/>
                <w:color w:val="4F81BD" w:themeColor="accent1"/>
                <w:kern w:val="0"/>
                <w:sz w:val="24"/>
                <w14:textFill>
                  <w14:solidFill>
                    <w14:schemeClr w14:val="accent1"/>
                  </w14:solidFill>
                </w14:textFill>
              </w:rPr>
              <w:t>kg/h。</w:t>
            </w:r>
          </w:p>
          <w:p>
            <w:pPr>
              <w:tabs>
                <w:tab w:val="center" w:pos="4736"/>
              </w:tabs>
              <w:spacing w:line="460" w:lineRule="exact"/>
              <w:ind w:firstLine="480" w:firstLineChars="200"/>
              <w:rPr>
                <w:bCs/>
                <w:sz w:val="24"/>
              </w:rPr>
            </w:pPr>
            <w:r>
              <w:rPr>
                <w:rFonts w:hint="eastAsia"/>
                <w:bCs/>
                <w:sz w:val="24"/>
              </w:rPr>
              <w:t>因二氧化硫在监测时数据小于检出限，故本次评价二氧化硫污染物量采取</w:t>
            </w:r>
            <w:r>
              <w:rPr>
                <w:sz w:val="24"/>
              </w:rPr>
              <w:t>《</w:t>
            </w:r>
            <w:r>
              <w:rPr>
                <w:rFonts w:hint="eastAsia"/>
                <w:sz w:val="24"/>
              </w:rPr>
              <w:t>排放源统计调查产排污核算方法和系数手册</w:t>
            </w:r>
            <w:r>
              <w:rPr>
                <w:sz w:val="24"/>
              </w:rPr>
              <w:t>》（</w:t>
            </w:r>
            <w:r>
              <w:rPr>
                <w:rFonts w:hint="eastAsia"/>
                <w:sz w:val="24"/>
              </w:rPr>
              <w:t>公告2</w:t>
            </w:r>
            <w:r>
              <w:rPr>
                <w:sz w:val="24"/>
              </w:rPr>
              <w:t>021</w:t>
            </w:r>
            <w:r>
              <w:rPr>
                <w:rFonts w:hint="eastAsia"/>
                <w:sz w:val="24"/>
              </w:rPr>
              <w:t>年第2</w:t>
            </w:r>
            <w:r>
              <w:rPr>
                <w:sz w:val="24"/>
              </w:rPr>
              <w:t>4</w:t>
            </w:r>
            <w:r>
              <w:rPr>
                <w:rFonts w:hint="eastAsia"/>
                <w:sz w:val="24"/>
              </w:rPr>
              <w:t>号</w:t>
            </w:r>
            <w:r>
              <w:rPr>
                <w:sz w:val="24"/>
              </w:rPr>
              <w:t>）</w:t>
            </w:r>
            <w:r>
              <w:rPr>
                <w:rFonts w:hint="eastAsia"/>
                <w:sz w:val="24"/>
              </w:rPr>
              <w:t>中“</w:t>
            </w:r>
            <w:r>
              <w:rPr>
                <w:sz w:val="24"/>
              </w:rPr>
              <w:t>4430 工业锅炉（热力生产和供应行业）产污系数表-燃气工业锅炉</w:t>
            </w:r>
            <w:r>
              <w:rPr>
                <w:rFonts w:hint="eastAsia"/>
                <w:sz w:val="24"/>
              </w:rPr>
              <w:t>”的二氧化硫产污系数进行核算</w:t>
            </w:r>
            <w:r>
              <w:rPr>
                <w:rFonts w:hint="eastAsia"/>
                <w:bCs/>
                <w:sz w:val="24"/>
              </w:rPr>
              <w:t>，</w:t>
            </w:r>
            <w:r>
              <w:rPr>
                <w:rFonts w:hint="eastAsia"/>
                <w:sz w:val="24"/>
              </w:rPr>
              <w:t>详见下表。</w:t>
            </w:r>
          </w:p>
          <w:p>
            <w:pPr>
              <w:pStyle w:val="106"/>
              <w:rPr>
                <w:color w:val="auto"/>
              </w:rPr>
            </w:pPr>
            <w:r>
              <w:rPr>
                <w:rFonts w:hint="eastAsia"/>
                <w:color w:val="auto"/>
              </w:rPr>
              <w:t>表4-</w:t>
            </w:r>
            <w:r>
              <w:rPr>
                <w:color w:val="auto"/>
              </w:rPr>
              <w:t>3</w:t>
            </w:r>
            <w:r>
              <w:rPr>
                <w:rFonts w:hint="eastAsia"/>
                <w:color w:val="auto"/>
              </w:rPr>
              <w:t xml:space="preserve">                    锅炉烟气产污系数一览表</w:t>
            </w:r>
          </w:p>
          <w:tbl>
            <w:tblPr>
              <w:tblStyle w:val="47"/>
              <w:tblW w:w="890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98"/>
              <w:gridCol w:w="1130"/>
              <w:gridCol w:w="1520"/>
              <w:gridCol w:w="1218"/>
              <w:gridCol w:w="1826"/>
              <w:gridCol w:w="190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747" w:hRule="atLeast"/>
                <w:jc w:val="center"/>
              </w:trPr>
              <w:tc>
                <w:tcPr>
                  <w:tcW w:w="1298" w:type="dxa"/>
                  <w:vAlign w:val="center"/>
                </w:tcPr>
                <w:p>
                  <w:pPr>
                    <w:pStyle w:val="81"/>
                    <w:rPr>
                      <w:color w:val="auto"/>
                    </w:rPr>
                  </w:pPr>
                  <w:r>
                    <w:rPr>
                      <w:rFonts w:hint="eastAsia"/>
                      <w:color w:val="auto"/>
                    </w:rPr>
                    <w:t>产品名称</w:t>
                  </w:r>
                </w:p>
              </w:tc>
              <w:tc>
                <w:tcPr>
                  <w:tcW w:w="1130" w:type="dxa"/>
                  <w:vAlign w:val="center"/>
                </w:tcPr>
                <w:p>
                  <w:pPr>
                    <w:widowControl/>
                    <w:jc w:val="center"/>
                    <w:rPr>
                      <w:kern w:val="0"/>
                      <w:szCs w:val="21"/>
                    </w:rPr>
                  </w:pPr>
                  <w:r>
                    <w:rPr>
                      <w:rFonts w:hint="eastAsia"/>
                      <w:kern w:val="0"/>
                      <w:szCs w:val="21"/>
                    </w:rPr>
                    <w:t>原料</w:t>
                  </w:r>
                </w:p>
              </w:tc>
              <w:tc>
                <w:tcPr>
                  <w:tcW w:w="1520" w:type="dxa"/>
                  <w:vAlign w:val="center"/>
                </w:tcPr>
                <w:p>
                  <w:pPr>
                    <w:widowControl/>
                    <w:jc w:val="center"/>
                    <w:rPr>
                      <w:kern w:val="0"/>
                      <w:szCs w:val="21"/>
                    </w:rPr>
                  </w:pPr>
                  <w:r>
                    <w:rPr>
                      <w:rFonts w:hint="eastAsia"/>
                      <w:kern w:val="0"/>
                      <w:szCs w:val="21"/>
                    </w:rPr>
                    <w:t>工艺-规模</w:t>
                  </w:r>
                </w:p>
              </w:tc>
              <w:tc>
                <w:tcPr>
                  <w:tcW w:w="1218" w:type="dxa"/>
                  <w:vAlign w:val="center"/>
                </w:tcPr>
                <w:p>
                  <w:pPr>
                    <w:widowControl/>
                    <w:jc w:val="center"/>
                    <w:rPr>
                      <w:kern w:val="0"/>
                      <w:szCs w:val="21"/>
                    </w:rPr>
                  </w:pPr>
                  <w:r>
                    <w:rPr>
                      <w:rFonts w:hint="eastAsia"/>
                    </w:rPr>
                    <w:t>污染因子</w:t>
                  </w:r>
                </w:p>
              </w:tc>
              <w:tc>
                <w:tcPr>
                  <w:tcW w:w="1826" w:type="dxa"/>
                  <w:vAlign w:val="center"/>
                </w:tcPr>
                <w:p>
                  <w:pPr>
                    <w:widowControl/>
                    <w:jc w:val="center"/>
                    <w:rPr>
                      <w:kern w:val="0"/>
                      <w:szCs w:val="21"/>
                    </w:rPr>
                  </w:pPr>
                  <w:r>
                    <w:rPr>
                      <w:rFonts w:hint="eastAsia"/>
                      <w:kern w:val="0"/>
                      <w:szCs w:val="21"/>
                    </w:rPr>
                    <w:t>单位</w:t>
                  </w:r>
                </w:p>
              </w:tc>
              <w:tc>
                <w:tcPr>
                  <w:tcW w:w="1908" w:type="dxa"/>
                  <w:vAlign w:val="center"/>
                </w:tcPr>
                <w:p>
                  <w:pPr>
                    <w:widowControl/>
                    <w:jc w:val="center"/>
                    <w:rPr>
                      <w:kern w:val="0"/>
                      <w:szCs w:val="21"/>
                    </w:rPr>
                  </w:pPr>
                  <w:r>
                    <w:rPr>
                      <w:rFonts w:hint="eastAsia"/>
                      <w:kern w:val="0"/>
                      <w:szCs w:val="21"/>
                    </w:rPr>
                    <w:t>产污系数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1298" w:type="dxa"/>
                  <w:vAlign w:val="center"/>
                </w:tcPr>
                <w:p>
                  <w:pPr>
                    <w:pStyle w:val="81"/>
                    <w:rPr>
                      <w:color w:val="auto"/>
                    </w:rPr>
                  </w:pPr>
                  <w:r>
                    <w:rPr>
                      <w:rFonts w:hint="eastAsia"/>
                      <w:color w:val="auto"/>
                    </w:rPr>
                    <w:t>蒸汽/热水/其他</w:t>
                  </w:r>
                </w:p>
              </w:tc>
              <w:tc>
                <w:tcPr>
                  <w:tcW w:w="1130" w:type="dxa"/>
                  <w:vAlign w:val="center"/>
                </w:tcPr>
                <w:p>
                  <w:pPr>
                    <w:jc w:val="center"/>
                    <w:rPr>
                      <w:kern w:val="0"/>
                      <w:szCs w:val="21"/>
                    </w:rPr>
                  </w:pPr>
                  <w:r>
                    <w:rPr>
                      <w:rFonts w:hint="eastAsia"/>
                      <w:kern w:val="0"/>
                      <w:szCs w:val="21"/>
                    </w:rPr>
                    <w:t>天然气</w:t>
                  </w:r>
                </w:p>
              </w:tc>
              <w:tc>
                <w:tcPr>
                  <w:tcW w:w="1520" w:type="dxa"/>
                  <w:vAlign w:val="center"/>
                </w:tcPr>
                <w:p>
                  <w:pPr>
                    <w:jc w:val="center"/>
                    <w:rPr>
                      <w:kern w:val="0"/>
                      <w:szCs w:val="21"/>
                    </w:rPr>
                  </w:pPr>
                  <w:r>
                    <w:rPr>
                      <w:rFonts w:hint="eastAsia"/>
                      <w:kern w:val="0"/>
                      <w:szCs w:val="21"/>
                    </w:rPr>
                    <w:t>室燃炉（所有规模）</w:t>
                  </w:r>
                </w:p>
              </w:tc>
              <w:tc>
                <w:tcPr>
                  <w:tcW w:w="1218" w:type="dxa"/>
                  <w:vAlign w:val="center"/>
                </w:tcPr>
                <w:p>
                  <w:pPr>
                    <w:jc w:val="center"/>
                    <w:rPr>
                      <w:kern w:val="0"/>
                      <w:szCs w:val="21"/>
                    </w:rPr>
                  </w:pPr>
                  <w:r>
                    <w:rPr>
                      <w:kern w:val="0"/>
                      <w:szCs w:val="21"/>
                    </w:rPr>
                    <w:t>SO</w:t>
                  </w:r>
                  <w:r>
                    <w:rPr>
                      <w:kern w:val="0"/>
                      <w:szCs w:val="21"/>
                      <w:vertAlign w:val="subscript"/>
                    </w:rPr>
                    <w:t>2</w:t>
                  </w:r>
                </w:p>
              </w:tc>
              <w:tc>
                <w:tcPr>
                  <w:tcW w:w="1826" w:type="dxa"/>
                  <w:vAlign w:val="center"/>
                </w:tcPr>
                <w:p>
                  <w:pPr>
                    <w:jc w:val="center"/>
                    <w:rPr>
                      <w:kern w:val="0"/>
                      <w:szCs w:val="21"/>
                    </w:rPr>
                  </w:pPr>
                  <w:r>
                    <w:rPr>
                      <w:rFonts w:hint="eastAsia"/>
                      <w:kern w:val="0"/>
                      <w:szCs w:val="21"/>
                    </w:rPr>
                    <w:t>千克/万立方米-原料</w:t>
                  </w:r>
                </w:p>
              </w:tc>
              <w:tc>
                <w:tcPr>
                  <w:tcW w:w="1908" w:type="dxa"/>
                  <w:vAlign w:val="center"/>
                </w:tcPr>
                <w:p>
                  <w:pPr>
                    <w:jc w:val="center"/>
                    <w:rPr>
                      <w:kern w:val="0"/>
                      <w:szCs w:val="21"/>
                    </w:rPr>
                  </w:pPr>
                  <w:r>
                    <w:rPr>
                      <w:kern w:val="0"/>
                      <w:szCs w:val="21"/>
                    </w:rPr>
                    <w:t>0.02S</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8900" w:type="dxa"/>
                  <w:gridSpan w:val="6"/>
                  <w:vAlign w:val="center"/>
                </w:tcPr>
                <w:p>
                  <w:pPr>
                    <w:widowControl/>
                    <w:rPr>
                      <w:kern w:val="0"/>
                      <w:szCs w:val="21"/>
                    </w:rPr>
                  </w:pPr>
                  <w:r>
                    <w:rPr>
                      <w:rFonts w:hint="eastAsia"/>
                      <w:kern w:val="0"/>
                      <w:szCs w:val="21"/>
                    </w:rPr>
                    <w:t>注：含硫量（</w:t>
                  </w:r>
                  <w:r>
                    <w:rPr>
                      <w:kern w:val="0"/>
                      <w:szCs w:val="21"/>
                    </w:rPr>
                    <w:t>S</w:t>
                  </w:r>
                  <w:r>
                    <w:rPr>
                      <w:rFonts w:hint="eastAsia"/>
                      <w:kern w:val="0"/>
                      <w:szCs w:val="21"/>
                    </w:rPr>
                    <w:t>）是指气体燃料中的硫含量，单位为毫克</w:t>
                  </w:r>
                  <w:r>
                    <w:rPr>
                      <w:kern w:val="0"/>
                      <w:szCs w:val="21"/>
                    </w:rPr>
                    <w:t>/</w:t>
                  </w:r>
                  <w:r>
                    <w:rPr>
                      <w:rFonts w:hint="eastAsia"/>
                      <w:kern w:val="0"/>
                      <w:szCs w:val="21"/>
                    </w:rPr>
                    <w:t>立方米。</w:t>
                  </w:r>
                </w:p>
              </w:tc>
            </w:tr>
          </w:tbl>
          <w:p>
            <w:pPr>
              <w:tabs>
                <w:tab w:val="center" w:pos="4736"/>
              </w:tabs>
              <w:spacing w:line="460" w:lineRule="exact"/>
              <w:ind w:firstLine="480" w:firstLineChars="200"/>
              <w:rPr>
                <w:sz w:val="24"/>
              </w:rPr>
            </w:pPr>
            <w:r>
              <w:rPr>
                <w:rFonts w:hint="eastAsia"/>
                <w:sz w:val="24"/>
              </w:rPr>
              <w:t>本项目4t/h锅炉天然气用量为1</w:t>
            </w:r>
            <w:r>
              <w:rPr>
                <w:sz w:val="24"/>
              </w:rPr>
              <w:t>00.8</w:t>
            </w:r>
            <w:r>
              <w:rPr>
                <w:rFonts w:hint="eastAsia"/>
                <w:sz w:val="24"/>
              </w:rPr>
              <w:t>万m</w:t>
            </w:r>
            <w:r>
              <w:rPr>
                <w:rFonts w:hint="eastAsia"/>
                <w:sz w:val="24"/>
                <w:vertAlign w:val="superscript"/>
              </w:rPr>
              <w:t>3</w:t>
            </w:r>
            <w:r>
              <w:rPr>
                <w:rFonts w:hint="eastAsia"/>
                <w:sz w:val="24"/>
              </w:rPr>
              <w:t>/a，天然气含硫量为1</w:t>
            </w:r>
            <w:r>
              <w:rPr>
                <w:sz w:val="24"/>
              </w:rPr>
              <w:t>1.17</w:t>
            </w:r>
            <w:r>
              <w:rPr>
                <w:rFonts w:hint="eastAsia"/>
                <w:sz w:val="24"/>
              </w:rPr>
              <w:t>mg/m</w:t>
            </w:r>
            <w:r>
              <w:rPr>
                <w:rFonts w:hint="eastAsia"/>
                <w:sz w:val="24"/>
                <w:vertAlign w:val="superscript"/>
              </w:rPr>
              <w:t>3</w:t>
            </w:r>
            <w:r>
              <w:rPr>
                <w:rFonts w:hint="eastAsia"/>
                <w:sz w:val="24"/>
              </w:rPr>
              <w:t>，锅炉年运行3</w:t>
            </w:r>
            <w:r>
              <w:rPr>
                <w:sz w:val="24"/>
              </w:rPr>
              <w:t>360</w:t>
            </w:r>
            <w:r>
              <w:rPr>
                <w:rFonts w:hint="eastAsia"/>
                <w:sz w:val="24"/>
              </w:rPr>
              <w:t>h，二氧化硫产生速率为0</w:t>
            </w:r>
            <w:r>
              <w:rPr>
                <w:sz w:val="24"/>
              </w:rPr>
              <w:t>.007</w:t>
            </w:r>
            <w:r>
              <w:rPr>
                <w:rFonts w:hint="eastAsia"/>
                <w:sz w:val="24"/>
              </w:rPr>
              <w:t>kg/h。</w:t>
            </w:r>
          </w:p>
          <w:p>
            <w:pPr>
              <w:tabs>
                <w:tab w:val="center" w:pos="4736"/>
              </w:tabs>
              <w:spacing w:line="460" w:lineRule="exact"/>
              <w:ind w:firstLine="480" w:firstLineChars="200"/>
              <w:rPr>
                <w:sz w:val="24"/>
              </w:rPr>
            </w:pPr>
            <w:r>
              <w:rPr>
                <w:rFonts w:hint="eastAsia"/>
                <w:sz w:val="24"/>
              </w:rPr>
              <w:t>本项目锅炉</w:t>
            </w:r>
            <w:r>
              <w:rPr>
                <w:rFonts w:hint="eastAsia"/>
                <w:kern w:val="0"/>
                <w:sz w:val="24"/>
              </w:rPr>
              <w:t>天然气燃烧废气产产生情况见下表。</w:t>
            </w:r>
          </w:p>
          <w:p>
            <w:pPr>
              <w:pStyle w:val="106"/>
              <w:rPr>
                <w:color w:val="auto"/>
              </w:rPr>
            </w:pPr>
            <w:r>
              <w:rPr>
                <w:rFonts w:hint="eastAsia"/>
                <w:color w:val="auto"/>
              </w:rPr>
              <w:t>表4-</w:t>
            </w:r>
            <w:r>
              <w:rPr>
                <w:color w:val="auto"/>
              </w:rPr>
              <w:t>4</w:t>
            </w:r>
            <w:r>
              <w:rPr>
                <w:rFonts w:hint="eastAsia"/>
                <w:color w:val="auto"/>
              </w:rPr>
              <w:t xml:space="preserve">            </w:t>
            </w:r>
            <w:r>
              <w:rPr>
                <w:color w:val="auto"/>
              </w:rPr>
              <w:t xml:space="preserve">  </w:t>
            </w:r>
            <w:r>
              <w:rPr>
                <w:rFonts w:hint="eastAsia"/>
                <w:color w:val="auto"/>
              </w:rPr>
              <w:t xml:space="preserve"> 项目锅炉废气排放情况一览表</w:t>
            </w:r>
          </w:p>
          <w:tbl>
            <w:tblPr>
              <w:tblStyle w:val="47"/>
              <w:tblW w:w="893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88"/>
              <w:gridCol w:w="1418"/>
              <w:gridCol w:w="1416"/>
              <w:gridCol w:w="1416"/>
              <w:gridCol w:w="1843"/>
              <w:gridCol w:w="185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747" w:hRule="atLeast"/>
                <w:jc w:val="center"/>
              </w:trPr>
              <w:tc>
                <w:tcPr>
                  <w:tcW w:w="988" w:type="dxa"/>
                  <w:vAlign w:val="center"/>
                </w:tcPr>
                <w:p>
                  <w:pPr>
                    <w:pStyle w:val="81"/>
                    <w:rPr>
                      <w:color w:val="auto"/>
                    </w:rPr>
                  </w:pPr>
                  <w:r>
                    <w:rPr>
                      <w:rFonts w:hint="eastAsia"/>
                      <w:color w:val="auto"/>
                    </w:rPr>
                    <w:t>污染源</w:t>
                  </w:r>
                </w:p>
              </w:tc>
              <w:tc>
                <w:tcPr>
                  <w:tcW w:w="1418" w:type="dxa"/>
                  <w:vAlign w:val="center"/>
                </w:tcPr>
                <w:p>
                  <w:pPr>
                    <w:pStyle w:val="81"/>
                    <w:rPr>
                      <w:color w:val="auto"/>
                    </w:rPr>
                  </w:pPr>
                  <w:r>
                    <w:rPr>
                      <w:rFonts w:hint="eastAsia"/>
                      <w:color w:val="auto"/>
                    </w:rPr>
                    <w:t>污染因子</w:t>
                  </w:r>
                </w:p>
              </w:tc>
              <w:tc>
                <w:tcPr>
                  <w:tcW w:w="1416" w:type="dxa"/>
                  <w:vAlign w:val="center"/>
                </w:tcPr>
                <w:p>
                  <w:pPr>
                    <w:widowControl/>
                    <w:jc w:val="center"/>
                    <w:rPr>
                      <w:kern w:val="0"/>
                      <w:szCs w:val="21"/>
                    </w:rPr>
                  </w:pPr>
                  <w:r>
                    <w:rPr>
                      <w:rFonts w:hint="eastAsia"/>
                      <w:kern w:val="0"/>
                      <w:szCs w:val="21"/>
                    </w:rPr>
                    <w:t>核算方法</w:t>
                  </w:r>
                </w:p>
              </w:tc>
              <w:tc>
                <w:tcPr>
                  <w:tcW w:w="1416" w:type="dxa"/>
                  <w:vAlign w:val="center"/>
                </w:tcPr>
                <w:p>
                  <w:pPr>
                    <w:widowControl/>
                    <w:jc w:val="center"/>
                    <w:rPr>
                      <w:kern w:val="0"/>
                      <w:szCs w:val="21"/>
                    </w:rPr>
                  </w:pPr>
                  <w:r>
                    <w:rPr>
                      <w:rFonts w:hint="eastAsia"/>
                      <w:kern w:val="0"/>
                      <w:szCs w:val="21"/>
                    </w:rPr>
                    <w:t>排放量t/a</w:t>
                  </w:r>
                </w:p>
              </w:tc>
              <w:tc>
                <w:tcPr>
                  <w:tcW w:w="1843" w:type="dxa"/>
                  <w:vAlign w:val="center"/>
                </w:tcPr>
                <w:p>
                  <w:pPr>
                    <w:widowControl/>
                    <w:jc w:val="center"/>
                    <w:rPr>
                      <w:kern w:val="0"/>
                      <w:szCs w:val="21"/>
                    </w:rPr>
                  </w:pPr>
                  <w:r>
                    <w:rPr>
                      <w:rFonts w:hint="eastAsia"/>
                      <w:kern w:val="0"/>
                      <w:szCs w:val="21"/>
                    </w:rPr>
                    <w:t>排放速率kg/h</w:t>
                  </w:r>
                </w:p>
              </w:tc>
              <w:tc>
                <w:tcPr>
                  <w:tcW w:w="1857" w:type="dxa"/>
                  <w:vAlign w:val="center"/>
                </w:tcPr>
                <w:p>
                  <w:pPr>
                    <w:widowControl/>
                    <w:jc w:val="center"/>
                    <w:rPr>
                      <w:kern w:val="0"/>
                      <w:szCs w:val="21"/>
                    </w:rPr>
                  </w:pPr>
                  <w:r>
                    <w:rPr>
                      <w:rFonts w:hint="eastAsia"/>
                      <w:kern w:val="0"/>
                      <w:szCs w:val="21"/>
                    </w:rPr>
                    <w:t>排放浓度mg/m</w:t>
                  </w:r>
                  <w:r>
                    <w:rPr>
                      <w:rFonts w:hint="eastAsia"/>
                      <w:kern w:val="0"/>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988" w:type="dxa"/>
                  <w:vMerge w:val="restart"/>
                  <w:vAlign w:val="center"/>
                </w:tcPr>
                <w:p>
                  <w:pPr>
                    <w:pStyle w:val="81"/>
                    <w:rPr>
                      <w:color w:val="auto"/>
                    </w:rPr>
                  </w:pPr>
                  <w:r>
                    <w:rPr>
                      <w:rFonts w:hint="eastAsia"/>
                      <w:color w:val="auto"/>
                    </w:rPr>
                    <w:t>天燃气燃烧</w:t>
                  </w:r>
                </w:p>
              </w:tc>
              <w:tc>
                <w:tcPr>
                  <w:tcW w:w="1418" w:type="dxa"/>
                  <w:vAlign w:val="center"/>
                </w:tcPr>
                <w:p>
                  <w:pPr>
                    <w:jc w:val="center"/>
                    <w:rPr>
                      <w:kern w:val="0"/>
                      <w:szCs w:val="21"/>
                    </w:rPr>
                  </w:pPr>
                  <w:r>
                    <w:rPr>
                      <w:kern w:val="0"/>
                      <w:szCs w:val="21"/>
                    </w:rPr>
                    <w:t>SO</w:t>
                  </w:r>
                  <w:r>
                    <w:rPr>
                      <w:kern w:val="0"/>
                      <w:szCs w:val="21"/>
                      <w:vertAlign w:val="subscript"/>
                    </w:rPr>
                    <w:t>2</w:t>
                  </w:r>
                </w:p>
              </w:tc>
              <w:tc>
                <w:tcPr>
                  <w:tcW w:w="1416" w:type="dxa"/>
                  <w:vAlign w:val="center"/>
                </w:tcPr>
                <w:p>
                  <w:pPr>
                    <w:jc w:val="center"/>
                    <w:rPr>
                      <w:kern w:val="0"/>
                      <w:szCs w:val="21"/>
                    </w:rPr>
                  </w:pPr>
                  <w:r>
                    <w:rPr>
                      <w:rFonts w:hint="eastAsia"/>
                      <w:kern w:val="0"/>
                      <w:szCs w:val="21"/>
                    </w:rPr>
                    <w:t>实测法+产污系数法结合</w:t>
                  </w:r>
                </w:p>
              </w:tc>
              <w:tc>
                <w:tcPr>
                  <w:tcW w:w="1416" w:type="dxa"/>
                  <w:vAlign w:val="center"/>
                </w:tcPr>
                <w:p>
                  <w:pPr>
                    <w:jc w:val="center"/>
                    <w:rPr>
                      <w:kern w:val="0"/>
                      <w:szCs w:val="21"/>
                    </w:rPr>
                  </w:pPr>
                  <w:r>
                    <w:rPr>
                      <w:rFonts w:hint="eastAsia"/>
                      <w:kern w:val="0"/>
                      <w:szCs w:val="21"/>
                    </w:rPr>
                    <w:t>0</w:t>
                  </w:r>
                  <w:r>
                    <w:rPr>
                      <w:kern w:val="0"/>
                      <w:szCs w:val="21"/>
                    </w:rPr>
                    <w:t>.023</w:t>
                  </w:r>
                </w:p>
              </w:tc>
              <w:tc>
                <w:tcPr>
                  <w:tcW w:w="1843" w:type="dxa"/>
                  <w:vAlign w:val="center"/>
                </w:tcPr>
                <w:p>
                  <w:pPr>
                    <w:jc w:val="center"/>
                    <w:rPr>
                      <w:kern w:val="0"/>
                      <w:szCs w:val="21"/>
                    </w:rPr>
                  </w:pPr>
                  <w:r>
                    <w:rPr>
                      <w:rFonts w:hint="eastAsia"/>
                      <w:kern w:val="0"/>
                      <w:szCs w:val="21"/>
                    </w:rPr>
                    <w:t>0</w:t>
                  </w:r>
                  <w:r>
                    <w:rPr>
                      <w:kern w:val="0"/>
                      <w:szCs w:val="21"/>
                    </w:rPr>
                    <w:t>.007</w:t>
                  </w:r>
                </w:p>
              </w:tc>
              <w:tc>
                <w:tcPr>
                  <w:tcW w:w="1857" w:type="dxa"/>
                  <w:vAlign w:val="center"/>
                </w:tcPr>
                <w:p>
                  <w:pPr>
                    <w:jc w:val="center"/>
                    <w:rPr>
                      <w:kern w:val="0"/>
                      <w:szCs w:val="21"/>
                    </w:rPr>
                  </w:pPr>
                  <w:r>
                    <w:rPr>
                      <w:rFonts w:hint="eastAsia"/>
                      <w:kern w:val="0"/>
                      <w:szCs w:val="21"/>
                    </w:rPr>
                    <w:t>＜2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988" w:type="dxa"/>
                  <w:vMerge w:val="continue"/>
                  <w:vAlign w:val="center"/>
                </w:tcPr>
                <w:p>
                  <w:pPr>
                    <w:pStyle w:val="81"/>
                    <w:rPr>
                      <w:color w:val="auto"/>
                    </w:rPr>
                  </w:pPr>
                </w:p>
              </w:tc>
              <w:tc>
                <w:tcPr>
                  <w:tcW w:w="1418" w:type="dxa"/>
                  <w:vAlign w:val="center"/>
                </w:tcPr>
                <w:p>
                  <w:pPr>
                    <w:jc w:val="center"/>
                    <w:rPr>
                      <w:kern w:val="0"/>
                      <w:szCs w:val="21"/>
                    </w:rPr>
                  </w:pPr>
                  <w:r>
                    <w:rPr>
                      <w:kern w:val="0"/>
                      <w:szCs w:val="21"/>
                    </w:rPr>
                    <w:t>NOx</w:t>
                  </w:r>
                </w:p>
              </w:tc>
              <w:tc>
                <w:tcPr>
                  <w:tcW w:w="1416" w:type="dxa"/>
                  <w:vAlign w:val="center"/>
                </w:tcPr>
                <w:p>
                  <w:pPr>
                    <w:jc w:val="center"/>
                    <w:rPr>
                      <w:kern w:val="0"/>
                      <w:szCs w:val="21"/>
                    </w:rPr>
                  </w:pPr>
                  <w:r>
                    <w:rPr>
                      <w:rFonts w:hint="eastAsia"/>
                      <w:kern w:val="0"/>
                      <w:szCs w:val="21"/>
                    </w:rPr>
                    <w:t>实测法</w:t>
                  </w:r>
                </w:p>
              </w:tc>
              <w:tc>
                <w:tcPr>
                  <w:tcW w:w="1416" w:type="dxa"/>
                  <w:vAlign w:val="center"/>
                </w:tcPr>
                <w:p>
                  <w:pPr>
                    <w:jc w:val="center"/>
                    <w:rPr>
                      <w:color w:val="4F81BD" w:themeColor="accent1"/>
                      <w:kern w:val="0"/>
                      <w:szCs w:val="21"/>
                      <w14:textFill>
                        <w14:solidFill>
                          <w14:schemeClr w14:val="accent1"/>
                        </w14:solidFill>
                      </w14:textFill>
                    </w:rPr>
                  </w:pPr>
                  <w:r>
                    <w:rPr>
                      <w:rFonts w:hint="eastAsia"/>
                      <w:color w:val="4F81BD" w:themeColor="accent1"/>
                      <w:kern w:val="0"/>
                      <w:szCs w:val="21"/>
                      <w14:textFill>
                        <w14:solidFill>
                          <w14:schemeClr w14:val="accent1"/>
                        </w14:solidFill>
                      </w14:textFill>
                    </w:rPr>
                    <w:t>0</w:t>
                  </w:r>
                  <w:r>
                    <w:rPr>
                      <w:color w:val="4F81BD" w:themeColor="accent1"/>
                      <w:kern w:val="0"/>
                      <w:szCs w:val="21"/>
                      <w14:textFill>
                        <w14:solidFill>
                          <w14:schemeClr w14:val="accent1"/>
                        </w14:solidFill>
                      </w14:textFill>
                    </w:rPr>
                    <w:t>.615</w:t>
                  </w:r>
                </w:p>
              </w:tc>
              <w:tc>
                <w:tcPr>
                  <w:tcW w:w="1843" w:type="dxa"/>
                  <w:vAlign w:val="center"/>
                </w:tcPr>
                <w:p>
                  <w:pPr>
                    <w:jc w:val="center"/>
                    <w:rPr>
                      <w:color w:val="4F81BD" w:themeColor="accent1"/>
                      <w:kern w:val="0"/>
                      <w:szCs w:val="21"/>
                      <w14:textFill>
                        <w14:solidFill>
                          <w14:schemeClr w14:val="accent1"/>
                        </w14:solidFill>
                      </w14:textFill>
                    </w:rPr>
                  </w:pPr>
                  <w:r>
                    <w:rPr>
                      <w:rFonts w:hint="eastAsia"/>
                      <w:color w:val="4F81BD" w:themeColor="accent1"/>
                      <w:kern w:val="0"/>
                      <w:szCs w:val="21"/>
                      <w14:textFill>
                        <w14:solidFill>
                          <w14:schemeClr w14:val="accent1"/>
                        </w14:solidFill>
                      </w14:textFill>
                    </w:rPr>
                    <w:t>0</w:t>
                  </w:r>
                  <w:r>
                    <w:rPr>
                      <w:color w:val="4F81BD" w:themeColor="accent1"/>
                      <w:kern w:val="0"/>
                      <w:szCs w:val="21"/>
                      <w14:textFill>
                        <w14:solidFill>
                          <w14:schemeClr w14:val="accent1"/>
                        </w14:solidFill>
                      </w14:textFill>
                    </w:rPr>
                    <w:t>.183</w:t>
                  </w:r>
                </w:p>
              </w:tc>
              <w:tc>
                <w:tcPr>
                  <w:tcW w:w="1857" w:type="dxa"/>
                  <w:vAlign w:val="center"/>
                </w:tcPr>
                <w:p>
                  <w:pPr>
                    <w:jc w:val="center"/>
                    <w:rPr>
                      <w:color w:val="4F81BD" w:themeColor="accent1"/>
                      <w:kern w:val="0"/>
                      <w:szCs w:val="21"/>
                      <w14:textFill>
                        <w14:solidFill>
                          <w14:schemeClr w14:val="accent1"/>
                        </w14:solidFill>
                      </w14:textFill>
                    </w:rPr>
                  </w:pPr>
                  <w:r>
                    <w:rPr>
                      <w:color w:val="4F81BD" w:themeColor="accent1"/>
                      <w:kern w:val="0"/>
                      <w:szCs w:val="21"/>
                      <w14:textFill>
                        <w14:solidFill>
                          <w14:schemeClr w14:val="accent1"/>
                        </w14:solidFill>
                      </w14:textFill>
                    </w:rPr>
                    <w:t>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PrEx>
              <w:trPr>
                <w:trHeight w:val="696" w:hRule="atLeast"/>
                <w:jc w:val="center"/>
              </w:trPr>
              <w:tc>
                <w:tcPr>
                  <w:tcW w:w="988" w:type="dxa"/>
                  <w:vMerge w:val="continue"/>
                  <w:vAlign w:val="center"/>
                </w:tcPr>
                <w:p>
                  <w:pPr>
                    <w:pStyle w:val="81"/>
                    <w:rPr>
                      <w:color w:val="auto"/>
                    </w:rPr>
                  </w:pPr>
                </w:p>
              </w:tc>
              <w:tc>
                <w:tcPr>
                  <w:tcW w:w="1418" w:type="dxa"/>
                  <w:vAlign w:val="center"/>
                </w:tcPr>
                <w:p>
                  <w:pPr>
                    <w:jc w:val="center"/>
                    <w:rPr>
                      <w:kern w:val="0"/>
                      <w:szCs w:val="21"/>
                    </w:rPr>
                  </w:pPr>
                  <w:r>
                    <w:rPr>
                      <w:rFonts w:hint="eastAsia"/>
                      <w:kern w:val="0"/>
                      <w:szCs w:val="21"/>
                    </w:rPr>
                    <w:t>颗粒物</w:t>
                  </w:r>
                </w:p>
              </w:tc>
              <w:tc>
                <w:tcPr>
                  <w:tcW w:w="1416" w:type="dxa"/>
                  <w:vAlign w:val="center"/>
                </w:tcPr>
                <w:p>
                  <w:pPr>
                    <w:jc w:val="center"/>
                    <w:rPr>
                      <w:kern w:val="0"/>
                      <w:szCs w:val="21"/>
                    </w:rPr>
                  </w:pPr>
                  <w:r>
                    <w:rPr>
                      <w:rFonts w:hint="eastAsia"/>
                      <w:kern w:val="0"/>
                      <w:szCs w:val="21"/>
                    </w:rPr>
                    <w:t>实测法</w:t>
                  </w:r>
                </w:p>
              </w:tc>
              <w:tc>
                <w:tcPr>
                  <w:tcW w:w="1416" w:type="dxa"/>
                  <w:vAlign w:val="center"/>
                </w:tcPr>
                <w:p>
                  <w:pPr>
                    <w:jc w:val="center"/>
                    <w:rPr>
                      <w:kern w:val="0"/>
                      <w:szCs w:val="21"/>
                    </w:rPr>
                  </w:pPr>
                  <w:r>
                    <w:rPr>
                      <w:rFonts w:hint="eastAsia"/>
                      <w:kern w:val="0"/>
                      <w:szCs w:val="21"/>
                    </w:rPr>
                    <w:t>0</w:t>
                  </w:r>
                  <w:r>
                    <w:rPr>
                      <w:kern w:val="0"/>
                      <w:szCs w:val="21"/>
                    </w:rPr>
                    <w:t>.008</w:t>
                  </w:r>
                </w:p>
              </w:tc>
              <w:tc>
                <w:tcPr>
                  <w:tcW w:w="1843" w:type="dxa"/>
                  <w:vAlign w:val="center"/>
                </w:tcPr>
                <w:p>
                  <w:pPr>
                    <w:jc w:val="center"/>
                    <w:rPr>
                      <w:kern w:val="0"/>
                      <w:szCs w:val="21"/>
                    </w:rPr>
                  </w:pPr>
                  <w:r>
                    <w:rPr>
                      <w:rFonts w:hint="eastAsia"/>
                      <w:kern w:val="0"/>
                      <w:szCs w:val="21"/>
                    </w:rPr>
                    <w:t>0</w:t>
                  </w:r>
                  <w:r>
                    <w:rPr>
                      <w:kern w:val="0"/>
                      <w:szCs w:val="21"/>
                    </w:rPr>
                    <w:t>.00233</w:t>
                  </w:r>
                </w:p>
              </w:tc>
              <w:tc>
                <w:tcPr>
                  <w:tcW w:w="1857" w:type="dxa"/>
                  <w:vAlign w:val="center"/>
                </w:tcPr>
                <w:p>
                  <w:pPr>
                    <w:widowControl/>
                    <w:jc w:val="center"/>
                    <w:rPr>
                      <w:kern w:val="0"/>
                      <w:szCs w:val="21"/>
                    </w:rPr>
                  </w:pPr>
                  <w:r>
                    <w:rPr>
                      <w:rFonts w:hint="eastAsia"/>
                      <w:kern w:val="0"/>
                      <w:szCs w:val="21"/>
                    </w:rPr>
                    <w:t>4</w:t>
                  </w:r>
                  <w:r>
                    <w:rPr>
                      <w:kern w:val="0"/>
                      <w:szCs w:val="21"/>
                    </w:rPr>
                    <w:t>.8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96" w:hRule="atLeast"/>
                <w:jc w:val="center"/>
              </w:trPr>
              <w:tc>
                <w:tcPr>
                  <w:tcW w:w="988" w:type="dxa"/>
                  <w:vMerge w:val="continue"/>
                  <w:vAlign w:val="center"/>
                </w:tcPr>
                <w:p>
                  <w:pPr>
                    <w:pStyle w:val="81"/>
                    <w:rPr>
                      <w:color w:val="auto"/>
                    </w:rPr>
                  </w:pPr>
                </w:p>
              </w:tc>
              <w:tc>
                <w:tcPr>
                  <w:tcW w:w="1418" w:type="dxa"/>
                  <w:vAlign w:val="center"/>
                </w:tcPr>
                <w:p>
                  <w:pPr>
                    <w:jc w:val="center"/>
                    <w:rPr>
                      <w:kern w:val="0"/>
                      <w:szCs w:val="21"/>
                    </w:rPr>
                  </w:pPr>
                  <w:r>
                    <w:rPr>
                      <w:rFonts w:hint="eastAsia"/>
                      <w:kern w:val="0"/>
                      <w:szCs w:val="21"/>
                    </w:rPr>
                    <w:t>烟气黑度</w:t>
                  </w:r>
                </w:p>
              </w:tc>
              <w:tc>
                <w:tcPr>
                  <w:tcW w:w="1416" w:type="dxa"/>
                  <w:vAlign w:val="center"/>
                </w:tcPr>
                <w:p>
                  <w:pPr>
                    <w:jc w:val="center"/>
                    <w:rPr>
                      <w:kern w:val="0"/>
                      <w:szCs w:val="21"/>
                    </w:rPr>
                  </w:pPr>
                  <w:r>
                    <w:rPr>
                      <w:rFonts w:hint="eastAsia"/>
                      <w:kern w:val="0"/>
                      <w:szCs w:val="21"/>
                    </w:rPr>
                    <w:t>实测法</w:t>
                  </w:r>
                </w:p>
              </w:tc>
              <w:tc>
                <w:tcPr>
                  <w:tcW w:w="5116" w:type="dxa"/>
                  <w:gridSpan w:val="3"/>
                  <w:vAlign w:val="center"/>
                </w:tcPr>
                <w:p>
                  <w:pPr>
                    <w:widowControl/>
                    <w:jc w:val="center"/>
                    <w:rPr>
                      <w:kern w:val="0"/>
                      <w:szCs w:val="21"/>
                    </w:rPr>
                  </w:pPr>
                  <w:r>
                    <w:rPr>
                      <w:rFonts w:hint="eastAsia"/>
                      <w:kern w:val="0"/>
                      <w:szCs w:val="21"/>
                    </w:rPr>
                    <w:t>＜</w:t>
                  </w:r>
                  <w:r>
                    <w:rPr>
                      <w:kern w:val="0"/>
                      <w:szCs w:val="21"/>
                    </w:rPr>
                    <w:t>1</w:t>
                  </w:r>
                  <w:r>
                    <w:rPr>
                      <w:rFonts w:hint="eastAsia"/>
                      <w:kern w:val="0"/>
                      <w:szCs w:val="21"/>
                    </w:rPr>
                    <w:t>（无量纲）</w:t>
                  </w:r>
                </w:p>
              </w:tc>
            </w:tr>
          </w:tbl>
          <w:p>
            <w:pPr>
              <w:tabs>
                <w:tab w:val="center" w:pos="4736"/>
              </w:tabs>
              <w:spacing w:line="460" w:lineRule="exact"/>
              <w:ind w:firstLine="480" w:firstLineChars="200"/>
              <w:rPr>
                <w:bCs/>
                <w:sz w:val="24"/>
              </w:rPr>
            </w:pPr>
            <w:r>
              <w:rPr>
                <w:rFonts w:hint="eastAsia"/>
                <w:bCs/>
                <w:sz w:val="24"/>
              </w:rPr>
              <w:t>由上表可知，锅炉烟气污染物SO</w:t>
            </w:r>
            <w:r>
              <w:rPr>
                <w:rFonts w:hint="eastAsia"/>
                <w:bCs/>
                <w:sz w:val="24"/>
                <w:vertAlign w:val="subscript"/>
              </w:rPr>
              <w:t>2</w:t>
            </w:r>
            <w:r>
              <w:rPr>
                <w:rFonts w:hint="eastAsia"/>
                <w:bCs/>
                <w:sz w:val="24"/>
              </w:rPr>
              <w:t>、颗粒物排放浓度均满足《锅炉大气污染物排放标准》(GB13271-2014)规定的大气污染物特别排放限值的要求。NOx排放浓度满足《关于开展自治区202</w:t>
            </w:r>
            <w:r>
              <w:rPr>
                <w:bCs/>
                <w:sz w:val="24"/>
              </w:rPr>
              <w:t>2</w:t>
            </w:r>
            <w:r>
              <w:rPr>
                <w:rFonts w:hint="eastAsia"/>
                <w:bCs/>
                <w:sz w:val="24"/>
              </w:rPr>
              <w:t>年度夏秋季大气污染防治“冬病夏治”工作的通知》中50mg/m</w:t>
            </w:r>
            <w:r>
              <w:rPr>
                <w:rFonts w:hint="eastAsia"/>
                <w:bCs/>
                <w:sz w:val="24"/>
                <w:vertAlign w:val="superscript"/>
              </w:rPr>
              <w:t>3</w:t>
            </w:r>
            <w:r>
              <w:rPr>
                <w:rFonts w:hint="eastAsia"/>
                <w:bCs/>
                <w:sz w:val="24"/>
              </w:rPr>
              <w:t>的要求，同时满足《锅炉大气污染物排放标准》(GB13271-2014)规定的大气污染物特别排放限值的要求。</w:t>
            </w:r>
          </w:p>
          <w:p>
            <w:pPr>
              <w:tabs>
                <w:tab w:val="center" w:pos="4736"/>
              </w:tabs>
              <w:spacing w:line="460" w:lineRule="exact"/>
              <w:ind w:firstLine="480" w:firstLineChars="200"/>
              <w:rPr>
                <w:bCs/>
                <w:color w:val="FF0000"/>
                <w:sz w:val="24"/>
              </w:rPr>
            </w:pPr>
            <w:bookmarkStart w:id="27" w:name="_Hlk147769662"/>
            <w:r>
              <w:rPr>
                <w:rFonts w:hint="eastAsia"/>
                <w:bCs/>
                <w:color w:val="FF0000"/>
                <w:sz w:val="24"/>
              </w:rPr>
              <w:t>根据现场勘查及查阅资料，企业常用4t/h锅炉以及备用2t/h锅炉均采取低氮燃烧+烟气再循环技术，烟气排放均可满足《锅炉大气污染物排放标准》(GB13271-2014)规定的大气污染物特别排放限值的要求，NOx排放浓度满足《关于开展自治区202</w:t>
            </w:r>
            <w:r>
              <w:rPr>
                <w:bCs/>
                <w:color w:val="FF0000"/>
                <w:sz w:val="24"/>
              </w:rPr>
              <w:t>2</w:t>
            </w:r>
            <w:r>
              <w:rPr>
                <w:rFonts w:hint="eastAsia"/>
                <w:bCs/>
                <w:color w:val="FF0000"/>
                <w:sz w:val="24"/>
              </w:rPr>
              <w:t>年度夏秋季大气污染防治“冬病夏治”工作的通知》中50mg/m</w:t>
            </w:r>
            <w:r>
              <w:rPr>
                <w:rFonts w:hint="eastAsia"/>
                <w:bCs/>
                <w:color w:val="FF0000"/>
                <w:sz w:val="24"/>
                <w:vertAlign w:val="superscript"/>
              </w:rPr>
              <w:t>3</w:t>
            </w:r>
            <w:r>
              <w:rPr>
                <w:rFonts w:hint="eastAsia"/>
                <w:bCs/>
                <w:color w:val="FF0000"/>
                <w:sz w:val="24"/>
              </w:rPr>
              <w:t>的要求，同时满足《锅炉大气污染物排放标准》(GB13271-2014)规定的大气污染物特别排放限值的要求。</w:t>
            </w:r>
          </w:p>
          <w:bookmarkEnd w:id="27"/>
          <w:p>
            <w:pPr>
              <w:pStyle w:val="77"/>
              <w:spacing w:line="460" w:lineRule="exact"/>
              <w:ind w:firstLine="480"/>
            </w:pPr>
            <w:r>
              <w:rPr>
                <w:rFonts w:hint="eastAsia"/>
              </w:rPr>
              <w:t>（</w:t>
            </w:r>
            <w:r>
              <w:t>2</w:t>
            </w:r>
            <w:r>
              <w:rPr>
                <w:rFonts w:hint="eastAsia"/>
              </w:rPr>
              <w:t>）污水处理站废气</w:t>
            </w:r>
          </w:p>
          <w:p>
            <w:pPr>
              <w:pStyle w:val="77"/>
              <w:spacing w:line="460" w:lineRule="exact"/>
              <w:ind w:firstLine="480"/>
            </w:pPr>
            <w:r>
              <w:rPr>
                <w:rFonts w:hint="eastAsia"/>
              </w:rPr>
              <w:t xml:space="preserve">根据《排污许可证申请与核发技术规范 </w:t>
            </w:r>
            <w:r>
              <w:t>食品制造工业—</w:t>
            </w:r>
            <w:r>
              <w:rPr>
                <w:rFonts w:hint="eastAsia"/>
              </w:rPr>
              <w:t>乳制品制造工业》（H</w:t>
            </w:r>
            <w:r>
              <w:t>J 1030.1-2019</w:t>
            </w:r>
            <w:r>
              <w:rPr>
                <w:rFonts w:hint="eastAsia"/>
              </w:rPr>
              <w:t>）中表3乳制品制造工业排污单位废气产污环节、污染控制项目、排放形式及污染防治设施一览表，厂内污水处理站废气主要为污水处理机污泥处理和堆放废气，污染物主要为臭气浓度。因本项目污水处理站已建成运行，故本次评价采取企业自行监测报告中的废气监测结果，详见下表。</w:t>
            </w:r>
          </w:p>
          <w:p>
            <w:pPr>
              <w:pStyle w:val="106"/>
              <w:rPr>
                <w:color w:val="auto"/>
              </w:rPr>
            </w:pPr>
            <w:r>
              <w:rPr>
                <w:rFonts w:hint="eastAsia"/>
                <w:color w:val="auto"/>
              </w:rPr>
              <w:t>表4-</w:t>
            </w:r>
            <w:r>
              <w:rPr>
                <w:color w:val="auto"/>
              </w:rPr>
              <w:t>5</w:t>
            </w:r>
            <w:r>
              <w:rPr>
                <w:rFonts w:hint="eastAsia"/>
                <w:color w:val="auto"/>
              </w:rPr>
              <w:t xml:space="preserve">             污水处理站臭气浓度监测结果一览表</w:t>
            </w:r>
          </w:p>
          <w:tbl>
            <w:tblPr>
              <w:tblStyle w:val="47"/>
              <w:tblW w:w="893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98"/>
              <w:gridCol w:w="1564"/>
              <w:gridCol w:w="1586"/>
              <w:gridCol w:w="1444"/>
              <w:gridCol w:w="1527"/>
              <w:gridCol w:w="151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747" w:hRule="atLeast"/>
                <w:jc w:val="center"/>
              </w:trPr>
              <w:tc>
                <w:tcPr>
                  <w:tcW w:w="1298" w:type="dxa"/>
                  <w:vAlign w:val="center"/>
                </w:tcPr>
                <w:p>
                  <w:pPr>
                    <w:pStyle w:val="81"/>
                    <w:rPr>
                      <w:color w:val="auto"/>
                    </w:rPr>
                  </w:pPr>
                  <w:r>
                    <w:rPr>
                      <w:rFonts w:hint="eastAsia"/>
                      <w:color w:val="auto"/>
                    </w:rPr>
                    <w:t>污染源</w:t>
                  </w:r>
                </w:p>
              </w:tc>
              <w:tc>
                <w:tcPr>
                  <w:tcW w:w="1564" w:type="dxa"/>
                  <w:vAlign w:val="center"/>
                </w:tcPr>
                <w:p>
                  <w:pPr>
                    <w:pStyle w:val="81"/>
                    <w:rPr>
                      <w:color w:val="auto"/>
                    </w:rPr>
                  </w:pPr>
                  <w:r>
                    <w:rPr>
                      <w:rFonts w:hint="eastAsia"/>
                      <w:color w:val="auto"/>
                    </w:rPr>
                    <w:t>采样点位</w:t>
                  </w:r>
                </w:p>
              </w:tc>
              <w:tc>
                <w:tcPr>
                  <w:tcW w:w="1586" w:type="dxa"/>
                  <w:vAlign w:val="center"/>
                </w:tcPr>
                <w:p>
                  <w:pPr>
                    <w:widowControl/>
                    <w:jc w:val="center"/>
                    <w:rPr>
                      <w:kern w:val="0"/>
                      <w:szCs w:val="21"/>
                    </w:rPr>
                  </w:pPr>
                  <w:r>
                    <w:rPr>
                      <w:rFonts w:hint="eastAsia"/>
                      <w:kern w:val="0"/>
                      <w:szCs w:val="21"/>
                    </w:rPr>
                    <w:t>监测时间</w:t>
                  </w:r>
                </w:p>
              </w:tc>
              <w:tc>
                <w:tcPr>
                  <w:tcW w:w="1444" w:type="dxa"/>
                  <w:vAlign w:val="center"/>
                </w:tcPr>
                <w:p>
                  <w:pPr>
                    <w:widowControl/>
                    <w:jc w:val="center"/>
                    <w:rPr>
                      <w:kern w:val="0"/>
                      <w:szCs w:val="21"/>
                    </w:rPr>
                  </w:pPr>
                  <w:r>
                    <w:rPr>
                      <w:rFonts w:hint="eastAsia"/>
                      <w:kern w:val="0"/>
                      <w:szCs w:val="21"/>
                    </w:rPr>
                    <w:t>监测项目</w:t>
                  </w:r>
                </w:p>
              </w:tc>
              <w:tc>
                <w:tcPr>
                  <w:tcW w:w="1527" w:type="dxa"/>
                  <w:vAlign w:val="center"/>
                </w:tcPr>
                <w:p>
                  <w:pPr>
                    <w:widowControl/>
                    <w:jc w:val="center"/>
                    <w:rPr>
                      <w:kern w:val="0"/>
                      <w:szCs w:val="21"/>
                    </w:rPr>
                  </w:pPr>
                  <w:r>
                    <w:rPr>
                      <w:rFonts w:hint="eastAsia"/>
                      <w:kern w:val="0"/>
                      <w:szCs w:val="21"/>
                    </w:rPr>
                    <w:t>单位</w:t>
                  </w:r>
                </w:p>
              </w:tc>
              <w:tc>
                <w:tcPr>
                  <w:tcW w:w="1519" w:type="dxa"/>
                  <w:vAlign w:val="center"/>
                </w:tcPr>
                <w:p>
                  <w:pPr>
                    <w:widowControl/>
                    <w:jc w:val="center"/>
                    <w:rPr>
                      <w:kern w:val="0"/>
                      <w:szCs w:val="21"/>
                    </w:rPr>
                  </w:pPr>
                  <w:r>
                    <w:rPr>
                      <w:rFonts w:hint="eastAsia"/>
                      <w:kern w:val="0"/>
                      <w:szCs w:val="21"/>
                    </w:rPr>
                    <w:t>结果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1298" w:type="dxa"/>
                  <w:vMerge w:val="restart"/>
                  <w:vAlign w:val="center"/>
                </w:tcPr>
                <w:p>
                  <w:pPr>
                    <w:pStyle w:val="81"/>
                    <w:rPr>
                      <w:color w:val="auto"/>
                    </w:rPr>
                  </w:pPr>
                  <w:r>
                    <w:rPr>
                      <w:rFonts w:hint="eastAsia"/>
                      <w:color w:val="auto"/>
                    </w:rPr>
                    <w:t>污水处理站</w:t>
                  </w:r>
                </w:p>
              </w:tc>
              <w:tc>
                <w:tcPr>
                  <w:tcW w:w="1564" w:type="dxa"/>
                  <w:vAlign w:val="center"/>
                </w:tcPr>
                <w:p>
                  <w:pPr>
                    <w:jc w:val="center"/>
                    <w:rPr>
                      <w:kern w:val="0"/>
                      <w:szCs w:val="21"/>
                    </w:rPr>
                  </w:pPr>
                  <w:r>
                    <w:rPr>
                      <w:rFonts w:hint="eastAsia"/>
                      <w:kern w:val="0"/>
                      <w:szCs w:val="21"/>
                    </w:rPr>
                    <w:t>厂界上风向</w:t>
                  </w:r>
                </w:p>
              </w:tc>
              <w:tc>
                <w:tcPr>
                  <w:tcW w:w="1586" w:type="dxa"/>
                  <w:vAlign w:val="center"/>
                </w:tcPr>
                <w:p>
                  <w:pPr>
                    <w:jc w:val="center"/>
                    <w:rPr>
                      <w:kern w:val="0"/>
                      <w:szCs w:val="21"/>
                    </w:rPr>
                  </w:pPr>
                  <w:r>
                    <w:rPr>
                      <w:rFonts w:hint="eastAsia"/>
                      <w:kern w:val="0"/>
                      <w:szCs w:val="21"/>
                    </w:rPr>
                    <w:t>2</w:t>
                  </w:r>
                  <w:r>
                    <w:rPr>
                      <w:kern w:val="0"/>
                      <w:szCs w:val="21"/>
                    </w:rPr>
                    <w:t>023.1.9</w:t>
                  </w:r>
                </w:p>
              </w:tc>
              <w:tc>
                <w:tcPr>
                  <w:tcW w:w="1444" w:type="dxa"/>
                  <w:vMerge w:val="restart"/>
                  <w:vAlign w:val="center"/>
                </w:tcPr>
                <w:p>
                  <w:pPr>
                    <w:jc w:val="center"/>
                    <w:rPr>
                      <w:kern w:val="0"/>
                      <w:szCs w:val="21"/>
                    </w:rPr>
                  </w:pPr>
                  <w:r>
                    <w:rPr>
                      <w:rFonts w:hint="eastAsia"/>
                      <w:kern w:val="0"/>
                      <w:szCs w:val="21"/>
                    </w:rPr>
                    <w:t>臭气浓度</w:t>
                  </w:r>
                </w:p>
              </w:tc>
              <w:tc>
                <w:tcPr>
                  <w:tcW w:w="1527" w:type="dxa"/>
                  <w:vMerge w:val="restart"/>
                  <w:vAlign w:val="center"/>
                </w:tcPr>
                <w:p>
                  <w:pPr>
                    <w:jc w:val="center"/>
                    <w:rPr>
                      <w:kern w:val="0"/>
                      <w:szCs w:val="21"/>
                    </w:rPr>
                  </w:pPr>
                  <w:r>
                    <w:rPr>
                      <w:rFonts w:hint="eastAsia"/>
                      <w:kern w:val="0"/>
                      <w:szCs w:val="21"/>
                    </w:rPr>
                    <w:t>无量纲</w:t>
                  </w:r>
                </w:p>
              </w:tc>
              <w:tc>
                <w:tcPr>
                  <w:tcW w:w="1519" w:type="dxa"/>
                  <w:vAlign w:val="center"/>
                </w:tcPr>
                <w:p>
                  <w:pPr>
                    <w:jc w:val="center"/>
                    <w:rPr>
                      <w:kern w:val="0"/>
                      <w:szCs w:val="21"/>
                    </w:rPr>
                  </w:pPr>
                  <w:r>
                    <w:rPr>
                      <w:rFonts w:hint="eastAsia"/>
                      <w:kern w:val="0"/>
                      <w:szCs w:val="21"/>
                    </w:rPr>
                    <w:t>＜1</w:t>
                  </w:r>
                  <w:r>
                    <w:rPr>
                      <w:kern w:val="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1298" w:type="dxa"/>
                  <w:vMerge w:val="continue"/>
                  <w:vAlign w:val="center"/>
                </w:tcPr>
                <w:p>
                  <w:pPr>
                    <w:pStyle w:val="81"/>
                    <w:rPr>
                      <w:color w:val="auto"/>
                    </w:rPr>
                  </w:pPr>
                </w:p>
              </w:tc>
              <w:tc>
                <w:tcPr>
                  <w:tcW w:w="1564" w:type="dxa"/>
                  <w:vAlign w:val="center"/>
                </w:tcPr>
                <w:p>
                  <w:pPr>
                    <w:jc w:val="center"/>
                    <w:rPr>
                      <w:kern w:val="0"/>
                      <w:szCs w:val="21"/>
                    </w:rPr>
                  </w:pPr>
                  <w:r>
                    <w:rPr>
                      <w:rFonts w:hint="eastAsia"/>
                      <w:kern w:val="0"/>
                      <w:szCs w:val="21"/>
                    </w:rPr>
                    <w:t>厂界下风向1</w:t>
                  </w:r>
                </w:p>
              </w:tc>
              <w:tc>
                <w:tcPr>
                  <w:tcW w:w="1586" w:type="dxa"/>
                  <w:vAlign w:val="center"/>
                </w:tcPr>
                <w:p>
                  <w:pPr>
                    <w:jc w:val="center"/>
                    <w:rPr>
                      <w:kern w:val="0"/>
                      <w:szCs w:val="21"/>
                    </w:rPr>
                  </w:pPr>
                  <w:r>
                    <w:rPr>
                      <w:rFonts w:hint="eastAsia"/>
                      <w:kern w:val="0"/>
                      <w:szCs w:val="21"/>
                    </w:rPr>
                    <w:t>2</w:t>
                  </w:r>
                  <w:r>
                    <w:rPr>
                      <w:kern w:val="0"/>
                      <w:szCs w:val="21"/>
                    </w:rPr>
                    <w:t>023.1.9</w:t>
                  </w:r>
                </w:p>
              </w:tc>
              <w:tc>
                <w:tcPr>
                  <w:tcW w:w="1444" w:type="dxa"/>
                  <w:vMerge w:val="continue"/>
                  <w:vAlign w:val="center"/>
                </w:tcPr>
                <w:p>
                  <w:pPr>
                    <w:jc w:val="center"/>
                    <w:rPr>
                      <w:kern w:val="0"/>
                      <w:szCs w:val="21"/>
                    </w:rPr>
                  </w:pPr>
                </w:p>
              </w:tc>
              <w:tc>
                <w:tcPr>
                  <w:tcW w:w="1527" w:type="dxa"/>
                  <w:vMerge w:val="continue"/>
                  <w:vAlign w:val="center"/>
                </w:tcPr>
                <w:p>
                  <w:pPr>
                    <w:jc w:val="center"/>
                    <w:rPr>
                      <w:kern w:val="0"/>
                      <w:szCs w:val="21"/>
                    </w:rPr>
                  </w:pPr>
                </w:p>
              </w:tc>
              <w:tc>
                <w:tcPr>
                  <w:tcW w:w="1519" w:type="dxa"/>
                  <w:vAlign w:val="center"/>
                </w:tcPr>
                <w:p>
                  <w:pPr>
                    <w:jc w:val="center"/>
                    <w:rPr>
                      <w:kern w:val="0"/>
                      <w:szCs w:val="21"/>
                    </w:rPr>
                  </w:pPr>
                  <w:r>
                    <w:rPr>
                      <w:rFonts w:hint="eastAsia"/>
                      <w:kern w:val="0"/>
                      <w:szCs w:val="21"/>
                    </w:rPr>
                    <w:t>＜1</w:t>
                  </w:r>
                  <w:r>
                    <w:rPr>
                      <w:kern w:val="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1298" w:type="dxa"/>
                  <w:vMerge w:val="continue"/>
                  <w:vAlign w:val="center"/>
                </w:tcPr>
                <w:p>
                  <w:pPr>
                    <w:pStyle w:val="81"/>
                    <w:rPr>
                      <w:color w:val="auto"/>
                    </w:rPr>
                  </w:pPr>
                </w:p>
              </w:tc>
              <w:tc>
                <w:tcPr>
                  <w:tcW w:w="1564" w:type="dxa"/>
                  <w:vAlign w:val="center"/>
                </w:tcPr>
                <w:p>
                  <w:pPr>
                    <w:jc w:val="center"/>
                    <w:rPr>
                      <w:kern w:val="0"/>
                      <w:szCs w:val="21"/>
                    </w:rPr>
                  </w:pPr>
                  <w:r>
                    <w:rPr>
                      <w:rFonts w:hint="eastAsia"/>
                      <w:kern w:val="0"/>
                      <w:szCs w:val="21"/>
                    </w:rPr>
                    <w:t>厂界下风向</w:t>
                  </w:r>
                  <w:r>
                    <w:rPr>
                      <w:kern w:val="0"/>
                      <w:szCs w:val="21"/>
                    </w:rPr>
                    <w:t>2</w:t>
                  </w:r>
                </w:p>
              </w:tc>
              <w:tc>
                <w:tcPr>
                  <w:tcW w:w="1586" w:type="dxa"/>
                  <w:vAlign w:val="center"/>
                </w:tcPr>
                <w:p>
                  <w:pPr>
                    <w:jc w:val="center"/>
                    <w:rPr>
                      <w:kern w:val="0"/>
                      <w:szCs w:val="21"/>
                    </w:rPr>
                  </w:pPr>
                  <w:r>
                    <w:rPr>
                      <w:rFonts w:hint="eastAsia"/>
                      <w:kern w:val="0"/>
                      <w:szCs w:val="21"/>
                    </w:rPr>
                    <w:t>2</w:t>
                  </w:r>
                  <w:r>
                    <w:rPr>
                      <w:kern w:val="0"/>
                      <w:szCs w:val="21"/>
                    </w:rPr>
                    <w:t>023.1.9</w:t>
                  </w:r>
                </w:p>
              </w:tc>
              <w:tc>
                <w:tcPr>
                  <w:tcW w:w="1444" w:type="dxa"/>
                  <w:vMerge w:val="continue"/>
                  <w:vAlign w:val="center"/>
                </w:tcPr>
                <w:p>
                  <w:pPr>
                    <w:jc w:val="center"/>
                    <w:rPr>
                      <w:kern w:val="0"/>
                      <w:szCs w:val="21"/>
                    </w:rPr>
                  </w:pPr>
                </w:p>
              </w:tc>
              <w:tc>
                <w:tcPr>
                  <w:tcW w:w="1527" w:type="dxa"/>
                  <w:vMerge w:val="continue"/>
                  <w:vAlign w:val="center"/>
                </w:tcPr>
                <w:p>
                  <w:pPr>
                    <w:jc w:val="center"/>
                    <w:rPr>
                      <w:kern w:val="0"/>
                      <w:szCs w:val="21"/>
                    </w:rPr>
                  </w:pPr>
                </w:p>
              </w:tc>
              <w:tc>
                <w:tcPr>
                  <w:tcW w:w="1519" w:type="dxa"/>
                  <w:vAlign w:val="center"/>
                </w:tcPr>
                <w:p>
                  <w:pPr>
                    <w:jc w:val="center"/>
                    <w:rPr>
                      <w:kern w:val="0"/>
                      <w:szCs w:val="21"/>
                    </w:rPr>
                  </w:pPr>
                  <w:r>
                    <w:rPr>
                      <w:rFonts w:hint="eastAsia"/>
                      <w:kern w:val="0"/>
                      <w:szCs w:val="21"/>
                    </w:rPr>
                    <w:t>＜1</w:t>
                  </w:r>
                  <w:r>
                    <w:rPr>
                      <w:kern w:val="0"/>
                      <w:szCs w:val="21"/>
                    </w:rPr>
                    <w:t>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1298" w:type="dxa"/>
                  <w:vMerge w:val="continue"/>
                  <w:vAlign w:val="center"/>
                </w:tcPr>
                <w:p>
                  <w:pPr>
                    <w:pStyle w:val="81"/>
                    <w:rPr>
                      <w:color w:val="auto"/>
                    </w:rPr>
                  </w:pPr>
                </w:p>
              </w:tc>
              <w:tc>
                <w:tcPr>
                  <w:tcW w:w="1564" w:type="dxa"/>
                  <w:vAlign w:val="center"/>
                </w:tcPr>
                <w:p>
                  <w:pPr>
                    <w:jc w:val="center"/>
                    <w:rPr>
                      <w:kern w:val="0"/>
                      <w:szCs w:val="21"/>
                    </w:rPr>
                  </w:pPr>
                  <w:r>
                    <w:rPr>
                      <w:rFonts w:hint="eastAsia"/>
                      <w:kern w:val="0"/>
                      <w:szCs w:val="21"/>
                    </w:rPr>
                    <w:t>厂界下风向</w:t>
                  </w:r>
                  <w:r>
                    <w:rPr>
                      <w:kern w:val="0"/>
                      <w:szCs w:val="21"/>
                    </w:rPr>
                    <w:t>3</w:t>
                  </w:r>
                </w:p>
              </w:tc>
              <w:tc>
                <w:tcPr>
                  <w:tcW w:w="1586" w:type="dxa"/>
                  <w:vAlign w:val="center"/>
                </w:tcPr>
                <w:p>
                  <w:pPr>
                    <w:jc w:val="center"/>
                    <w:rPr>
                      <w:kern w:val="0"/>
                      <w:szCs w:val="21"/>
                    </w:rPr>
                  </w:pPr>
                  <w:r>
                    <w:rPr>
                      <w:rFonts w:hint="eastAsia"/>
                      <w:kern w:val="0"/>
                      <w:szCs w:val="21"/>
                    </w:rPr>
                    <w:t>2</w:t>
                  </w:r>
                  <w:r>
                    <w:rPr>
                      <w:kern w:val="0"/>
                      <w:szCs w:val="21"/>
                    </w:rPr>
                    <w:t>023.1.9</w:t>
                  </w:r>
                </w:p>
              </w:tc>
              <w:tc>
                <w:tcPr>
                  <w:tcW w:w="1444" w:type="dxa"/>
                  <w:vMerge w:val="continue"/>
                  <w:vAlign w:val="center"/>
                </w:tcPr>
                <w:p>
                  <w:pPr>
                    <w:jc w:val="center"/>
                    <w:rPr>
                      <w:kern w:val="0"/>
                      <w:szCs w:val="21"/>
                    </w:rPr>
                  </w:pPr>
                </w:p>
              </w:tc>
              <w:tc>
                <w:tcPr>
                  <w:tcW w:w="1527" w:type="dxa"/>
                  <w:vMerge w:val="continue"/>
                  <w:vAlign w:val="center"/>
                </w:tcPr>
                <w:p>
                  <w:pPr>
                    <w:jc w:val="center"/>
                    <w:rPr>
                      <w:kern w:val="0"/>
                      <w:szCs w:val="21"/>
                    </w:rPr>
                  </w:pPr>
                </w:p>
              </w:tc>
              <w:tc>
                <w:tcPr>
                  <w:tcW w:w="1519" w:type="dxa"/>
                  <w:vAlign w:val="center"/>
                </w:tcPr>
                <w:p>
                  <w:pPr>
                    <w:jc w:val="center"/>
                    <w:rPr>
                      <w:kern w:val="0"/>
                      <w:szCs w:val="21"/>
                    </w:rPr>
                  </w:pPr>
                  <w:r>
                    <w:rPr>
                      <w:rFonts w:hint="eastAsia"/>
                      <w:kern w:val="0"/>
                      <w:szCs w:val="21"/>
                    </w:rPr>
                    <w:t>＜1</w:t>
                  </w:r>
                  <w:r>
                    <w:rPr>
                      <w:kern w:val="0"/>
                      <w:szCs w:val="21"/>
                    </w:rPr>
                    <w:t>0</w:t>
                  </w:r>
                </w:p>
              </w:tc>
            </w:tr>
          </w:tbl>
          <w:p>
            <w:pPr>
              <w:pStyle w:val="77"/>
              <w:spacing w:line="460" w:lineRule="exact"/>
              <w:ind w:firstLine="480"/>
            </w:pPr>
            <w:r>
              <w:rPr>
                <w:rFonts w:hint="eastAsia"/>
              </w:rPr>
              <w:t>由上表可知，项目污水处理站运行后，臭气浓度满足《恶臭污染物排放标准》（G</w:t>
            </w:r>
            <w:r>
              <w:t>B 14554-93</w:t>
            </w:r>
            <w:r>
              <w:rPr>
                <w:rFonts w:hint="eastAsia"/>
              </w:rPr>
              <w:t>）中表1恶臭污染物厂界二级标准限值（2</w:t>
            </w:r>
            <w:r>
              <w:t>0</w:t>
            </w:r>
            <w:r>
              <w:rPr>
                <w:rFonts w:hint="eastAsia"/>
              </w:rPr>
              <w:t>无量纲）。</w:t>
            </w:r>
          </w:p>
          <w:p>
            <w:pPr>
              <w:tabs>
                <w:tab w:val="center" w:pos="4736"/>
              </w:tabs>
              <w:spacing w:line="460" w:lineRule="exact"/>
              <w:ind w:firstLine="360" w:firstLineChars="150"/>
              <w:rPr>
                <w:bCs/>
                <w:color w:val="4F81BD" w:themeColor="accent1"/>
                <w:sz w:val="24"/>
                <w14:textFill>
                  <w14:solidFill>
                    <w14:schemeClr w14:val="accent1"/>
                  </w14:solidFill>
                </w14:textFill>
              </w:rPr>
            </w:pPr>
            <w:r>
              <w:rPr>
                <w:rFonts w:hint="eastAsia"/>
                <w:bCs/>
                <w:color w:val="4F81BD" w:themeColor="accent1"/>
                <w:sz w:val="24"/>
                <w14:textFill>
                  <w14:solidFill>
                    <w14:schemeClr w14:val="accent1"/>
                  </w14:solidFill>
                </w14:textFill>
              </w:rPr>
              <w:t>2、防治措施可行性分析</w:t>
            </w:r>
          </w:p>
          <w:p>
            <w:pPr>
              <w:spacing w:line="460" w:lineRule="exact"/>
              <w:ind w:firstLine="480" w:firstLineChars="200"/>
              <w:rPr>
                <w:bCs/>
                <w:color w:val="4F81BD" w:themeColor="accent1"/>
                <w:sz w:val="24"/>
                <w14:textFill>
                  <w14:solidFill>
                    <w14:schemeClr w14:val="accent1"/>
                  </w14:solidFill>
                </w14:textFill>
              </w:rPr>
            </w:pPr>
            <w:r>
              <w:rPr>
                <w:rFonts w:hint="eastAsia"/>
                <w:bCs/>
                <w:color w:val="4F81BD" w:themeColor="accent1"/>
                <w:sz w:val="24"/>
                <w14:textFill>
                  <w14:solidFill>
                    <w14:schemeClr w14:val="accent1"/>
                  </w14:solidFill>
                </w14:textFill>
              </w:rPr>
              <w:t>①锅炉烟气防治措施</w:t>
            </w:r>
          </w:p>
          <w:p>
            <w:pPr>
              <w:spacing w:line="460" w:lineRule="exact"/>
              <w:ind w:firstLine="480" w:firstLineChars="200"/>
              <w:rPr>
                <w:bCs/>
                <w:color w:val="4F81BD" w:themeColor="accent1"/>
                <w:sz w:val="24"/>
                <w14:textFill>
                  <w14:solidFill>
                    <w14:schemeClr w14:val="accent1"/>
                  </w14:solidFill>
                </w14:textFill>
              </w:rPr>
            </w:pPr>
            <w:r>
              <w:rPr>
                <w:rFonts w:hint="eastAsia"/>
                <w:bCs/>
                <w:color w:val="4F81BD" w:themeColor="accent1"/>
                <w:sz w:val="24"/>
                <w14:textFill>
                  <w14:solidFill>
                    <w14:schemeClr w14:val="accent1"/>
                  </w14:solidFill>
                </w14:textFill>
              </w:rPr>
              <w:t>本项目锅炉烟气采取低氮燃烧技术+烟气再循环技术。烟气排放均可满足《锅炉大气污染物排放标准》(GB13271-2014)规定的大气污染物特别排放限值的要求，NOx排放浓度满足《关于开展自治区202</w:t>
            </w:r>
            <w:r>
              <w:rPr>
                <w:bCs/>
                <w:color w:val="4F81BD" w:themeColor="accent1"/>
                <w:sz w:val="24"/>
                <w14:textFill>
                  <w14:solidFill>
                    <w14:schemeClr w14:val="accent1"/>
                  </w14:solidFill>
                </w14:textFill>
              </w:rPr>
              <w:t>2</w:t>
            </w:r>
            <w:r>
              <w:rPr>
                <w:rFonts w:hint="eastAsia"/>
                <w:bCs/>
                <w:color w:val="4F81BD" w:themeColor="accent1"/>
                <w:sz w:val="24"/>
                <w14:textFill>
                  <w14:solidFill>
                    <w14:schemeClr w14:val="accent1"/>
                  </w14:solidFill>
                </w14:textFill>
              </w:rPr>
              <w:t>年度夏秋季大气污染防治“冬病夏治”工作的通知》中50mg/m</w:t>
            </w:r>
            <w:r>
              <w:rPr>
                <w:rFonts w:hint="eastAsia"/>
                <w:bCs/>
                <w:color w:val="4F81BD" w:themeColor="accent1"/>
                <w:sz w:val="24"/>
                <w:vertAlign w:val="superscript"/>
                <w14:textFill>
                  <w14:solidFill>
                    <w14:schemeClr w14:val="accent1"/>
                  </w14:solidFill>
                </w14:textFill>
              </w:rPr>
              <w:t>3</w:t>
            </w:r>
            <w:r>
              <w:rPr>
                <w:rFonts w:hint="eastAsia"/>
                <w:bCs/>
                <w:color w:val="4F81BD" w:themeColor="accent1"/>
                <w:sz w:val="24"/>
                <w14:textFill>
                  <w14:solidFill>
                    <w14:schemeClr w14:val="accent1"/>
                  </w14:solidFill>
                </w14:textFill>
              </w:rPr>
              <w:t>的要求，同时满足《锅炉大气污染物排放标准》(GB13271-2014)规定的大气污染物特别排放限值的要求。</w:t>
            </w:r>
          </w:p>
          <w:p>
            <w:pPr>
              <w:spacing w:line="460" w:lineRule="exact"/>
              <w:ind w:firstLine="480" w:firstLineChars="200"/>
              <w:rPr>
                <w:bCs/>
                <w:color w:val="4F81BD" w:themeColor="accent1"/>
                <w:sz w:val="24"/>
                <w14:textFill>
                  <w14:solidFill>
                    <w14:schemeClr w14:val="accent1"/>
                  </w14:solidFill>
                </w14:textFill>
              </w:rPr>
            </w:pPr>
            <w:r>
              <w:rPr>
                <w:rFonts w:hint="eastAsia"/>
                <w:bCs/>
                <w:color w:val="4F81BD" w:themeColor="accent1"/>
                <w:sz w:val="24"/>
                <w14:textFill>
                  <w14:solidFill>
                    <w14:schemeClr w14:val="accent1"/>
                  </w14:solidFill>
                </w14:textFill>
              </w:rPr>
              <w:t>低氮燃烧原理：低氮燃烧器是通过调节燃烧空气和燃烧头，以获得最佳的燃烧参数，从而有效降低氮氧化物的产生，从源头上减少了氮氧化物的产生。</w:t>
            </w:r>
          </w:p>
          <w:p>
            <w:pPr>
              <w:spacing w:line="460" w:lineRule="exact"/>
              <w:ind w:firstLine="480" w:firstLineChars="200"/>
              <w:rPr>
                <w:bCs/>
                <w:color w:val="4F81BD" w:themeColor="accent1"/>
                <w:sz w:val="24"/>
                <w14:textFill>
                  <w14:solidFill>
                    <w14:schemeClr w14:val="accent1"/>
                  </w14:solidFill>
                </w14:textFill>
              </w:rPr>
            </w:pPr>
            <w:r>
              <w:rPr>
                <w:rFonts w:hint="eastAsia"/>
                <w:bCs/>
                <w:color w:val="4F81BD" w:themeColor="accent1"/>
                <w:sz w:val="24"/>
                <w14:textFill>
                  <w14:solidFill>
                    <w14:schemeClr w14:val="accent1"/>
                  </w14:solidFill>
                </w14:textFill>
              </w:rPr>
              <w:t>烟气再循环原理：通过将燃烧产生的烟气重新引入燃烧区域，实现对燃烧温度氧化物浓度的控制，降低峰值火焰的温度，从而实现降低氮氧化物的排放效果。</w:t>
            </w:r>
          </w:p>
          <w:p>
            <w:pPr>
              <w:spacing w:line="460" w:lineRule="exact"/>
              <w:ind w:firstLine="480" w:firstLineChars="200"/>
              <w:rPr>
                <w:bCs/>
                <w:sz w:val="24"/>
              </w:rPr>
            </w:pPr>
            <w:r>
              <w:rPr>
                <w:rFonts w:hint="eastAsia"/>
                <w:bCs/>
                <w:sz w:val="24"/>
              </w:rPr>
              <w:t>依据《排污许可证申请与核发技术规范  锅炉》（HJ953-2018）中关于锅炉烟气污染防治的相关要求，具体为重点地区氮氧化物治理需采用低氮燃烧技术+烟气再循环，SO</w:t>
            </w:r>
            <w:r>
              <w:rPr>
                <w:rFonts w:hint="eastAsia"/>
                <w:bCs/>
                <w:sz w:val="24"/>
                <w:vertAlign w:val="subscript"/>
              </w:rPr>
              <w:t>2</w:t>
            </w:r>
            <w:r>
              <w:rPr>
                <w:rFonts w:hint="eastAsia"/>
                <w:bCs/>
                <w:sz w:val="24"/>
              </w:rPr>
              <w:t>及颗粒物采用直排。本项目燃气锅炉均选用国内先进锅炉设备，采用低氮燃烧技术+烟气再循环，属可行技术，可保证各类污染物达标排放。烟气经</w:t>
            </w:r>
            <w:r>
              <w:rPr>
                <w:bCs/>
                <w:sz w:val="24"/>
              </w:rPr>
              <w:t>15</w:t>
            </w:r>
            <w:r>
              <w:rPr>
                <w:rFonts w:hint="eastAsia"/>
                <w:bCs/>
                <w:sz w:val="24"/>
              </w:rPr>
              <w:t>m烟囱排放，对周围环境影响较小。</w:t>
            </w:r>
          </w:p>
          <w:p>
            <w:pPr>
              <w:spacing w:line="460" w:lineRule="exact"/>
              <w:ind w:firstLine="420"/>
              <w:rPr>
                <w:sz w:val="24"/>
              </w:rPr>
            </w:pPr>
            <w:r>
              <w:rPr>
                <w:rFonts w:hint="eastAsia"/>
                <w:sz w:val="24"/>
              </w:rPr>
              <w:t>②污水处理站防治措施</w:t>
            </w:r>
          </w:p>
          <w:p>
            <w:pPr>
              <w:spacing w:line="460" w:lineRule="exact"/>
              <w:ind w:firstLine="420"/>
              <w:rPr>
                <w:sz w:val="24"/>
              </w:rPr>
            </w:pPr>
            <w:r>
              <w:rPr>
                <w:rFonts w:hint="eastAsia"/>
                <w:sz w:val="24"/>
              </w:rPr>
              <w:t xml:space="preserve">根据《排污许可证申请与核发技术规范 </w:t>
            </w:r>
            <w:r>
              <w:rPr>
                <w:sz w:val="24"/>
              </w:rPr>
              <w:t>食品制造工业—</w:t>
            </w:r>
            <w:r>
              <w:rPr>
                <w:rFonts w:hint="eastAsia"/>
                <w:sz w:val="24"/>
              </w:rPr>
              <w:t>乳制品制造工业》（H</w:t>
            </w:r>
            <w:r>
              <w:rPr>
                <w:sz w:val="24"/>
              </w:rPr>
              <w:t>J 1030.1-2019</w:t>
            </w:r>
            <w:r>
              <w:rPr>
                <w:rFonts w:hint="eastAsia"/>
                <w:sz w:val="24"/>
              </w:rPr>
              <w:t>）中6</w:t>
            </w:r>
            <w:r>
              <w:rPr>
                <w:sz w:val="24"/>
              </w:rPr>
              <w:t>.3.2.2</w:t>
            </w:r>
            <w:r>
              <w:rPr>
                <w:rFonts w:hint="eastAsia"/>
                <w:sz w:val="24"/>
              </w:rPr>
              <w:t>无组织控制排放要求“应对厂内综合污水处理站产生恶臭气体的区域加罩或加盖密封，或者投放除臭剂，或者集中收集恶臭气体到除臭装置处理后经排气筒排放”，本项目采取对厂内综合污水处理站产生恶臭气体的区域加罩或加盖密封，为可行技术。</w:t>
            </w:r>
          </w:p>
          <w:p>
            <w:pPr>
              <w:spacing w:line="460" w:lineRule="exact"/>
              <w:ind w:firstLine="480" w:firstLineChars="200"/>
              <w:rPr>
                <w:sz w:val="24"/>
                <w:szCs w:val="32"/>
              </w:rPr>
            </w:pPr>
            <w:r>
              <w:rPr>
                <w:rFonts w:hint="eastAsia"/>
                <w:bCs/>
                <w:sz w:val="24"/>
                <w:szCs w:val="32"/>
              </w:rPr>
              <w:t>3、非正常工况核算</w:t>
            </w:r>
          </w:p>
          <w:p>
            <w:pPr>
              <w:spacing w:line="460" w:lineRule="exact"/>
              <w:ind w:firstLine="480" w:firstLineChars="200"/>
              <w:rPr>
                <w:bCs/>
                <w:sz w:val="24"/>
                <w:szCs w:val="32"/>
              </w:rPr>
            </w:pPr>
            <w:r>
              <w:rPr>
                <w:rFonts w:hint="eastAsia"/>
                <w:bCs/>
                <w:sz w:val="24"/>
                <w:szCs w:val="32"/>
              </w:rPr>
              <w:t>①临时开停车</w:t>
            </w:r>
          </w:p>
          <w:p>
            <w:pPr>
              <w:spacing w:line="460" w:lineRule="exact"/>
              <w:ind w:firstLine="480" w:firstLineChars="200"/>
              <w:rPr>
                <w:bCs/>
                <w:sz w:val="24"/>
                <w:szCs w:val="32"/>
              </w:rPr>
            </w:pPr>
            <w:r>
              <w:rPr>
                <w:rFonts w:hint="eastAsia"/>
                <w:bCs/>
                <w:sz w:val="24"/>
                <w:szCs w:val="32"/>
              </w:rPr>
              <w:t>在生产过程中，停水、停电、停气或某一设备发生故障，可导致整个工序临时停工。在临时停工过程中，各设备停止运行，待故障排除后，恢复正常生产。</w:t>
            </w:r>
          </w:p>
          <w:p>
            <w:pPr>
              <w:spacing w:line="460" w:lineRule="exact"/>
              <w:ind w:firstLine="480" w:firstLineChars="200"/>
              <w:rPr>
                <w:bCs/>
                <w:sz w:val="24"/>
                <w:szCs w:val="32"/>
              </w:rPr>
            </w:pPr>
            <w:r>
              <w:rPr>
                <w:rFonts w:hint="eastAsia"/>
                <w:bCs/>
                <w:sz w:val="24"/>
                <w:szCs w:val="32"/>
              </w:rPr>
              <w:t>②环保设施发生故障</w:t>
            </w:r>
          </w:p>
          <w:p>
            <w:pPr>
              <w:spacing w:line="460" w:lineRule="exact"/>
              <w:ind w:firstLine="480" w:firstLineChars="200"/>
              <w:rPr>
                <w:bCs/>
                <w:sz w:val="24"/>
                <w:szCs w:val="32"/>
              </w:rPr>
            </w:pPr>
            <w:r>
              <w:rPr>
                <w:rFonts w:hint="eastAsia"/>
                <w:bCs/>
                <w:sz w:val="24"/>
                <w:szCs w:val="32"/>
              </w:rPr>
              <w:t>环保措施岀现故障时，会使污染物处理效率下降或者根本得不到处理而排入环境中，増加污染物排放量及对外环境的影响。本项目主要考虑装置配套的废气治理措施岀现故障情况，“低氮燃烧+烟气再循环”去除效率为零的极端情况下。非正常工况废气排放情况见下表。</w:t>
            </w:r>
          </w:p>
          <w:p>
            <w:pPr>
              <w:pStyle w:val="106"/>
              <w:rPr>
                <w:color w:val="auto"/>
              </w:rPr>
            </w:pPr>
            <w:r>
              <w:rPr>
                <w:rFonts w:hint="eastAsia"/>
                <w:color w:val="auto"/>
              </w:rPr>
              <w:t>表4</w:t>
            </w:r>
            <w:r>
              <w:rPr>
                <w:color w:val="auto"/>
              </w:rPr>
              <w:t xml:space="preserve">-6 </w:t>
            </w:r>
            <w:r>
              <w:rPr>
                <w:rFonts w:hint="eastAsia"/>
                <w:color w:val="auto"/>
              </w:rPr>
              <w:t xml:space="preserve">            </w:t>
            </w:r>
            <w:r>
              <w:rPr>
                <w:color w:val="auto"/>
              </w:rPr>
              <w:t xml:space="preserve">  </w:t>
            </w:r>
            <w:r>
              <w:rPr>
                <w:rFonts w:hint="eastAsia"/>
                <w:bCs/>
                <w:color w:val="auto"/>
              </w:rPr>
              <w:t>非正常工况废气排放情况</w:t>
            </w:r>
            <w:r>
              <w:rPr>
                <w:rFonts w:hint="eastAsia"/>
                <w:color w:val="auto"/>
              </w:rPr>
              <w:t>一览表</w:t>
            </w:r>
          </w:p>
          <w:tbl>
            <w:tblPr>
              <w:tblStyle w:val="46"/>
              <w:tblW w:w="893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008"/>
              <w:gridCol w:w="1241"/>
              <w:gridCol w:w="1205"/>
              <w:gridCol w:w="1412"/>
              <w:gridCol w:w="1114"/>
              <w:gridCol w:w="1037"/>
              <w:gridCol w:w="12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698" w:type="dxa"/>
                  <w:tcBorders>
                    <w:tl2br w:val="nil"/>
                    <w:tr2bl w:val="nil"/>
                  </w:tcBorders>
                  <w:vAlign w:val="center"/>
                </w:tcPr>
                <w:p>
                  <w:pPr>
                    <w:widowControl/>
                    <w:adjustRightInd w:val="0"/>
                    <w:snapToGrid w:val="0"/>
                    <w:jc w:val="center"/>
                    <w:rPr>
                      <w:bCs/>
                      <w:kern w:val="0"/>
                      <w:szCs w:val="21"/>
                      <w:lang w:bidi="zh-CN"/>
                    </w:rPr>
                  </w:pPr>
                  <w:r>
                    <w:rPr>
                      <w:bCs/>
                      <w:kern w:val="0"/>
                      <w:szCs w:val="21"/>
                      <w:lang w:bidi="zh-CN"/>
                    </w:rPr>
                    <w:t>序号</w:t>
                  </w:r>
                </w:p>
              </w:tc>
              <w:tc>
                <w:tcPr>
                  <w:tcW w:w="1008" w:type="dxa"/>
                  <w:tcBorders>
                    <w:tl2br w:val="nil"/>
                    <w:tr2bl w:val="nil"/>
                  </w:tcBorders>
                  <w:vAlign w:val="center"/>
                </w:tcPr>
                <w:p>
                  <w:pPr>
                    <w:widowControl/>
                    <w:adjustRightInd w:val="0"/>
                    <w:snapToGrid w:val="0"/>
                    <w:jc w:val="center"/>
                    <w:rPr>
                      <w:bCs/>
                      <w:kern w:val="0"/>
                      <w:szCs w:val="21"/>
                      <w:lang w:bidi="zh-CN"/>
                    </w:rPr>
                  </w:pPr>
                  <w:r>
                    <w:rPr>
                      <w:bCs/>
                      <w:kern w:val="0"/>
                      <w:szCs w:val="21"/>
                      <w:lang w:bidi="zh-CN"/>
                    </w:rPr>
                    <w:t>污染源</w:t>
                  </w:r>
                </w:p>
              </w:tc>
              <w:tc>
                <w:tcPr>
                  <w:tcW w:w="1241" w:type="dxa"/>
                  <w:tcBorders>
                    <w:tl2br w:val="nil"/>
                    <w:tr2bl w:val="nil"/>
                  </w:tcBorders>
                  <w:vAlign w:val="center"/>
                </w:tcPr>
                <w:p>
                  <w:pPr>
                    <w:widowControl/>
                    <w:adjustRightInd w:val="0"/>
                    <w:snapToGrid w:val="0"/>
                    <w:jc w:val="center"/>
                    <w:rPr>
                      <w:bCs/>
                      <w:kern w:val="0"/>
                      <w:szCs w:val="21"/>
                      <w:lang w:bidi="zh-CN"/>
                    </w:rPr>
                  </w:pPr>
                  <w:r>
                    <w:rPr>
                      <w:bCs/>
                      <w:kern w:val="0"/>
                      <w:szCs w:val="21"/>
                      <w:lang w:bidi="zh-CN"/>
                    </w:rPr>
                    <w:t>非正常排放原因</w:t>
                  </w:r>
                </w:p>
              </w:tc>
              <w:tc>
                <w:tcPr>
                  <w:tcW w:w="1205" w:type="dxa"/>
                  <w:tcBorders>
                    <w:tl2br w:val="nil"/>
                    <w:tr2bl w:val="nil"/>
                  </w:tcBorders>
                  <w:vAlign w:val="center"/>
                </w:tcPr>
                <w:p>
                  <w:pPr>
                    <w:widowControl/>
                    <w:adjustRightInd w:val="0"/>
                    <w:snapToGrid w:val="0"/>
                    <w:spacing w:line="360" w:lineRule="exact"/>
                    <w:jc w:val="center"/>
                    <w:rPr>
                      <w:bCs/>
                      <w:kern w:val="0"/>
                      <w:szCs w:val="21"/>
                      <w:lang w:bidi="zh-CN"/>
                    </w:rPr>
                  </w:pPr>
                  <w:r>
                    <w:rPr>
                      <w:bCs/>
                      <w:kern w:val="0"/>
                      <w:szCs w:val="21"/>
                      <w:lang w:bidi="zh-CN"/>
                    </w:rPr>
                    <w:t>污染物</w:t>
                  </w:r>
                </w:p>
              </w:tc>
              <w:tc>
                <w:tcPr>
                  <w:tcW w:w="1412" w:type="dxa"/>
                  <w:tcBorders>
                    <w:tl2br w:val="nil"/>
                    <w:tr2bl w:val="nil"/>
                  </w:tcBorders>
                  <w:vAlign w:val="center"/>
                </w:tcPr>
                <w:p>
                  <w:pPr>
                    <w:widowControl/>
                    <w:adjustRightInd w:val="0"/>
                    <w:snapToGrid w:val="0"/>
                    <w:jc w:val="center"/>
                    <w:rPr>
                      <w:bCs/>
                      <w:kern w:val="0"/>
                      <w:szCs w:val="21"/>
                      <w:lang w:bidi="zh-CN"/>
                    </w:rPr>
                  </w:pPr>
                  <w:r>
                    <w:rPr>
                      <w:bCs/>
                      <w:kern w:val="0"/>
                      <w:szCs w:val="21"/>
                      <w:lang w:bidi="zh-CN"/>
                    </w:rPr>
                    <w:t>非正常排放浓度（mg/m</w:t>
                  </w:r>
                  <w:r>
                    <w:rPr>
                      <w:bCs/>
                      <w:kern w:val="0"/>
                      <w:szCs w:val="21"/>
                      <w:vertAlign w:val="superscript"/>
                      <w:lang w:bidi="zh-CN"/>
                    </w:rPr>
                    <w:t>3</w:t>
                  </w:r>
                  <w:r>
                    <w:rPr>
                      <w:bCs/>
                      <w:kern w:val="0"/>
                      <w:szCs w:val="21"/>
                      <w:lang w:bidi="zh-CN"/>
                    </w:rPr>
                    <w:t>）</w:t>
                  </w:r>
                </w:p>
              </w:tc>
              <w:tc>
                <w:tcPr>
                  <w:tcW w:w="1114" w:type="dxa"/>
                  <w:tcBorders>
                    <w:tl2br w:val="nil"/>
                    <w:tr2bl w:val="nil"/>
                  </w:tcBorders>
                  <w:vAlign w:val="center"/>
                </w:tcPr>
                <w:p>
                  <w:pPr>
                    <w:widowControl/>
                    <w:adjustRightInd w:val="0"/>
                    <w:snapToGrid w:val="0"/>
                    <w:jc w:val="center"/>
                    <w:rPr>
                      <w:bCs/>
                      <w:kern w:val="0"/>
                      <w:szCs w:val="21"/>
                      <w:lang w:bidi="zh-CN"/>
                    </w:rPr>
                  </w:pPr>
                  <w:r>
                    <w:rPr>
                      <w:bCs/>
                      <w:kern w:val="0"/>
                      <w:szCs w:val="21"/>
                      <w:lang w:bidi="zh-CN"/>
                    </w:rPr>
                    <w:t>非正常排放速率（kg/h）</w:t>
                  </w:r>
                </w:p>
              </w:tc>
              <w:tc>
                <w:tcPr>
                  <w:tcW w:w="1037" w:type="dxa"/>
                  <w:tcBorders>
                    <w:tl2br w:val="nil"/>
                    <w:tr2bl w:val="nil"/>
                  </w:tcBorders>
                  <w:vAlign w:val="center"/>
                </w:tcPr>
                <w:p>
                  <w:pPr>
                    <w:widowControl/>
                    <w:adjustRightInd w:val="0"/>
                    <w:snapToGrid w:val="0"/>
                    <w:jc w:val="center"/>
                    <w:rPr>
                      <w:bCs/>
                      <w:kern w:val="0"/>
                      <w:szCs w:val="21"/>
                      <w:lang w:bidi="zh-CN"/>
                    </w:rPr>
                  </w:pPr>
                  <w:r>
                    <w:rPr>
                      <w:bCs/>
                      <w:kern w:val="0"/>
                      <w:szCs w:val="21"/>
                      <w:lang w:bidi="zh-CN"/>
                    </w:rPr>
                    <w:t>单次持续时间（min）</w:t>
                  </w:r>
                </w:p>
              </w:tc>
              <w:tc>
                <w:tcPr>
                  <w:tcW w:w="1223" w:type="dxa"/>
                  <w:tcBorders>
                    <w:tl2br w:val="nil"/>
                    <w:tr2bl w:val="nil"/>
                  </w:tcBorders>
                  <w:vAlign w:val="center"/>
                </w:tcPr>
                <w:p>
                  <w:pPr>
                    <w:widowControl/>
                    <w:adjustRightInd w:val="0"/>
                    <w:snapToGrid w:val="0"/>
                    <w:spacing w:line="360" w:lineRule="exact"/>
                    <w:jc w:val="center"/>
                    <w:rPr>
                      <w:bCs/>
                      <w:kern w:val="0"/>
                      <w:szCs w:val="21"/>
                      <w:lang w:bidi="zh-CN"/>
                    </w:rPr>
                  </w:pPr>
                  <w:r>
                    <w:rPr>
                      <w:bCs/>
                      <w:kern w:val="0"/>
                      <w:szCs w:val="21"/>
                      <w:lang w:bidi="zh-CN"/>
                    </w:rPr>
                    <w:t>应对措施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698" w:type="dxa"/>
                  <w:vMerge w:val="restart"/>
                  <w:tcBorders>
                    <w:tl2br w:val="nil"/>
                    <w:tr2bl w:val="nil"/>
                  </w:tcBorders>
                  <w:vAlign w:val="center"/>
                </w:tcPr>
                <w:p>
                  <w:pPr>
                    <w:widowControl/>
                    <w:adjustRightInd w:val="0"/>
                    <w:snapToGrid w:val="0"/>
                    <w:spacing w:line="360" w:lineRule="exact"/>
                    <w:jc w:val="center"/>
                    <w:rPr>
                      <w:bCs/>
                      <w:kern w:val="0"/>
                      <w:szCs w:val="21"/>
                      <w:lang w:bidi="zh-CN"/>
                    </w:rPr>
                  </w:pPr>
                  <w:r>
                    <w:rPr>
                      <w:bCs/>
                      <w:kern w:val="0"/>
                      <w:szCs w:val="21"/>
                      <w:lang w:bidi="zh-CN"/>
                    </w:rPr>
                    <w:t>1</w:t>
                  </w:r>
                </w:p>
              </w:tc>
              <w:tc>
                <w:tcPr>
                  <w:tcW w:w="1008" w:type="dxa"/>
                  <w:vMerge w:val="restart"/>
                  <w:tcBorders>
                    <w:tl2br w:val="nil"/>
                    <w:tr2bl w:val="nil"/>
                  </w:tcBorders>
                  <w:vAlign w:val="center"/>
                </w:tcPr>
                <w:p>
                  <w:pPr>
                    <w:widowControl/>
                    <w:adjustRightInd w:val="0"/>
                    <w:snapToGrid w:val="0"/>
                    <w:spacing w:line="360" w:lineRule="exact"/>
                    <w:jc w:val="center"/>
                    <w:rPr>
                      <w:bCs/>
                      <w:kern w:val="0"/>
                      <w:szCs w:val="21"/>
                      <w:lang w:bidi="zh-CN"/>
                    </w:rPr>
                  </w:pPr>
                  <w:r>
                    <w:rPr>
                      <w:bCs/>
                      <w:kern w:val="0"/>
                      <w:szCs w:val="21"/>
                      <w:lang w:bidi="zh-CN"/>
                    </w:rPr>
                    <w:t>烟囱DA002</w:t>
                  </w:r>
                </w:p>
              </w:tc>
              <w:tc>
                <w:tcPr>
                  <w:tcW w:w="1241" w:type="dxa"/>
                  <w:vMerge w:val="restart"/>
                  <w:tcBorders>
                    <w:tl2br w:val="nil"/>
                    <w:tr2bl w:val="nil"/>
                  </w:tcBorders>
                  <w:vAlign w:val="center"/>
                </w:tcPr>
                <w:p>
                  <w:pPr>
                    <w:widowControl/>
                    <w:adjustRightInd w:val="0"/>
                    <w:snapToGrid w:val="0"/>
                    <w:spacing w:line="360" w:lineRule="exact"/>
                    <w:jc w:val="center"/>
                    <w:rPr>
                      <w:bCs/>
                      <w:kern w:val="0"/>
                      <w:szCs w:val="21"/>
                      <w:lang w:bidi="zh-CN"/>
                    </w:rPr>
                  </w:pPr>
                  <w:r>
                    <w:rPr>
                      <w:bCs/>
                      <w:kern w:val="0"/>
                      <w:szCs w:val="21"/>
                      <w:lang w:bidi="zh-CN"/>
                    </w:rPr>
                    <w:t>废气处理装置发生故障，达不到设计处理效率</w:t>
                  </w:r>
                </w:p>
              </w:tc>
              <w:tc>
                <w:tcPr>
                  <w:tcW w:w="1205" w:type="dxa"/>
                  <w:tcBorders>
                    <w:tl2br w:val="nil"/>
                    <w:tr2bl w:val="nil"/>
                  </w:tcBorders>
                  <w:vAlign w:val="center"/>
                </w:tcPr>
                <w:p>
                  <w:pPr>
                    <w:widowControl/>
                    <w:adjustRightInd w:val="0"/>
                    <w:snapToGrid w:val="0"/>
                    <w:spacing w:line="360" w:lineRule="exact"/>
                    <w:jc w:val="center"/>
                    <w:rPr>
                      <w:bCs/>
                      <w:kern w:val="0"/>
                      <w:szCs w:val="21"/>
                      <w:lang w:bidi="zh-CN"/>
                    </w:rPr>
                  </w:pPr>
                  <w:r>
                    <w:rPr>
                      <w:kern w:val="0"/>
                      <w:szCs w:val="21"/>
                    </w:rPr>
                    <w:t>SO</w:t>
                  </w:r>
                  <w:r>
                    <w:rPr>
                      <w:kern w:val="0"/>
                      <w:szCs w:val="21"/>
                      <w:vertAlign w:val="subscript"/>
                    </w:rPr>
                    <w:t>2</w:t>
                  </w:r>
                </w:p>
              </w:tc>
              <w:tc>
                <w:tcPr>
                  <w:tcW w:w="1412" w:type="dxa"/>
                  <w:tcBorders>
                    <w:tl2br w:val="nil"/>
                    <w:tr2bl w:val="nil"/>
                  </w:tcBorders>
                  <w:vAlign w:val="center"/>
                </w:tcPr>
                <w:p>
                  <w:pPr>
                    <w:widowControl/>
                    <w:jc w:val="center"/>
                    <w:textAlignment w:val="center"/>
                    <w:rPr>
                      <w:szCs w:val="21"/>
                    </w:rPr>
                  </w:pPr>
                  <w:r>
                    <w:rPr>
                      <w:rFonts w:hint="eastAsia"/>
                      <w:kern w:val="0"/>
                      <w:szCs w:val="21"/>
                    </w:rPr>
                    <w:t>＜2</w:t>
                  </w:r>
                </w:p>
              </w:tc>
              <w:tc>
                <w:tcPr>
                  <w:tcW w:w="1114" w:type="dxa"/>
                  <w:tcBorders>
                    <w:tl2br w:val="nil"/>
                    <w:tr2bl w:val="nil"/>
                  </w:tcBorders>
                  <w:vAlign w:val="center"/>
                </w:tcPr>
                <w:p>
                  <w:pPr>
                    <w:pStyle w:val="135"/>
                    <w:jc w:val="center"/>
                    <w:rPr>
                      <w:rFonts w:ascii="Times New Roman" w:hAnsi="Times New Roman"/>
                      <w:sz w:val="21"/>
                      <w:szCs w:val="21"/>
                    </w:rPr>
                  </w:pPr>
                  <w:r>
                    <w:rPr>
                      <w:rFonts w:ascii="Times New Roman" w:hAnsi="Times New Roman"/>
                      <w:sz w:val="21"/>
                      <w:szCs w:val="21"/>
                    </w:rPr>
                    <w:t>0.007</w:t>
                  </w:r>
                </w:p>
              </w:tc>
              <w:tc>
                <w:tcPr>
                  <w:tcW w:w="1037" w:type="dxa"/>
                  <w:vMerge w:val="restart"/>
                  <w:tcBorders>
                    <w:tl2br w:val="nil"/>
                    <w:tr2bl w:val="nil"/>
                  </w:tcBorders>
                  <w:vAlign w:val="center"/>
                </w:tcPr>
                <w:p>
                  <w:pPr>
                    <w:widowControl/>
                    <w:adjustRightInd w:val="0"/>
                    <w:snapToGrid w:val="0"/>
                    <w:spacing w:line="360" w:lineRule="exact"/>
                    <w:jc w:val="center"/>
                    <w:rPr>
                      <w:bCs/>
                      <w:kern w:val="0"/>
                      <w:szCs w:val="21"/>
                      <w:lang w:bidi="zh-CN"/>
                    </w:rPr>
                  </w:pPr>
                  <w:r>
                    <w:rPr>
                      <w:bCs/>
                      <w:kern w:val="0"/>
                      <w:szCs w:val="21"/>
                      <w:lang w:bidi="zh-CN"/>
                    </w:rPr>
                    <w:t>1</w:t>
                  </w:r>
                </w:p>
              </w:tc>
              <w:tc>
                <w:tcPr>
                  <w:tcW w:w="1223" w:type="dxa"/>
                  <w:vMerge w:val="restart"/>
                  <w:tcBorders>
                    <w:tl2br w:val="nil"/>
                    <w:tr2bl w:val="nil"/>
                  </w:tcBorders>
                  <w:vAlign w:val="center"/>
                </w:tcPr>
                <w:p>
                  <w:pPr>
                    <w:widowControl/>
                    <w:adjustRightInd w:val="0"/>
                    <w:snapToGrid w:val="0"/>
                    <w:spacing w:line="360" w:lineRule="exact"/>
                    <w:jc w:val="center"/>
                    <w:rPr>
                      <w:bCs/>
                      <w:kern w:val="0"/>
                      <w:szCs w:val="21"/>
                      <w:lang w:bidi="zh-CN"/>
                    </w:rPr>
                  </w:pPr>
                  <w:r>
                    <w:rPr>
                      <w:bCs/>
                      <w:kern w:val="0"/>
                      <w:szCs w:val="21"/>
                      <w:lang w:bidi="zh-CN"/>
                    </w:rPr>
                    <w:t>加强设备维护与运行监视，保证设备正常运行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698" w:type="dxa"/>
                  <w:vMerge w:val="continue"/>
                  <w:tcBorders>
                    <w:tl2br w:val="nil"/>
                    <w:tr2bl w:val="nil"/>
                  </w:tcBorders>
                  <w:vAlign w:val="center"/>
                </w:tcPr>
                <w:p>
                  <w:pPr>
                    <w:widowControl/>
                    <w:adjustRightInd w:val="0"/>
                    <w:snapToGrid w:val="0"/>
                    <w:spacing w:line="360" w:lineRule="exact"/>
                    <w:jc w:val="center"/>
                    <w:rPr>
                      <w:bCs/>
                      <w:kern w:val="0"/>
                      <w:szCs w:val="21"/>
                      <w:lang w:bidi="zh-CN"/>
                    </w:rPr>
                  </w:pPr>
                </w:p>
              </w:tc>
              <w:tc>
                <w:tcPr>
                  <w:tcW w:w="1008" w:type="dxa"/>
                  <w:vMerge w:val="continue"/>
                  <w:tcBorders>
                    <w:tl2br w:val="nil"/>
                    <w:tr2bl w:val="nil"/>
                  </w:tcBorders>
                  <w:vAlign w:val="center"/>
                </w:tcPr>
                <w:p>
                  <w:pPr>
                    <w:widowControl/>
                    <w:adjustRightInd w:val="0"/>
                    <w:snapToGrid w:val="0"/>
                    <w:spacing w:line="360" w:lineRule="exact"/>
                    <w:jc w:val="center"/>
                    <w:rPr>
                      <w:bCs/>
                      <w:kern w:val="0"/>
                      <w:szCs w:val="21"/>
                      <w:lang w:bidi="zh-CN"/>
                    </w:rPr>
                  </w:pPr>
                </w:p>
              </w:tc>
              <w:tc>
                <w:tcPr>
                  <w:tcW w:w="1241" w:type="dxa"/>
                  <w:vMerge w:val="continue"/>
                  <w:tcBorders>
                    <w:tl2br w:val="nil"/>
                    <w:tr2bl w:val="nil"/>
                  </w:tcBorders>
                  <w:vAlign w:val="center"/>
                </w:tcPr>
                <w:p>
                  <w:pPr>
                    <w:widowControl/>
                    <w:adjustRightInd w:val="0"/>
                    <w:snapToGrid w:val="0"/>
                    <w:spacing w:line="360" w:lineRule="exact"/>
                    <w:jc w:val="center"/>
                    <w:rPr>
                      <w:bCs/>
                      <w:kern w:val="0"/>
                      <w:szCs w:val="21"/>
                      <w:lang w:bidi="zh-CN"/>
                    </w:rPr>
                  </w:pPr>
                </w:p>
              </w:tc>
              <w:tc>
                <w:tcPr>
                  <w:tcW w:w="1205" w:type="dxa"/>
                  <w:tcBorders>
                    <w:tl2br w:val="nil"/>
                    <w:tr2bl w:val="nil"/>
                  </w:tcBorders>
                  <w:vAlign w:val="center"/>
                </w:tcPr>
                <w:p>
                  <w:pPr>
                    <w:widowControl/>
                    <w:adjustRightInd w:val="0"/>
                    <w:snapToGrid w:val="0"/>
                    <w:spacing w:line="360" w:lineRule="exact"/>
                    <w:jc w:val="center"/>
                    <w:rPr>
                      <w:bCs/>
                      <w:kern w:val="0"/>
                      <w:szCs w:val="21"/>
                      <w:lang w:bidi="zh-CN"/>
                    </w:rPr>
                  </w:pPr>
                  <w:r>
                    <w:rPr>
                      <w:kern w:val="0"/>
                      <w:szCs w:val="21"/>
                    </w:rPr>
                    <w:t>NOx</w:t>
                  </w:r>
                </w:p>
              </w:tc>
              <w:tc>
                <w:tcPr>
                  <w:tcW w:w="1412" w:type="dxa"/>
                  <w:tcBorders>
                    <w:tl2br w:val="nil"/>
                    <w:tr2bl w:val="nil"/>
                  </w:tcBorders>
                  <w:vAlign w:val="center"/>
                </w:tcPr>
                <w:p>
                  <w:pPr>
                    <w:widowControl/>
                    <w:jc w:val="center"/>
                    <w:textAlignment w:val="center"/>
                    <w:rPr>
                      <w:szCs w:val="21"/>
                    </w:rPr>
                  </w:pPr>
                  <w:r>
                    <w:rPr>
                      <w:szCs w:val="21"/>
                    </w:rPr>
                    <w:t>94</w:t>
                  </w:r>
                </w:p>
              </w:tc>
              <w:tc>
                <w:tcPr>
                  <w:tcW w:w="1114" w:type="dxa"/>
                  <w:tcBorders>
                    <w:tl2br w:val="nil"/>
                    <w:tr2bl w:val="nil"/>
                  </w:tcBorders>
                  <w:vAlign w:val="center"/>
                </w:tcPr>
                <w:p>
                  <w:pPr>
                    <w:pStyle w:val="135"/>
                    <w:jc w:val="center"/>
                    <w:rPr>
                      <w:rFonts w:ascii="Times New Roman" w:hAnsi="Times New Roman"/>
                      <w:sz w:val="21"/>
                      <w:szCs w:val="21"/>
                      <w:lang w:eastAsia="zh-CN"/>
                    </w:rPr>
                  </w:pPr>
                  <w:r>
                    <w:rPr>
                      <w:rFonts w:hint="eastAsia" w:ascii="Times New Roman" w:hAnsi="Times New Roman"/>
                      <w:sz w:val="21"/>
                      <w:szCs w:val="21"/>
                      <w:lang w:eastAsia="zh-CN"/>
                    </w:rPr>
                    <w:t>0</w:t>
                  </w:r>
                  <w:r>
                    <w:rPr>
                      <w:rFonts w:ascii="Times New Roman" w:hAnsi="Times New Roman"/>
                      <w:sz w:val="21"/>
                      <w:szCs w:val="21"/>
                      <w:lang w:eastAsia="zh-CN"/>
                    </w:rPr>
                    <w:t>.2022</w:t>
                  </w:r>
                </w:p>
              </w:tc>
              <w:tc>
                <w:tcPr>
                  <w:tcW w:w="1037" w:type="dxa"/>
                  <w:vMerge w:val="continue"/>
                  <w:tcBorders>
                    <w:tl2br w:val="nil"/>
                    <w:tr2bl w:val="nil"/>
                  </w:tcBorders>
                  <w:vAlign w:val="center"/>
                </w:tcPr>
                <w:p>
                  <w:pPr>
                    <w:widowControl/>
                    <w:adjustRightInd w:val="0"/>
                    <w:snapToGrid w:val="0"/>
                    <w:spacing w:line="360" w:lineRule="exact"/>
                    <w:jc w:val="center"/>
                    <w:rPr>
                      <w:bCs/>
                      <w:kern w:val="0"/>
                      <w:szCs w:val="21"/>
                      <w:lang w:bidi="zh-CN"/>
                    </w:rPr>
                  </w:pPr>
                </w:p>
              </w:tc>
              <w:tc>
                <w:tcPr>
                  <w:tcW w:w="1223" w:type="dxa"/>
                  <w:vMerge w:val="continue"/>
                  <w:tcBorders>
                    <w:tl2br w:val="nil"/>
                    <w:tr2bl w:val="nil"/>
                  </w:tcBorders>
                  <w:vAlign w:val="center"/>
                </w:tcPr>
                <w:p>
                  <w:pPr>
                    <w:widowControl/>
                    <w:adjustRightInd w:val="0"/>
                    <w:snapToGrid w:val="0"/>
                    <w:spacing w:line="360" w:lineRule="exact"/>
                    <w:jc w:val="center"/>
                    <w:rPr>
                      <w:bCs/>
                      <w:kern w:val="0"/>
                      <w:szCs w:val="21"/>
                      <w:lang w:bidi="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698" w:type="dxa"/>
                  <w:vMerge w:val="continue"/>
                  <w:tcBorders>
                    <w:tl2br w:val="nil"/>
                    <w:tr2bl w:val="nil"/>
                  </w:tcBorders>
                  <w:vAlign w:val="center"/>
                </w:tcPr>
                <w:p>
                  <w:pPr>
                    <w:widowControl/>
                    <w:adjustRightInd w:val="0"/>
                    <w:snapToGrid w:val="0"/>
                    <w:spacing w:line="360" w:lineRule="exact"/>
                    <w:jc w:val="center"/>
                    <w:rPr>
                      <w:bCs/>
                      <w:kern w:val="0"/>
                      <w:szCs w:val="21"/>
                      <w:lang w:bidi="zh-CN"/>
                    </w:rPr>
                  </w:pPr>
                </w:p>
              </w:tc>
              <w:tc>
                <w:tcPr>
                  <w:tcW w:w="1008" w:type="dxa"/>
                  <w:vMerge w:val="continue"/>
                  <w:tcBorders>
                    <w:tl2br w:val="nil"/>
                    <w:tr2bl w:val="nil"/>
                  </w:tcBorders>
                  <w:vAlign w:val="center"/>
                </w:tcPr>
                <w:p>
                  <w:pPr>
                    <w:widowControl/>
                    <w:adjustRightInd w:val="0"/>
                    <w:snapToGrid w:val="0"/>
                    <w:spacing w:line="360" w:lineRule="exact"/>
                    <w:jc w:val="center"/>
                    <w:rPr>
                      <w:bCs/>
                      <w:kern w:val="0"/>
                      <w:szCs w:val="21"/>
                      <w:lang w:bidi="zh-CN"/>
                    </w:rPr>
                  </w:pPr>
                </w:p>
              </w:tc>
              <w:tc>
                <w:tcPr>
                  <w:tcW w:w="1241" w:type="dxa"/>
                  <w:vMerge w:val="continue"/>
                  <w:tcBorders>
                    <w:tl2br w:val="nil"/>
                    <w:tr2bl w:val="nil"/>
                  </w:tcBorders>
                  <w:vAlign w:val="center"/>
                </w:tcPr>
                <w:p>
                  <w:pPr>
                    <w:widowControl/>
                    <w:adjustRightInd w:val="0"/>
                    <w:snapToGrid w:val="0"/>
                    <w:spacing w:line="360" w:lineRule="exact"/>
                    <w:jc w:val="center"/>
                    <w:rPr>
                      <w:bCs/>
                      <w:kern w:val="0"/>
                      <w:szCs w:val="21"/>
                      <w:lang w:bidi="zh-CN"/>
                    </w:rPr>
                  </w:pPr>
                </w:p>
              </w:tc>
              <w:tc>
                <w:tcPr>
                  <w:tcW w:w="1205" w:type="dxa"/>
                  <w:tcBorders>
                    <w:tl2br w:val="nil"/>
                    <w:tr2bl w:val="nil"/>
                  </w:tcBorders>
                  <w:vAlign w:val="center"/>
                </w:tcPr>
                <w:p>
                  <w:pPr>
                    <w:widowControl/>
                    <w:adjustRightInd w:val="0"/>
                    <w:snapToGrid w:val="0"/>
                    <w:spacing w:line="360" w:lineRule="exact"/>
                    <w:jc w:val="center"/>
                    <w:rPr>
                      <w:bCs/>
                      <w:kern w:val="0"/>
                      <w:szCs w:val="21"/>
                      <w:lang w:bidi="zh-CN"/>
                    </w:rPr>
                  </w:pPr>
                  <w:r>
                    <w:rPr>
                      <w:rFonts w:hint="eastAsia"/>
                      <w:kern w:val="0"/>
                      <w:szCs w:val="21"/>
                    </w:rPr>
                    <w:t>颗粒物</w:t>
                  </w:r>
                </w:p>
              </w:tc>
              <w:tc>
                <w:tcPr>
                  <w:tcW w:w="1412" w:type="dxa"/>
                  <w:tcBorders>
                    <w:tl2br w:val="nil"/>
                    <w:tr2bl w:val="nil"/>
                  </w:tcBorders>
                  <w:vAlign w:val="center"/>
                </w:tcPr>
                <w:p>
                  <w:pPr>
                    <w:widowControl/>
                    <w:jc w:val="center"/>
                    <w:textAlignment w:val="center"/>
                    <w:rPr>
                      <w:szCs w:val="21"/>
                    </w:rPr>
                  </w:pPr>
                  <w:r>
                    <w:rPr>
                      <w:kern w:val="0"/>
                      <w:szCs w:val="21"/>
                    </w:rPr>
                    <w:t>4.8</w:t>
                  </w:r>
                </w:p>
              </w:tc>
              <w:tc>
                <w:tcPr>
                  <w:tcW w:w="1114" w:type="dxa"/>
                  <w:tcBorders>
                    <w:tl2br w:val="nil"/>
                    <w:tr2bl w:val="nil"/>
                  </w:tcBorders>
                  <w:vAlign w:val="center"/>
                </w:tcPr>
                <w:p>
                  <w:pPr>
                    <w:pStyle w:val="135"/>
                    <w:jc w:val="center"/>
                    <w:rPr>
                      <w:rFonts w:ascii="Times New Roman" w:hAnsi="Times New Roman"/>
                      <w:sz w:val="21"/>
                      <w:szCs w:val="21"/>
                      <w:lang w:eastAsia="zh-CN"/>
                    </w:rPr>
                  </w:pPr>
                  <w:r>
                    <w:rPr>
                      <w:rFonts w:hint="eastAsia" w:ascii="Times New Roman" w:hAnsi="Times New Roman"/>
                      <w:sz w:val="21"/>
                      <w:szCs w:val="21"/>
                      <w:lang w:eastAsia="zh-CN"/>
                    </w:rPr>
                    <w:t>0</w:t>
                  </w:r>
                  <w:r>
                    <w:rPr>
                      <w:rFonts w:ascii="Times New Roman" w:hAnsi="Times New Roman"/>
                      <w:sz w:val="21"/>
                      <w:szCs w:val="21"/>
                      <w:lang w:eastAsia="zh-CN"/>
                    </w:rPr>
                    <w:t>.00233</w:t>
                  </w:r>
                </w:p>
              </w:tc>
              <w:tc>
                <w:tcPr>
                  <w:tcW w:w="1037" w:type="dxa"/>
                  <w:vMerge w:val="continue"/>
                  <w:tcBorders>
                    <w:tl2br w:val="nil"/>
                    <w:tr2bl w:val="nil"/>
                  </w:tcBorders>
                  <w:vAlign w:val="center"/>
                </w:tcPr>
                <w:p>
                  <w:pPr>
                    <w:widowControl/>
                    <w:adjustRightInd w:val="0"/>
                    <w:snapToGrid w:val="0"/>
                    <w:spacing w:line="360" w:lineRule="exact"/>
                    <w:jc w:val="center"/>
                    <w:rPr>
                      <w:bCs/>
                      <w:kern w:val="0"/>
                      <w:szCs w:val="21"/>
                      <w:lang w:bidi="zh-CN"/>
                    </w:rPr>
                  </w:pPr>
                </w:p>
              </w:tc>
              <w:tc>
                <w:tcPr>
                  <w:tcW w:w="1223" w:type="dxa"/>
                  <w:vMerge w:val="continue"/>
                  <w:tcBorders>
                    <w:tl2br w:val="nil"/>
                    <w:tr2bl w:val="nil"/>
                  </w:tcBorders>
                  <w:vAlign w:val="center"/>
                </w:tcPr>
                <w:p>
                  <w:pPr>
                    <w:widowControl/>
                    <w:adjustRightInd w:val="0"/>
                    <w:snapToGrid w:val="0"/>
                    <w:spacing w:line="360" w:lineRule="exact"/>
                    <w:jc w:val="center"/>
                    <w:rPr>
                      <w:bCs/>
                      <w:kern w:val="0"/>
                      <w:szCs w:val="21"/>
                      <w:lang w:bidi="zh-CN"/>
                    </w:rPr>
                  </w:pPr>
                </w:p>
              </w:tc>
            </w:tr>
          </w:tbl>
          <w:p>
            <w:pPr>
              <w:spacing w:line="460" w:lineRule="exact"/>
              <w:ind w:firstLine="420"/>
              <w:rPr>
                <w:bCs/>
                <w:sz w:val="24"/>
              </w:rPr>
            </w:pPr>
            <w:r>
              <w:rPr>
                <w:rFonts w:hint="eastAsia"/>
                <w:sz w:val="24"/>
              </w:rPr>
              <w:t>4、</w:t>
            </w:r>
            <w:r>
              <w:rPr>
                <w:rFonts w:hint="eastAsia"/>
                <w:bCs/>
                <w:sz w:val="24"/>
              </w:rPr>
              <w:t>排污口设置</w:t>
            </w:r>
          </w:p>
          <w:p>
            <w:pPr>
              <w:spacing w:line="460" w:lineRule="exact"/>
              <w:ind w:firstLine="420"/>
              <w:rPr>
                <w:bCs/>
                <w:sz w:val="24"/>
              </w:rPr>
            </w:pPr>
            <w:r>
              <w:rPr>
                <w:rFonts w:hint="eastAsia"/>
                <w:bCs/>
                <w:sz w:val="24"/>
              </w:rPr>
              <w:t>项目锅炉共设置2根排气筒，根据现场勘查及排污许可申报内容，排气筒具体设置情况见下表。</w:t>
            </w:r>
          </w:p>
          <w:p>
            <w:pPr>
              <w:ind w:firstLine="420"/>
            </w:pPr>
            <w:r>
              <w:rPr>
                <w:rFonts w:hint="eastAsia"/>
              </w:rPr>
              <w:t>表</w:t>
            </w:r>
            <w:r>
              <w:t xml:space="preserve">4-7                 </w:t>
            </w:r>
            <w:r>
              <w:rPr>
                <w:rFonts w:hint="eastAsia"/>
              </w:rPr>
              <w:t>大气污染物排污口设置一览表</w:t>
            </w:r>
          </w:p>
          <w:tbl>
            <w:tblPr>
              <w:tblStyle w:val="46"/>
              <w:tblW w:w="8938"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258"/>
              <w:gridCol w:w="1453"/>
              <w:gridCol w:w="937"/>
              <w:gridCol w:w="937"/>
              <w:gridCol w:w="937"/>
              <w:gridCol w:w="626"/>
              <w:gridCol w:w="863"/>
              <w:gridCol w:w="863"/>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603" w:hRule="atLeast"/>
                <w:jc w:val="center"/>
              </w:trPr>
              <w:tc>
                <w:tcPr>
                  <w:tcW w:w="1064" w:type="dxa"/>
                  <w:vMerge w:val="restart"/>
                  <w:tcMar>
                    <w:top w:w="15" w:type="dxa"/>
                    <w:left w:w="15" w:type="dxa"/>
                    <w:bottom w:w="15" w:type="dxa"/>
                    <w:right w:w="15" w:type="dxa"/>
                  </w:tcMar>
                  <w:vAlign w:val="center"/>
                </w:tcPr>
                <w:p>
                  <w:pPr>
                    <w:widowControl/>
                    <w:snapToGrid w:val="0"/>
                    <w:jc w:val="center"/>
                    <w:textAlignment w:val="center"/>
                  </w:pPr>
                  <w:r>
                    <w:rPr>
                      <w:rFonts w:hint="eastAsia"/>
                      <w:kern w:val="0"/>
                    </w:rPr>
                    <w:t>排放口编号</w:t>
                  </w:r>
                </w:p>
              </w:tc>
              <w:tc>
                <w:tcPr>
                  <w:tcW w:w="2711" w:type="dxa"/>
                  <w:gridSpan w:val="2"/>
                  <w:tcMar>
                    <w:top w:w="15" w:type="dxa"/>
                    <w:left w:w="15" w:type="dxa"/>
                    <w:bottom w:w="15" w:type="dxa"/>
                    <w:right w:w="15" w:type="dxa"/>
                  </w:tcMar>
                  <w:vAlign w:val="center"/>
                </w:tcPr>
                <w:p>
                  <w:pPr>
                    <w:widowControl/>
                    <w:snapToGrid w:val="0"/>
                    <w:jc w:val="center"/>
                    <w:textAlignment w:val="center"/>
                    <w:rPr>
                      <w:kern w:val="0"/>
                    </w:rPr>
                  </w:pPr>
                  <w:r>
                    <w:rPr>
                      <w:rFonts w:hint="eastAsia"/>
                      <w:kern w:val="0"/>
                    </w:rPr>
                    <w:t>排气筒底部中</w:t>
                  </w:r>
                </w:p>
                <w:p>
                  <w:pPr>
                    <w:widowControl/>
                    <w:snapToGrid w:val="0"/>
                    <w:jc w:val="center"/>
                    <w:textAlignment w:val="center"/>
                    <w:rPr>
                      <w:kern w:val="0"/>
                    </w:rPr>
                  </w:pPr>
                  <w:r>
                    <w:rPr>
                      <w:rFonts w:hint="eastAsia"/>
                      <w:kern w:val="0"/>
                    </w:rPr>
                    <w:t>心坐标</w:t>
                  </w:r>
                </w:p>
              </w:tc>
              <w:tc>
                <w:tcPr>
                  <w:tcW w:w="937" w:type="dxa"/>
                  <w:vMerge w:val="restart"/>
                  <w:tcMar>
                    <w:top w:w="15" w:type="dxa"/>
                    <w:left w:w="15" w:type="dxa"/>
                    <w:bottom w:w="15" w:type="dxa"/>
                    <w:right w:w="15" w:type="dxa"/>
                  </w:tcMar>
                  <w:vAlign w:val="center"/>
                </w:tcPr>
                <w:p>
                  <w:pPr>
                    <w:widowControl/>
                    <w:snapToGrid w:val="0"/>
                    <w:jc w:val="center"/>
                    <w:textAlignment w:val="center"/>
                    <w:rPr>
                      <w:kern w:val="0"/>
                    </w:rPr>
                  </w:pPr>
                  <w:r>
                    <w:rPr>
                      <w:rFonts w:hint="eastAsia"/>
                      <w:kern w:val="0"/>
                    </w:rPr>
                    <w:t>排气筒</w:t>
                  </w:r>
                </w:p>
                <w:p>
                  <w:pPr>
                    <w:widowControl/>
                    <w:snapToGrid w:val="0"/>
                    <w:jc w:val="center"/>
                    <w:textAlignment w:val="center"/>
                  </w:pPr>
                  <w:r>
                    <w:rPr>
                      <w:rFonts w:hint="eastAsia"/>
                      <w:kern w:val="0"/>
                    </w:rPr>
                    <w:t>高度</w:t>
                  </w:r>
                  <w:r>
                    <w:rPr>
                      <w:kern w:val="0"/>
                    </w:rPr>
                    <w:t>/m</w:t>
                  </w:r>
                </w:p>
              </w:tc>
              <w:tc>
                <w:tcPr>
                  <w:tcW w:w="937" w:type="dxa"/>
                  <w:vMerge w:val="restart"/>
                  <w:tcMar>
                    <w:top w:w="15" w:type="dxa"/>
                    <w:left w:w="15" w:type="dxa"/>
                    <w:bottom w:w="15" w:type="dxa"/>
                    <w:right w:w="15" w:type="dxa"/>
                  </w:tcMar>
                  <w:vAlign w:val="center"/>
                </w:tcPr>
                <w:p>
                  <w:pPr>
                    <w:widowControl/>
                    <w:snapToGrid w:val="0"/>
                    <w:jc w:val="center"/>
                    <w:textAlignment w:val="center"/>
                  </w:pPr>
                  <w:r>
                    <w:rPr>
                      <w:rFonts w:hint="eastAsia"/>
                      <w:kern w:val="0"/>
                    </w:rPr>
                    <w:t>排气筒出口内径</w:t>
                  </w:r>
                  <w:r>
                    <w:rPr>
                      <w:kern w:val="0"/>
                    </w:rPr>
                    <w:t>/m</w:t>
                  </w:r>
                </w:p>
              </w:tc>
              <w:tc>
                <w:tcPr>
                  <w:tcW w:w="937" w:type="dxa"/>
                  <w:vMerge w:val="restart"/>
                  <w:tcMar>
                    <w:top w:w="15" w:type="dxa"/>
                    <w:left w:w="15" w:type="dxa"/>
                    <w:bottom w:w="15" w:type="dxa"/>
                    <w:right w:w="15" w:type="dxa"/>
                  </w:tcMar>
                  <w:vAlign w:val="center"/>
                </w:tcPr>
                <w:p>
                  <w:pPr>
                    <w:widowControl/>
                    <w:snapToGrid w:val="0"/>
                    <w:jc w:val="center"/>
                    <w:textAlignment w:val="center"/>
                  </w:pPr>
                  <w:r>
                    <w:rPr>
                      <w:rFonts w:hint="eastAsia"/>
                      <w:kern w:val="0"/>
                    </w:rPr>
                    <w:t>烟气温度</w:t>
                  </w:r>
                  <w:r>
                    <w:rPr>
                      <w:kern w:val="0"/>
                    </w:rPr>
                    <w:t>/</w:t>
                  </w:r>
                  <w:r>
                    <w:rPr>
                      <w:rFonts w:hint="eastAsia" w:ascii="宋体" w:hAnsi="宋体" w:cs="宋体"/>
                      <w:kern w:val="0"/>
                    </w:rPr>
                    <w:t>℃</w:t>
                  </w:r>
                </w:p>
              </w:tc>
              <w:tc>
                <w:tcPr>
                  <w:tcW w:w="626" w:type="dxa"/>
                  <w:vMerge w:val="restart"/>
                  <w:tcMar>
                    <w:top w:w="15" w:type="dxa"/>
                    <w:left w:w="15" w:type="dxa"/>
                    <w:bottom w:w="15" w:type="dxa"/>
                    <w:right w:w="15" w:type="dxa"/>
                  </w:tcMar>
                  <w:vAlign w:val="center"/>
                </w:tcPr>
                <w:p>
                  <w:pPr>
                    <w:widowControl/>
                    <w:snapToGrid w:val="0"/>
                    <w:jc w:val="center"/>
                    <w:textAlignment w:val="center"/>
                  </w:pPr>
                  <w:r>
                    <w:rPr>
                      <w:rFonts w:hint="eastAsia"/>
                      <w:kern w:val="0"/>
                    </w:rPr>
                    <w:t>年排放小时数</w:t>
                  </w:r>
                  <w:r>
                    <w:rPr>
                      <w:kern w:val="0"/>
                    </w:rPr>
                    <w:t>/h</w:t>
                  </w:r>
                </w:p>
              </w:tc>
              <w:tc>
                <w:tcPr>
                  <w:tcW w:w="863" w:type="dxa"/>
                  <w:vMerge w:val="restart"/>
                  <w:tcMar>
                    <w:top w:w="15" w:type="dxa"/>
                    <w:left w:w="15" w:type="dxa"/>
                    <w:bottom w:w="15" w:type="dxa"/>
                    <w:right w:w="15" w:type="dxa"/>
                  </w:tcMar>
                  <w:vAlign w:val="center"/>
                </w:tcPr>
                <w:p>
                  <w:pPr>
                    <w:widowControl/>
                    <w:snapToGrid w:val="0"/>
                    <w:jc w:val="center"/>
                    <w:textAlignment w:val="center"/>
                  </w:pPr>
                  <w:r>
                    <w:rPr>
                      <w:rFonts w:hint="eastAsia"/>
                      <w:kern w:val="0"/>
                    </w:rPr>
                    <w:t>排放口类型</w:t>
                  </w:r>
                </w:p>
              </w:tc>
              <w:tc>
                <w:tcPr>
                  <w:tcW w:w="863" w:type="dxa"/>
                  <w:vMerge w:val="restart"/>
                  <w:vAlign w:val="center"/>
                </w:tcPr>
                <w:p>
                  <w:pPr>
                    <w:widowControl/>
                    <w:snapToGrid w:val="0"/>
                    <w:jc w:val="center"/>
                    <w:textAlignment w:val="center"/>
                    <w:rPr>
                      <w:kern w:val="0"/>
                    </w:rPr>
                  </w:pPr>
                  <w:r>
                    <w:rPr>
                      <w:rFonts w:hint="eastAsia"/>
                      <w:kern w:val="0"/>
                    </w:rPr>
                    <w:t>备注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995" w:hRule="atLeast"/>
                <w:jc w:val="center"/>
              </w:trPr>
              <w:tc>
                <w:tcPr>
                  <w:tcW w:w="1064" w:type="dxa"/>
                  <w:vMerge w:val="continue"/>
                  <w:vAlign w:val="center"/>
                </w:tcPr>
                <w:p>
                  <w:pPr>
                    <w:widowControl/>
                    <w:jc w:val="left"/>
                  </w:pPr>
                </w:p>
              </w:tc>
              <w:tc>
                <w:tcPr>
                  <w:tcW w:w="1258" w:type="dxa"/>
                  <w:tcMar>
                    <w:top w:w="15" w:type="dxa"/>
                    <w:left w:w="15" w:type="dxa"/>
                    <w:bottom w:w="15" w:type="dxa"/>
                    <w:right w:w="15" w:type="dxa"/>
                  </w:tcMar>
                  <w:vAlign w:val="center"/>
                </w:tcPr>
                <w:p>
                  <w:pPr>
                    <w:widowControl/>
                    <w:snapToGrid w:val="0"/>
                    <w:jc w:val="center"/>
                    <w:textAlignment w:val="center"/>
                    <w:rPr>
                      <w:kern w:val="0"/>
                    </w:rPr>
                  </w:pPr>
                  <w:r>
                    <w:rPr>
                      <w:rFonts w:hint="eastAsia"/>
                      <w:kern w:val="0"/>
                    </w:rPr>
                    <w:t>东经</w:t>
                  </w:r>
                </w:p>
              </w:tc>
              <w:tc>
                <w:tcPr>
                  <w:tcW w:w="1453" w:type="dxa"/>
                  <w:tcMar>
                    <w:top w:w="15" w:type="dxa"/>
                    <w:left w:w="15" w:type="dxa"/>
                    <w:bottom w:w="15" w:type="dxa"/>
                    <w:right w:w="15" w:type="dxa"/>
                  </w:tcMar>
                  <w:vAlign w:val="center"/>
                </w:tcPr>
                <w:p>
                  <w:pPr>
                    <w:widowControl/>
                    <w:snapToGrid w:val="0"/>
                    <w:jc w:val="center"/>
                    <w:textAlignment w:val="center"/>
                    <w:rPr>
                      <w:kern w:val="0"/>
                    </w:rPr>
                  </w:pPr>
                  <w:r>
                    <w:rPr>
                      <w:rFonts w:hint="eastAsia"/>
                      <w:kern w:val="0"/>
                    </w:rPr>
                    <w:t>北纬</w:t>
                  </w:r>
                </w:p>
              </w:tc>
              <w:tc>
                <w:tcPr>
                  <w:tcW w:w="937" w:type="dxa"/>
                  <w:vMerge w:val="continue"/>
                  <w:vAlign w:val="center"/>
                </w:tcPr>
                <w:p>
                  <w:pPr>
                    <w:widowControl/>
                    <w:jc w:val="left"/>
                    <w:rPr>
                      <w:b/>
                      <w:bCs/>
                    </w:rPr>
                  </w:pPr>
                </w:p>
              </w:tc>
              <w:tc>
                <w:tcPr>
                  <w:tcW w:w="937" w:type="dxa"/>
                  <w:vMerge w:val="continue"/>
                  <w:vAlign w:val="center"/>
                </w:tcPr>
                <w:p>
                  <w:pPr>
                    <w:widowControl/>
                    <w:jc w:val="left"/>
                    <w:rPr>
                      <w:b/>
                      <w:bCs/>
                    </w:rPr>
                  </w:pPr>
                </w:p>
              </w:tc>
              <w:tc>
                <w:tcPr>
                  <w:tcW w:w="937" w:type="dxa"/>
                  <w:vMerge w:val="continue"/>
                  <w:vAlign w:val="center"/>
                </w:tcPr>
                <w:p>
                  <w:pPr>
                    <w:widowControl/>
                    <w:jc w:val="left"/>
                    <w:rPr>
                      <w:b/>
                      <w:bCs/>
                    </w:rPr>
                  </w:pPr>
                </w:p>
              </w:tc>
              <w:tc>
                <w:tcPr>
                  <w:tcW w:w="626" w:type="dxa"/>
                  <w:vMerge w:val="continue"/>
                  <w:vAlign w:val="center"/>
                </w:tcPr>
                <w:p>
                  <w:pPr>
                    <w:widowControl/>
                    <w:jc w:val="left"/>
                    <w:rPr>
                      <w:b/>
                      <w:bCs/>
                    </w:rPr>
                  </w:pPr>
                </w:p>
              </w:tc>
              <w:tc>
                <w:tcPr>
                  <w:tcW w:w="863" w:type="dxa"/>
                  <w:vMerge w:val="continue"/>
                  <w:vAlign w:val="center"/>
                </w:tcPr>
                <w:p>
                  <w:pPr>
                    <w:widowControl/>
                    <w:jc w:val="left"/>
                    <w:rPr>
                      <w:b/>
                      <w:bCs/>
                    </w:rPr>
                  </w:pPr>
                </w:p>
              </w:tc>
              <w:tc>
                <w:tcPr>
                  <w:tcW w:w="863" w:type="dxa"/>
                  <w:vMerge w:val="continue"/>
                  <w:vAlign w:val="center"/>
                </w:tcPr>
                <w:p>
                  <w:pPr>
                    <w:widowControl/>
                    <w:jc w:val="center"/>
                    <w:rPr>
                      <w:b/>
                      <w:bCs/>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622" w:hRule="atLeast"/>
                <w:jc w:val="center"/>
              </w:trPr>
              <w:tc>
                <w:tcPr>
                  <w:tcW w:w="1064" w:type="dxa"/>
                  <w:tcMar>
                    <w:top w:w="15" w:type="dxa"/>
                    <w:left w:w="15" w:type="dxa"/>
                    <w:bottom w:w="15" w:type="dxa"/>
                    <w:right w:w="15" w:type="dxa"/>
                  </w:tcMar>
                  <w:vAlign w:val="center"/>
                </w:tcPr>
                <w:p>
                  <w:pPr>
                    <w:widowControl/>
                    <w:snapToGrid w:val="0"/>
                    <w:jc w:val="center"/>
                    <w:textAlignment w:val="center"/>
                  </w:pPr>
                  <w:r>
                    <w:rPr>
                      <w:kern w:val="0"/>
                    </w:rPr>
                    <w:t>DA001</w:t>
                  </w:r>
                </w:p>
              </w:tc>
              <w:tc>
                <w:tcPr>
                  <w:tcW w:w="1258" w:type="dxa"/>
                  <w:tcMar>
                    <w:top w:w="15" w:type="dxa"/>
                    <w:left w:w="15" w:type="dxa"/>
                    <w:bottom w:w="15" w:type="dxa"/>
                    <w:right w:w="15" w:type="dxa"/>
                  </w:tcMar>
                  <w:vAlign w:val="center"/>
                </w:tcPr>
                <w:p>
                  <w:pPr>
                    <w:snapToGrid w:val="0"/>
                    <w:jc w:val="center"/>
                    <w:rPr>
                      <w:kern w:val="0"/>
                    </w:rPr>
                  </w:pPr>
                  <w:r>
                    <w:rPr>
                      <w:rFonts w:hint="eastAsia"/>
                      <w:kern w:val="0"/>
                    </w:rPr>
                    <w:t>86度 51分 40.07秒</w:t>
                  </w:r>
                </w:p>
              </w:tc>
              <w:tc>
                <w:tcPr>
                  <w:tcW w:w="1453" w:type="dxa"/>
                  <w:tcMar>
                    <w:top w:w="15" w:type="dxa"/>
                    <w:left w:w="15" w:type="dxa"/>
                    <w:bottom w:w="15" w:type="dxa"/>
                    <w:right w:w="15" w:type="dxa"/>
                  </w:tcMar>
                  <w:vAlign w:val="center"/>
                </w:tcPr>
                <w:p>
                  <w:pPr>
                    <w:snapToGrid w:val="0"/>
                    <w:jc w:val="center"/>
                    <w:rPr>
                      <w:kern w:val="0"/>
                    </w:rPr>
                  </w:pPr>
                  <w:r>
                    <w:rPr>
                      <w:rFonts w:hint="eastAsia"/>
                      <w:kern w:val="0"/>
                    </w:rPr>
                    <w:t>44度 9分 27.79秒</w:t>
                  </w:r>
                </w:p>
              </w:tc>
              <w:tc>
                <w:tcPr>
                  <w:tcW w:w="937" w:type="dxa"/>
                  <w:tcMar>
                    <w:top w:w="15" w:type="dxa"/>
                    <w:left w:w="15" w:type="dxa"/>
                    <w:bottom w:w="15" w:type="dxa"/>
                    <w:right w:w="15" w:type="dxa"/>
                  </w:tcMar>
                  <w:vAlign w:val="center"/>
                </w:tcPr>
                <w:p>
                  <w:pPr>
                    <w:widowControl/>
                    <w:snapToGrid w:val="0"/>
                    <w:jc w:val="center"/>
                    <w:textAlignment w:val="center"/>
                  </w:pPr>
                  <w:r>
                    <w:t>15</w:t>
                  </w:r>
                </w:p>
              </w:tc>
              <w:tc>
                <w:tcPr>
                  <w:tcW w:w="937" w:type="dxa"/>
                  <w:tcMar>
                    <w:top w:w="15" w:type="dxa"/>
                    <w:left w:w="15" w:type="dxa"/>
                    <w:bottom w:w="15" w:type="dxa"/>
                    <w:right w:w="15" w:type="dxa"/>
                  </w:tcMar>
                  <w:vAlign w:val="center"/>
                </w:tcPr>
                <w:p>
                  <w:pPr>
                    <w:widowControl/>
                    <w:snapToGrid w:val="0"/>
                    <w:jc w:val="center"/>
                    <w:textAlignment w:val="center"/>
                  </w:pPr>
                  <w:r>
                    <w:t>0.6</w:t>
                  </w:r>
                </w:p>
              </w:tc>
              <w:tc>
                <w:tcPr>
                  <w:tcW w:w="937" w:type="dxa"/>
                  <w:tcMar>
                    <w:top w:w="15" w:type="dxa"/>
                    <w:left w:w="15" w:type="dxa"/>
                    <w:bottom w:w="15" w:type="dxa"/>
                    <w:right w:w="15" w:type="dxa"/>
                  </w:tcMar>
                  <w:vAlign w:val="center"/>
                </w:tcPr>
                <w:p>
                  <w:pPr>
                    <w:widowControl/>
                    <w:snapToGrid w:val="0"/>
                    <w:jc w:val="center"/>
                    <w:textAlignment w:val="center"/>
                  </w:pPr>
                  <w:r>
                    <w:rPr>
                      <w:kern w:val="0"/>
                    </w:rPr>
                    <w:t>120</w:t>
                  </w:r>
                </w:p>
              </w:tc>
              <w:tc>
                <w:tcPr>
                  <w:tcW w:w="626" w:type="dxa"/>
                  <w:tcMar>
                    <w:top w:w="15" w:type="dxa"/>
                    <w:left w:w="15" w:type="dxa"/>
                    <w:bottom w:w="15" w:type="dxa"/>
                    <w:right w:w="15" w:type="dxa"/>
                  </w:tcMar>
                  <w:vAlign w:val="center"/>
                </w:tcPr>
                <w:p>
                  <w:pPr>
                    <w:widowControl/>
                    <w:snapToGrid w:val="0"/>
                    <w:jc w:val="center"/>
                    <w:textAlignment w:val="center"/>
                  </w:pPr>
                  <w:r>
                    <w:rPr>
                      <w:rFonts w:hint="eastAsia"/>
                    </w:rPr>
                    <w:t>/</w:t>
                  </w:r>
                </w:p>
              </w:tc>
              <w:tc>
                <w:tcPr>
                  <w:tcW w:w="863" w:type="dxa"/>
                  <w:tcMar>
                    <w:top w:w="15" w:type="dxa"/>
                    <w:left w:w="15" w:type="dxa"/>
                    <w:bottom w:w="15" w:type="dxa"/>
                    <w:right w:w="15" w:type="dxa"/>
                  </w:tcMar>
                  <w:vAlign w:val="center"/>
                </w:tcPr>
                <w:p>
                  <w:pPr>
                    <w:widowControl/>
                    <w:snapToGrid w:val="0"/>
                    <w:jc w:val="center"/>
                    <w:textAlignment w:val="center"/>
                  </w:pPr>
                  <w:r>
                    <w:rPr>
                      <w:rFonts w:hint="eastAsia"/>
                      <w:kern w:val="0"/>
                    </w:rPr>
                    <w:t>一般排放口</w:t>
                  </w:r>
                </w:p>
              </w:tc>
              <w:tc>
                <w:tcPr>
                  <w:tcW w:w="863" w:type="dxa"/>
                  <w:vAlign w:val="center"/>
                </w:tcPr>
                <w:p>
                  <w:pPr>
                    <w:widowControl/>
                    <w:snapToGrid w:val="0"/>
                    <w:jc w:val="center"/>
                    <w:textAlignment w:val="center"/>
                    <w:rPr>
                      <w:kern w:val="0"/>
                    </w:rPr>
                  </w:pPr>
                  <w:r>
                    <w:rPr>
                      <w:rFonts w:hint="eastAsia"/>
                      <w:kern w:val="0"/>
                    </w:rPr>
                    <w:t>备用锅炉</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622" w:hRule="atLeast"/>
                <w:jc w:val="center"/>
              </w:trPr>
              <w:tc>
                <w:tcPr>
                  <w:tcW w:w="1064" w:type="dxa"/>
                  <w:tcMar>
                    <w:top w:w="15" w:type="dxa"/>
                    <w:left w:w="15" w:type="dxa"/>
                    <w:bottom w:w="15" w:type="dxa"/>
                    <w:right w:w="15" w:type="dxa"/>
                  </w:tcMar>
                  <w:vAlign w:val="center"/>
                </w:tcPr>
                <w:p>
                  <w:pPr>
                    <w:widowControl/>
                    <w:snapToGrid w:val="0"/>
                    <w:jc w:val="center"/>
                    <w:textAlignment w:val="center"/>
                    <w:rPr>
                      <w:kern w:val="0"/>
                    </w:rPr>
                  </w:pPr>
                  <w:r>
                    <w:rPr>
                      <w:rFonts w:hint="eastAsia"/>
                      <w:kern w:val="0"/>
                    </w:rPr>
                    <w:t>D</w:t>
                  </w:r>
                  <w:r>
                    <w:rPr>
                      <w:kern w:val="0"/>
                    </w:rPr>
                    <w:t>A002</w:t>
                  </w:r>
                </w:p>
              </w:tc>
              <w:tc>
                <w:tcPr>
                  <w:tcW w:w="1258" w:type="dxa"/>
                  <w:tcMar>
                    <w:top w:w="15" w:type="dxa"/>
                    <w:left w:w="15" w:type="dxa"/>
                    <w:bottom w:w="15" w:type="dxa"/>
                    <w:right w:w="15" w:type="dxa"/>
                  </w:tcMar>
                  <w:vAlign w:val="center"/>
                </w:tcPr>
                <w:p>
                  <w:pPr>
                    <w:snapToGrid w:val="0"/>
                    <w:jc w:val="center"/>
                  </w:pPr>
                  <w:r>
                    <w:t>86度 51分 39.82秒</w:t>
                  </w:r>
                </w:p>
              </w:tc>
              <w:tc>
                <w:tcPr>
                  <w:tcW w:w="1453" w:type="dxa"/>
                  <w:tcMar>
                    <w:top w:w="15" w:type="dxa"/>
                    <w:left w:w="15" w:type="dxa"/>
                    <w:bottom w:w="15" w:type="dxa"/>
                    <w:right w:w="15" w:type="dxa"/>
                  </w:tcMar>
                  <w:vAlign w:val="center"/>
                </w:tcPr>
                <w:p>
                  <w:pPr>
                    <w:snapToGrid w:val="0"/>
                    <w:jc w:val="center"/>
                  </w:pPr>
                  <w:r>
                    <w:t>44度 9分 27.07秒</w:t>
                  </w:r>
                </w:p>
              </w:tc>
              <w:tc>
                <w:tcPr>
                  <w:tcW w:w="937" w:type="dxa"/>
                  <w:tcMar>
                    <w:top w:w="15" w:type="dxa"/>
                    <w:left w:w="15" w:type="dxa"/>
                    <w:bottom w:w="15" w:type="dxa"/>
                    <w:right w:w="15" w:type="dxa"/>
                  </w:tcMar>
                  <w:vAlign w:val="center"/>
                </w:tcPr>
                <w:p>
                  <w:pPr>
                    <w:widowControl/>
                    <w:snapToGrid w:val="0"/>
                    <w:jc w:val="center"/>
                    <w:textAlignment w:val="center"/>
                  </w:pPr>
                  <w:r>
                    <w:t>15</w:t>
                  </w:r>
                </w:p>
              </w:tc>
              <w:tc>
                <w:tcPr>
                  <w:tcW w:w="937" w:type="dxa"/>
                  <w:tcMar>
                    <w:top w:w="15" w:type="dxa"/>
                    <w:left w:w="15" w:type="dxa"/>
                    <w:bottom w:w="15" w:type="dxa"/>
                    <w:right w:w="15" w:type="dxa"/>
                  </w:tcMar>
                  <w:vAlign w:val="center"/>
                </w:tcPr>
                <w:p>
                  <w:pPr>
                    <w:widowControl/>
                    <w:snapToGrid w:val="0"/>
                    <w:jc w:val="center"/>
                    <w:textAlignment w:val="center"/>
                  </w:pPr>
                  <w:r>
                    <w:t>0.6</w:t>
                  </w:r>
                </w:p>
              </w:tc>
              <w:tc>
                <w:tcPr>
                  <w:tcW w:w="937" w:type="dxa"/>
                  <w:tcMar>
                    <w:top w:w="15" w:type="dxa"/>
                    <w:left w:w="15" w:type="dxa"/>
                    <w:bottom w:w="15" w:type="dxa"/>
                    <w:right w:w="15" w:type="dxa"/>
                  </w:tcMar>
                  <w:vAlign w:val="center"/>
                </w:tcPr>
                <w:p>
                  <w:pPr>
                    <w:widowControl/>
                    <w:snapToGrid w:val="0"/>
                    <w:jc w:val="center"/>
                    <w:textAlignment w:val="center"/>
                    <w:rPr>
                      <w:kern w:val="0"/>
                    </w:rPr>
                  </w:pPr>
                  <w:r>
                    <w:rPr>
                      <w:rFonts w:hint="eastAsia"/>
                      <w:kern w:val="0"/>
                    </w:rPr>
                    <w:t>1</w:t>
                  </w:r>
                  <w:r>
                    <w:rPr>
                      <w:kern w:val="0"/>
                    </w:rPr>
                    <w:t>20</w:t>
                  </w:r>
                </w:p>
              </w:tc>
              <w:tc>
                <w:tcPr>
                  <w:tcW w:w="626" w:type="dxa"/>
                  <w:tcMar>
                    <w:top w:w="15" w:type="dxa"/>
                    <w:left w:w="15" w:type="dxa"/>
                    <w:bottom w:w="15" w:type="dxa"/>
                    <w:right w:w="15" w:type="dxa"/>
                  </w:tcMar>
                  <w:vAlign w:val="center"/>
                </w:tcPr>
                <w:p>
                  <w:pPr>
                    <w:widowControl/>
                    <w:snapToGrid w:val="0"/>
                    <w:jc w:val="center"/>
                    <w:textAlignment w:val="center"/>
                    <w:rPr>
                      <w:b/>
                      <w:bCs/>
                    </w:rPr>
                  </w:pPr>
                  <w:r>
                    <w:t>3360</w:t>
                  </w:r>
                </w:p>
              </w:tc>
              <w:tc>
                <w:tcPr>
                  <w:tcW w:w="863" w:type="dxa"/>
                  <w:tcMar>
                    <w:top w:w="15" w:type="dxa"/>
                    <w:left w:w="15" w:type="dxa"/>
                    <w:bottom w:w="15" w:type="dxa"/>
                    <w:right w:w="15" w:type="dxa"/>
                  </w:tcMar>
                  <w:vAlign w:val="center"/>
                </w:tcPr>
                <w:p>
                  <w:pPr>
                    <w:widowControl/>
                    <w:snapToGrid w:val="0"/>
                    <w:jc w:val="center"/>
                    <w:textAlignment w:val="center"/>
                    <w:rPr>
                      <w:kern w:val="0"/>
                    </w:rPr>
                  </w:pPr>
                  <w:r>
                    <w:rPr>
                      <w:rFonts w:hint="eastAsia"/>
                      <w:kern w:val="0"/>
                    </w:rPr>
                    <w:t>一般排放口</w:t>
                  </w:r>
                </w:p>
              </w:tc>
              <w:tc>
                <w:tcPr>
                  <w:tcW w:w="863" w:type="dxa"/>
                  <w:vAlign w:val="center"/>
                </w:tcPr>
                <w:p>
                  <w:pPr>
                    <w:widowControl/>
                    <w:snapToGrid w:val="0"/>
                    <w:jc w:val="center"/>
                    <w:textAlignment w:val="center"/>
                    <w:rPr>
                      <w:kern w:val="0"/>
                    </w:rPr>
                  </w:pPr>
                  <w:r>
                    <w:rPr>
                      <w:rFonts w:hint="eastAsia"/>
                      <w:kern w:val="0"/>
                    </w:rPr>
                    <w:t>常用锅炉</w:t>
                  </w:r>
                </w:p>
              </w:tc>
            </w:tr>
          </w:tbl>
          <w:p>
            <w:pPr>
              <w:spacing w:line="460" w:lineRule="exact"/>
              <w:ind w:firstLine="480" w:firstLineChars="200"/>
              <w:rPr>
                <w:sz w:val="24"/>
                <w:szCs w:val="32"/>
              </w:rPr>
            </w:pPr>
            <w:r>
              <w:rPr>
                <w:rFonts w:hint="eastAsia"/>
                <w:sz w:val="24"/>
                <w:szCs w:val="32"/>
              </w:rPr>
              <w:t>5、监测计划</w:t>
            </w:r>
          </w:p>
          <w:p>
            <w:pPr>
              <w:spacing w:line="460" w:lineRule="exact"/>
              <w:ind w:firstLine="482"/>
              <w:rPr>
                <w:szCs w:val="32"/>
              </w:rPr>
            </w:pPr>
            <w:r>
              <w:rPr>
                <w:rFonts w:hint="eastAsia"/>
                <w:sz w:val="24"/>
                <w:szCs w:val="32"/>
              </w:rPr>
              <w:t>本次评价</w:t>
            </w:r>
            <w:r>
              <w:rPr>
                <w:sz w:val="24"/>
                <w:szCs w:val="32"/>
              </w:rPr>
              <w:t>根据</w:t>
            </w:r>
            <w:r>
              <w:rPr>
                <w:rFonts w:hint="eastAsia"/>
                <w:sz w:val="24"/>
                <w:szCs w:val="32"/>
              </w:rPr>
              <w:t>《排污许可证申请与核发技术规范 食品制造工业—乳制品制造工业》（H</w:t>
            </w:r>
            <w:r>
              <w:rPr>
                <w:sz w:val="24"/>
                <w:szCs w:val="32"/>
              </w:rPr>
              <w:t>J 1030.1-2019</w:t>
            </w:r>
            <w:r>
              <w:rPr>
                <w:rFonts w:hint="eastAsia"/>
                <w:sz w:val="24"/>
                <w:szCs w:val="32"/>
              </w:rPr>
              <w:t>）</w:t>
            </w:r>
            <w:r>
              <w:rPr>
                <w:rFonts w:hint="eastAsia"/>
                <w:sz w:val="24"/>
                <w:szCs w:val="40"/>
              </w:rPr>
              <w:t>及《排污许可证申请与核发技术规范锅炉》</w:t>
            </w:r>
            <w:r>
              <w:rPr>
                <w:rFonts w:hint="eastAsia"/>
                <w:bCs/>
                <w:sz w:val="24"/>
              </w:rPr>
              <w:t>（HJ953-2018）</w:t>
            </w:r>
            <w:r>
              <w:rPr>
                <w:rFonts w:hint="eastAsia"/>
                <w:sz w:val="24"/>
                <w:szCs w:val="40"/>
              </w:rPr>
              <w:t>要求</w:t>
            </w:r>
            <w:r>
              <w:rPr>
                <w:rFonts w:hint="eastAsia"/>
                <w:bCs/>
                <w:sz w:val="24"/>
                <w:szCs w:val="32"/>
              </w:rPr>
              <w:t>中</w:t>
            </w:r>
            <w:r>
              <w:rPr>
                <w:rFonts w:hint="eastAsia"/>
                <w:sz w:val="24"/>
                <w:szCs w:val="32"/>
              </w:rPr>
              <w:t>相关要求制定废气监测计划</w:t>
            </w:r>
            <w:r>
              <w:rPr>
                <w:sz w:val="24"/>
                <w:szCs w:val="32"/>
              </w:rPr>
              <w:t>，</w:t>
            </w:r>
            <w:r>
              <w:rPr>
                <w:rFonts w:hint="eastAsia" w:ascii="宋体" w:hAnsi="宋体"/>
                <w:sz w:val="24"/>
                <w:szCs w:val="32"/>
              </w:rPr>
              <w:t>建设单位可委托有资质的环境监测机构进行监测。同时，企业应建立健全污染源监控和环境监测技术档案，并接受当地环境保护主管部门的业务指导、监督和检查。</w:t>
            </w:r>
            <w:r>
              <w:rPr>
                <w:rFonts w:hint="eastAsia"/>
                <w:sz w:val="24"/>
                <w:szCs w:val="32"/>
              </w:rPr>
              <w:t>具体监测项目及内容如下：</w:t>
            </w:r>
          </w:p>
          <w:p>
            <w:pPr>
              <w:pStyle w:val="137"/>
              <w:ind w:firstLine="420" w:firstLineChars="200"/>
              <w:jc w:val="both"/>
              <w:rPr>
                <w:rFonts w:ascii="黑体" w:hAnsi="黑体" w:eastAsia="黑体"/>
                <w:b w:val="0"/>
                <w:bCs w:val="0"/>
              </w:rPr>
            </w:pPr>
            <w:r>
              <w:rPr>
                <w:rFonts w:ascii="黑体" w:hAnsi="黑体" w:eastAsia="黑体"/>
                <w:b w:val="0"/>
                <w:bCs w:val="0"/>
              </w:rPr>
              <w:t xml:space="preserve">表4-8   </w:t>
            </w:r>
            <w:r>
              <w:rPr>
                <w:rFonts w:hint="eastAsia" w:ascii="黑体" w:hAnsi="黑体" w:eastAsia="黑体"/>
                <w:b w:val="0"/>
                <w:bCs w:val="0"/>
              </w:rPr>
              <w:t xml:space="preserve"> </w:t>
            </w:r>
            <w:r>
              <w:rPr>
                <w:rFonts w:ascii="黑体" w:hAnsi="黑体" w:eastAsia="黑体"/>
                <w:b w:val="0"/>
                <w:bCs w:val="0"/>
              </w:rPr>
              <w:t xml:space="preserve">                </w:t>
            </w:r>
            <w:r>
              <w:rPr>
                <w:rFonts w:hint="eastAsia" w:ascii="黑体" w:hAnsi="黑体" w:eastAsia="黑体"/>
                <w:b w:val="0"/>
                <w:bCs w:val="0"/>
              </w:rPr>
              <w:t xml:space="preserve"> 废气</w:t>
            </w:r>
            <w:r>
              <w:rPr>
                <w:rFonts w:ascii="黑体" w:hAnsi="黑体" w:eastAsia="黑体"/>
                <w:b w:val="0"/>
                <w:bCs w:val="0"/>
              </w:rPr>
              <w:t>监测内容及计划</w:t>
            </w:r>
          </w:p>
          <w:tbl>
            <w:tblPr>
              <w:tblStyle w:val="46"/>
              <w:tblW w:w="8938"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03"/>
              <w:gridCol w:w="1410"/>
              <w:gridCol w:w="1469"/>
              <w:gridCol w:w="1469"/>
              <w:gridCol w:w="1028"/>
              <w:gridCol w:w="1178"/>
              <w:gridCol w:w="7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7" w:type="dxa"/>
                  <w:tcBorders>
                    <w:top w:val="single" w:color="auto" w:sz="12" w:space="0"/>
                  </w:tcBorders>
                  <w:vAlign w:val="center"/>
                </w:tcPr>
                <w:p>
                  <w:pPr>
                    <w:pStyle w:val="98"/>
                    <w:spacing w:beforeLines="0" w:afterLines="0" w:line="240" w:lineRule="auto"/>
                    <w:ind w:left="0" w:firstLine="0" w:firstLineChars="0"/>
                    <w:rPr>
                      <w:rFonts w:ascii="Times New Roman"/>
                      <w:szCs w:val="21"/>
                    </w:rPr>
                  </w:pPr>
                  <w:r>
                    <w:rPr>
                      <w:rFonts w:hint="eastAsia" w:ascii="Times New Roman"/>
                      <w:szCs w:val="21"/>
                    </w:rPr>
                    <w:t>排放方式</w:t>
                  </w:r>
                </w:p>
              </w:tc>
              <w:tc>
                <w:tcPr>
                  <w:tcW w:w="903" w:type="dxa"/>
                  <w:tcBorders>
                    <w:top w:val="single" w:color="auto" w:sz="12" w:space="0"/>
                  </w:tcBorders>
                  <w:vAlign w:val="center"/>
                </w:tcPr>
                <w:p>
                  <w:pPr>
                    <w:pStyle w:val="98"/>
                    <w:spacing w:beforeLines="0" w:afterLines="0" w:line="240" w:lineRule="auto"/>
                    <w:ind w:left="0" w:firstLine="0" w:firstLineChars="0"/>
                    <w:rPr>
                      <w:rFonts w:ascii="Times New Roman"/>
                      <w:szCs w:val="21"/>
                    </w:rPr>
                  </w:pPr>
                  <w:r>
                    <w:rPr>
                      <w:rFonts w:hint="eastAsia" w:ascii="Times New Roman"/>
                      <w:szCs w:val="21"/>
                    </w:rPr>
                    <w:t>排放口</w:t>
                  </w:r>
                </w:p>
              </w:tc>
              <w:tc>
                <w:tcPr>
                  <w:tcW w:w="1410" w:type="dxa"/>
                  <w:tcBorders>
                    <w:top w:val="single" w:color="auto" w:sz="12" w:space="0"/>
                  </w:tcBorders>
                  <w:vAlign w:val="center"/>
                </w:tcPr>
                <w:p>
                  <w:pPr>
                    <w:pStyle w:val="98"/>
                    <w:spacing w:beforeLines="0" w:afterLines="0" w:line="240" w:lineRule="auto"/>
                    <w:ind w:left="0" w:firstLine="0" w:firstLineChars="0"/>
                    <w:rPr>
                      <w:rFonts w:ascii="Times New Roman"/>
                      <w:szCs w:val="21"/>
                    </w:rPr>
                  </w:pPr>
                  <w:r>
                    <w:rPr>
                      <w:rFonts w:hint="eastAsia" w:ascii="Times New Roman"/>
                      <w:szCs w:val="21"/>
                    </w:rPr>
                    <w:t>排放口类型</w:t>
                  </w:r>
                </w:p>
              </w:tc>
              <w:tc>
                <w:tcPr>
                  <w:tcW w:w="1469" w:type="dxa"/>
                  <w:tcBorders>
                    <w:top w:val="single" w:color="auto" w:sz="12" w:space="0"/>
                  </w:tcBorders>
                  <w:vAlign w:val="center"/>
                </w:tcPr>
                <w:p>
                  <w:pPr>
                    <w:widowControl/>
                    <w:jc w:val="center"/>
                    <w:rPr>
                      <w:szCs w:val="21"/>
                    </w:rPr>
                  </w:pPr>
                  <w:r>
                    <w:rPr>
                      <w:rFonts w:hint="eastAsia"/>
                      <w:szCs w:val="21"/>
                    </w:rPr>
                    <w:t>污染物</w:t>
                  </w:r>
                </w:p>
              </w:tc>
              <w:tc>
                <w:tcPr>
                  <w:tcW w:w="1469" w:type="dxa"/>
                  <w:tcBorders>
                    <w:top w:val="single" w:color="auto" w:sz="12" w:space="0"/>
                  </w:tcBorders>
                  <w:vAlign w:val="center"/>
                </w:tcPr>
                <w:p>
                  <w:pPr>
                    <w:widowControl/>
                    <w:jc w:val="center"/>
                    <w:rPr>
                      <w:szCs w:val="21"/>
                    </w:rPr>
                  </w:pPr>
                  <w:r>
                    <w:rPr>
                      <w:rFonts w:hint="eastAsia"/>
                      <w:szCs w:val="21"/>
                    </w:rPr>
                    <w:t>排放限值</w:t>
                  </w:r>
                </w:p>
              </w:tc>
              <w:tc>
                <w:tcPr>
                  <w:tcW w:w="1028" w:type="dxa"/>
                  <w:tcBorders>
                    <w:top w:val="single" w:color="auto" w:sz="12" w:space="0"/>
                  </w:tcBorders>
                  <w:vAlign w:val="center"/>
                </w:tcPr>
                <w:p>
                  <w:pPr>
                    <w:pStyle w:val="98"/>
                    <w:spacing w:beforeLines="0" w:afterLines="0" w:line="240" w:lineRule="auto"/>
                    <w:ind w:left="0" w:firstLine="0" w:firstLineChars="0"/>
                    <w:rPr>
                      <w:rFonts w:ascii="Times New Roman"/>
                      <w:szCs w:val="21"/>
                    </w:rPr>
                  </w:pPr>
                  <w:r>
                    <w:rPr>
                      <w:rFonts w:hint="eastAsia" w:ascii="Times New Roman"/>
                      <w:szCs w:val="21"/>
                    </w:rPr>
                    <w:t>布点</w:t>
                  </w:r>
                </w:p>
              </w:tc>
              <w:tc>
                <w:tcPr>
                  <w:tcW w:w="1178" w:type="dxa"/>
                  <w:tcBorders>
                    <w:top w:val="single" w:color="auto" w:sz="12" w:space="0"/>
                  </w:tcBorders>
                  <w:vAlign w:val="center"/>
                </w:tcPr>
                <w:p>
                  <w:pPr>
                    <w:pStyle w:val="98"/>
                    <w:spacing w:beforeLines="0" w:afterLines="0" w:line="240" w:lineRule="auto"/>
                    <w:ind w:left="0" w:firstLine="0" w:firstLineChars="0"/>
                    <w:rPr>
                      <w:rFonts w:ascii="Times New Roman"/>
                      <w:szCs w:val="21"/>
                    </w:rPr>
                  </w:pPr>
                  <w:r>
                    <w:rPr>
                      <w:rFonts w:hint="eastAsia" w:ascii="Times New Roman"/>
                      <w:szCs w:val="21"/>
                    </w:rPr>
                    <w:t>监测频次</w:t>
                  </w:r>
                </w:p>
              </w:tc>
              <w:tc>
                <w:tcPr>
                  <w:tcW w:w="724" w:type="dxa"/>
                  <w:tcBorders>
                    <w:top w:val="single" w:color="auto" w:sz="12" w:space="0"/>
                  </w:tcBorders>
                  <w:vAlign w:val="center"/>
                </w:tcPr>
                <w:p>
                  <w:pPr>
                    <w:pStyle w:val="98"/>
                    <w:spacing w:beforeLines="0" w:afterLines="0" w:line="240" w:lineRule="auto"/>
                    <w:ind w:left="0" w:firstLine="0" w:firstLineChars="0"/>
                    <w:rPr>
                      <w:rFonts w:ascii="Times New Roman"/>
                      <w:szCs w:val="21"/>
                    </w:rPr>
                  </w:pPr>
                  <w:r>
                    <w:rPr>
                      <w:rFonts w:hint="eastAsia" w:ascii="Times New Roman"/>
                      <w:szCs w:val="21"/>
                    </w:rPr>
                    <w:t>实施单位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7" w:type="dxa"/>
                  <w:vMerge w:val="restart"/>
                  <w:vAlign w:val="center"/>
                </w:tcPr>
                <w:p>
                  <w:pPr>
                    <w:pStyle w:val="98"/>
                    <w:spacing w:beforeLines="0" w:afterLines="0" w:line="240" w:lineRule="auto"/>
                    <w:ind w:left="0" w:firstLine="0" w:firstLineChars="0"/>
                    <w:rPr>
                      <w:rFonts w:ascii="Times New Roman"/>
                      <w:szCs w:val="21"/>
                    </w:rPr>
                  </w:pPr>
                  <w:r>
                    <w:rPr>
                      <w:rFonts w:hint="eastAsia" w:ascii="Times New Roman"/>
                      <w:szCs w:val="21"/>
                    </w:rPr>
                    <w:t>有组织</w:t>
                  </w:r>
                </w:p>
              </w:tc>
              <w:tc>
                <w:tcPr>
                  <w:tcW w:w="903" w:type="dxa"/>
                  <w:vMerge w:val="restart"/>
                  <w:vAlign w:val="center"/>
                </w:tcPr>
                <w:p>
                  <w:pPr>
                    <w:pStyle w:val="98"/>
                    <w:spacing w:beforeLines="0" w:afterLines="0" w:line="240" w:lineRule="auto"/>
                    <w:ind w:left="0" w:firstLine="0" w:firstLineChars="0"/>
                    <w:rPr>
                      <w:rFonts w:ascii="Times New Roman"/>
                      <w:szCs w:val="21"/>
                    </w:rPr>
                  </w:pPr>
                  <w:r>
                    <w:rPr>
                      <w:rFonts w:hint="eastAsia" w:ascii="Times New Roman"/>
                      <w:szCs w:val="21"/>
                    </w:rPr>
                    <w:t>锅炉排气筒</w:t>
                  </w:r>
                </w:p>
              </w:tc>
              <w:tc>
                <w:tcPr>
                  <w:tcW w:w="1410" w:type="dxa"/>
                  <w:vMerge w:val="restart"/>
                  <w:vAlign w:val="center"/>
                </w:tcPr>
                <w:p>
                  <w:pPr>
                    <w:pStyle w:val="98"/>
                    <w:spacing w:beforeLines="0" w:afterLines="0" w:line="240" w:lineRule="auto"/>
                    <w:ind w:left="0" w:firstLine="0" w:firstLineChars="0"/>
                    <w:rPr>
                      <w:rFonts w:ascii="Times New Roman"/>
                      <w:szCs w:val="21"/>
                    </w:rPr>
                  </w:pPr>
                  <w:r>
                    <w:rPr>
                      <w:rFonts w:hint="eastAsia" w:ascii="Times New Roman"/>
                      <w:szCs w:val="21"/>
                    </w:rPr>
                    <w:t>一般排放口</w:t>
                  </w:r>
                </w:p>
              </w:tc>
              <w:tc>
                <w:tcPr>
                  <w:tcW w:w="1469" w:type="dxa"/>
                  <w:vAlign w:val="center"/>
                </w:tcPr>
                <w:p>
                  <w:pPr>
                    <w:widowControl/>
                    <w:jc w:val="center"/>
                    <w:rPr>
                      <w:szCs w:val="21"/>
                    </w:rPr>
                  </w:pPr>
                  <w:r>
                    <w:rPr>
                      <w:kern w:val="0"/>
                      <w:szCs w:val="21"/>
                    </w:rPr>
                    <w:t>SO</w:t>
                  </w:r>
                  <w:r>
                    <w:rPr>
                      <w:kern w:val="0"/>
                      <w:szCs w:val="21"/>
                      <w:vertAlign w:val="subscript"/>
                    </w:rPr>
                    <w:t>2</w:t>
                  </w:r>
                </w:p>
              </w:tc>
              <w:tc>
                <w:tcPr>
                  <w:tcW w:w="1469" w:type="dxa"/>
                  <w:vAlign w:val="center"/>
                </w:tcPr>
                <w:p>
                  <w:pPr>
                    <w:widowControl/>
                    <w:jc w:val="center"/>
                    <w:rPr>
                      <w:szCs w:val="21"/>
                    </w:rPr>
                  </w:pPr>
                  <w:r>
                    <w:rPr>
                      <w:rFonts w:hint="eastAsia"/>
                      <w:szCs w:val="21"/>
                    </w:rPr>
                    <w:t>5</w:t>
                  </w:r>
                  <w:r>
                    <w:rPr>
                      <w:szCs w:val="21"/>
                    </w:rPr>
                    <w:t>0</w:t>
                  </w:r>
                </w:p>
              </w:tc>
              <w:tc>
                <w:tcPr>
                  <w:tcW w:w="1028" w:type="dxa"/>
                  <w:vMerge w:val="restart"/>
                  <w:vAlign w:val="center"/>
                </w:tcPr>
                <w:p>
                  <w:pPr>
                    <w:pStyle w:val="98"/>
                    <w:spacing w:beforeLines="0" w:afterLines="0" w:line="240" w:lineRule="auto"/>
                    <w:ind w:left="0" w:firstLine="0" w:firstLineChars="0"/>
                    <w:rPr>
                      <w:rFonts w:ascii="Times New Roman"/>
                      <w:szCs w:val="21"/>
                    </w:rPr>
                  </w:pPr>
                  <w:r>
                    <w:rPr>
                      <w:rFonts w:hint="eastAsia" w:ascii="Times New Roman"/>
                      <w:szCs w:val="21"/>
                    </w:rPr>
                    <w:t>锅炉排气筒采样口</w:t>
                  </w:r>
                </w:p>
              </w:tc>
              <w:tc>
                <w:tcPr>
                  <w:tcW w:w="1178" w:type="dxa"/>
                  <w:vAlign w:val="center"/>
                </w:tcPr>
                <w:p>
                  <w:pPr>
                    <w:pStyle w:val="98"/>
                    <w:spacing w:beforeLines="0" w:afterLines="0" w:line="240" w:lineRule="auto"/>
                    <w:ind w:left="0" w:firstLine="0" w:firstLineChars="0"/>
                    <w:rPr>
                      <w:rFonts w:ascii="Times New Roman"/>
                      <w:szCs w:val="21"/>
                    </w:rPr>
                  </w:pPr>
                  <w:r>
                    <w:rPr>
                      <w:rFonts w:ascii="Times New Roman"/>
                      <w:szCs w:val="21"/>
                    </w:rPr>
                    <w:t>1</w:t>
                  </w:r>
                  <w:r>
                    <w:rPr>
                      <w:rFonts w:hint="eastAsia" w:ascii="Times New Roman"/>
                      <w:szCs w:val="21"/>
                    </w:rPr>
                    <w:t>次</w:t>
                  </w:r>
                  <w:r>
                    <w:rPr>
                      <w:rFonts w:ascii="Times New Roman"/>
                      <w:szCs w:val="21"/>
                    </w:rPr>
                    <w:t>/</w:t>
                  </w:r>
                  <w:r>
                    <w:rPr>
                      <w:rFonts w:hint="eastAsia" w:ascii="Times New Roman"/>
                      <w:szCs w:val="21"/>
                    </w:rPr>
                    <w:t>年</w:t>
                  </w:r>
                </w:p>
              </w:tc>
              <w:tc>
                <w:tcPr>
                  <w:tcW w:w="724" w:type="dxa"/>
                  <w:vMerge w:val="restart"/>
                  <w:vAlign w:val="center"/>
                </w:tcPr>
                <w:p>
                  <w:pPr>
                    <w:pStyle w:val="98"/>
                    <w:spacing w:beforeLines="0" w:afterLines="0" w:line="240" w:lineRule="auto"/>
                    <w:ind w:left="0" w:firstLine="0" w:firstLineChars="0"/>
                    <w:rPr>
                      <w:rFonts w:ascii="Times New Roman"/>
                      <w:szCs w:val="21"/>
                    </w:rPr>
                  </w:pPr>
                  <w:r>
                    <w:rPr>
                      <w:rFonts w:hint="eastAsia" w:ascii="Times New Roman"/>
                      <w:szCs w:val="21"/>
                    </w:rPr>
                    <w:t>企业自行委托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7" w:type="dxa"/>
                  <w:vMerge w:val="continue"/>
                  <w:vAlign w:val="center"/>
                </w:tcPr>
                <w:p>
                  <w:pPr>
                    <w:pStyle w:val="98"/>
                    <w:spacing w:beforeLines="0" w:afterLines="0" w:line="240" w:lineRule="auto"/>
                    <w:ind w:left="0" w:firstLine="0" w:firstLineChars="0"/>
                    <w:rPr>
                      <w:rFonts w:ascii="Times New Roman"/>
                      <w:szCs w:val="21"/>
                    </w:rPr>
                  </w:pPr>
                </w:p>
              </w:tc>
              <w:tc>
                <w:tcPr>
                  <w:tcW w:w="903" w:type="dxa"/>
                  <w:vMerge w:val="continue"/>
                  <w:vAlign w:val="center"/>
                </w:tcPr>
                <w:p>
                  <w:pPr>
                    <w:pStyle w:val="98"/>
                    <w:spacing w:beforeLines="0" w:afterLines="0" w:line="240" w:lineRule="auto"/>
                    <w:ind w:left="0" w:firstLine="0" w:firstLineChars="0"/>
                    <w:rPr>
                      <w:rFonts w:ascii="Times New Roman"/>
                      <w:szCs w:val="21"/>
                    </w:rPr>
                  </w:pPr>
                </w:p>
              </w:tc>
              <w:tc>
                <w:tcPr>
                  <w:tcW w:w="1410" w:type="dxa"/>
                  <w:vMerge w:val="continue"/>
                  <w:vAlign w:val="center"/>
                </w:tcPr>
                <w:p>
                  <w:pPr>
                    <w:pStyle w:val="98"/>
                    <w:spacing w:beforeLines="0" w:afterLines="0" w:line="240" w:lineRule="auto"/>
                    <w:ind w:left="0" w:firstLine="0" w:firstLineChars="0"/>
                    <w:rPr>
                      <w:rFonts w:ascii="Times New Roman"/>
                      <w:szCs w:val="21"/>
                    </w:rPr>
                  </w:pPr>
                </w:p>
              </w:tc>
              <w:tc>
                <w:tcPr>
                  <w:tcW w:w="1469" w:type="dxa"/>
                  <w:vAlign w:val="center"/>
                </w:tcPr>
                <w:p>
                  <w:pPr>
                    <w:widowControl/>
                    <w:jc w:val="center"/>
                    <w:rPr>
                      <w:szCs w:val="21"/>
                    </w:rPr>
                  </w:pPr>
                  <w:r>
                    <w:rPr>
                      <w:kern w:val="0"/>
                      <w:szCs w:val="21"/>
                    </w:rPr>
                    <w:t>NOx</w:t>
                  </w:r>
                </w:p>
              </w:tc>
              <w:tc>
                <w:tcPr>
                  <w:tcW w:w="1469" w:type="dxa"/>
                  <w:vAlign w:val="center"/>
                </w:tcPr>
                <w:p>
                  <w:pPr>
                    <w:widowControl/>
                    <w:jc w:val="center"/>
                    <w:rPr>
                      <w:szCs w:val="21"/>
                    </w:rPr>
                  </w:pPr>
                  <w:r>
                    <w:rPr>
                      <w:rFonts w:hint="eastAsia"/>
                      <w:szCs w:val="21"/>
                    </w:rPr>
                    <w:t>5</w:t>
                  </w:r>
                  <w:r>
                    <w:rPr>
                      <w:szCs w:val="21"/>
                    </w:rPr>
                    <w:t>0</w:t>
                  </w:r>
                </w:p>
              </w:tc>
              <w:tc>
                <w:tcPr>
                  <w:tcW w:w="1028" w:type="dxa"/>
                  <w:vMerge w:val="continue"/>
                  <w:vAlign w:val="center"/>
                </w:tcPr>
                <w:p>
                  <w:pPr>
                    <w:pStyle w:val="98"/>
                    <w:spacing w:beforeLines="0" w:afterLines="0" w:line="240" w:lineRule="auto"/>
                    <w:ind w:left="0" w:firstLine="0" w:firstLineChars="0"/>
                    <w:rPr>
                      <w:rFonts w:ascii="Times New Roman"/>
                      <w:szCs w:val="21"/>
                    </w:rPr>
                  </w:pPr>
                </w:p>
              </w:tc>
              <w:tc>
                <w:tcPr>
                  <w:tcW w:w="1178" w:type="dxa"/>
                  <w:vAlign w:val="center"/>
                </w:tcPr>
                <w:p>
                  <w:pPr>
                    <w:pStyle w:val="98"/>
                    <w:spacing w:beforeLines="0" w:afterLines="0" w:line="240" w:lineRule="auto"/>
                    <w:ind w:left="0" w:firstLine="0" w:firstLineChars="0"/>
                    <w:rPr>
                      <w:rFonts w:ascii="Times New Roman"/>
                      <w:szCs w:val="21"/>
                    </w:rPr>
                  </w:pPr>
                  <w:r>
                    <w:rPr>
                      <w:rFonts w:ascii="Times New Roman"/>
                      <w:szCs w:val="21"/>
                    </w:rPr>
                    <w:t>1</w:t>
                  </w:r>
                  <w:r>
                    <w:rPr>
                      <w:rFonts w:hint="eastAsia" w:ascii="Times New Roman"/>
                      <w:szCs w:val="21"/>
                    </w:rPr>
                    <w:t>次</w:t>
                  </w:r>
                  <w:r>
                    <w:rPr>
                      <w:rFonts w:ascii="Times New Roman"/>
                      <w:szCs w:val="21"/>
                    </w:rPr>
                    <w:t>/</w:t>
                  </w:r>
                  <w:r>
                    <w:rPr>
                      <w:rFonts w:hint="eastAsia" w:ascii="Times New Roman"/>
                      <w:szCs w:val="21"/>
                    </w:rPr>
                    <w:t>月</w:t>
                  </w:r>
                </w:p>
              </w:tc>
              <w:tc>
                <w:tcPr>
                  <w:tcW w:w="724" w:type="dxa"/>
                  <w:vMerge w:val="continue"/>
                  <w:vAlign w:val="center"/>
                </w:tcPr>
                <w:p>
                  <w:pPr>
                    <w:pStyle w:val="98"/>
                    <w:spacing w:beforeLines="0" w:afterLines="0" w:line="240" w:lineRule="auto"/>
                    <w:ind w:left="0" w:firstLine="0" w:firstLineChars="0"/>
                    <w:rPr>
                      <w:rFonts w:asci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7" w:type="dxa"/>
                  <w:vMerge w:val="continue"/>
                  <w:vAlign w:val="center"/>
                </w:tcPr>
                <w:p>
                  <w:pPr>
                    <w:pStyle w:val="98"/>
                    <w:spacing w:beforeLines="0" w:afterLines="0" w:line="240" w:lineRule="auto"/>
                    <w:ind w:left="0" w:firstLine="0" w:firstLineChars="0"/>
                    <w:rPr>
                      <w:rFonts w:ascii="Times New Roman"/>
                      <w:szCs w:val="21"/>
                    </w:rPr>
                  </w:pPr>
                </w:p>
              </w:tc>
              <w:tc>
                <w:tcPr>
                  <w:tcW w:w="903" w:type="dxa"/>
                  <w:vMerge w:val="continue"/>
                  <w:vAlign w:val="center"/>
                </w:tcPr>
                <w:p>
                  <w:pPr>
                    <w:pStyle w:val="98"/>
                    <w:spacing w:beforeLines="0" w:afterLines="0" w:line="240" w:lineRule="auto"/>
                    <w:ind w:left="0" w:firstLine="0" w:firstLineChars="0"/>
                    <w:rPr>
                      <w:rFonts w:ascii="Times New Roman"/>
                      <w:szCs w:val="21"/>
                    </w:rPr>
                  </w:pPr>
                </w:p>
              </w:tc>
              <w:tc>
                <w:tcPr>
                  <w:tcW w:w="1410" w:type="dxa"/>
                  <w:vMerge w:val="continue"/>
                  <w:vAlign w:val="center"/>
                </w:tcPr>
                <w:p>
                  <w:pPr>
                    <w:pStyle w:val="98"/>
                    <w:spacing w:beforeLines="0" w:afterLines="0" w:line="240" w:lineRule="auto"/>
                    <w:ind w:left="0" w:firstLine="0" w:firstLineChars="0"/>
                    <w:rPr>
                      <w:rFonts w:ascii="Times New Roman"/>
                      <w:szCs w:val="21"/>
                    </w:rPr>
                  </w:pPr>
                </w:p>
              </w:tc>
              <w:tc>
                <w:tcPr>
                  <w:tcW w:w="1469" w:type="dxa"/>
                  <w:vAlign w:val="center"/>
                </w:tcPr>
                <w:p>
                  <w:pPr>
                    <w:widowControl/>
                    <w:jc w:val="center"/>
                    <w:rPr>
                      <w:szCs w:val="21"/>
                    </w:rPr>
                  </w:pPr>
                  <w:r>
                    <w:rPr>
                      <w:rFonts w:hint="eastAsia"/>
                      <w:kern w:val="0"/>
                      <w:szCs w:val="21"/>
                    </w:rPr>
                    <w:t>颗粒物</w:t>
                  </w:r>
                </w:p>
              </w:tc>
              <w:tc>
                <w:tcPr>
                  <w:tcW w:w="1469" w:type="dxa"/>
                  <w:vAlign w:val="center"/>
                </w:tcPr>
                <w:p>
                  <w:pPr>
                    <w:widowControl/>
                    <w:jc w:val="center"/>
                    <w:rPr>
                      <w:szCs w:val="21"/>
                    </w:rPr>
                  </w:pPr>
                  <w:r>
                    <w:rPr>
                      <w:rFonts w:hint="eastAsia"/>
                      <w:szCs w:val="21"/>
                    </w:rPr>
                    <w:t>2</w:t>
                  </w:r>
                  <w:r>
                    <w:rPr>
                      <w:szCs w:val="21"/>
                    </w:rPr>
                    <w:t>0</w:t>
                  </w:r>
                </w:p>
              </w:tc>
              <w:tc>
                <w:tcPr>
                  <w:tcW w:w="1028" w:type="dxa"/>
                  <w:vMerge w:val="continue"/>
                  <w:vAlign w:val="center"/>
                </w:tcPr>
                <w:p>
                  <w:pPr>
                    <w:pStyle w:val="98"/>
                    <w:spacing w:beforeLines="0" w:afterLines="0" w:line="240" w:lineRule="auto"/>
                    <w:ind w:left="0" w:firstLine="0" w:firstLineChars="0"/>
                    <w:rPr>
                      <w:rFonts w:ascii="Times New Roman"/>
                      <w:szCs w:val="21"/>
                    </w:rPr>
                  </w:pPr>
                </w:p>
              </w:tc>
              <w:tc>
                <w:tcPr>
                  <w:tcW w:w="1178" w:type="dxa"/>
                  <w:vAlign w:val="center"/>
                </w:tcPr>
                <w:p>
                  <w:pPr>
                    <w:pStyle w:val="98"/>
                    <w:spacing w:beforeLines="0" w:afterLines="0" w:line="240" w:lineRule="auto"/>
                    <w:ind w:left="0" w:firstLine="0" w:firstLineChars="0"/>
                    <w:rPr>
                      <w:rFonts w:ascii="Times New Roman"/>
                      <w:szCs w:val="21"/>
                    </w:rPr>
                  </w:pPr>
                  <w:r>
                    <w:rPr>
                      <w:rFonts w:ascii="Times New Roman"/>
                      <w:szCs w:val="21"/>
                    </w:rPr>
                    <w:t>1</w:t>
                  </w:r>
                  <w:r>
                    <w:rPr>
                      <w:rFonts w:hint="eastAsia" w:ascii="Times New Roman"/>
                      <w:szCs w:val="21"/>
                    </w:rPr>
                    <w:t>次</w:t>
                  </w:r>
                  <w:r>
                    <w:rPr>
                      <w:rFonts w:ascii="Times New Roman"/>
                      <w:szCs w:val="21"/>
                    </w:rPr>
                    <w:t>/</w:t>
                  </w:r>
                  <w:r>
                    <w:rPr>
                      <w:rFonts w:hint="eastAsia" w:ascii="Times New Roman"/>
                      <w:szCs w:val="21"/>
                    </w:rPr>
                    <w:t>年</w:t>
                  </w:r>
                </w:p>
              </w:tc>
              <w:tc>
                <w:tcPr>
                  <w:tcW w:w="724" w:type="dxa"/>
                  <w:vMerge w:val="continue"/>
                  <w:vAlign w:val="center"/>
                </w:tcPr>
                <w:p>
                  <w:pPr>
                    <w:pStyle w:val="98"/>
                    <w:spacing w:beforeLines="0" w:afterLines="0" w:line="240" w:lineRule="auto"/>
                    <w:ind w:left="0" w:firstLine="0" w:firstLineChars="0"/>
                    <w:rPr>
                      <w:rFonts w:asci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7" w:type="dxa"/>
                  <w:vMerge w:val="continue"/>
                  <w:vAlign w:val="center"/>
                </w:tcPr>
                <w:p>
                  <w:pPr>
                    <w:pStyle w:val="98"/>
                    <w:spacing w:beforeLines="0" w:afterLines="0" w:line="240" w:lineRule="auto"/>
                    <w:ind w:left="0" w:firstLine="0" w:firstLineChars="0"/>
                    <w:rPr>
                      <w:rFonts w:ascii="Times New Roman"/>
                      <w:szCs w:val="21"/>
                    </w:rPr>
                  </w:pPr>
                </w:p>
              </w:tc>
              <w:tc>
                <w:tcPr>
                  <w:tcW w:w="903" w:type="dxa"/>
                  <w:vMerge w:val="continue"/>
                  <w:vAlign w:val="center"/>
                </w:tcPr>
                <w:p>
                  <w:pPr>
                    <w:pStyle w:val="98"/>
                    <w:spacing w:beforeLines="0" w:afterLines="0" w:line="240" w:lineRule="auto"/>
                    <w:ind w:left="0" w:firstLine="0" w:firstLineChars="0"/>
                    <w:rPr>
                      <w:rFonts w:ascii="Times New Roman"/>
                      <w:szCs w:val="21"/>
                    </w:rPr>
                  </w:pPr>
                </w:p>
              </w:tc>
              <w:tc>
                <w:tcPr>
                  <w:tcW w:w="1410" w:type="dxa"/>
                  <w:vMerge w:val="continue"/>
                  <w:vAlign w:val="center"/>
                </w:tcPr>
                <w:p>
                  <w:pPr>
                    <w:pStyle w:val="98"/>
                    <w:spacing w:beforeLines="0" w:afterLines="0" w:line="240" w:lineRule="auto"/>
                    <w:ind w:left="0" w:firstLine="0" w:firstLineChars="0"/>
                    <w:rPr>
                      <w:rFonts w:ascii="Times New Roman"/>
                      <w:szCs w:val="21"/>
                    </w:rPr>
                  </w:pPr>
                </w:p>
              </w:tc>
              <w:tc>
                <w:tcPr>
                  <w:tcW w:w="1469" w:type="dxa"/>
                  <w:vAlign w:val="center"/>
                </w:tcPr>
                <w:p>
                  <w:pPr>
                    <w:widowControl/>
                    <w:jc w:val="center"/>
                    <w:rPr>
                      <w:szCs w:val="21"/>
                    </w:rPr>
                  </w:pPr>
                  <w:r>
                    <w:rPr>
                      <w:rFonts w:hint="eastAsia"/>
                      <w:szCs w:val="21"/>
                    </w:rPr>
                    <w:t>烟气黑度</w:t>
                  </w:r>
                </w:p>
              </w:tc>
              <w:tc>
                <w:tcPr>
                  <w:tcW w:w="1469" w:type="dxa"/>
                  <w:vAlign w:val="center"/>
                </w:tcPr>
                <w:p>
                  <w:pPr>
                    <w:widowControl/>
                    <w:jc w:val="center"/>
                    <w:rPr>
                      <w:szCs w:val="21"/>
                    </w:rPr>
                  </w:pPr>
                  <w:r>
                    <w:rPr>
                      <w:rFonts w:hint="eastAsia"/>
                      <w:szCs w:val="21"/>
                    </w:rPr>
                    <w:t>≤</w:t>
                  </w:r>
                  <w:r>
                    <w:rPr>
                      <w:szCs w:val="21"/>
                    </w:rPr>
                    <w:t>1</w:t>
                  </w:r>
                </w:p>
              </w:tc>
              <w:tc>
                <w:tcPr>
                  <w:tcW w:w="1028" w:type="dxa"/>
                  <w:vMerge w:val="continue"/>
                  <w:vAlign w:val="center"/>
                </w:tcPr>
                <w:p>
                  <w:pPr>
                    <w:pStyle w:val="98"/>
                    <w:spacing w:beforeLines="0" w:afterLines="0" w:line="240" w:lineRule="auto"/>
                    <w:ind w:left="0" w:firstLine="0" w:firstLineChars="0"/>
                    <w:rPr>
                      <w:rFonts w:ascii="Times New Roman"/>
                      <w:szCs w:val="21"/>
                    </w:rPr>
                  </w:pPr>
                </w:p>
              </w:tc>
              <w:tc>
                <w:tcPr>
                  <w:tcW w:w="1178" w:type="dxa"/>
                  <w:vAlign w:val="center"/>
                </w:tcPr>
                <w:p>
                  <w:pPr>
                    <w:pStyle w:val="98"/>
                    <w:spacing w:beforeLines="0" w:afterLines="0" w:line="240" w:lineRule="auto"/>
                    <w:ind w:left="0" w:firstLine="0" w:firstLineChars="0"/>
                    <w:rPr>
                      <w:rFonts w:ascii="Times New Roman"/>
                      <w:szCs w:val="21"/>
                    </w:rPr>
                  </w:pPr>
                  <w:r>
                    <w:rPr>
                      <w:rFonts w:ascii="Times New Roman"/>
                      <w:szCs w:val="21"/>
                    </w:rPr>
                    <w:t>1</w:t>
                  </w:r>
                  <w:r>
                    <w:rPr>
                      <w:rFonts w:hint="eastAsia" w:ascii="Times New Roman"/>
                      <w:szCs w:val="21"/>
                    </w:rPr>
                    <w:t>次</w:t>
                  </w:r>
                  <w:r>
                    <w:rPr>
                      <w:rFonts w:ascii="Times New Roman"/>
                      <w:szCs w:val="21"/>
                    </w:rPr>
                    <w:t>/</w:t>
                  </w:r>
                  <w:r>
                    <w:rPr>
                      <w:rFonts w:hint="eastAsia" w:ascii="Times New Roman"/>
                      <w:szCs w:val="21"/>
                    </w:rPr>
                    <w:t>年</w:t>
                  </w:r>
                </w:p>
              </w:tc>
              <w:tc>
                <w:tcPr>
                  <w:tcW w:w="724" w:type="dxa"/>
                  <w:vMerge w:val="continue"/>
                  <w:vAlign w:val="center"/>
                </w:tcPr>
                <w:p>
                  <w:pPr>
                    <w:pStyle w:val="98"/>
                    <w:spacing w:beforeLines="0" w:afterLines="0" w:line="240" w:lineRule="auto"/>
                    <w:ind w:left="0" w:firstLine="0" w:firstLineChars="0"/>
                    <w:rPr>
                      <w:rFonts w:ascii="Times New Roman"/>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757" w:type="dxa"/>
                  <w:tcBorders>
                    <w:bottom w:val="single" w:color="auto" w:sz="12" w:space="0"/>
                  </w:tcBorders>
                  <w:vAlign w:val="center"/>
                </w:tcPr>
                <w:p>
                  <w:pPr>
                    <w:pStyle w:val="98"/>
                    <w:spacing w:beforeLines="0" w:afterLines="0" w:line="240" w:lineRule="auto"/>
                    <w:ind w:left="0" w:firstLine="0" w:firstLineChars="0"/>
                    <w:rPr>
                      <w:rFonts w:ascii="Times New Roman"/>
                      <w:szCs w:val="21"/>
                    </w:rPr>
                  </w:pPr>
                  <w:r>
                    <w:rPr>
                      <w:rFonts w:ascii="Times New Roman"/>
                      <w:szCs w:val="21"/>
                    </w:rPr>
                    <w:t>无组织</w:t>
                  </w:r>
                </w:p>
              </w:tc>
              <w:tc>
                <w:tcPr>
                  <w:tcW w:w="903" w:type="dxa"/>
                  <w:tcBorders>
                    <w:bottom w:val="single" w:color="auto" w:sz="12" w:space="0"/>
                  </w:tcBorders>
                  <w:vAlign w:val="center"/>
                </w:tcPr>
                <w:p>
                  <w:pPr>
                    <w:pStyle w:val="98"/>
                    <w:spacing w:beforeLines="0" w:afterLines="0" w:line="240" w:lineRule="auto"/>
                    <w:ind w:left="0" w:firstLine="0" w:firstLineChars="0"/>
                    <w:rPr>
                      <w:rFonts w:ascii="Times New Roman"/>
                      <w:szCs w:val="21"/>
                    </w:rPr>
                  </w:pPr>
                  <w:r>
                    <w:rPr>
                      <w:rFonts w:ascii="Times New Roman"/>
                      <w:szCs w:val="21"/>
                    </w:rPr>
                    <w:t>厂</w:t>
                  </w:r>
                  <w:r>
                    <w:rPr>
                      <w:rFonts w:hint="eastAsia" w:ascii="Times New Roman"/>
                      <w:szCs w:val="21"/>
                    </w:rPr>
                    <w:t>界</w:t>
                  </w:r>
                </w:p>
              </w:tc>
              <w:tc>
                <w:tcPr>
                  <w:tcW w:w="1410" w:type="dxa"/>
                  <w:tcBorders>
                    <w:bottom w:val="single" w:color="auto" w:sz="12" w:space="0"/>
                  </w:tcBorders>
                  <w:vAlign w:val="center"/>
                </w:tcPr>
                <w:p>
                  <w:pPr>
                    <w:pStyle w:val="98"/>
                    <w:spacing w:beforeLines="0" w:afterLines="0" w:line="240" w:lineRule="auto"/>
                    <w:ind w:left="0" w:firstLine="0" w:firstLineChars="0"/>
                    <w:rPr>
                      <w:rFonts w:ascii="Times New Roman"/>
                      <w:szCs w:val="21"/>
                    </w:rPr>
                  </w:pPr>
                  <w:r>
                    <w:rPr>
                      <w:rFonts w:ascii="Times New Roman"/>
                      <w:szCs w:val="21"/>
                    </w:rPr>
                    <w:t>/</w:t>
                  </w:r>
                </w:p>
              </w:tc>
              <w:tc>
                <w:tcPr>
                  <w:tcW w:w="1469" w:type="dxa"/>
                  <w:tcBorders>
                    <w:bottom w:val="single" w:color="auto" w:sz="12" w:space="0"/>
                  </w:tcBorders>
                  <w:vAlign w:val="center"/>
                </w:tcPr>
                <w:p>
                  <w:pPr>
                    <w:pStyle w:val="98"/>
                    <w:spacing w:beforeLines="0" w:afterLines="0" w:line="240" w:lineRule="auto"/>
                    <w:ind w:left="0" w:firstLine="0" w:firstLineChars="0"/>
                    <w:rPr>
                      <w:rFonts w:ascii="Times New Roman"/>
                      <w:szCs w:val="21"/>
                    </w:rPr>
                  </w:pPr>
                  <w:r>
                    <w:rPr>
                      <w:rFonts w:hint="eastAsia" w:ascii="Times New Roman"/>
                      <w:szCs w:val="21"/>
                    </w:rPr>
                    <w:t>臭气浓度</w:t>
                  </w:r>
                </w:p>
              </w:tc>
              <w:tc>
                <w:tcPr>
                  <w:tcW w:w="1469" w:type="dxa"/>
                  <w:tcBorders>
                    <w:bottom w:val="single" w:color="auto" w:sz="12" w:space="0"/>
                  </w:tcBorders>
                  <w:vAlign w:val="center"/>
                </w:tcPr>
                <w:p>
                  <w:pPr>
                    <w:pStyle w:val="98"/>
                    <w:spacing w:beforeLines="0" w:afterLines="0" w:line="240" w:lineRule="auto"/>
                    <w:ind w:left="0" w:firstLine="0" w:firstLineChars="0"/>
                    <w:rPr>
                      <w:rFonts w:ascii="Times New Roman"/>
                      <w:szCs w:val="21"/>
                    </w:rPr>
                  </w:pPr>
                  <w:r>
                    <w:rPr>
                      <w:rFonts w:hint="eastAsia" w:ascii="Times New Roman"/>
                      <w:szCs w:val="21"/>
                    </w:rPr>
                    <w:t>2</w:t>
                  </w:r>
                  <w:r>
                    <w:rPr>
                      <w:rFonts w:ascii="Times New Roman"/>
                      <w:szCs w:val="21"/>
                    </w:rPr>
                    <w:t>0</w:t>
                  </w:r>
                  <w:r>
                    <w:rPr>
                      <w:rFonts w:hint="eastAsia" w:ascii="Times New Roman"/>
                      <w:szCs w:val="21"/>
                    </w:rPr>
                    <w:t>（无量纲）</w:t>
                  </w:r>
                </w:p>
              </w:tc>
              <w:tc>
                <w:tcPr>
                  <w:tcW w:w="1028" w:type="dxa"/>
                  <w:tcBorders>
                    <w:bottom w:val="single" w:color="auto" w:sz="12" w:space="0"/>
                  </w:tcBorders>
                  <w:vAlign w:val="center"/>
                </w:tcPr>
                <w:p>
                  <w:pPr>
                    <w:pStyle w:val="98"/>
                    <w:spacing w:beforeLines="0" w:afterLines="0" w:line="240" w:lineRule="auto"/>
                    <w:ind w:left="0" w:firstLine="0" w:firstLineChars="0"/>
                    <w:rPr>
                      <w:rFonts w:ascii="Times New Roman"/>
                      <w:szCs w:val="21"/>
                    </w:rPr>
                  </w:pPr>
                  <w:r>
                    <w:rPr>
                      <w:rFonts w:hint="eastAsia" w:ascii="Times New Roman"/>
                      <w:szCs w:val="21"/>
                    </w:rPr>
                    <w:t>厂界下风向设置1个点位</w:t>
                  </w:r>
                </w:p>
              </w:tc>
              <w:tc>
                <w:tcPr>
                  <w:tcW w:w="1178" w:type="dxa"/>
                  <w:tcBorders>
                    <w:bottom w:val="single" w:color="auto" w:sz="12" w:space="0"/>
                  </w:tcBorders>
                  <w:vAlign w:val="center"/>
                </w:tcPr>
                <w:p>
                  <w:pPr>
                    <w:pStyle w:val="98"/>
                    <w:spacing w:beforeLines="0" w:afterLines="0" w:line="240" w:lineRule="auto"/>
                    <w:ind w:left="0" w:firstLine="0" w:firstLineChars="0"/>
                    <w:rPr>
                      <w:rFonts w:ascii="Times New Roman"/>
                      <w:szCs w:val="21"/>
                    </w:rPr>
                  </w:pPr>
                  <w:r>
                    <w:rPr>
                      <w:rFonts w:ascii="Times New Roman"/>
                      <w:szCs w:val="21"/>
                    </w:rPr>
                    <w:t>1</w:t>
                  </w:r>
                  <w:r>
                    <w:rPr>
                      <w:rFonts w:hint="eastAsia" w:ascii="Times New Roman"/>
                      <w:szCs w:val="21"/>
                    </w:rPr>
                    <w:t>次</w:t>
                  </w:r>
                  <w:r>
                    <w:rPr>
                      <w:rFonts w:ascii="Times New Roman"/>
                      <w:szCs w:val="21"/>
                    </w:rPr>
                    <w:t>/</w:t>
                  </w:r>
                  <w:r>
                    <w:rPr>
                      <w:rFonts w:hint="eastAsia" w:ascii="Times New Roman"/>
                      <w:szCs w:val="21"/>
                    </w:rPr>
                    <w:t>半年</w:t>
                  </w:r>
                </w:p>
              </w:tc>
              <w:tc>
                <w:tcPr>
                  <w:tcW w:w="724" w:type="dxa"/>
                  <w:vMerge w:val="continue"/>
                  <w:tcBorders>
                    <w:bottom w:val="single" w:color="auto" w:sz="12" w:space="0"/>
                  </w:tcBorders>
                  <w:vAlign w:val="center"/>
                </w:tcPr>
                <w:p>
                  <w:pPr>
                    <w:pStyle w:val="98"/>
                    <w:spacing w:beforeLines="0" w:afterLines="0" w:line="240" w:lineRule="auto"/>
                    <w:ind w:left="0" w:firstLine="0" w:firstLineChars="0"/>
                    <w:rPr>
                      <w:rFonts w:ascii="Times New Roman"/>
                      <w:szCs w:val="21"/>
                    </w:rPr>
                  </w:pPr>
                </w:p>
              </w:tc>
            </w:tr>
          </w:tbl>
          <w:p>
            <w:pPr>
              <w:pStyle w:val="77"/>
              <w:ind w:firstLine="482"/>
              <w:rPr>
                <w:b/>
                <w:lang w:val="en-GB"/>
              </w:rPr>
            </w:pPr>
            <w:r>
              <w:rPr>
                <w:b/>
              </w:rPr>
              <w:t>二、</w:t>
            </w:r>
            <w:r>
              <w:rPr>
                <w:rFonts w:hint="eastAsia"/>
                <w:b/>
              </w:rPr>
              <w:t>废水</w:t>
            </w:r>
          </w:p>
          <w:p>
            <w:pPr>
              <w:pStyle w:val="77"/>
              <w:ind w:firstLine="480"/>
            </w:pPr>
            <w:r>
              <w:rPr>
                <w:rFonts w:hint="eastAsia"/>
              </w:rPr>
              <w:t>1、废水来源及产生情况</w:t>
            </w:r>
          </w:p>
          <w:p>
            <w:pPr>
              <w:pStyle w:val="77"/>
              <w:ind w:firstLine="480"/>
            </w:pPr>
            <w:r>
              <w:rPr>
                <w:rFonts w:hint="eastAsia"/>
              </w:rPr>
              <w:t>本项目污水处理站主要处理企业的生产废水及生活污水，企业生产灭菌乳和发酵乳，生产废水主要为设备清洗废水，根据设计单位提供的《维维乳业有限公司1</w:t>
            </w:r>
            <w:r>
              <w:t>0</w:t>
            </w:r>
            <w:r>
              <w:rPr>
                <w:rFonts w:hint="eastAsia"/>
              </w:rPr>
              <w:t>t/h乳品废水处理工程》，可知项目进水水质参数（仅有C</w:t>
            </w:r>
            <w:r>
              <w:t>OD</w:t>
            </w:r>
            <w:r>
              <w:rPr>
                <w:rFonts w:hint="eastAsia"/>
              </w:rPr>
              <w:t>、B</w:t>
            </w:r>
            <w:r>
              <w:t>OD</w:t>
            </w:r>
            <w:r>
              <w:rPr>
                <w:vertAlign w:val="subscript"/>
              </w:rPr>
              <w:t>5</w:t>
            </w:r>
            <w:r>
              <w:rPr>
                <w:rFonts w:hint="eastAsia"/>
              </w:rPr>
              <w:t>、p</w:t>
            </w:r>
            <w:r>
              <w:t>H</w:t>
            </w:r>
            <w:r>
              <w:rPr>
                <w:rFonts w:hint="eastAsia"/>
              </w:rPr>
              <w:t>）；氨氮参照</w:t>
            </w:r>
            <w:r>
              <w:t>《排放源统计调查产排污 核算方法和系数手册》-1441 液体乳制造行业中液体乳和发酵乳的废水产污系数，液体乳包括</w:t>
            </w:r>
            <w:r>
              <w:rPr>
                <w:rFonts w:hint="eastAsia"/>
              </w:rPr>
              <w:t>灭菌乳</w:t>
            </w:r>
            <w:r>
              <w:t>，日均产能为21t，产污系数取产污表中规模﹤100t/d 对应的系数；</w:t>
            </w:r>
            <w:r>
              <w:rPr>
                <w:rFonts w:hint="eastAsia"/>
              </w:rPr>
              <w:t>发酵乳</w:t>
            </w:r>
            <w:r>
              <w:t>日均产能约为 13.7t，生产规模小于50～100吨/天，根据手册规定，产污系数的调整系数为1.1，则项目生产过程废水产生情况如下</w:t>
            </w:r>
            <w:r>
              <w:rPr>
                <w:rFonts w:hint="eastAsia"/>
              </w:rPr>
              <w:t>：</w:t>
            </w:r>
          </w:p>
          <w:p>
            <w:pPr>
              <w:pStyle w:val="77"/>
              <w:spacing w:line="240" w:lineRule="auto"/>
              <w:ind w:firstLine="420"/>
              <w:rPr>
                <w:rFonts w:ascii="黑体" w:hAnsi="黑体" w:eastAsia="黑体"/>
                <w:sz w:val="21"/>
              </w:rPr>
            </w:pPr>
            <w:r>
              <w:rPr>
                <w:rFonts w:ascii="黑体" w:hAnsi="黑体" w:eastAsia="黑体"/>
                <w:sz w:val="21"/>
              </w:rPr>
              <w:t xml:space="preserve">表4-9                 </w:t>
            </w:r>
            <w:r>
              <w:rPr>
                <w:rFonts w:hint="eastAsia" w:ascii="黑体" w:hAnsi="黑体" w:eastAsia="黑体"/>
                <w:sz w:val="21"/>
              </w:rPr>
              <w:t xml:space="preserve">项目废水产生情况一览表 </w:t>
            </w:r>
            <w:r>
              <w:rPr>
                <w:rFonts w:ascii="黑体" w:hAnsi="黑体" w:eastAsia="黑体"/>
                <w:sz w:val="21"/>
              </w:rPr>
              <w:t xml:space="preserve">                     </w:t>
            </w:r>
          </w:p>
          <w:tbl>
            <w:tblPr>
              <w:tblStyle w:val="47"/>
              <w:tblW w:w="893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721"/>
              <w:gridCol w:w="2184"/>
              <w:gridCol w:w="1913"/>
              <w:gridCol w:w="15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56" w:type="dxa"/>
                  <w:vAlign w:val="center"/>
                </w:tcPr>
                <w:p>
                  <w:pPr>
                    <w:pStyle w:val="114"/>
                    <w:spacing w:line="240" w:lineRule="auto"/>
                    <w:rPr>
                      <w:lang w:eastAsia="zh-CN"/>
                    </w:rPr>
                  </w:pPr>
                  <w:r>
                    <w:rPr>
                      <w:rFonts w:hint="eastAsia"/>
                      <w:lang w:eastAsia="zh-CN"/>
                    </w:rPr>
                    <w:t>项目</w:t>
                  </w:r>
                </w:p>
              </w:tc>
              <w:tc>
                <w:tcPr>
                  <w:tcW w:w="1721" w:type="dxa"/>
                  <w:vAlign w:val="center"/>
                </w:tcPr>
                <w:p>
                  <w:pPr>
                    <w:pStyle w:val="114"/>
                    <w:spacing w:line="240" w:lineRule="auto"/>
                    <w:rPr>
                      <w:lang w:eastAsia="zh-CN"/>
                    </w:rPr>
                  </w:pPr>
                  <w:r>
                    <w:rPr>
                      <w:rFonts w:hint="eastAsia"/>
                      <w:lang w:eastAsia="zh-CN"/>
                    </w:rPr>
                    <w:t>废水量t/a</w:t>
                  </w:r>
                </w:p>
              </w:tc>
              <w:tc>
                <w:tcPr>
                  <w:tcW w:w="2184" w:type="dxa"/>
                  <w:vAlign w:val="center"/>
                </w:tcPr>
                <w:p>
                  <w:pPr>
                    <w:pStyle w:val="114"/>
                    <w:spacing w:line="240" w:lineRule="auto"/>
                    <w:rPr>
                      <w:lang w:eastAsia="zh-CN"/>
                    </w:rPr>
                  </w:pPr>
                  <w:r>
                    <w:rPr>
                      <w:rFonts w:hint="eastAsia"/>
                      <w:lang w:eastAsia="zh-CN"/>
                    </w:rPr>
                    <w:t>污染物</w:t>
                  </w:r>
                </w:p>
              </w:tc>
              <w:tc>
                <w:tcPr>
                  <w:tcW w:w="1913" w:type="dxa"/>
                  <w:vAlign w:val="center"/>
                </w:tcPr>
                <w:p>
                  <w:pPr>
                    <w:pStyle w:val="114"/>
                    <w:spacing w:line="240" w:lineRule="auto"/>
                    <w:rPr>
                      <w:lang w:eastAsia="zh-CN"/>
                    </w:rPr>
                  </w:pPr>
                  <w:r>
                    <w:rPr>
                      <w:rFonts w:hint="eastAsia"/>
                      <w:lang w:eastAsia="zh-CN"/>
                    </w:rPr>
                    <w:t>浓度</w:t>
                  </w:r>
                  <w:r>
                    <w:rPr>
                      <w:rFonts w:hint="eastAsia" w:ascii="黑体" w:hAnsi="黑体" w:eastAsia="黑体"/>
                    </w:rPr>
                    <w:t>mg/</w:t>
                  </w:r>
                  <w:r>
                    <w:rPr>
                      <w:rFonts w:ascii="黑体" w:hAnsi="黑体" w:eastAsia="黑体"/>
                    </w:rPr>
                    <w:t>L</w:t>
                  </w:r>
                </w:p>
              </w:tc>
              <w:tc>
                <w:tcPr>
                  <w:tcW w:w="1564" w:type="dxa"/>
                  <w:vAlign w:val="center"/>
                </w:tcPr>
                <w:p>
                  <w:pPr>
                    <w:pStyle w:val="114"/>
                    <w:spacing w:line="240" w:lineRule="auto"/>
                    <w:rPr>
                      <w:lang w:eastAsia="zh-CN"/>
                    </w:rPr>
                  </w:pPr>
                  <w:r>
                    <w:rPr>
                      <w:rFonts w:hint="eastAsia"/>
                      <w:lang w:eastAsia="zh-CN"/>
                    </w:rPr>
                    <w:t>产生量t/a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56" w:type="dxa"/>
                  <w:vMerge w:val="restart"/>
                  <w:vAlign w:val="center"/>
                </w:tcPr>
                <w:p>
                  <w:pPr>
                    <w:pStyle w:val="114"/>
                    <w:spacing w:line="240" w:lineRule="auto"/>
                    <w:rPr>
                      <w:lang w:eastAsia="zh-CN"/>
                    </w:rPr>
                  </w:pPr>
                  <w:r>
                    <w:rPr>
                      <w:rFonts w:hint="eastAsia"/>
                      <w:lang w:eastAsia="zh-CN"/>
                    </w:rPr>
                    <w:t>废水</w:t>
                  </w:r>
                </w:p>
              </w:tc>
              <w:tc>
                <w:tcPr>
                  <w:tcW w:w="1721" w:type="dxa"/>
                  <w:vMerge w:val="restart"/>
                  <w:vAlign w:val="center"/>
                </w:tcPr>
                <w:p>
                  <w:pPr>
                    <w:pStyle w:val="114"/>
                    <w:spacing w:line="240" w:lineRule="auto"/>
                    <w:rPr>
                      <w:lang w:eastAsia="zh-CN"/>
                    </w:rPr>
                  </w:pPr>
                  <w:r>
                    <w:rPr>
                      <w:lang w:eastAsia="zh-CN"/>
                    </w:rPr>
                    <w:t>33600</w:t>
                  </w:r>
                </w:p>
              </w:tc>
              <w:tc>
                <w:tcPr>
                  <w:tcW w:w="2184" w:type="dxa"/>
                  <w:vAlign w:val="center"/>
                </w:tcPr>
                <w:p>
                  <w:pPr>
                    <w:pStyle w:val="114"/>
                    <w:spacing w:line="240" w:lineRule="auto"/>
                    <w:rPr>
                      <w:lang w:eastAsia="zh-CN"/>
                    </w:rPr>
                  </w:pPr>
                  <w:r>
                    <w:rPr>
                      <w:rFonts w:hint="eastAsia"/>
                      <w:lang w:eastAsia="zh-CN"/>
                    </w:rPr>
                    <w:t>p</w:t>
                  </w:r>
                  <w:r>
                    <w:rPr>
                      <w:lang w:eastAsia="zh-CN"/>
                    </w:rPr>
                    <w:t>H</w:t>
                  </w:r>
                </w:p>
              </w:tc>
              <w:tc>
                <w:tcPr>
                  <w:tcW w:w="1913" w:type="dxa"/>
                  <w:vAlign w:val="center"/>
                </w:tcPr>
                <w:p>
                  <w:pPr>
                    <w:pStyle w:val="114"/>
                    <w:spacing w:line="240" w:lineRule="auto"/>
                    <w:rPr>
                      <w:lang w:eastAsia="zh-CN"/>
                    </w:rPr>
                  </w:pPr>
                  <w:r>
                    <w:rPr>
                      <w:rFonts w:hint="eastAsia"/>
                      <w:lang w:eastAsia="zh-CN"/>
                    </w:rPr>
                    <w:t>1</w:t>
                  </w:r>
                  <w:r>
                    <w:rPr>
                      <w:lang w:eastAsia="zh-CN"/>
                    </w:rPr>
                    <w:t>1.46</w:t>
                  </w:r>
                  <w:r>
                    <w:rPr>
                      <w:rFonts w:hint="eastAsia"/>
                      <w:lang w:eastAsia="zh-CN"/>
                    </w:rPr>
                    <w:t>（无量纲）</w:t>
                  </w:r>
                </w:p>
              </w:tc>
              <w:tc>
                <w:tcPr>
                  <w:tcW w:w="1564" w:type="dxa"/>
                  <w:vAlign w:val="center"/>
                </w:tcPr>
                <w:p>
                  <w:pPr>
                    <w:pStyle w:val="114"/>
                    <w:spacing w:line="240" w:lineRule="auto"/>
                    <w:rPr>
                      <w:lang w:eastAsia="zh-CN"/>
                    </w:rPr>
                  </w:pPr>
                  <w:r>
                    <w:rPr>
                      <w:rFonts w:hint="eastAsia"/>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56" w:type="dxa"/>
                  <w:vMerge w:val="continue"/>
                  <w:vAlign w:val="center"/>
                </w:tcPr>
                <w:p>
                  <w:pPr>
                    <w:pStyle w:val="114"/>
                    <w:spacing w:line="240" w:lineRule="auto"/>
                    <w:rPr>
                      <w:lang w:eastAsia="zh-CN"/>
                    </w:rPr>
                  </w:pPr>
                </w:p>
              </w:tc>
              <w:tc>
                <w:tcPr>
                  <w:tcW w:w="1721" w:type="dxa"/>
                  <w:vMerge w:val="continue"/>
                  <w:vAlign w:val="center"/>
                </w:tcPr>
                <w:p>
                  <w:pPr>
                    <w:pStyle w:val="114"/>
                    <w:spacing w:line="240" w:lineRule="auto"/>
                    <w:rPr>
                      <w:lang w:eastAsia="zh-CN"/>
                    </w:rPr>
                  </w:pPr>
                </w:p>
              </w:tc>
              <w:tc>
                <w:tcPr>
                  <w:tcW w:w="2184" w:type="dxa"/>
                  <w:vAlign w:val="center"/>
                </w:tcPr>
                <w:p>
                  <w:pPr>
                    <w:pStyle w:val="114"/>
                    <w:spacing w:line="240" w:lineRule="auto"/>
                    <w:rPr>
                      <w:lang w:eastAsia="zh-CN"/>
                    </w:rPr>
                  </w:pPr>
                  <w:r>
                    <w:rPr>
                      <w:rFonts w:hint="eastAsia"/>
                      <w:lang w:eastAsia="zh-CN"/>
                    </w:rPr>
                    <w:t>C</w:t>
                  </w:r>
                  <w:r>
                    <w:rPr>
                      <w:lang w:eastAsia="zh-CN"/>
                    </w:rPr>
                    <w:t>OD</w:t>
                  </w:r>
                </w:p>
              </w:tc>
              <w:tc>
                <w:tcPr>
                  <w:tcW w:w="1913" w:type="dxa"/>
                  <w:vAlign w:val="center"/>
                </w:tcPr>
                <w:p>
                  <w:pPr>
                    <w:pStyle w:val="114"/>
                    <w:spacing w:line="240" w:lineRule="auto"/>
                    <w:rPr>
                      <w:lang w:eastAsia="zh-CN"/>
                    </w:rPr>
                  </w:pPr>
                  <w:r>
                    <w:rPr>
                      <w:rFonts w:hint="eastAsia"/>
                      <w:lang w:eastAsia="zh-CN"/>
                    </w:rPr>
                    <w:t>1</w:t>
                  </w:r>
                  <w:r>
                    <w:rPr>
                      <w:lang w:eastAsia="zh-CN"/>
                    </w:rPr>
                    <w:t>000</w:t>
                  </w:r>
                </w:p>
              </w:tc>
              <w:tc>
                <w:tcPr>
                  <w:tcW w:w="1564" w:type="dxa"/>
                  <w:vAlign w:val="center"/>
                </w:tcPr>
                <w:p>
                  <w:pPr>
                    <w:pStyle w:val="114"/>
                    <w:spacing w:line="240" w:lineRule="auto"/>
                    <w:rPr>
                      <w:lang w:eastAsia="zh-CN"/>
                    </w:rPr>
                  </w:pPr>
                  <w:r>
                    <w:rPr>
                      <w:rFonts w:hint="eastAsia"/>
                      <w:lang w:eastAsia="zh-CN"/>
                    </w:rPr>
                    <w:t>3</w:t>
                  </w:r>
                  <w:r>
                    <w:rPr>
                      <w:lang w:eastAsia="zh-CN"/>
                    </w:rPr>
                    <w:t>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56" w:type="dxa"/>
                  <w:vMerge w:val="continue"/>
                  <w:vAlign w:val="center"/>
                </w:tcPr>
                <w:p>
                  <w:pPr>
                    <w:pStyle w:val="114"/>
                    <w:spacing w:line="240" w:lineRule="auto"/>
                    <w:rPr>
                      <w:lang w:eastAsia="zh-CN"/>
                    </w:rPr>
                  </w:pPr>
                </w:p>
              </w:tc>
              <w:tc>
                <w:tcPr>
                  <w:tcW w:w="1721" w:type="dxa"/>
                  <w:vMerge w:val="continue"/>
                  <w:vAlign w:val="center"/>
                </w:tcPr>
                <w:p>
                  <w:pPr>
                    <w:pStyle w:val="114"/>
                    <w:spacing w:line="240" w:lineRule="auto"/>
                    <w:rPr>
                      <w:lang w:eastAsia="zh-CN"/>
                    </w:rPr>
                  </w:pPr>
                </w:p>
              </w:tc>
              <w:tc>
                <w:tcPr>
                  <w:tcW w:w="2184" w:type="dxa"/>
                  <w:vAlign w:val="center"/>
                </w:tcPr>
                <w:p>
                  <w:pPr>
                    <w:pStyle w:val="114"/>
                    <w:spacing w:line="240" w:lineRule="auto"/>
                    <w:rPr>
                      <w:lang w:eastAsia="zh-CN"/>
                    </w:rPr>
                  </w:pPr>
                  <w:r>
                    <w:rPr>
                      <w:rFonts w:hint="eastAsia"/>
                      <w:lang w:eastAsia="zh-CN"/>
                    </w:rPr>
                    <w:t>B</w:t>
                  </w:r>
                  <w:r>
                    <w:rPr>
                      <w:lang w:eastAsia="zh-CN"/>
                    </w:rPr>
                    <w:t>OD</w:t>
                  </w:r>
                  <w:r>
                    <w:rPr>
                      <w:vertAlign w:val="subscript"/>
                      <w:lang w:eastAsia="zh-CN"/>
                    </w:rPr>
                    <w:t>5</w:t>
                  </w:r>
                </w:p>
              </w:tc>
              <w:tc>
                <w:tcPr>
                  <w:tcW w:w="1913" w:type="dxa"/>
                  <w:vAlign w:val="center"/>
                </w:tcPr>
                <w:p>
                  <w:pPr>
                    <w:pStyle w:val="114"/>
                    <w:spacing w:line="240" w:lineRule="auto"/>
                    <w:rPr>
                      <w:lang w:eastAsia="zh-CN"/>
                    </w:rPr>
                  </w:pPr>
                  <w:r>
                    <w:rPr>
                      <w:rFonts w:hint="eastAsia"/>
                      <w:lang w:eastAsia="zh-CN"/>
                    </w:rPr>
                    <w:t>3</w:t>
                  </w:r>
                  <w:r>
                    <w:rPr>
                      <w:lang w:eastAsia="zh-CN"/>
                    </w:rPr>
                    <w:t>00</w:t>
                  </w:r>
                </w:p>
              </w:tc>
              <w:tc>
                <w:tcPr>
                  <w:tcW w:w="1564" w:type="dxa"/>
                  <w:vAlign w:val="center"/>
                </w:tcPr>
                <w:p>
                  <w:pPr>
                    <w:pStyle w:val="114"/>
                    <w:spacing w:line="240" w:lineRule="auto"/>
                    <w:rPr>
                      <w:lang w:eastAsia="zh-CN"/>
                    </w:rPr>
                  </w:pPr>
                  <w:r>
                    <w:rPr>
                      <w:rFonts w:hint="eastAsia"/>
                      <w:lang w:eastAsia="zh-CN"/>
                    </w:rPr>
                    <w:t>1</w:t>
                  </w:r>
                  <w:r>
                    <w:rPr>
                      <w:lang w:eastAsia="zh-CN"/>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556" w:type="dxa"/>
                  <w:vMerge w:val="continue"/>
                  <w:vAlign w:val="center"/>
                </w:tcPr>
                <w:p>
                  <w:pPr>
                    <w:pStyle w:val="114"/>
                    <w:spacing w:line="240" w:lineRule="auto"/>
                    <w:rPr>
                      <w:lang w:eastAsia="zh-CN"/>
                    </w:rPr>
                  </w:pPr>
                </w:p>
              </w:tc>
              <w:tc>
                <w:tcPr>
                  <w:tcW w:w="1721" w:type="dxa"/>
                  <w:vMerge w:val="continue"/>
                  <w:vAlign w:val="center"/>
                </w:tcPr>
                <w:p>
                  <w:pPr>
                    <w:pStyle w:val="114"/>
                    <w:spacing w:line="240" w:lineRule="auto"/>
                    <w:rPr>
                      <w:lang w:eastAsia="zh-CN"/>
                    </w:rPr>
                  </w:pPr>
                </w:p>
              </w:tc>
              <w:tc>
                <w:tcPr>
                  <w:tcW w:w="2184" w:type="dxa"/>
                  <w:vAlign w:val="center"/>
                </w:tcPr>
                <w:p>
                  <w:pPr>
                    <w:pStyle w:val="114"/>
                    <w:spacing w:line="240" w:lineRule="auto"/>
                    <w:rPr>
                      <w:lang w:eastAsia="zh-CN"/>
                    </w:rPr>
                  </w:pPr>
                  <w:r>
                    <w:rPr>
                      <w:rFonts w:hint="eastAsia"/>
                      <w:lang w:eastAsia="zh-CN"/>
                    </w:rPr>
                    <w:t>氨氮</w:t>
                  </w:r>
                </w:p>
              </w:tc>
              <w:tc>
                <w:tcPr>
                  <w:tcW w:w="1913" w:type="dxa"/>
                  <w:vAlign w:val="center"/>
                </w:tcPr>
                <w:p>
                  <w:pPr>
                    <w:pStyle w:val="114"/>
                    <w:spacing w:line="240" w:lineRule="auto"/>
                    <w:rPr>
                      <w:lang w:eastAsia="zh-CN"/>
                    </w:rPr>
                  </w:pPr>
                  <w:r>
                    <w:rPr>
                      <w:rFonts w:hint="eastAsia"/>
                      <w:lang w:eastAsia="zh-CN"/>
                    </w:rPr>
                    <w:t>2</w:t>
                  </w:r>
                  <w:r>
                    <w:rPr>
                      <w:lang w:eastAsia="zh-CN"/>
                    </w:rPr>
                    <w:t>5.68</w:t>
                  </w:r>
                </w:p>
              </w:tc>
              <w:tc>
                <w:tcPr>
                  <w:tcW w:w="1564" w:type="dxa"/>
                  <w:vAlign w:val="center"/>
                </w:tcPr>
                <w:p>
                  <w:pPr>
                    <w:pStyle w:val="114"/>
                    <w:spacing w:line="240" w:lineRule="auto"/>
                    <w:rPr>
                      <w:lang w:eastAsia="zh-CN"/>
                    </w:rPr>
                  </w:pPr>
                  <w:r>
                    <w:rPr>
                      <w:rFonts w:hint="eastAsia"/>
                      <w:lang w:eastAsia="zh-CN"/>
                    </w:rPr>
                    <w:t>0</w:t>
                  </w:r>
                  <w:r>
                    <w:rPr>
                      <w:lang w:eastAsia="zh-CN"/>
                    </w:rPr>
                    <w:t>.863</w:t>
                  </w:r>
                </w:p>
              </w:tc>
            </w:tr>
          </w:tbl>
          <w:p>
            <w:pPr>
              <w:pStyle w:val="77"/>
              <w:spacing w:line="460" w:lineRule="exact"/>
              <w:ind w:firstLine="480"/>
            </w:pPr>
            <w:r>
              <w:t>2</w:t>
            </w:r>
            <w:r>
              <w:rPr>
                <w:rFonts w:hint="eastAsia"/>
              </w:rPr>
              <w:t>、废水排放情况</w:t>
            </w:r>
          </w:p>
          <w:p>
            <w:pPr>
              <w:pStyle w:val="77"/>
              <w:spacing w:line="460" w:lineRule="exact"/>
              <w:ind w:firstLine="480"/>
            </w:pPr>
            <w:r>
              <w:rPr>
                <w:rFonts w:hint="eastAsia"/>
              </w:rPr>
              <w:t>企业目前已建成运行，本次评价采取企业自行监测报告中的废水监测结果，则项目废水排放情况详见下表。</w:t>
            </w:r>
          </w:p>
          <w:p>
            <w:pPr>
              <w:pStyle w:val="77"/>
              <w:spacing w:line="240" w:lineRule="auto"/>
              <w:ind w:firstLine="420"/>
              <w:rPr>
                <w:color w:val="FF0000"/>
              </w:rPr>
            </w:pPr>
            <w:bookmarkStart w:id="28" w:name="_Hlk147827608"/>
            <w:bookmarkStart w:id="29" w:name="_Hlk147769559"/>
            <w:r>
              <w:rPr>
                <w:rFonts w:ascii="黑体" w:hAnsi="黑体" w:eastAsia="黑体"/>
                <w:color w:val="FF0000"/>
                <w:sz w:val="21"/>
              </w:rPr>
              <w:t xml:space="preserve">表4-10                 </w:t>
            </w:r>
            <w:r>
              <w:rPr>
                <w:rFonts w:hint="eastAsia" w:ascii="黑体" w:hAnsi="黑体" w:eastAsia="黑体"/>
                <w:color w:val="FF0000"/>
                <w:sz w:val="21"/>
              </w:rPr>
              <w:t>项目废水排放情况一览表</w:t>
            </w:r>
          </w:p>
          <w:tbl>
            <w:tblPr>
              <w:tblStyle w:val="47"/>
              <w:tblW w:w="893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391"/>
              <w:gridCol w:w="1825"/>
              <w:gridCol w:w="1140"/>
              <w:gridCol w:w="1376"/>
              <w:gridCol w:w="13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30" w:type="dxa"/>
                  <w:vAlign w:val="center"/>
                </w:tcPr>
                <w:p>
                  <w:pPr>
                    <w:pStyle w:val="114"/>
                    <w:spacing w:line="240" w:lineRule="auto"/>
                    <w:rPr>
                      <w:color w:val="FF0000"/>
                      <w:lang w:eastAsia="zh-CN"/>
                    </w:rPr>
                  </w:pPr>
                  <w:r>
                    <w:rPr>
                      <w:rFonts w:hint="eastAsia"/>
                      <w:color w:val="FF0000"/>
                      <w:lang w:eastAsia="zh-CN"/>
                    </w:rPr>
                    <w:t>监测点位</w:t>
                  </w:r>
                </w:p>
              </w:tc>
              <w:tc>
                <w:tcPr>
                  <w:tcW w:w="1391" w:type="dxa"/>
                  <w:vAlign w:val="center"/>
                </w:tcPr>
                <w:p>
                  <w:pPr>
                    <w:pStyle w:val="114"/>
                    <w:spacing w:line="240" w:lineRule="auto"/>
                    <w:rPr>
                      <w:color w:val="FF0000"/>
                      <w:lang w:eastAsia="zh-CN"/>
                    </w:rPr>
                  </w:pPr>
                  <w:r>
                    <w:rPr>
                      <w:rFonts w:hint="eastAsia"/>
                      <w:color w:val="FF0000"/>
                      <w:lang w:eastAsia="zh-CN"/>
                    </w:rPr>
                    <w:t>监测日期</w:t>
                  </w:r>
                </w:p>
              </w:tc>
              <w:tc>
                <w:tcPr>
                  <w:tcW w:w="1825" w:type="dxa"/>
                  <w:vAlign w:val="center"/>
                </w:tcPr>
                <w:p>
                  <w:pPr>
                    <w:pStyle w:val="114"/>
                    <w:spacing w:line="240" w:lineRule="auto"/>
                    <w:rPr>
                      <w:color w:val="FF0000"/>
                      <w:lang w:eastAsia="zh-CN"/>
                    </w:rPr>
                  </w:pPr>
                  <w:r>
                    <w:rPr>
                      <w:rFonts w:hint="eastAsia"/>
                      <w:color w:val="FF0000"/>
                      <w:lang w:eastAsia="zh-CN"/>
                    </w:rPr>
                    <w:t>污染物</w:t>
                  </w:r>
                </w:p>
              </w:tc>
              <w:tc>
                <w:tcPr>
                  <w:tcW w:w="1140" w:type="dxa"/>
                  <w:vAlign w:val="center"/>
                </w:tcPr>
                <w:p>
                  <w:pPr>
                    <w:pStyle w:val="114"/>
                    <w:spacing w:line="240" w:lineRule="auto"/>
                    <w:rPr>
                      <w:color w:val="FF0000"/>
                      <w:lang w:eastAsia="zh-CN"/>
                    </w:rPr>
                  </w:pPr>
                  <w:r>
                    <w:rPr>
                      <w:rFonts w:hint="eastAsia"/>
                      <w:color w:val="FF0000"/>
                      <w:lang w:eastAsia="zh-CN"/>
                    </w:rPr>
                    <w:t>单位</w:t>
                  </w:r>
                </w:p>
              </w:tc>
              <w:tc>
                <w:tcPr>
                  <w:tcW w:w="1376" w:type="dxa"/>
                  <w:vAlign w:val="center"/>
                </w:tcPr>
                <w:p>
                  <w:pPr>
                    <w:pStyle w:val="114"/>
                    <w:spacing w:line="240" w:lineRule="auto"/>
                    <w:rPr>
                      <w:color w:val="FF0000"/>
                      <w:lang w:eastAsia="zh-CN"/>
                    </w:rPr>
                  </w:pPr>
                  <w:r>
                    <w:rPr>
                      <w:rFonts w:hint="eastAsia"/>
                      <w:color w:val="FF0000"/>
                      <w:lang w:eastAsia="zh-CN"/>
                    </w:rPr>
                    <w:t>结果</w:t>
                  </w:r>
                </w:p>
              </w:tc>
              <w:tc>
                <w:tcPr>
                  <w:tcW w:w="1376" w:type="dxa"/>
                  <w:vAlign w:val="center"/>
                </w:tcPr>
                <w:p>
                  <w:pPr>
                    <w:pStyle w:val="114"/>
                    <w:spacing w:line="240" w:lineRule="auto"/>
                    <w:rPr>
                      <w:color w:val="FF0000"/>
                      <w:lang w:eastAsia="zh-CN"/>
                    </w:rPr>
                  </w:pPr>
                  <w:r>
                    <w:rPr>
                      <w:rFonts w:hint="eastAsia"/>
                      <w:color w:val="FF0000"/>
                      <w:lang w:eastAsia="zh-CN"/>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830" w:type="dxa"/>
                  <w:vMerge w:val="restart"/>
                  <w:vAlign w:val="center"/>
                </w:tcPr>
                <w:p>
                  <w:pPr>
                    <w:pStyle w:val="114"/>
                    <w:spacing w:line="240" w:lineRule="auto"/>
                    <w:rPr>
                      <w:color w:val="FF0000"/>
                      <w:lang w:eastAsia="zh-CN"/>
                    </w:rPr>
                  </w:pPr>
                  <w:r>
                    <w:rPr>
                      <w:rFonts w:hint="eastAsia"/>
                      <w:color w:val="FF0000"/>
                      <w:lang w:eastAsia="zh-CN"/>
                    </w:rPr>
                    <w:t>污水总排口</w:t>
                  </w:r>
                </w:p>
              </w:tc>
              <w:tc>
                <w:tcPr>
                  <w:tcW w:w="1391" w:type="dxa"/>
                  <w:vMerge w:val="restart"/>
                  <w:vAlign w:val="center"/>
                </w:tcPr>
                <w:p>
                  <w:pPr>
                    <w:pStyle w:val="114"/>
                    <w:spacing w:line="240" w:lineRule="auto"/>
                    <w:rPr>
                      <w:color w:val="FF0000"/>
                      <w:lang w:eastAsia="zh-CN"/>
                    </w:rPr>
                  </w:pPr>
                  <w:r>
                    <w:rPr>
                      <w:rFonts w:hint="eastAsia"/>
                      <w:color w:val="FF0000"/>
                      <w:lang w:eastAsia="zh-CN"/>
                    </w:rPr>
                    <w:t>2</w:t>
                  </w:r>
                  <w:r>
                    <w:rPr>
                      <w:color w:val="FF0000"/>
                      <w:lang w:eastAsia="zh-CN"/>
                    </w:rPr>
                    <w:t>023.1.9</w:t>
                  </w:r>
                </w:p>
              </w:tc>
              <w:tc>
                <w:tcPr>
                  <w:tcW w:w="1825" w:type="dxa"/>
                  <w:vAlign w:val="center"/>
                </w:tcPr>
                <w:p>
                  <w:pPr>
                    <w:pStyle w:val="114"/>
                    <w:spacing w:line="240" w:lineRule="auto"/>
                    <w:rPr>
                      <w:color w:val="FF0000"/>
                      <w:lang w:eastAsia="zh-CN"/>
                    </w:rPr>
                  </w:pPr>
                  <w:r>
                    <w:rPr>
                      <w:rFonts w:hint="eastAsia"/>
                      <w:color w:val="FF0000"/>
                      <w:lang w:eastAsia="zh-CN"/>
                    </w:rPr>
                    <w:t>p</w:t>
                  </w:r>
                  <w:r>
                    <w:rPr>
                      <w:color w:val="FF0000"/>
                      <w:lang w:eastAsia="zh-CN"/>
                    </w:rPr>
                    <w:t>H</w:t>
                  </w:r>
                </w:p>
              </w:tc>
              <w:tc>
                <w:tcPr>
                  <w:tcW w:w="1140" w:type="dxa"/>
                  <w:vAlign w:val="center"/>
                </w:tcPr>
                <w:p>
                  <w:pPr>
                    <w:pStyle w:val="114"/>
                    <w:spacing w:line="240" w:lineRule="auto"/>
                    <w:rPr>
                      <w:color w:val="FF0000"/>
                      <w:lang w:eastAsia="zh-CN"/>
                    </w:rPr>
                  </w:pPr>
                  <w:r>
                    <w:rPr>
                      <w:rFonts w:hint="eastAsia"/>
                      <w:color w:val="FF0000"/>
                      <w:lang w:eastAsia="zh-CN"/>
                    </w:rPr>
                    <w:t>无量纲</w:t>
                  </w:r>
                </w:p>
              </w:tc>
              <w:tc>
                <w:tcPr>
                  <w:tcW w:w="1376" w:type="dxa"/>
                  <w:vAlign w:val="center"/>
                </w:tcPr>
                <w:p>
                  <w:pPr>
                    <w:pStyle w:val="114"/>
                    <w:spacing w:line="240" w:lineRule="auto"/>
                    <w:rPr>
                      <w:color w:val="FF0000"/>
                      <w:lang w:eastAsia="zh-CN"/>
                    </w:rPr>
                  </w:pPr>
                  <w:r>
                    <w:rPr>
                      <w:color w:val="FF0000"/>
                      <w:lang w:eastAsia="zh-CN"/>
                    </w:rPr>
                    <w:t>8.4</w:t>
                  </w:r>
                </w:p>
              </w:tc>
              <w:tc>
                <w:tcPr>
                  <w:tcW w:w="1376" w:type="dxa"/>
                  <w:vAlign w:val="center"/>
                </w:tcPr>
                <w:p>
                  <w:pPr>
                    <w:pStyle w:val="114"/>
                    <w:spacing w:line="240" w:lineRule="auto"/>
                    <w:rPr>
                      <w:color w:val="FF0000"/>
                      <w:lang w:eastAsia="zh-CN"/>
                    </w:rPr>
                  </w:pPr>
                  <w:r>
                    <w:rPr>
                      <w:rFonts w:hint="eastAsia"/>
                      <w:color w:val="FF0000"/>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830" w:type="dxa"/>
                  <w:vMerge w:val="continue"/>
                  <w:vAlign w:val="center"/>
                </w:tcPr>
                <w:p>
                  <w:pPr>
                    <w:pStyle w:val="114"/>
                    <w:spacing w:line="240" w:lineRule="auto"/>
                    <w:rPr>
                      <w:color w:val="FF0000"/>
                      <w:lang w:eastAsia="zh-CN"/>
                    </w:rPr>
                  </w:pPr>
                </w:p>
              </w:tc>
              <w:tc>
                <w:tcPr>
                  <w:tcW w:w="1391" w:type="dxa"/>
                  <w:vMerge w:val="continue"/>
                  <w:vAlign w:val="center"/>
                </w:tcPr>
                <w:p>
                  <w:pPr>
                    <w:pStyle w:val="114"/>
                    <w:spacing w:line="240" w:lineRule="auto"/>
                    <w:rPr>
                      <w:color w:val="FF0000"/>
                      <w:lang w:eastAsia="zh-CN"/>
                    </w:rPr>
                  </w:pPr>
                </w:p>
              </w:tc>
              <w:tc>
                <w:tcPr>
                  <w:tcW w:w="1825" w:type="dxa"/>
                  <w:vAlign w:val="center"/>
                </w:tcPr>
                <w:p>
                  <w:pPr>
                    <w:pStyle w:val="114"/>
                    <w:spacing w:line="240" w:lineRule="auto"/>
                    <w:rPr>
                      <w:color w:val="FF0000"/>
                      <w:lang w:eastAsia="zh-CN"/>
                    </w:rPr>
                  </w:pPr>
                  <w:r>
                    <w:rPr>
                      <w:rFonts w:hint="eastAsia"/>
                      <w:color w:val="FF0000"/>
                      <w:lang w:eastAsia="zh-CN"/>
                    </w:rPr>
                    <w:t>C</w:t>
                  </w:r>
                  <w:r>
                    <w:rPr>
                      <w:color w:val="FF0000"/>
                      <w:lang w:eastAsia="zh-CN"/>
                    </w:rPr>
                    <w:t>OD</w:t>
                  </w:r>
                </w:p>
              </w:tc>
              <w:tc>
                <w:tcPr>
                  <w:tcW w:w="1140" w:type="dxa"/>
                  <w:vAlign w:val="center"/>
                </w:tcPr>
                <w:p>
                  <w:pPr>
                    <w:pStyle w:val="114"/>
                    <w:spacing w:line="240" w:lineRule="auto"/>
                    <w:rPr>
                      <w:color w:val="FF0000"/>
                      <w:lang w:eastAsia="zh-CN"/>
                    </w:rPr>
                  </w:pPr>
                  <w:r>
                    <w:rPr>
                      <w:color w:val="FF0000"/>
                      <w:lang w:eastAsia="zh-CN"/>
                    </w:rPr>
                    <w:t>mg/L</w:t>
                  </w:r>
                </w:p>
              </w:tc>
              <w:tc>
                <w:tcPr>
                  <w:tcW w:w="1376" w:type="dxa"/>
                  <w:vAlign w:val="center"/>
                </w:tcPr>
                <w:p>
                  <w:pPr>
                    <w:pStyle w:val="114"/>
                    <w:spacing w:line="240" w:lineRule="auto"/>
                    <w:rPr>
                      <w:color w:val="FF0000"/>
                      <w:lang w:eastAsia="zh-CN"/>
                    </w:rPr>
                  </w:pPr>
                  <w:r>
                    <w:rPr>
                      <w:rFonts w:hint="eastAsia"/>
                      <w:color w:val="FF0000"/>
                      <w:lang w:eastAsia="zh-CN"/>
                    </w:rPr>
                    <w:t>7</w:t>
                  </w:r>
                  <w:r>
                    <w:rPr>
                      <w:color w:val="FF0000"/>
                      <w:lang w:eastAsia="zh-CN"/>
                    </w:rPr>
                    <w:t>4</w:t>
                  </w:r>
                </w:p>
              </w:tc>
              <w:tc>
                <w:tcPr>
                  <w:tcW w:w="1376" w:type="dxa"/>
                  <w:vAlign w:val="center"/>
                </w:tcPr>
                <w:p>
                  <w:pPr>
                    <w:pStyle w:val="114"/>
                    <w:spacing w:line="240" w:lineRule="auto"/>
                    <w:rPr>
                      <w:color w:val="FF0000"/>
                      <w:lang w:eastAsia="zh-CN"/>
                    </w:rPr>
                  </w:pPr>
                  <w:r>
                    <w:rPr>
                      <w:rFonts w:hint="eastAsia"/>
                      <w:color w:val="FF0000"/>
                      <w:lang w:eastAsia="zh-CN"/>
                    </w:rPr>
                    <w:t>2</w:t>
                  </w:r>
                  <w:r>
                    <w:rPr>
                      <w:color w:val="FF0000"/>
                      <w:lang w:eastAsia="zh-CN"/>
                    </w:rPr>
                    <w:t>.49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830" w:type="dxa"/>
                  <w:vMerge w:val="continue"/>
                  <w:vAlign w:val="center"/>
                </w:tcPr>
                <w:p>
                  <w:pPr>
                    <w:pStyle w:val="114"/>
                    <w:spacing w:line="240" w:lineRule="auto"/>
                    <w:rPr>
                      <w:color w:val="FF0000"/>
                      <w:lang w:eastAsia="zh-CN"/>
                    </w:rPr>
                  </w:pPr>
                </w:p>
              </w:tc>
              <w:tc>
                <w:tcPr>
                  <w:tcW w:w="1391" w:type="dxa"/>
                  <w:vMerge w:val="continue"/>
                  <w:vAlign w:val="center"/>
                </w:tcPr>
                <w:p>
                  <w:pPr>
                    <w:pStyle w:val="114"/>
                    <w:spacing w:line="240" w:lineRule="auto"/>
                    <w:rPr>
                      <w:color w:val="FF0000"/>
                      <w:lang w:eastAsia="zh-CN"/>
                    </w:rPr>
                  </w:pPr>
                </w:p>
              </w:tc>
              <w:tc>
                <w:tcPr>
                  <w:tcW w:w="1825" w:type="dxa"/>
                  <w:vAlign w:val="center"/>
                </w:tcPr>
                <w:p>
                  <w:pPr>
                    <w:pStyle w:val="114"/>
                    <w:spacing w:line="240" w:lineRule="auto"/>
                    <w:rPr>
                      <w:color w:val="FF0000"/>
                      <w:lang w:eastAsia="zh-CN"/>
                    </w:rPr>
                  </w:pPr>
                  <w:r>
                    <w:rPr>
                      <w:rFonts w:hint="eastAsia"/>
                      <w:color w:val="FF0000"/>
                      <w:lang w:eastAsia="zh-CN"/>
                    </w:rPr>
                    <w:t>B</w:t>
                  </w:r>
                  <w:r>
                    <w:rPr>
                      <w:color w:val="FF0000"/>
                      <w:lang w:eastAsia="zh-CN"/>
                    </w:rPr>
                    <w:t>OD</w:t>
                  </w:r>
                  <w:r>
                    <w:rPr>
                      <w:color w:val="FF0000"/>
                      <w:vertAlign w:val="subscript"/>
                      <w:lang w:eastAsia="zh-CN"/>
                    </w:rPr>
                    <w:t>5</w:t>
                  </w:r>
                </w:p>
              </w:tc>
              <w:tc>
                <w:tcPr>
                  <w:tcW w:w="1140" w:type="dxa"/>
                  <w:vAlign w:val="center"/>
                </w:tcPr>
                <w:p>
                  <w:pPr>
                    <w:pStyle w:val="114"/>
                    <w:spacing w:line="240" w:lineRule="auto"/>
                    <w:rPr>
                      <w:color w:val="FF0000"/>
                      <w:lang w:eastAsia="zh-CN"/>
                    </w:rPr>
                  </w:pPr>
                  <w:r>
                    <w:rPr>
                      <w:color w:val="FF0000"/>
                      <w:lang w:eastAsia="zh-CN"/>
                    </w:rPr>
                    <w:t>mg/L</w:t>
                  </w:r>
                </w:p>
              </w:tc>
              <w:tc>
                <w:tcPr>
                  <w:tcW w:w="1376" w:type="dxa"/>
                  <w:vAlign w:val="center"/>
                </w:tcPr>
                <w:p>
                  <w:pPr>
                    <w:pStyle w:val="114"/>
                    <w:spacing w:line="240" w:lineRule="auto"/>
                    <w:rPr>
                      <w:color w:val="FF0000"/>
                      <w:lang w:eastAsia="zh-CN"/>
                    </w:rPr>
                  </w:pPr>
                  <w:r>
                    <w:rPr>
                      <w:rFonts w:hint="eastAsia"/>
                      <w:color w:val="FF0000"/>
                      <w:lang w:eastAsia="zh-CN"/>
                    </w:rPr>
                    <w:t>2</w:t>
                  </w:r>
                  <w:r>
                    <w:rPr>
                      <w:color w:val="FF0000"/>
                      <w:lang w:eastAsia="zh-CN"/>
                    </w:rPr>
                    <w:t>2.7</w:t>
                  </w:r>
                </w:p>
              </w:tc>
              <w:tc>
                <w:tcPr>
                  <w:tcW w:w="1376" w:type="dxa"/>
                  <w:vAlign w:val="center"/>
                </w:tcPr>
                <w:p>
                  <w:pPr>
                    <w:pStyle w:val="114"/>
                    <w:spacing w:line="240" w:lineRule="auto"/>
                    <w:rPr>
                      <w:color w:val="FF0000"/>
                      <w:lang w:eastAsia="zh-CN"/>
                    </w:rPr>
                  </w:pPr>
                  <w:r>
                    <w:rPr>
                      <w:rFonts w:hint="eastAsia"/>
                      <w:color w:val="FF0000"/>
                      <w:lang w:eastAsia="zh-CN"/>
                    </w:rPr>
                    <w:t>0</w:t>
                  </w:r>
                  <w:r>
                    <w:rPr>
                      <w:color w:val="FF0000"/>
                      <w:lang w:eastAsia="zh-CN"/>
                    </w:rPr>
                    <w:t>.763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830" w:type="dxa"/>
                  <w:vMerge w:val="continue"/>
                  <w:vAlign w:val="center"/>
                </w:tcPr>
                <w:p>
                  <w:pPr>
                    <w:pStyle w:val="114"/>
                    <w:spacing w:line="240" w:lineRule="auto"/>
                    <w:rPr>
                      <w:color w:val="FF0000"/>
                      <w:lang w:eastAsia="zh-CN"/>
                    </w:rPr>
                  </w:pPr>
                </w:p>
              </w:tc>
              <w:tc>
                <w:tcPr>
                  <w:tcW w:w="1391" w:type="dxa"/>
                  <w:vMerge w:val="continue"/>
                  <w:vAlign w:val="center"/>
                </w:tcPr>
                <w:p>
                  <w:pPr>
                    <w:pStyle w:val="114"/>
                    <w:spacing w:line="240" w:lineRule="auto"/>
                    <w:rPr>
                      <w:color w:val="FF0000"/>
                      <w:lang w:eastAsia="zh-CN"/>
                    </w:rPr>
                  </w:pPr>
                </w:p>
              </w:tc>
              <w:tc>
                <w:tcPr>
                  <w:tcW w:w="1825" w:type="dxa"/>
                  <w:vAlign w:val="center"/>
                </w:tcPr>
                <w:p>
                  <w:pPr>
                    <w:pStyle w:val="114"/>
                    <w:spacing w:line="240" w:lineRule="auto"/>
                    <w:rPr>
                      <w:color w:val="FF0000"/>
                      <w:lang w:eastAsia="zh-CN"/>
                    </w:rPr>
                  </w:pPr>
                  <w:r>
                    <w:rPr>
                      <w:rFonts w:hint="eastAsia"/>
                      <w:color w:val="FF0000"/>
                      <w:lang w:eastAsia="zh-CN"/>
                    </w:rPr>
                    <w:t>氨氮</w:t>
                  </w:r>
                </w:p>
              </w:tc>
              <w:tc>
                <w:tcPr>
                  <w:tcW w:w="1140" w:type="dxa"/>
                  <w:vAlign w:val="center"/>
                </w:tcPr>
                <w:p>
                  <w:pPr>
                    <w:pStyle w:val="114"/>
                    <w:spacing w:line="240" w:lineRule="auto"/>
                    <w:rPr>
                      <w:color w:val="FF0000"/>
                      <w:lang w:eastAsia="zh-CN"/>
                    </w:rPr>
                  </w:pPr>
                  <w:r>
                    <w:rPr>
                      <w:color w:val="FF0000"/>
                      <w:lang w:eastAsia="zh-CN"/>
                    </w:rPr>
                    <w:t>mg/L</w:t>
                  </w:r>
                </w:p>
              </w:tc>
              <w:tc>
                <w:tcPr>
                  <w:tcW w:w="1376" w:type="dxa"/>
                  <w:vAlign w:val="center"/>
                </w:tcPr>
                <w:p>
                  <w:pPr>
                    <w:pStyle w:val="114"/>
                    <w:spacing w:line="240" w:lineRule="auto"/>
                    <w:rPr>
                      <w:color w:val="FF0000"/>
                      <w:lang w:eastAsia="zh-CN"/>
                    </w:rPr>
                  </w:pPr>
                  <w:r>
                    <w:rPr>
                      <w:rFonts w:hint="eastAsia"/>
                      <w:color w:val="FF0000"/>
                      <w:lang w:eastAsia="zh-CN"/>
                    </w:rPr>
                    <w:t>1</w:t>
                  </w:r>
                  <w:r>
                    <w:rPr>
                      <w:color w:val="FF0000"/>
                      <w:lang w:eastAsia="zh-CN"/>
                    </w:rPr>
                    <w:t>3.3</w:t>
                  </w:r>
                </w:p>
              </w:tc>
              <w:tc>
                <w:tcPr>
                  <w:tcW w:w="1376" w:type="dxa"/>
                  <w:vAlign w:val="center"/>
                </w:tcPr>
                <w:p>
                  <w:pPr>
                    <w:pStyle w:val="114"/>
                    <w:spacing w:line="240" w:lineRule="auto"/>
                    <w:rPr>
                      <w:color w:val="FF0000"/>
                      <w:lang w:eastAsia="zh-CN"/>
                    </w:rPr>
                  </w:pPr>
                  <w:r>
                    <w:rPr>
                      <w:rFonts w:hint="eastAsia"/>
                      <w:color w:val="FF0000"/>
                      <w:lang w:eastAsia="zh-CN"/>
                    </w:rPr>
                    <w:t>0</w:t>
                  </w:r>
                  <w:r>
                    <w:rPr>
                      <w:color w:val="FF0000"/>
                      <w:lang w:eastAsia="zh-CN"/>
                    </w:rPr>
                    <w:t>.447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830" w:type="dxa"/>
                  <w:vMerge w:val="continue"/>
                  <w:vAlign w:val="center"/>
                </w:tcPr>
                <w:p>
                  <w:pPr>
                    <w:pStyle w:val="114"/>
                    <w:spacing w:line="240" w:lineRule="auto"/>
                    <w:rPr>
                      <w:color w:val="FF0000"/>
                      <w:lang w:eastAsia="zh-CN"/>
                    </w:rPr>
                  </w:pPr>
                </w:p>
              </w:tc>
              <w:tc>
                <w:tcPr>
                  <w:tcW w:w="1391" w:type="dxa"/>
                  <w:vMerge w:val="continue"/>
                  <w:vAlign w:val="center"/>
                </w:tcPr>
                <w:p>
                  <w:pPr>
                    <w:pStyle w:val="114"/>
                    <w:spacing w:line="240" w:lineRule="auto"/>
                    <w:rPr>
                      <w:color w:val="FF0000"/>
                      <w:lang w:eastAsia="zh-CN"/>
                    </w:rPr>
                  </w:pPr>
                </w:p>
              </w:tc>
              <w:tc>
                <w:tcPr>
                  <w:tcW w:w="1825" w:type="dxa"/>
                  <w:vAlign w:val="center"/>
                </w:tcPr>
                <w:p>
                  <w:pPr>
                    <w:pStyle w:val="114"/>
                    <w:spacing w:line="240" w:lineRule="auto"/>
                    <w:rPr>
                      <w:color w:val="FF0000"/>
                      <w:lang w:eastAsia="zh-CN"/>
                    </w:rPr>
                  </w:pPr>
                  <w:r>
                    <w:rPr>
                      <w:rFonts w:hint="eastAsia"/>
                      <w:color w:val="FF0000"/>
                      <w:lang w:eastAsia="zh-CN"/>
                    </w:rPr>
                    <w:t>悬浮物</w:t>
                  </w:r>
                </w:p>
              </w:tc>
              <w:tc>
                <w:tcPr>
                  <w:tcW w:w="1140" w:type="dxa"/>
                  <w:vAlign w:val="center"/>
                </w:tcPr>
                <w:p>
                  <w:pPr>
                    <w:pStyle w:val="114"/>
                    <w:spacing w:line="240" w:lineRule="auto"/>
                    <w:rPr>
                      <w:color w:val="FF0000"/>
                      <w:lang w:eastAsia="zh-CN"/>
                    </w:rPr>
                  </w:pPr>
                  <w:r>
                    <w:rPr>
                      <w:color w:val="FF0000"/>
                      <w:lang w:eastAsia="zh-CN"/>
                    </w:rPr>
                    <w:t>mg/L</w:t>
                  </w:r>
                </w:p>
              </w:tc>
              <w:tc>
                <w:tcPr>
                  <w:tcW w:w="1376" w:type="dxa"/>
                  <w:vAlign w:val="center"/>
                </w:tcPr>
                <w:p>
                  <w:pPr>
                    <w:pStyle w:val="114"/>
                    <w:spacing w:line="240" w:lineRule="auto"/>
                    <w:rPr>
                      <w:color w:val="FF0000"/>
                      <w:lang w:eastAsia="zh-CN"/>
                    </w:rPr>
                  </w:pPr>
                  <w:r>
                    <w:rPr>
                      <w:rFonts w:hint="eastAsia"/>
                      <w:color w:val="FF0000"/>
                      <w:lang w:eastAsia="zh-CN"/>
                    </w:rPr>
                    <w:t>7</w:t>
                  </w:r>
                  <w:r>
                    <w:rPr>
                      <w:color w:val="FF0000"/>
                      <w:lang w:eastAsia="zh-CN"/>
                    </w:rPr>
                    <w:t>0</w:t>
                  </w:r>
                </w:p>
              </w:tc>
              <w:tc>
                <w:tcPr>
                  <w:tcW w:w="1376" w:type="dxa"/>
                  <w:vAlign w:val="center"/>
                </w:tcPr>
                <w:p>
                  <w:pPr>
                    <w:pStyle w:val="114"/>
                    <w:spacing w:line="240" w:lineRule="auto"/>
                    <w:rPr>
                      <w:color w:val="FF0000"/>
                      <w:lang w:eastAsia="zh-CN"/>
                    </w:rPr>
                  </w:pPr>
                  <w:r>
                    <w:rPr>
                      <w:rFonts w:hint="eastAsia"/>
                      <w:color w:val="FF0000"/>
                      <w:lang w:eastAsia="zh-CN"/>
                    </w:rPr>
                    <w:t>2</w:t>
                  </w:r>
                  <w:r>
                    <w:rPr>
                      <w:color w:val="FF0000"/>
                      <w:lang w:eastAsia="zh-CN"/>
                    </w:rPr>
                    <w:t>.352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830" w:type="dxa"/>
                  <w:vMerge w:val="continue"/>
                  <w:vAlign w:val="center"/>
                </w:tcPr>
                <w:p>
                  <w:pPr>
                    <w:pStyle w:val="114"/>
                    <w:spacing w:line="240" w:lineRule="auto"/>
                    <w:rPr>
                      <w:color w:val="FF0000"/>
                      <w:lang w:eastAsia="zh-CN"/>
                    </w:rPr>
                  </w:pPr>
                </w:p>
              </w:tc>
              <w:tc>
                <w:tcPr>
                  <w:tcW w:w="1391" w:type="dxa"/>
                  <w:vMerge w:val="continue"/>
                  <w:vAlign w:val="center"/>
                </w:tcPr>
                <w:p>
                  <w:pPr>
                    <w:pStyle w:val="114"/>
                    <w:spacing w:line="240" w:lineRule="auto"/>
                    <w:rPr>
                      <w:color w:val="FF0000"/>
                      <w:lang w:eastAsia="zh-CN"/>
                    </w:rPr>
                  </w:pPr>
                </w:p>
              </w:tc>
              <w:tc>
                <w:tcPr>
                  <w:tcW w:w="1825" w:type="dxa"/>
                  <w:vAlign w:val="center"/>
                </w:tcPr>
                <w:p>
                  <w:pPr>
                    <w:pStyle w:val="114"/>
                    <w:spacing w:line="240" w:lineRule="auto"/>
                    <w:rPr>
                      <w:color w:val="FF0000"/>
                      <w:lang w:eastAsia="zh-CN"/>
                    </w:rPr>
                  </w:pPr>
                  <w:r>
                    <w:rPr>
                      <w:rFonts w:hint="eastAsia"/>
                      <w:color w:val="FF0000"/>
                      <w:lang w:eastAsia="zh-CN"/>
                    </w:rPr>
                    <w:t>磷酸盐</w:t>
                  </w:r>
                </w:p>
              </w:tc>
              <w:tc>
                <w:tcPr>
                  <w:tcW w:w="1140" w:type="dxa"/>
                  <w:vAlign w:val="center"/>
                </w:tcPr>
                <w:p>
                  <w:pPr>
                    <w:pStyle w:val="114"/>
                    <w:spacing w:line="240" w:lineRule="auto"/>
                    <w:rPr>
                      <w:color w:val="FF0000"/>
                      <w:lang w:eastAsia="zh-CN"/>
                    </w:rPr>
                  </w:pPr>
                  <w:r>
                    <w:rPr>
                      <w:color w:val="FF0000"/>
                      <w:lang w:eastAsia="zh-CN"/>
                    </w:rPr>
                    <w:t>mg/L</w:t>
                  </w:r>
                </w:p>
              </w:tc>
              <w:tc>
                <w:tcPr>
                  <w:tcW w:w="1376" w:type="dxa"/>
                  <w:vAlign w:val="center"/>
                </w:tcPr>
                <w:p>
                  <w:pPr>
                    <w:pStyle w:val="114"/>
                    <w:spacing w:line="240" w:lineRule="auto"/>
                    <w:rPr>
                      <w:color w:val="FF0000"/>
                      <w:lang w:eastAsia="zh-CN"/>
                    </w:rPr>
                  </w:pPr>
                  <w:r>
                    <w:rPr>
                      <w:rFonts w:hint="eastAsia"/>
                      <w:color w:val="FF0000"/>
                      <w:lang w:eastAsia="zh-CN"/>
                    </w:rPr>
                    <w:t>6</w:t>
                  </w:r>
                  <w:r>
                    <w:rPr>
                      <w:color w:val="FF0000"/>
                      <w:lang w:eastAsia="zh-CN"/>
                    </w:rPr>
                    <w:t>.13</w:t>
                  </w:r>
                </w:p>
              </w:tc>
              <w:tc>
                <w:tcPr>
                  <w:tcW w:w="1376" w:type="dxa"/>
                  <w:vAlign w:val="center"/>
                </w:tcPr>
                <w:p>
                  <w:pPr>
                    <w:pStyle w:val="114"/>
                    <w:spacing w:line="240" w:lineRule="auto"/>
                    <w:rPr>
                      <w:color w:val="FF0000"/>
                      <w:lang w:eastAsia="zh-CN"/>
                    </w:rPr>
                  </w:pPr>
                  <w:r>
                    <w:rPr>
                      <w:rFonts w:hint="eastAsia"/>
                      <w:color w:val="FF0000"/>
                      <w:lang w:eastAsia="zh-CN"/>
                    </w:rPr>
                    <w:t>0</w:t>
                  </w:r>
                  <w:r>
                    <w:rPr>
                      <w:color w:val="FF0000"/>
                      <w:lang w:eastAsia="zh-CN"/>
                    </w:rPr>
                    <w:t>.206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830" w:type="dxa"/>
                  <w:vMerge w:val="continue"/>
                  <w:vAlign w:val="center"/>
                </w:tcPr>
                <w:p>
                  <w:pPr>
                    <w:pStyle w:val="114"/>
                    <w:spacing w:line="240" w:lineRule="auto"/>
                    <w:rPr>
                      <w:color w:val="FF0000"/>
                      <w:lang w:eastAsia="zh-CN"/>
                    </w:rPr>
                  </w:pPr>
                </w:p>
              </w:tc>
              <w:tc>
                <w:tcPr>
                  <w:tcW w:w="1391" w:type="dxa"/>
                  <w:vMerge w:val="continue"/>
                  <w:vAlign w:val="center"/>
                </w:tcPr>
                <w:p>
                  <w:pPr>
                    <w:pStyle w:val="114"/>
                    <w:spacing w:line="240" w:lineRule="auto"/>
                    <w:rPr>
                      <w:color w:val="FF0000"/>
                      <w:lang w:eastAsia="zh-CN"/>
                    </w:rPr>
                  </w:pPr>
                </w:p>
              </w:tc>
              <w:tc>
                <w:tcPr>
                  <w:tcW w:w="1825" w:type="dxa"/>
                  <w:vAlign w:val="center"/>
                </w:tcPr>
                <w:p>
                  <w:pPr>
                    <w:pStyle w:val="114"/>
                    <w:spacing w:line="240" w:lineRule="auto"/>
                    <w:rPr>
                      <w:color w:val="FF0000"/>
                      <w:lang w:eastAsia="zh-CN"/>
                    </w:rPr>
                  </w:pPr>
                  <w:r>
                    <w:rPr>
                      <w:rFonts w:hint="eastAsia"/>
                      <w:color w:val="FF0000"/>
                      <w:lang w:eastAsia="zh-CN"/>
                    </w:rPr>
                    <w:t>动植物油类</w:t>
                  </w:r>
                </w:p>
              </w:tc>
              <w:tc>
                <w:tcPr>
                  <w:tcW w:w="1140" w:type="dxa"/>
                  <w:vAlign w:val="center"/>
                </w:tcPr>
                <w:p>
                  <w:pPr>
                    <w:pStyle w:val="114"/>
                    <w:spacing w:line="240" w:lineRule="auto"/>
                    <w:rPr>
                      <w:color w:val="FF0000"/>
                      <w:lang w:eastAsia="zh-CN"/>
                    </w:rPr>
                  </w:pPr>
                  <w:r>
                    <w:rPr>
                      <w:color w:val="FF0000"/>
                      <w:lang w:eastAsia="zh-CN"/>
                    </w:rPr>
                    <w:t>mg/L</w:t>
                  </w:r>
                </w:p>
              </w:tc>
              <w:tc>
                <w:tcPr>
                  <w:tcW w:w="1376" w:type="dxa"/>
                  <w:vAlign w:val="center"/>
                </w:tcPr>
                <w:p>
                  <w:pPr>
                    <w:pStyle w:val="114"/>
                    <w:spacing w:line="240" w:lineRule="auto"/>
                    <w:rPr>
                      <w:color w:val="FF0000"/>
                      <w:lang w:eastAsia="zh-CN"/>
                    </w:rPr>
                  </w:pPr>
                  <w:r>
                    <w:rPr>
                      <w:rFonts w:hint="eastAsia"/>
                      <w:color w:val="FF0000"/>
                      <w:lang w:eastAsia="zh-CN"/>
                    </w:rPr>
                    <w:t>0</w:t>
                  </w:r>
                  <w:r>
                    <w:rPr>
                      <w:color w:val="FF0000"/>
                      <w:lang w:eastAsia="zh-CN"/>
                    </w:rPr>
                    <w:t>.07</w:t>
                  </w:r>
                </w:p>
              </w:tc>
              <w:tc>
                <w:tcPr>
                  <w:tcW w:w="1376" w:type="dxa"/>
                  <w:vAlign w:val="center"/>
                </w:tcPr>
                <w:p>
                  <w:pPr>
                    <w:pStyle w:val="114"/>
                    <w:spacing w:line="240" w:lineRule="auto"/>
                    <w:rPr>
                      <w:color w:val="FF0000"/>
                      <w:lang w:eastAsia="zh-CN"/>
                    </w:rPr>
                  </w:pPr>
                  <w:r>
                    <w:rPr>
                      <w:rFonts w:hint="eastAsia"/>
                      <w:color w:val="FF0000"/>
                      <w:lang w:eastAsia="zh-CN"/>
                    </w:rPr>
                    <w:t>0</w:t>
                  </w:r>
                  <w:r>
                    <w:rPr>
                      <w:color w:val="FF0000"/>
                      <w:lang w:eastAsia="zh-CN"/>
                    </w:rPr>
                    <w:t>.002</w:t>
                  </w:r>
                </w:p>
              </w:tc>
            </w:tr>
            <w:bookmarkEnd w:id="28"/>
          </w:tbl>
          <w:p>
            <w:pPr>
              <w:pStyle w:val="77"/>
              <w:ind w:firstLine="480"/>
              <w:rPr>
                <w:color w:val="FF0000"/>
              </w:rPr>
            </w:pPr>
            <w:r>
              <w:rPr>
                <w:rFonts w:hint="eastAsia"/>
                <w:color w:val="FF0000"/>
              </w:rPr>
              <w:t>由上表可知，本项目污水处理站出水水质满足《污水综合排放标准》（G</w:t>
            </w:r>
            <w:r>
              <w:rPr>
                <w:color w:val="FF0000"/>
              </w:rPr>
              <w:t>B8978-1996</w:t>
            </w:r>
            <w:r>
              <w:rPr>
                <w:rFonts w:hint="eastAsia"/>
                <w:color w:val="FF0000"/>
              </w:rPr>
              <w:t>）中表4三级标准，排入污水管网，最终进入呼图壁县丰泉污水处理厂。</w:t>
            </w:r>
          </w:p>
          <w:bookmarkEnd w:id="29"/>
          <w:p>
            <w:pPr>
              <w:pStyle w:val="77"/>
              <w:ind w:firstLine="482"/>
              <w:rPr>
                <w:b/>
                <w:bCs/>
              </w:rPr>
            </w:pPr>
            <w:r>
              <w:rPr>
                <w:rFonts w:hint="eastAsia"/>
                <w:b/>
                <w:bCs/>
              </w:rPr>
              <w:t>依托可行性：</w:t>
            </w:r>
          </w:p>
          <w:p>
            <w:pPr>
              <w:pStyle w:val="77"/>
              <w:ind w:firstLine="480"/>
            </w:pPr>
            <w:r>
              <w:t>本项目生活污水经收集后通过下水管网运输至呼图壁县丰泉污水处理厂。呼图壁县丰泉污水处理厂位于呼图壁县城以北2.5k</w:t>
            </w:r>
            <w:r>
              <w:rPr>
                <w:rFonts w:hint="eastAsia"/>
              </w:rPr>
              <w:t>m</w:t>
            </w:r>
            <w:r>
              <w:t>处的大草滩西沟，占地5公顷，2006年6月开工建设，2008年9月投入试运行，2009年通过竣工环境保护验收（新环监验[2009]82号），2019年进行过提标改造，于2019年6月完成环境影响评价工作，于2019</w:t>
            </w:r>
            <w:r>
              <w:rPr>
                <w:rFonts w:hint="eastAsia"/>
              </w:rPr>
              <w:t>年</w:t>
            </w:r>
            <w:r>
              <w:t>6月21日取得环评批复。提标改造内容主要为：新建二沉池、高效沉淀池、除臭间、加药间、紫外消毒间、污泥脱水机及滤布滤池（远期预留）等配套设施。将原AICS生化池改造为多级A/O生化池，将水解酸化池改造为初沉池，库房改为变配电室。</w:t>
            </w:r>
          </w:p>
          <w:p>
            <w:pPr>
              <w:pStyle w:val="77"/>
              <w:ind w:firstLine="480"/>
              <w:rPr>
                <w:color w:val="FF0000"/>
              </w:rPr>
            </w:pPr>
            <w:r>
              <w:t>呼图壁县丰泉污水处理厂处理后的排水经提标改造后尾水的出水标准提升，执行《城镇污水处理厂污染物排放标准》（GB18918-2002）及其修改单一级 A 标准。</w:t>
            </w:r>
            <w:r>
              <w:rPr>
                <w:rFonts w:hint="eastAsia"/>
              </w:rPr>
              <w:t>污水处理厂</w:t>
            </w:r>
            <w:r>
              <w:t>设计处理能力为1.5万m</w:t>
            </w:r>
            <w:r>
              <w:rPr>
                <w:vertAlign w:val="superscript"/>
              </w:rPr>
              <w:t>3</w:t>
            </w:r>
            <w:r>
              <w:t>/d，现有实际处理污水量为1.12万m</w:t>
            </w:r>
            <w:r>
              <w:rPr>
                <w:vertAlign w:val="superscript"/>
              </w:rPr>
              <w:t>3</w:t>
            </w:r>
            <w:r>
              <w:t>/d，该污水处理厂剩余负荷量为0.38万m</w:t>
            </w:r>
            <w:r>
              <w:rPr>
                <w:vertAlign w:val="superscript"/>
              </w:rPr>
              <w:t>3</w:t>
            </w:r>
            <w:r>
              <w:t>/d，</w:t>
            </w:r>
            <w:r>
              <w:rPr>
                <w:color w:val="FF0000"/>
              </w:rPr>
              <w:t>本项目污水</w:t>
            </w:r>
            <w:r>
              <w:rPr>
                <w:rFonts w:hint="eastAsia"/>
                <w:color w:val="FF0000"/>
              </w:rPr>
              <w:t>量</w:t>
            </w:r>
            <w:r>
              <w:rPr>
                <w:color w:val="FF0000"/>
              </w:rPr>
              <w:t>为140m</w:t>
            </w:r>
            <w:r>
              <w:rPr>
                <w:color w:val="FF0000"/>
                <w:vertAlign w:val="superscript"/>
              </w:rPr>
              <w:t>3</w:t>
            </w:r>
            <w:r>
              <w:rPr>
                <w:color w:val="FF0000"/>
              </w:rPr>
              <w:t>/d，因此依托可行</w:t>
            </w:r>
            <w:r>
              <w:rPr>
                <w:rFonts w:hint="eastAsia"/>
                <w:color w:val="FF0000"/>
              </w:rPr>
              <w:t>。</w:t>
            </w:r>
          </w:p>
          <w:p>
            <w:pPr>
              <w:pStyle w:val="77"/>
              <w:ind w:firstLine="480"/>
            </w:pPr>
            <w:r>
              <w:rPr>
                <w:rFonts w:hint="eastAsia"/>
              </w:rPr>
              <w:t>3、排污口设置情况</w:t>
            </w:r>
          </w:p>
          <w:p>
            <w:pPr>
              <w:pStyle w:val="77"/>
              <w:ind w:firstLine="480"/>
            </w:pPr>
            <w:r>
              <w:rPr>
                <w:rFonts w:hint="eastAsia"/>
              </w:rPr>
              <w:t>本项目污水排口设置情况详见下表。</w:t>
            </w:r>
          </w:p>
          <w:p>
            <w:pPr>
              <w:pStyle w:val="77"/>
              <w:spacing w:line="240" w:lineRule="auto"/>
              <w:ind w:firstLine="420"/>
            </w:pPr>
            <w:r>
              <w:rPr>
                <w:rFonts w:ascii="黑体" w:hAnsi="黑体" w:eastAsia="黑体"/>
                <w:sz w:val="21"/>
              </w:rPr>
              <w:t xml:space="preserve">表4-11                 </w:t>
            </w:r>
            <w:r>
              <w:rPr>
                <w:rFonts w:hint="eastAsia" w:ascii="黑体" w:hAnsi="黑体" w:eastAsia="黑体"/>
                <w:sz w:val="21"/>
              </w:rPr>
              <w:t>项目废水排放口设置情况情况一览表</w:t>
            </w:r>
          </w:p>
          <w:tbl>
            <w:tblPr>
              <w:tblStyle w:val="47"/>
              <w:tblW w:w="8938"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2"/>
              <w:gridCol w:w="482"/>
              <w:gridCol w:w="763"/>
              <w:gridCol w:w="1200"/>
              <w:gridCol w:w="627"/>
              <w:gridCol w:w="511"/>
              <w:gridCol w:w="675"/>
              <w:gridCol w:w="784"/>
              <w:gridCol w:w="777"/>
              <w:gridCol w:w="468"/>
              <w:gridCol w:w="664"/>
              <w:gridCol w:w="482"/>
              <w:gridCol w:w="62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882" w:type="dxa"/>
                  <w:vMerge w:val="restart"/>
                  <w:tcBorders>
                    <w:top w:val="single" w:color="auto" w:sz="12" w:space="0"/>
                  </w:tcBorders>
                  <w:vAlign w:val="center"/>
                </w:tcPr>
                <w:p>
                  <w:pPr>
                    <w:pStyle w:val="77"/>
                    <w:spacing w:line="240" w:lineRule="auto"/>
                    <w:ind w:firstLine="0" w:firstLineChars="0"/>
                    <w:jc w:val="center"/>
                    <w:rPr>
                      <w:sz w:val="21"/>
                      <w:szCs w:val="21"/>
                    </w:rPr>
                  </w:pPr>
                  <w:r>
                    <w:rPr>
                      <w:rFonts w:hint="eastAsia"/>
                      <w:sz w:val="21"/>
                      <w:szCs w:val="21"/>
                    </w:rPr>
                    <w:t>编号</w:t>
                  </w:r>
                </w:p>
              </w:tc>
              <w:tc>
                <w:tcPr>
                  <w:tcW w:w="482" w:type="dxa"/>
                  <w:vMerge w:val="restart"/>
                  <w:tcBorders>
                    <w:top w:val="single" w:color="auto" w:sz="12" w:space="0"/>
                  </w:tcBorders>
                  <w:vAlign w:val="center"/>
                </w:tcPr>
                <w:p>
                  <w:pPr>
                    <w:pStyle w:val="77"/>
                    <w:spacing w:line="240" w:lineRule="auto"/>
                    <w:ind w:firstLine="0" w:firstLineChars="0"/>
                    <w:jc w:val="center"/>
                    <w:rPr>
                      <w:sz w:val="21"/>
                      <w:szCs w:val="21"/>
                    </w:rPr>
                  </w:pPr>
                  <w:r>
                    <w:rPr>
                      <w:rFonts w:hint="eastAsia"/>
                      <w:sz w:val="21"/>
                      <w:szCs w:val="21"/>
                    </w:rPr>
                    <w:t>名称</w:t>
                  </w:r>
                </w:p>
              </w:tc>
              <w:tc>
                <w:tcPr>
                  <w:tcW w:w="763" w:type="dxa"/>
                  <w:vMerge w:val="restart"/>
                  <w:tcBorders>
                    <w:top w:val="single" w:color="auto" w:sz="12" w:space="0"/>
                  </w:tcBorders>
                  <w:vAlign w:val="center"/>
                </w:tcPr>
                <w:p>
                  <w:pPr>
                    <w:pStyle w:val="77"/>
                    <w:spacing w:line="240" w:lineRule="auto"/>
                    <w:ind w:firstLine="0" w:firstLineChars="0"/>
                    <w:jc w:val="center"/>
                    <w:rPr>
                      <w:sz w:val="21"/>
                      <w:szCs w:val="21"/>
                    </w:rPr>
                  </w:pPr>
                  <w:r>
                    <w:rPr>
                      <w:rFonts w:hint="eastAsia"/>
                      <w:sz w:val="21"/>
                      <w:szCs w:val="21"/>
                    </w:rPr>
                    <w:t>类别</w:t>
                  </w:r>
                </w:p>
              </w:tc>
              <w:tc>
                <w:tcPr>
                  <w:tcW w:w="1200" w:type="dxa"/>
                  <w:vMerge w:val="restart"/>
                  <w:tcBorders>
                    <w:top w:val="single" w:color="auto" w:sz="12" w:space="0"/>
                  </w:tcBorders>
                  <w:vAlign w:val="center"/>
                </w:tcPr>
                <w:p>
                  <w:pPr>
                    <w:pStyle w:val="77"/>
                    <w:spacing w:line="240" w:lineRule="auto"/>
                    <w:ind w:firstLine="0" w:firstLineChars="0"/>
                    <w:jc w:val="center"/>
                    <w:rPr>
                      <w:sz w:val="21"/>
                      <w:szCs w:val="21"/>
                    </w:rPr>
                  </w:pPr>
                  <w:r>
                    <w:rPr>
                      <w:rFonts w:hint="eastAsia"/>
                      <w:sz w:val="21"/>
                      <w:szCs w:val="21"/>
                    </w:rPr>
                    <w:t>污染物</w:t>
                  </w:r>
                </w:p>
              </w:tc>
              <w:tc>
                <w:tcPr>
                  <w:tcW w:w="1813" w:type="dxa"/>
                  <w:gridSpan w:val="3"/>
                  <w:tcBorders>
                    <w:top w:val="single" w:color="auto" w:sz="12" w:space="0"/>
                  </w:tcBorders>
                  <w:vAlign w:val="center"/>
                </w:tcPr>
                <w:p>
                  <w:pPr>
                    <w:pStyle w:val="77"/>
                    <w:spacing w:line="240" w:lineRule="auto"/>
                    <w:ind w:firstLine="0" w:firstLineChars="0"/>
                    <w:jc w:val="center"/>
                    <w:rPr>
                      <w:sz w:val="21"/>
                      <w:szCs w:val="21"/>
                    </w:rPr>
                  </w:pPr>
                  <w:r>
                    <w:rPr>
                      <w:rFonts w:hint="eastAsia"/>
                      <w:sz w:val="21"/>
                      <w:szCs w:val="21"/>
                    </w:rPr>
                    <w:t>污染防治措施</w:t>
                  </w:r>
                </w:p>
              </w:tc>
              <w:tc>
                <w:tcPr>
                  <w:tcW w:w="1561" w:type="dxa"/>
                  <w:gridSpan w:val="2"/>
                  <w:tcBorders>
                    <w:top w:val="single" w:color="auto" w:sz="12" w:space="0"/>
                  </w:tcBorders>
                  <w:vAlign w:val="center"/>
                </w:tcPr>
                <w:p>
                  <w:pPr>
                    <w:pStyle w:val="77"/>
                    <w:spacing w:line="240" w:lineRule="auto"/>
                    <w:ind w:firstLine="0" w:firstLineChars="0"/>
                    <w:jc w:val="center"/>
                    <w:rPr>
                      <w:sz w:val="21"/>
                      <w:szCs w:val="21"/>
                    </w:rPr>
                  </w:pPr>
                  <w:r>
                    <w:rPr>
                      <w:rFonts w:hint="eastAsia"/>
                      <w:sz w:val="21"/>
                      <w:szCs w:val="21"/>
                    </w:rPr>
                    <w:t>排放口</w:t>
                  </w:r>
                </w:p>
              </w:tc>
              <w:tc>
                <w:tcPr>
                  <w:tcW w:w="468" w:type="dxa"/>
                  <w:vMerge w:val="restart"/>
                  <w:tcBorders>
                    <w:top w:val="single" w:color="auto" w:sz="12" w:space="0"/>
                  </w:tcBorders>
                  <w:vAlign w:val="center"/>
                </w:tcPr>
                <w:p>
                  <w:pPr>
                    <w:pStyle w:val="77"/>
                    <w:spacing w:line="240" w:lineRule="auto"/>
                    <w:ind w:firstLine="0" w:firstLineChars="0"/>
                    <w:jc w:val="center"/>
                    <w:rPr>
                      <w:sz w:val="21"/>
                      <w:szCs w:val="21"/>
                    </w:rPr>
                  </w:pPr>
                  <w:r>
                    <w:rPr>
                      <w:rFonts w:hint="eastAsia"/>
                      <w:sz w:val="21"/>
                      <w:szCs w:val="21"/>
                    </w:rPr>
                    <w:t>排放方式</w:t>
                  </w:r>
                </w:p>
              </w:tc>
              <w:tc>
                <w:tcPr>
                  <w:tcW w:w="664" w:type="dxa"/>
                  <w:vMerge w:val="restart"/>
                  <w:tcBorders>
                    <w:top w:val="single" w:color="auto" w:sz="12" w:space="0"/>
                  </w:tcBorders>
                  <w:vAlign w:val="center"/>
                </w:tcPr>
                <w:p>
                  <w:pPr>
                    <w:pStyle w:val="77"/>
                    <w:spacing w:line="240" w:lineRule="auto"/>
                    <w:ind w:firstLine="0" w:firstLineChars="0"/>
                    <w:jc w:val="center"/>
                    <w:rPr>
                      <w:sz w:val="21"/>
                      <w:szCs w:val="21"/>
                    </w:rPr>
                  </w:pPr>
                  <w:r>
                    <w:rPr>
                      <w:rFonts w:hint="eastAsia"/>
                      <w:sz w:val="21"/>
                      <w:szCs w:val="21"/>
                    </w:rPr>
                    <w:t>排放规律</w:t>
                  </w:r>
                </w:p>
              </w:tc>
              <w:tc>
                <w:tcPr>
                  <w:tcW w:w="482" w:type="dxa"/>
                  <w:vMerge w:val="restart"/>
                  <w:tcBorders>
                    <w:top w:val="single" w:color="auto" w:sz="12" w:space="0"/>
                  </w:tcBorders>
                  <w:vAlign w:val="center"/>
                </w:tcPr>
                <w:p>
                  <w:pPr>
                    <w:pStyle w:val="77"/>
                    <w:spacing w:line="240" w:lineRule="auto"/>
                    <w:ind w:firstLine="0" w:firstLineChars="0"/>
                    <w:jc w:val="center"/>
                    <w:rPr>
                      <w:sz w:val="21"/>
                      <w:szCs w:val="21"/>
                    </w:rPr>
                  </w:pPr>
                  <w:r>
                    <w:rPr>
                      <w:rFonts w:hint="eastAsia"/>
                      <w:sz w:val="21"/>
                      <w:szCs w:val="21"/>
                    </w:rPr>
                    <w:t>排放口类型</w:t>
                  </w:r>
                </w:p>
              </w:tc>
              <w:tc>
                <w:tcPr>
                  <w:tcW w:w="623" w:type="dxa"/>
                  <w:vMerge w:val="restart"/>
                  <w:tcBorders>
                    <w:top w:val="single" w:color="auto" w:sz="12" w:space="0"/>
                  </w:tcBorders>
                  <w:vAlign w:val="center"/>
                </w:tcPr>
                <w:p>
                  <w:pPr>
                    <w:pStyle w:val="77"/>
                    <w:spacing w:line="240" w:lineRule="auto"/>
                    <w:ind w:firstLine="0" w:firstLineChars="0"/>
                    <w:jc w:val="center"/>
                    <w:rPr>
                      <w:sz w:val="21"/>
                      <w:szCs w:val="21"/>
                    </w:rPr>
                  </w:pPr>
                  <w:r>
                    <w:rPr>
                      <w:rFonts w:hint="eastAsia"/>
                      <w:sz w:val="21"/>
                      <w:szCs w:val="21"/>
                    </w:rPr>
                    <w:t>排放去向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882" w:type="dxa"/>
                  <w:vMerge w:val="continue"/>
                  <w:vAlign w:val="center"/>
                </w:tcPr>
                <w:p>
                  <w:pPr>
                    <w:pStyle w:val="77"/>
                    <w:spacing w:line="240" w:lineRule="auto"/>
                    <w:ind w:firstLine="0" w:firstLineChars="0"/>
                    <w:jc w:val="center"/>
                    <w:rPr>
                      <w:sz w:val="21"/>
                      <w:szCs w:val="21"/>
                    </w:rPr>
                  </w:pPr>
                </w:p>
              </w:tc>
              <w:tc>
                <w:tcPr>
                  <w:tcW w:w="482" w:type="dxa"/>
                  <w:vMerge w:val="continue"/>
                  <w:vAlign w:val="center"/>
                </w:tcPr>
                <w:p>
                  <w:pPr>
                    <w:pStyle w:val="77"/>
                    <w:spacing w:line="240" w:lineRule="auto"/>
                    <w:ind w:firstLine="0" w:firstLineChars="0"/>
                    <w:jc w:val="center"/>
                    <w:rPr>
                      <w:sz w:val="21"/>
                      <w:szCs w:val="21"/>
                    </w:rPr>
                  </w:pPr>
                </w:p>
              </w:tc>
              <w:tc>
                <w:tcPr>
                  <w:tcW w:w="763" w:type="dxa"/>
                  <w:vMerge w:val="continue"/>
                  <w:vAlign w:val="center"/>
                </w:tcPr>
                <w:p>
                  <w:pPr>
                    <w:pStyle w:val="77"/>
                    <w:spacing w:line="240" w:lineRule="auto"/>
                    <w:ind w:firstLine="0" w:firstLineChars="0"/>
                    <w:jc w:val="center"/>
                    <w:rPr>
                      <w:sz w:val="21"/>
                      <w:szCs w:val="21"/>
                    </w:rPr>
                  </w:pPr>
                </w:p>
              </w:tc>
              <w:tc>
                <w:tcPr>
                  <w:tcW w:w="1200" w:type="dxa"/>
                  <w:vMerge w:val="continue"/>
                  <w:vAlign w:val="center"/>
                </w:tcPr>
                <w:p>
                  <w:pPr>
                    <w:pStyle w:val="77"/>
                    <w:spacing w:line="240" w:lineRule="auto"/>
                    <w:ind w:firstLine="0" w:firstLineChars="0"/>
                    <w:jc w:val="center"/>
                    <w:rPr>
                      <w:sz w:val="21"/>
                      <w:szCs w:val="21"/>
                    </w:rPr>
                  </w:pPr>
                </w:p>
              </w:tc>
              <w:tc>
                <w:tcPr>
                  <w:tcW w:w="627" w:type="dxa"/>
                  <w:vAlign w:val="center"/>
                </w:tcPr>
                <w:p>
                  <w:pPr>
                    <w:pStyle w:val="77"/>
                    <w:spacing w:line="240" w:lineRule="auto"/>
                    <w:ind w:firstLine="0" w:firstLineChars="0"/>
                    <w:jc w:val="center"/>
                    <w:rPr>
                      <w:sz w:val="21"/>
                      <w:szCs w:val="21"/>
                    </w:rPr>
                  </w:pPr>
                  <w:r>
                    <w:rPr>
                      <w:rFonts w:hint="eastAsia"/>
                      <w:sz w:val="21"/>
                      <w:szCs w:val="21"/>
                    </w:rPr>
                    <w:t>工艺</w:t>
                  </w:r>
                </w:p>
              </w:tc>
              <w:tc>
                <w:tcPr>
                  <w:tcW w:w="511" w:type="dxa"/>
                  <w:vAlign w:val="center"/>
                </w:tcPr>
                <w:p>
                  <w:pPr>
                    <w:pStyle w:val="77"/>
                    <w:spacing w:line="240" w:lineRule="auto"/>
                    <w:ind w:firstLine="0" w:firstLineChars="0"/>
                    <w:jc w:val="center"/>
                    <w:rPr>
                      <w:sz w:val="21"/>
                      <w:szCs w:val="21"/>
                    </w:rPr>
                  </w:pPr>
                  <w:r>
                    <w:rPr>
                      <w:rFonts w:hint="eastAsia"/>
                      <w:sz w:val="21"/>
                      <w:szCs w:val="21"/>
                    </w:rPr>
                    <w:t>是否为可行技术</w:t>
                  </w:r>
                </w:p>
              </w:tc>
              <w:tc>
                <w:tcPr>
                  <w:tcW w:w="675" w:type="dxa"/>
                  <w:vAlign w:val="center"/>
                </w:tcPr>
                <w:p>
                  <w:pPr>
                    <w:pStyle w:val="77"/>
                    <w:spacing w:line="240" w:lineRule="auto"/>
                    <w:ind w:firstLine="0" w:firstLineChars="0"/>
                    <w:jc w:val="center"/>
                    <w:rPr>
                      <w:sz w:val="21"/>
                      <w:szCs w:val="21"/>
                    </w:rPr>
                  </w:pPr>
                  <w:r>
                    <w:rPr>
                      <w:rFonts w:hint="eastAsia"/>
                      <w:sz w:val="21"/>
                      <w:szCs w:val="21"/>
                    </w:rPr>
                    <w:t>处理能力</w:t>
                  </w:r>
                </w:p>
              </w:tc>
              <w:tc>
                <w:tcPr>
                  <w:tcW w:w="784" w:type="dxa"/>
                  <w:vAlign w:val="center"/>
                </w:tcPr>
                <w:p>
                  <w:pPr>
                    <w:pStyle w:val="77"/>
                    <w:spacing w:line="240" w:lineRule="auto"/>
                    <w:ind w:firstLine="0" w:firstLineChars="0"/>
                    <w:jc w:val="center"/>
                    <w:rPr>
                      <w:sz w:val="21"/>
                      <w:szCs w:val="21"/>
                    </w:rPr>
                  </w:pPr>
                  <w:r>
                    <w:rPr>
                      <w:rFonts w:hint="eastAsia"/>
                      <w:sz w:val="21"/>
                      <w:szCs w:val="21"/>
                    </w:rPr>
                    <w:t>经度</w:t>
                  </w:r>
                </w:p>
              </w:tc>
              <w:tc>
                <w:tcPr>
                  <w:tcW w:w="777" w:type="dxa"/>
                  <w:vAlign w:val="center"/>
                </w:tcPr>
                <w:p>
                  <w:pPr>
                    <w:pStyle w:val="77"/>
                    <w:spacing w:line="240" w:lineRule="auto"/>
                    <w:ind w:firstLine="0" w:firstLineChars="0"/>
                    <w:jc w:val="center"/>
                    <w:rPr>
                      <w:sz w:val="21"/>
                      <w:szCs w:val="21"/>
                    </w:rPr>
                  </w:pPr>
                  <w:r>
                    <w:rPr>
                      <w:rFonts w:hint="eastAsia"/>
                      <w:sz w:val="21"/>
                      <w:szCs w:val="21"/>
                    </w:rPr>
                    <w:t>纬度</w:t>
                  </w:r>
                </w:p>
              </w:tc>
              <w:tc>
                <w:tcPr>
                  <w:tcW w:w="468" w:type="dxa"/>
                  <w:vMerge w:val="continue"/>
                  <w:vAlign w:val="center"/>
                </w:tcPr>
                <w:p>
                  <w:pPr>
                    <w:pStyle w:val="77"/>
                    <w:spacing w:line="240" w:lineRule="auto"/>
                    <w:ind w:firstLine="0" w:firstLineChars="0"/>
                    <w:jc w:val="center"/>
                    <w:rPr>
                      <w:sz w:val="21"/>
                      <w:szCs w:val="21"/>
                    </w:rPr>
                  </w:pPr>
                </w:p>
              </w:tc>
              <w:tc>
                <w:tcPr>
                  <w:tcW w:w="664" w:type="dxa"/>
                  <w:vMerge w:val="continue"/>
                  <w:vAlign w:val="center"/>
                </w:tcPr>
                <w:p>
                  <w:pPr>
                    <w:pStyle w:val="77"/>
                    <w:spacing w:line="240" w:lineRule="auto"/>
                    <w:ind w:firstLine="0" w:firstLineChars="0"/>
                    <w:jc w:val="center"/>
                    <w:rPr>
                      <w:sz w:val="21"/>
                      <w:szCs w:val="21"/>
                    </w:rPr>
                  </w:pPr>
                </w:p>
              </w:tc>
              <w:tc>
                <w:tcPr>
                  <w:tcW w:w="482" w:type="dxa"/>
                  <w:vMerge w:val="continue"/>
                  <w:vAlign w:val="center"/>
                </w:tcPr>
                <w:p>
                  <w:pPr>
                    <w:pStyle w:val="77"/>
                    <w:spacing w:line="240" w:lineRule="auto"/>
                    <w:ind w:firstLine="0" w:firstLineChars="0"/>
                    <w:jc w:val="center"/>
                    <w:rPr>
                      <w:sz w:val="21"/>
                      <w:szCs w:val="21"/>
                    </w:rPr>
                  </w:pPr>
                </w:p>
              </w:tc>
              <w:tc>
                <w:tcPr>
                  <w:tcW w:w="623" w:type="dxa"/>
                  <w:vMerge w:val="continue"/>
                  <w:vAlign w:val="center"/>
                </w:tcPr>
                <w:p>
                  <w:pPr>
                    <w:pStyle w:val="77"/>
                    <w:spacing w:line="240" w:lineRule="auto"/>
                    <w:ind w:firstLine="0" w:firstLineChars="0"/>
                    <w:jc w:val="center"/>
                    <w:rPr>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PrEx>
              <w:tc>
                <w:tcPr>
                  <w:tcW w:w="882"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D</w:t>
                  </w:r>
                  <w:r>
                    <w:rPr>
                      <w:sz w:val="21"/>
                      <w:szCs w:val="21"/>
                    </w:rPr>
                    <w:t>W001</w:t>
                  </w:r>
                </w:p>
              </w:tc>
              <w:tc>
                <w:tcPr>
                  <w:tcW w:w="482"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污水总排口</w:t>
                  </w:r>
                </w:p>
              </w:tc>
              <w:tc>
                <w:tcPr>
                  <w:tcW w:w="763"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生活污水、设备清洗废水</w:t>
                  </w:r>
                </w:p>
              </w:tc>
              <w:tc>
                <w:tcPr>
                  <w:tcW w:w="1200"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C</w:t>
                  </w:r>
                  <w:r>
                    <w:rPr>
                      <w:sz w:val="21"/>
                      <w:szCs w:val="21"/>
                    </w:rPr>
                    <w:t>OD、</w:t>
                  </w:r>
                  <w:r>
                    <w:rPr>
                      <w:rFonts w:hint="eastAsia"/>
                      <w:sz w:val="21"/>
                      <w:szCs w:val="21"/>
                    </w:rPr>
                    <w:t>B</w:t>
                  </w:r>
                  <w:r>
                    <w:rPr>
                      <w:sz w:val="21"/>
                      <w:szCs w:val="21"/>
                    </w:rPr>
                    <w:t>OD</w:t>
                  </w:r>
                  <w:r>
                    <w:rPr>
                      <w:sz w:val="21"/>
                      <w:szCs w:val="21"/>
                      <w:vertAlign w:val="subscript"/>
                    </w:rPr>
                    <w:t>5</w:t>
                  </w:r>
                  <w:r>
                    <w:rPr>
                      <w:sz w:val="21"/>
                      <w:szCs w:val="21"/>
                    </w:rPr>
                    <w:t>、pH</w:t>
                  </w:r>
                  <w:r>
                    <w:rPr>
                      <w:rFonts w:hint="eastAsia"/>
                      <w:sz w:val="21"/>
                      <w:szCs w:val="21"/>
                    </w:rPr>
                    <w:t>、S</w:t>
                  </w:r>
                  <w:r>
                    <w:rPr>
                      <w:sz w:val="21"/>
                      <w:szCs w:val="21"/>
                    </w:rPr>
                    <w:t>S</w:t>
                  </w:r>
                  <w:r>
                    <w:rPr>
                      <w:rFonts w:hint="eastAsia"/>
                      <w:sz w:val="21"/>
                      <w:szCs w:val="21"/>
                    </w:rPr>
                    <w:t>、氨氮、磷酸盐、动植物油</w:t>
                  </w:r>
                </w:p>
              </w:tc>
              <w:tc>
                <w:tcPr>
                  <w:tcW w:w="627"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A/0工艺+溶气气浮</w:t>
                  </w:r>
                </w:p>
              </w:tc>
              <w:tc>
                <w:tcPr>
                  <w:tcW w:w="511"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是</w:t>
                  </w:r>
                </w:p>
              </w:tc>
              <w:tc>
                <w:tcPr>
                  <w:tcW w:w="675"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1</w:t>
                  </w:r>
                  <w:r>
                    <w:rPr>
                      <w:sz w:val="21"/>
                      <w:szCs w:val="21"/>
                    </w:rPr>
                    <w:t>0</w:t>
                  </w:r>
                  <w:r>
                    <w:rPr>
                      <w:rFonts w:hint="eastAsia"/>
                      <w:sz w:val="21"/>
                      <w:szCs w:val="21"/>
                    </w:rPr>
                    <w:t>t/h</w:t>
                  </w:r>
                </w:p>
              </w:tc>
              <w:tc>
                <w:tcPr>
                  <w:tcW w:w="784" w:type="dxa"/>
                  <w:tcBorders>
                    <w:bottom w:val="single" w:color="auto" w:sz="12" w:space="0"/>
                  </w:tcBorders>
                  <w:vAlign w:val="center"/>
                </w:tcPr>
                <w:p>
                  <w:pPr>
                    <w:pStyle w:val="77"/>
                    <w:spacing w:line="240" w:lineRule="auto"/>
                    <w:ind w:firstLine="0" w:firstLineChars="0"/>
                    <w:jc w:val="center"/>
                    <w:rPr>
                      <w:sz w:val="21"/>
                      <w:szCs w:val="21"/>
                    </w:rPr>
                  </w:pPr>
                  <w:r>
                    <w:rPr>
                      <w:sz w:val="21"/>
                      <w:szCs w:val="21"/>
                    </w:rPr>
                    <w:t>86度 51分 40.14秒</w:t>
                  </w:r>
                </w:p>
              </w:tc>
              <w:tc>
                <w:tcPr>
                  <w:tcW w:w="777" w:type="dxa"/>
                  <w:tcBorders>
                    <w:bottom w:val="single" w:color="auto" w:sz="12" w:space="0"/>
                  </w:tcBorders>
                  <w:vAlign w:val="center"/>
                </w:tcPr>
                <w:p>
                  <w:pPr>
                    <w:pStyle w:val="77"/>
                    <w:spacing w:line="240" w:lineRule="auto"/>
                    <w:ind w:firstLine="0" w:firstLineChars="0"/>
                    <w:jc w:val="center"/>
                    <w:rPr>
                      <w:sz w:val="21"/>
                      <w:szCs w:val="21"/>
                    </w:rPr>
                  </w:pPr>
                  <w:r>
                    <w:rPr>
                      <w:sz w:val="21"/>
                      <w:szCs w:val="21"/>
                    </w:rPr>
                    <w:t>44度 9分 27.94秒</w:t>
                  </w:r>
                </w:p>
              </w:tc>
              <w:tc>
                <w:tcPr>
                  <w:tcW w:w="468"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间接排放</w:t>
                  </w:r>
                </w:p>
              </w:tc>
              <w:tc>
                <w:tcPr>
                  <w:tcW w:w="664"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连续排</w:t>
                  </w:r>
                </w:p>
                <w:p>
                  <w:pPr>
                    <w:pStyle w:val="77"/>
                    <w:spacing w:line="240" w:lineRule="auto"/>
                    <w:ind w:firstLine="0" w:firstLineChars="0"/>
                    <w:jc w:val="center"/>
                    <w:rPr>
                      <w:sz w:val="21"/>
                      <w:szCs w:val="21"/>
                    </w:rPr>
                  </w:pPr>
                  <w:r>
                    <w:rPr>
                      <w:rFonts w:hint="eastAsia"/>
                      <w:sz w:val="21"/>
                      <w:szCs w:val="21"/>
                    </w:rPr>
                    <w:t>放，流</w:t>
                  </w:r>
                </w:p>
                <w:p>
                  <w:pPr>
                    <w:pStyle w:val="77"/>
                    <w:spacing w:line="240" w:lineRule="auto"/>
                    <w:ind w:firstLine="0" w:firstLineChars="0"/>
                    <w:jc w:val="center"/>
                    <w:rPr>
                      <w:sz w:val="21"/>
                      <w:szCs w:val="21"/>
                    </w:rPr>
                  </w:pPr>
                  <w:r>
                    <w:rPr>
                      <w:rFonts w:hint="eastAsia"/>
                      <w:sz w:val="21"/>
                      <w:szCs w:val="21"/>
                    </w:rPr>
                    <w:t>量稳</w:t>
                  </w:r>
                </w:p>
                <w:p>
                  <w:pPr>
                    <w:pStyle w:val="77"/>
                    <w:spacing w:line="240" w:lineRule="auto"/>
                    <w:ind w:firstLine="0" w:firstLineChars="0"/>
                    <w:jc w:val="center"/>
                    <w:rPr>
                      <w:sz w:val="21"/>
                      <w:szCs w:val="21"/>
                    </w:rPr>
                  </w:pPr>
                  <w:r>
                    <w:rPr>
                      <w:rFonts w:hint="eastAsia"/>
                      <w:sz w:val="21"/>
                      <w:szCs w:val="21"/>
                    </w:rPr>
                    <w:t>定</w:t>
                  </w:r>
                </w:p>
                <w:p>
                  <w:pPr>
                    <w:pStyle w:val="77"/>
                    <w:spacing w:line="240" w:lineRule="auto"/>
                    <w:ind w:firstLine="0" w:firstLineChars="0"/>
                    <w:jc w:val="center"/>
                    <w:rPr>
                      <w:sz w:val="21"/>
                      <w:szCs w:val="21"/>
                    </w:rPr>
                  </w:pPr>
                </w:p>
              </w:tc>
              <w:tc>
                <w:tcPr>
                  <w:tcW w:w="482"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一般排放口</w:t>
                  </w:r>
                </w:p>
              </w:tc>
              <w:tc>
                <w:tcPr>
                  <w:tcW w:w="623" w:type="dxa"/>
                  <w:tcBorders>
                    <w:bottom w:val="single" w:color="auto" w:sz="12" w:space="0"/>
                  </w:tcBorders>
                  <w:vAlign w:val="center"/>
                </w:tcPr>
                <w:p>
                  <w:pPr>
                    <w:pStyle w:val="77"/>
                    <w:spacing w:line="240" w:lineRule="auto"/>
                    <w:ind w:firstLine="0" w:firstLineChars="0"/>
                    <w:jc w:val="center"/>
                    <w:rPr>
                      <w:sz w:val="21"/>
                      <w:szCs w:val="21"/>
                    </w:rPr>
                  </w:pPr>
                  <w:r>
                    <w:rPr>
                      <w:rFonts w:hint="eastAsia"/>
                      <w:sz w:val="21"/>
                      <w:szCs w:val="21"/>
                    </w:rPr>
                    <w:t>最终排入呼图壁县丰泉污水处理厂</w:t>
                  </w:r>
                </w:p>
              </w:tc>
            </w:tr>
          </w:tbl>
          <w:p>
            <w:pPr>
              <w:pStyle w:val="77"/>
              <w:ind w:firstLine="480"/>
            </w:pPr>
            <w:r>
              <w:t>4</w:t>
            </w:r>
            <w:r>
              <w:rPr>
                <w:rFonts w:hint="eastAsia"/>
              </w:rPr>
              <w:t>、自行监测</w:t>
            </w:r>
          </w:p>
          <w:p>
            <w:pPr>
              <w:pStyle w:val="77"/>
              <w:ind w:firstLine="480"/>
            </w:pPr>
            <w:r>
              <w:rPr>
                <w:rFonts w:hint="eastAsia"/>
                <w:szCs w:val="32"/>
              </w:rPr>
              <w:t>本次评价</w:t>
            </w:r>
            <w:r>
              <w:rPr>
                <w:szCs w:val="32"/>
              </w:rPr>
              <w:t>根据</w:t>
            </w:r>
            <w:r>
              <w:rPr>
                <w:rFonts w:hint="eastAsia"/>
                <w:szCs w:val="32"/>
              </w:rPr>
              <w:t xml:space="preserve">《排污许可证申请与核发技术规范 </w:t>
            </w:r>
            <w:r>
              <w:rPr>
                <w:szCs w:val="32"/>
              </w:rPr>
              <w:t>食品制造工业—</w:t>
            </w:r>
            <w:r>
              <w:rPr>
                <w:rFonts w:hint="eastAsia"/>
                <w:szCs w:val="32"/>
              </w:rPr>
              <w:t>乳制品制造工业》（H</w:t>
            </w:r>
            <w:r>
              <w:rPr>
                <w:szCs w:val="32"/>
              </w:rPr>
              <w:t>J 1030.1-2019</w:t>
            </w:r>
            <w:r>
              <w:rPr>
                <w:rFonts w:hint="eastAsia"/>
                <w:szCs w:val="32"/>
              </w:rPr>
              <w:t>），制定废水监测计划，</w:t>
            </w:r>
            <w:r>
              <w:rPr>
                <w:rFonts w:hint="eastAsia" w:ascii="宋体" w:hAnsi="宋体"/>
                <w:szCs w:val="32"/>
              </w:rPr>
              <w:t>建设单位可委托有资质的环境监测机构进行监测。企业应建立健全污染源监控和环境监测技术档案，并接受当地环境保护主管部门的业务指导、监督和检查。</w:t>
            </w:r>
            <w:r>
              <w:rPr>
                <w:rFonts w:hint="eastAsia"/>
                <w:szCs w:val="32"/>
              </w:rPr>
              <w:t>建设单位为简化管理，则</w:t>
            </w:r>
            <w:r>
              <w:rPr>
                <w:rFonts w:hint="eastAsia"/>
              </w:rPr>
              <w:t>本项目废水监测计划如下。</w:t>
            </w:r>
          </w:p>
          <w:p>
            <w:pPr>
              <w:pStyle w:val="118"/>
              <w:spacing w:line="240" w:lineRule="auto"/>
              <w:ind w:firstLine="420"/>
              <w:jc w:val="both"/>
              <w:rPr>
                <w:rFonts w:ascii="黑体" w:hAnsi="黑体" w:eastAsia="黑体"/>
                <w:b w:val="0"/>
                <w:sz w:val="21"/>
              </w:rPr>
            </w:pPr>
            <w:r>
              <w:rPr>
                <w:rFonts w:hint="eastAsia" w:ascii="黑体" w:hAnsi="黑体" w:eastAsia="黑体"/>
                <w:b w:val="0"/>
                <w:sz w:val="21"/>
              </w:rPr>
              <w:t>表</w:t>
            </w:r>
            <w:r>
              <w:rPr>
                <w:rFonts w:ascii="黑体" w:hAnsi="黑体" w:eastAsia="黑体"/>
                <w:b w:val="0"/>
                <w:sz w:val="21"/>
              </w:rPr>
              <w:t>4-12</w:t>
            </w:r>
            <w:r>
              <w:rPr>
                <w:rFonts w:hint="eastAsia" w:ascii="黑体" w:hAnsi="黑体" w:eastAsia="黑体"/>
                <w:b w:val="0"/>
                <w:sz w:val="21"/>
              </w:rPr>
              <w:t xml:space="preserve">  </w:t>
            </w:r>
            <w:r>
              <w:rPr>
                <w:rFonts w:ascii="黑体" w:hAnsi="黑体" w:eastAsia="黑体"/>
                <w:b w:val="0"/>
                <w:sz w:val="21"/>
              </w:rPr>
              <w:t xml:space="preserve">                </w:t>
            </w:r>
            <w:r>
              <w:rPr>
                <w:rFonts w:hint="eastAsia" w:ascii="黑体" w:hAnsi="黑体" w:eastAsia="黑体"/>
                <w:b w:val="0"/>
                <w:sz w:val="21"/>
              </w:rPr>
              <w:t xml:space="preserve">项目废水监测计划一览表 </w:t>
            </w:r>
            <w:r>
              <w:rPr>
                <w:rFonts w:ascii="黑体" w:hAnsi="黑体" w:eastAsia="黑体"/>
                <w:b w:val="0"/>
                <w:sz w:val="21"/>
              </w:rPr>
              <w:t xml:space="preserve">            单位：mg/L</w:t>
            </w:r>
          </w:p>
          <w:tbl>
            <w:tblPr>
              <w:tblStyle w:val="46"/>
              <w:tblW w:w="893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698"/>
              <w:gridCol w:w="3239"/>
              <w:gridCol w:w="1598"/>
              <w:gridCol w:w="11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272" w:hRule="atLeast"/>
              </w:trPr>
              <w:tc>
                <w:tcPr>
                  <w:tcW w:w="1225" w:type="dxa"/>
                  <w:vAlign w:val="center"/>
                </w:tcPr>
                <w:p>
                  <w:pPr>
                    <w:autoSpaceDE w:val="0"/>
                    <w:autoSpaceDN w:val="0"/>
                    <w:adjustRightInd w:val="0"/>
                    <w:jc w:val="center"/>
                    <w:textAlignment w:val="center"/>
                    <w:rPr>
                      <w:bCs/>
                      <w:kern w:val="0"/>
                      <w:szCs w:val="21"/>
                    </w:rPr>
                  </w:pPr>
                  <w:r>
                    <w:rPr>
                      <w:rFonts w:hint="eastAsia"/>
                      <w:bCs/>
                      <w:kern w:val="0"/>
                      <w:szCs w:val="21"/>
                    </w:rPr>
                    <w:t>排放口</w:t>
                  </w:r>
                </w:p>
              </w:tc>
              <w:tc>
                <w:tcPr>
                  <w:tcW w:w="1698" w:type="dxa"/>
                  <w:vAlign w:val="center"/>
                </w:tcPr>
                <w:p>
                  <w:pPr>
                    <w:autoSpaceDE w:val="0"/>
                    <w:autoSpaceDN w:val="0"/>
                    <w:adjustRightInd w:val="0"/>
                    <w:jc w:val="center"/>
                    <w:textAlignment w:val="center"/>
                    <w:rPr>
                      <w:bCs/>
                      <w:kern w:val="0"/>
                      <w:szCs w:val="21"/>
                    </w:rPr>
                  </w:pPr>
                  <w:r>
                    <w:rPr>
                      <w:bCs/>
                      <w:kern w:val="0"/>
                      <w:szCs w:val="21"/>
                    </w:rPr>
                    <w:t>污染物</w:t>
                  </w:r>
                </w:p>
              </w:tc>
              <w:tc>
                <w:tcPr>
                  <w:tcW w:w="3239" w:type="dxa"/>
                  <w:vAlign w:val="center"/>
                </w:tcPr>
                <w:p>
                  <w:pPr>
                    <w:autoSpaceDE w:val="0"/>
                    <w:autoSpaceDN w:val="0"/>
                    <w:adjustRightInd w:val="0"/>
                    <w:jc w:val="center"/>
                    <w:textAlignment w:val="center"/>
                    <w:rPr>
                      <w:bCs/>
                      <w:kern w:val="0"/>
                      <w:szCs w:val="21"/>
                    </w:rPr>
                  </w:pPr>
                  <w:r>
                    <w:rPr>
                      <w:rFonts w:hint="eastAsia"/>
                      <w:bCs/>
                      <w:kern w:val="0"/>
                      <w:szCs w:val="21"/>
                    </w:rPr>
                    <w:t>排放标准</w:t>
                  </w:r>
                </w:p>
              </w:tc>
              <w:tc>
                <w:tcPr>
                  <w:tcW w:w="1598" w:type="dxa"/>
                  <w:vAlign w:val="center"/>
                </w:tcPr>
                <w:p>
                  <w:pPr>
                    <w:autoSpaceDE w:val="0"/>
                    <w:autoSpaceDN w:val="0"/>
                    <w:adjustRightInd w:val="0"/>
                    <w:jc w:val="center"/>
                    <w:textAlignment w:val="center"/>
                    <w:rPr>
                      <w:bCs/>
                      <w:kern w:val="0"/>
                      <w:szCs w:val="21"/>
                    </w:rPr>
                  </w:pPr>
                  <w:r>
                    <w:rPr>
                      <w:rFonts w:hint="eastAsia"/>
                      <w:bCs/>
                      <w:kern w:val="0"/>
                      <w:szCs w:val="21"/>
                    </w:rPr>
                    <w:t>监测频次</w:t>
                  </w:r>
                </w:p>
              </w:tc>
              <w:tc>
                <w:tcPr>
                  <w:tcW w:w="1178" w:type="dxa"/>
                  <w:vAlign w:val="center"/>
                </w:tcPr>
                <w:p>
                  <w:pPr>
                    <w:autoSpaceDE w:val="0"/>
                    <w:autoSpaceDN w:val="0"/>
                    <w:adjustRightInd w:val="0"/>
                    <w:jc w:val="center"/>
                    <w:textAlignment w:val="center"/>
                    <w:rPr>
                      <w:bCs/>
                      <w:kern w:val="0"/>
                      <w:szCs w:val="21"/>
                    </w:rPr>
                  </w:pPr>
                  <w:r>
                    <w:rPr>
                      <w:rFonts w:hint="eastAsia"/>
                      <w:bCs/>
                      <w:kern w:val="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272" w:hRule="atLeast"/>
              </w:trPr>
              <w:tc>
                <w:tcPr>
                  <w:tcW w:w="1225" w:type="dxa"/>
                  <w:vMerge w:val="restart"/>
                  <w:vAlign w:val="center"/>
                </w:tcPr>
                <w:p>
                  <w:pPr>
                    <w:autoSpaceDE w:val="0"/>
                    <w:autoSpaceDN w:val="0"/>
                    <w:adjustRightInd w:val="0"/>
                    <w:jc w:val="center"/>
                    <w:textAlignment w:val="center"/>
                    <w:rPr>
                      <w:bCs/>
                      <w:kern w:val="0"/>
                      <w:szCs w:val="21"/>
                    </w:rPr>
                  </w:pPr>
                  <w:r>
                    <w:rPr>
                      <w:rFonts w:hint="eastAsia"/>
                      <w:bCs/>
                      <w:kern w:val="0"/>
                      <w:szCs w:val="21"/>
                    </w:rPr>
                    <w:t>污水总排口</w:t>
                  </w:r>
                </w:p>
              </w:tc>
              <w:tc>
                <w:tcPr>
                  <w:tcW w:w="1698" w:type="dxa"/>
                  <w:vAlign w:val="center"/>
                </w:tcPr>
                <w:p>
                  <w:pPr>
                    <w:autoSpaceDE w:val="0"/>
                    <w:autoSpaceDN w:val="0"/>
                    <w:adjustRightInd w:val="0"/>
                    <w:jc w:val="center"/>
                    <w:textAlignment w:val="center"/>
                    <w:rPr>
                      <w:bCs/>
                      <w:kern w:val="0"/>
                      <w:szCs w:val="21"/>
                    </w:rPr>
                  </w:pPr>
                  <w:r>
                    <w:rPr>
                      <w:rFonts w:hint="eastAsia"/>
                    </w:rPr>
                    <w:t>p</w:t>
                  </w:r>
                  <w:r>
                    <w:t>H</w:t>
                  </w:r>
                </w:p>
              </w:tc>
              <w:tc>
                <w:tcPr>
                  <w:tcW w:w="3239" w:type="dxa"/>
                  <w:vMerge w:val="restart"/>
                  <w:vAlign w:val="center"/>
                </w:tcPr>
                <w:p>
                  <w:pPr>
                    <w:autoSpaceDE w:val="0"/>
                    <w:autoSpaceDN w:val="0"/>
                    <w:adjustRightInd w:val="0"/>
                    <w:jc w:val="center"/>
                    <w:textAlignment w:val="center"/>
                    <w:rPr>
                      <w:bCs/>
                      <w:kern w:val="0"/>
                      <w:szCs w:val="21"/>
                    </w:rPr>
                  </w:pPr>
                  <w:r>
                    <w:rPr>
                      <w:rFonts w:hint="eastAsia"/>
                      <w:bCs/>
                      <w:kern w:val="0"/>
                      <w:szCs w:val="21"/>
                    </w:rPr>
                    <w:t>《污水综合排放标准》（G</w:t>
                  </w:r>
                  <w:r>
                    <w:rPr>
                      <w:bCs/>
                      <w:kern w:val="0"/>
                      <w:szCs w:val="21"/>
                    </w:rPr>
                    <w:t>B8978-1996</w:t>
                  </w:r>
                  <w:r>
                    <w:rPr>
                      <w:rFonts w:hint="eastAsia"/>
                      <w:bCs/>
                      <w:kern w:val="0"/>
                      <w:szCs w:val="21"/>
                    </w:rPr>
                    <w:t>）中表4三级标准</w:t>
                  </w:r>
                </w:p>
              </w:tc>
              <w:tc>
                <w:tcPr>
                  <w:tcW w:w="1598" w:type="dxa"/>
                  <w:vAlign w:val="center"/>
                </w:tcPr>
                <w:p>
                  <w:pPr>
                    <w:autoSpaceDE w:val="0"/>
                    <w:autoSpaceDN w:val="0"/>
                    <w:adjustRightInd w:val="0"/>
                    <w:jc w:val="center"/>
                    <w:textAlignment w:val="center"/>
                    <w:rPr>
                      <w:bCs/>
                      <w:kern w:val="0"/>
                      <w:szCs w:val="21"/>
                    </w:rPr>
                  </w:pPr>
                  <w:r>
                    <w:rPr>
                      <w:rFonts w:hint="eastAsia"/>
                      <w:bCs/>
                      <w:kern w:val="0"/>
                      <w:szCs w:val="21"/>
                    </w:rPr>
                    <w:t>1次/半年</w:t>
                  </w:r>
                </w:p>
              </w:tc>
              <w:tc>
                <w:tcPr>
                  <w:tcW w:w="1178" w:type="dxa"/>
                  <w:vMerge w:val="restart"/>
                  <w:vAlign w:val="center"/>
                </w:tcPr>
                <w:p>
                  <w:pPr>
                    <w:autoSpaceDE w:val="0"/>
                    <w:autoSpaceDN w:val="0"/>
                    <w:adjustRightInd w:val="0"/>
                    <w:jc w:val="center"/>
                    <w:textAlignment w:val="center"/>
                    <w:rPr>
                      <w:bCs/>
                      <w:kern w:val="0"/>
                      <w:szCs w:val="21"/>
                    </w:rPr>
                  </w:pPr>
                  <w:r>
                    <w:rPr>
                      <w:rFonts w:hint="eastAsia"/>
                      <w:bCs/>
                      <w:kern w:val="0"/>
                      <w:szCs w:val="21"/>
                    </w:rPr>
                    <w:t>企业自行委托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225" w:type="dxa"/>
                  <w:vMerge w:val="continue"/>
                  <w:vAlign w:val="center"/>
                </w:tcPr>
                <w:p>
                  <w:pPr>
                    <w:autoSpaceDE w:val="0"/>
                    <w:autoSpaceDN w:val="0"/>
                    <w:adjustRightInd w:val="0"/>
                    <w:jc w:val="center"/>
                    <w:textAlignment w:val="center"/>
                    <w:rPr>
                      <w:bCs/>
                      <w:kern w:val="0"/>
                      <w:szCs w:val="21"/>
                    </w:rPr>
                  </w:pPr>
                </w:p>
              </w:tc>
              <w:tc>
                <w:tcPr>
                  <w:tcW w:w="1698" w:type="dxa"/>
                  <w:vAlign w:val="center"/>
                </w:tcPr>
                <w:p>
                  <w:pPr>
                    <w:autoSpaceDE w:val="0"/>
                    <w:autoSpaceDN w:val="0"/>
                    <w:adjustRightInd w:val="0"/>
                    <w:jc w:val="center"/>
                    <w:textAlignment w:val="center"/>
                    <w:rPr>
                      <w:bCs/>
                      <w:kern w:val="0"/>
                      <w:szCs w:val="21"/>
                    </w:rPr>
                  </w:pPr>
                  <w:r>
                    <w:rPr>
                      <w:rFonts w:hint="eastAsia"/>
                    </w:rPr>
                    <w:t>C</w:t>
                  </w:r>
                  <w:r>
                    <w:t>OD</w:t>
                  </w:r>
                </w:p>
              </w:tc>
              <w:tc>
                <w:tcPr>
                  <w:tcW w:w="3239" w:type="dxa"/>
                  <w:vMerge w:val="continue"/>
                  <w:vAlign w:val="center"/>
                </w:tcPr>
                <w:p>
                  <w:pPr>
                    <w:autoSpaceDE w:val="0"/>
                    <w:autoSpaceDN w:val="0"/>
                    <w:adjustRightInd w:val="0"/>
                    <w:jc w:val="center"/>
                    <w:textAlignment w:val="center"/>
                    <w:rPr>
                      <w:bCs/>
                      <w:kern w:val="0"/>
                      <w:szCs w:val="21"/>
                    </w:rPr>
                  </w:pPr>
                </w:p>
              </w:tc>
              <w:tc>
                <w:tcPr>
                  <w:tcW w:w="1598" w:type="dxa"/>
                  <w:vAlign w:val="center"/>
                </w:tcPr>
                <w:p>
                  <w:pPr>
                    <w:autoSpaceDE w:val="0"/>
                    <w:autoSpaceDN w:val="0"/>
                    <w:adjustRightInd w:val="0"/>
                    <w:jc w:val="center"/>
                    <w:textAlignment w:val="center"/>
                    <w:rPr>
                      <w:bCs/>
                      <w:kern w:val="0"/>
                      <w:szCs w:val="21"/>
                    </w:rPr>
                  </w:pPr>
                  <w:r>
                    <w:rPr>
                      <w:rFonts w:hint="eastAsia"/>
                      <w:bCs/>
                      <w:kern w:val="0"/>
                      <w:szCs w:val="21"/>
                    </w:rPr>
                    <w:t>1次/半年</w:t>
                  </w:r>
                </w:p>
              </w:tc>
              <w:tc>
                <w:tcPr>
                  <w:tcW w:w="1178" w:type="dxa"/>
                  <w:vMerge w:val="continue"/>
                  <w:vAlign w:val="center"/>
                </w:tcPr>
                <w:p>
                  <w:pPr>
                    <w:autoSpaceDE w:val="0"/>
                    <w:autoSpaceDN w:val="0"/>
                    <w:adjustRightInd w:val="0"/>
                    <w:jc w:val="center"/>
                    <w:textAlignment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225" w:type="dxa"/>
                  <w:vMerge w:val="continue"/>
                  <w:vAlign w:val="center"/>
                </w:tcPr>
                <w:p>
                  <w:pPr>
                    <w:autoSpaceDE w:val="0"/>
                    <w:autoSpaceDN w:val="0"/>
                    <w:adjustRightInd w:val="0"/>
                    <w:jc w:val="center"/>
                    <w:textAlignment w:val="center"/>
                    <w:rPr>
                      <w:bCs/>
                      <w:kern w:val="0"/>
                      <w:szCs w:val="21"/>
                    </w:rPr>
                  </w:pPr>
                </w:p>
              </w:tc>
              <w:tc>
                <w:tcPr>
                  <w:tcW w:w="1698" w:type="dxa"/>
                  <w:vAlign w:val="center"/>
                </w:tcPr>
                <w:p>
                  <w:pPr>
                    <w:autoSpaceDE w:val="0"/>
                    <w:autoSpaceDN w:val="0"/>
                    <w:adjustRightInd w:val="0"/>
                    <w:jc w:val="center"/>
                    <w:textAlignment w:val="center"/>
                    <w:rPr>
                      <w:bCs/>
                      <w:kern w:val="0"/>
                      <w:szCs w:val="21"/>
                    </w:rPr>
                  </w:pPr>
                  <w:r>
                    <w:rPr>
                      <w:rFonts w:hint="eastAsia"/>
                    </w:rPr>
                    <w:t>B</w:t>
                  </w:r>
                  <w:r>
                    <w:t>OD</w:t>
                  </w:r>
                  <w:r>
                    <w:rPr>
                      <w:vertAlign w:val="subscript"/>
                    </w:rPr>
                    <w:t>5</w:t>
                  </w:r>
                </w:p>
              </w:tc>
              <w:tc>
                <w:tcPr>
                  <w:tcW w:w="3239" w:type="dxa"/>
                  <w:vMerge w:val="continue"/>
                  <w:vAlign w:val="center"/>
                </w:tcPr>
                <w:p>
                  <w:pPr>
                    <w:autoSpaceDE w:val="0"/>
                    <w:autoSpaceDN w:val="0"/>
                    <w:adjustRightInd w:val="0"/>
                    <w:jc w:val="center"/>
                    <w:textAlignment w:val="center"/>
                    <w:rPr>
                      <w:bCs/>
                      <w:kern w:val="0"/>
                      <w:szCs w:val="21"/>
                    </w:rPr>
                  </w:pPr>
                </w:p>
              </w:tc>
              <w:tc>
                <w:tcPr>
                  <w:tcW w:w="1598" w:type="dxa"/>
                  <w:vAlign w:val="center"/>
                </w:tcPr>
                <w:p>
                  <w:pPr>
                    <w:autoSpaceDE w:val="0"/>
                    <w:autoSpaceDN w:val="0"/>
                    <w:adjustRightInd w:val="0"/>
                    <w:jc w:val="center"/>
                    <w:textAlignment w:val="center"/>
                    <w:rPr>
                      <w:bCs/>
                      <w:kern w:val="0"/>
                      <w:szCs w:val="21"/>
                    </w:rPr>
                  </w:pPr>
                  <w:r>
                    <w:rPr>
                      <w:rFonts w:hint="eastAsia"/>
                      <w:bCs/>
                      <w:kern w:val="0"/>
                      <w:szCs w:val="21"/>
                    </w:rPr>
                    <w:t>1次/半年</w:t>
                  </w:r>
                </w:p>
              </w:tc>
              <w:tc>
                <w:tcPr>
                  <w:tcW w:w="1178" w:type="dxa"/>
                  <w:vMerge w:val="continue"/>
                  <w:vAlign w:val="center"/>
                </w:tcPr>
                <w:p>
                  <w:pPr>
                    <w:autoSpaceDE w:val="0"/>
                    <w:autoSpaceDN w:val="0"/>
                    <w:adjustRightInd w:val="0"/>
                    <w:jc w:val="center"/>
                    <w:textAlignment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1225" w:type="dxa"/>
                  <w:vMerge w:val="continue"/>
                  <w:vAlign w:val="center"/>
                </w:tcPr>
                <w:p>
                  <w:pPr>
                    <w:autoSpaceDE w:val="0"/>
                    <w:autoSpaceDN w:val="0"/>
                    <w:adjustRightInd w:val="0"/>
                    <w:jc w:val="center"/>
                    <w:textAlignment w:val="center"/>
                    <w:rPr>
                      <w:bCs/>
                      <w:kern w:val="0"/>
                      <w:szCs w:val="21"/>
                    </w:rPr>
                  </w:pPr>
                </w:p>
              </w:tc>
              <w:tc>
                <w:tcPr>
                  <w:tcW w:w="1698" w:type="dxa"/>
                  <w:vAlign w:val="center"/>
                </w:tcPr>
                <w:p>
                  <w:pPr>
                    <w:autoSpaceDE w:val="0"/>
                    <w:autoSpaceDN w:val="0"/>
                    <w:adjustRightInd w:val="0"/>
                    <w:jc w:val="center"/>
                    <w:textAlignment w:val="center"/>
                    <w:rPr>
                      <w:bCs/>
                      <w:kern w:val="0"/>
                      <w:szCs w:val="21"/>
                    </w:rPr>
                  </w:pPr>
                  <w:r>
                    <w:rPr>
                      <w:rFonts w:hint="eastAsia"/>
                    </w:rPr>
                    <w:t>氨氮</w:t>
                  </w:r>
                </w:p>
              </w:tc>
              <w:tc>
                <w:tcPr>
                  <w:tcW w:w="3239" w:type="dxa"/>
                  <w:vMerge w:val="continue"/>
                  <w:vAlign w:val="center"/>
                </w:tcPr>
                <w:p>
                  <w:pPr>
                    <w:autoSpaceDE w:val="0"/>
                    <w:autoSpaceDN w:val="0"/>
                    <w:adjustRightInd w:val="0"/>
                    <w:jc w:val="center"/>
                    <w:textAlignment w:val="center"/>
                    <w:rPr>
                      <w:bCs/>
                      <w:kern w:val="0"/>
                      <w:szCs w:val="21"/>
                    </w:rPr>
                  </w:pPr>
                </w:p>
              </w:tc>
              <w:tc>
                <w:tcPr>
                  <w:tcW w:w="1598" w:type="dxa"/>
                  <w:vAlign w:val="center"/>
                </w:tcPr>
                <w:p>
                  <w:pPr>
                    <w:autoSpaceDE w:val="0"/>
                    <w:autoSpaceDN w:val="0"/>
                    <w:adjustRightInd w:val="0"/>
                    <w:jc w:val="center"/>
                    <w:textAlignment w:val="center"/>
                    <w:rPr>
                      <w:bCs/>
                      <w:kern w:val="0"/>
                      <w:szCs w:val="21"/>
                    </w:rPr>
                  </w:pPr>
                  <w:r>
                    <w:rPr>
                      <w:rFonts w:hint="eastAsia"/>
                      <w:bCs/>
                      <w:kern w:val="0"/>
                      <w:szCs w:val="21"/>
                    </w:rPr>
                    <w:t>1次/半年</w:t>
                  </w:r>
                </w:p>
              </w:tc>
              <w:tc>
                <w:tcPr>
                  <w:tcW w:w="1178" w:type="dxa"/>
                  <w:vMerge w:val="continue"/>
                  <w:vAlign w:val="center"/>
                </w:tcPr>
                <w:p>
                  <w:pPr>
                    <w:autoSpaceDE w:val="0"/>
                    <w:autoSpaceDN w:val="0"/>
                    <w:adjustRightInd w:val="0"/>
                    <w:jc w:val="center"/>
                    <w:textAlignment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225" w:type="dxa"/>
                  <w:vMerge w:val="continue"/>
                  <w:vAlign w:val="center"/>
                </w:tcPr>
                <w:p>
                  <w:pPr>
                    <w:autoSpaceDE w:val="0"/>
                    <w:autoSpaceDN w:val="0"/>
                    <w:adjustRightInd w:val="0"/>
                    <w:jc w:val="center"/>
                    <w:textAlignment w:val="center"/>
                    <w:rPr>
                      <w:bCs/>
                      <w:kern w:val="0"/>
                      <w:szCs w:val="21"/>
                    </w:rPr>
                  </w:pPr>
                </w:p>
              </w:tc>
              <w:tc>
                <w:tcPr>
                  <w:tcW w:w="1698" w:type="dxa"/>
                  <w:vAlign w:val="center"/>
                </w:tcPr>
                <w:p>
                  <w:pPr>
                    <w:autoSpaceDE w:val="0"/>
                    <w:autoSpaceDN w:val="0"/>
                    <w:adjustRightInd w:val="0"/>
                    <w:jc w:val="center"/>
                    <w:textAlignment w:val="center"/>
                    <w:rPr>
                      <w:bCs/>
                      <w:kern w:val="0"/>
                      <w:szCs w:val="21"/>
                    </w:rPr>
                  </w:pPr>
                  <w:r>
                    <w:rPr>
                      <w:rFonts w:hint="eastAsia"/>
                    </w:rPr>
                    <w:t>悬浮物</w:t>
                  </w:r>
                </w:p>
              </w:tc>
              <w:tc>
                <w:tcPr>
                  <w:tcW w:w="3239" w:type="dxa"/>
                  <w:vMerge w:val="continue"/>
                  <w:vAlign w:val="center"/>
                </w:tcPr>
                <w:p>
                  <w:pPr>
                    <w:autoSpaceDE w:val="0"/>
                    <w:autoSpaceDN w:val="0"/>
                    <w:adjustRightInd w:val="0"/>
                    <w:jc w:val="center"/>
                    <w:textAlignment w:val="center"/>
                    <w:rPr>
                      <w:bCs/>
                      <w:kern w:val="0"/>
                      <w:szCs w:val="21"/>
                    </w:rPr>
                  </w:pPr>
                </w:p>
              </w:tc>
              <w:tc>
                <w:tcPr>
                  <w:tcW w:w="1598" w:type="dxa"/>
                  <w:vAlign w:val="center"/>
                </w:tcPr>
                <w:p>
                  <w:pPr>
                    <w:autoSpaceDE w:val="0"/>
                    <w:autoSpaceDN w:val="0"/>
                    <w:adjustRightInd w:val="0"/>
                    <w:jc w:val="center"/>
                    <w:textAlignment w:val="center"/>
                    <w:rPr>
                      <w:bCs/>
                      <w:kern w:val="0"/>
                      <w:szCs w:val="21"/>
                    </w:rPr>
                  </w:pPr>
                  <w:r>
                    <w:rPr>
                      <w:rFonts w:hint="eastAsia"/>
                      <w:bCs/>
                      <w:kern w:val="0"/>
                      <w:szCs w:val="21"/>
                    </w:rPr>
                    <w:t>1次/半年</w:t>
                  </w:r>
                </w:p>
              </w:tc>
              <w:tc>
                <w:tcPr>
                  <w:tcW w:w="1178" w:type="dxa"/>
                  <w:vMerge w:val="continue"/>
                  <w:vAlign w:val="center"/>
                </w:tcPr>
                <w:p>
                  <w:pPr>
                    <w:autoSpaceDE w:val="0"/>
                    <w:autoSpaceDN w:val="0"/>
                    <w:adjustRightInd w:val="0"/>
                    <w:jc w:val="center"/>
                    <w:textAlignment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225" w:type="dxa"/>
                  <w:vMerge w:val="continue"/>
                  <w:vAlign w:val="center"/>
                </w:tcPr>
                <w:p>
                  <w:pPr>
                    <w:autoSpaceDE w:val="0"/>
                    <w:autoSpaceDN w:val="0"/>
                    <w:adjustRightInd w:val="0"/>
                    <w:jc w:val="center"/>
                    <w:textAlignment w:val="center"/>
                    <w:rPr>
                      <w:bCs/>
                      <w:kern w:val="0"/>
                      <w:szCs w:val="21"/>
                    </w:rPr>
                  </w:pPr>
                </w:p>
              </w:tc>
              <w:tc>
                <w:tcPr>
                  <w:tcW w:w="1698" w:type="dxa"/>
                  <w:vAlign w:val="center"/>
                </w:tcPr>
                <w:p>
                  <w:pPr>
                    <w:autoSpaceDE w:val="0"/>
                    <w:autoSpaceDN w:val="0"/>
                    <w:adjustRightInd w:val="0"/>
                    <w:jc w:val="center"/>
                    <w:textAlignment w:val="center"/>
                  </w:pPr>
                  <w:r>
                    <w:rPr>
                      <w:rFonts w:hint="eastAsia"/>
                    </w:rPr>
                    <w:t>磷酸盐</w:t>
                  </w:r>
                </w:p>
              </w:tc>
              <w:tc>
                <w:tcPr>
                  <w:tcW w:w="3239" w:type="dxa"/>
                  <w:vMerge w:val="continue"/>
                  <w:vAlign w:val="center"/>
                </w:tcPr>
                <w:p>
                  <w:pPr>
                    <w:autoSpaceDE w:val="0"/>
                    <w:autoSpaceDN w:val="0"/>
                    <w:adjustRightInd w:val="0"/>
                    <w:jc w:val="center"/>
                    <w:textAlignment w:val="center"/>
                    <w:rPr>
                      <w:bCs/>
                      <w:kern w:val="0"/>
                      <w:szCs w:val="21"/>
                    </w:rPr>
                  </w:pPr>
                </w:p>
              </w:tc>
              <w:tc>
                <w:tcPr>
                  <w:tcW w:w="1598" w:type="dxa"/>
                  <w:vAlign w:val="center"/>
                </w:tcPr>
                <w:p>
                  <w:pPr>
                    <w:autoSpaceDE w:val="0"/>
                    <w:autoSpaceDN w:val="0"/>
                    <w:adjustRightInd w:val="0"/>
                    <w:jc w:val="center"/>
                    <w:textAlignment w:val="center"/>
                    <w:rPr>
                      <w:bCs/>
                      <w:kern w:val="0"/>
                      <w:szCs w:val="21"/>
                    </w:rPr>
                  </w:pPr>
                  <w:r>
                    <w:rPr>
                      <w:rFonts w:hint="eastAsia"/>
                      <w:bCs/>
                      <w:kern w:val="0"/>
                      <w:szCs w:val="21"/>
                    </w:rPr>
                    <w:t>1次/半年</w:t>
                  </w:r>
                </w:p>
              </w:tc>
              <w:tc>
                <w:tcPr>
                  <w:tcW w:w="1178" w:type="dxa"/>
                  <w:vMerge w:val="continue"/>
                  <w:vAlign w:val="center"/>
                </w:tcPr>
                <w:p>
                  <w:pPr>
                    <w:autoSpaceDE w:val="0"/>
                    <w:autoSpaceDN w:val="0"/>
                    <w:adjustRightInd w:val="0"/>
                    <w:jc w:val="center"/>
                    <w:textAlignment w:val="center"/>
                    <w:rPr>
                      <w:bCs/>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1225" w:type="dxa"/>
                  <w:vMerge w:val="continue"/>
                  <w:vAlign w:val="center"/>
                </w:tcPr>
                <w:p>
                  <w:pPr>
                    <w:autoSpaceDE w:val="0"/>
                    <w:autoSpaceDN w:val="0"/>
                    <w:adjustRightInd w:val="0"/>
                    <w:jc w:val="center"/>
                    <w:textAlignment w:val="center"/>
                    <w:rPr>
                      <w:bCs/>
                      <w:kern w:val="0"/>
                      <w:szCs w:val="21"/>
                    </w:rPr>
                  </w:pPr>
                </w:p>
              </w:tc>
              <w:tc>
                <w:tcPr>
                  <w:tcW w:w="1698" w:type="dxa"/>
                  <w:vAlign w:val="center"/>
                </w:tcPr>
                <w:p>
                  <w:pPr>
                    <w:autoSpaceDE w:val="0"/>
                    <w:autoSpaceDN w:val="0"/>
                    <w:adjustRightInd w:val="0"/>
                    <w:jc w:val="center"/>
                    <w:textAlignment w:val="center"/>
                  </w:pPr>
                  <w:r>
                    <w:rPr>
                      <w:rFonts w:hint="eastAsia"/>
                    </w:rPr>
                    <w:t>动植物油类</w:t>
                  </w:r>
                </w:p>
              </w:tc>
              <w:tc>
                <w:tcPr>
                  <w:tcW w:w="3239" w:type="dxa"/>
                  <w:vMerge w:val="continue"/>
                  <w:vAlign w:val="center"/>
                </w:tcPr>
                <w:p>
                  <w:pPr>
                    <w:autoSpaceDE w:val="0"/>
                    <w:autoSpaceDN w:val="0"/>
                    <w:adjustRightInd w:val="0"/>
                    <w:jc w:val="center"/>
                    <w:textAlignment w:val="center"/>
                    <w:rPr>
                      <w:bCs/>
                      <w:kern w:val="0"/>
                      <w:szCs w:val="21"/>
                    </w:rPr>
                  </w:pPr>
                </w:p>
              </w:tc>
              <w:tc>
                <w:tcPr>
                  <w:tcW w:w="1598" w:type="dxa"/>
                  <w:vAlign w:val="center"/>
                </w:tcPr>
                <w:p>
                  <w:pPr>
                    <w:autoSpaceDE w:val="0"/>
                    <w:autoSpaceDN w:val="0"/>
                    <w:adjustRightInd w:val="0"/>
                    <w:jc w:val="center"/>
                    <w:textAlignment w:val="center"/>
                    <w:rPr>
                      <w:bCs/>
                      <w:kern w:val="0"/>
                      <w:szCs w:val="21"/>
                    </w:rPr>
                  </w:pPr>
                  <w:r>
                    <w:rPr>
                      <w:rFonts w:hint="eastAsia"/>
                      <w:bCs/>
                      <w:kern w:val="0"/>
                      <w:szCs w:val="21"/>
                    </w:rPr>
                    <w:t>1次/半年</w:t>
                  </w:r>
                </w:p>
              </w:tc>
              <w:tc>
                <w:tcPr>
                  <w:tcW w:w="1178" w:type="dxa"/>
                  <w:vMerge w:val="continue"/>
                  <w:vAlign w:val="center"/>
                </w:tcPr>
                <w:p>
                  <w:pPr>
                    <w:autoSpaceDE w:val="0"/>
                    <w:autoSpaceDN w:val="0"/>
                    <w:adjustRightInd w:val="0"/>
                    <w:jc w:val="center"/>
                    <w:textAlignment w:val="center"/>
                    <w:rPr>
                      <w:bCs/>
                      <w:kern w:val="0"/>
                      <w:szCs w:val="21"/>
                    </w:rPr>
                  </w:pPr>
                </w:p>
              </w:tc>
            </w:tr>
          </w:tbl>
          <w:p>
            <w:pPr>
              <w:pStyle w:val="121"/>
              <w:spacing w:line="460" w:lineRule="exact"/>
              <w:ind w:firstLine="482" w:firstLineChars="200"/>
              <w:jc w:val="both"/>
              <w:rPr>
                <w:b/>
                <w:szCs w:val="28"/>
              </w:rPr>
            </w:pPr>
            <w:r>
              <w:rPr>
                <w:b/>
              </w:rPr>
              <w:t>三、噪声</w:t>
            </w:r>
          </w:p>
          <w:p>
            <w:pPr>
              <w:spacing w:line="460" w:lineRule="exact"/>
              <w:ind w:firstLine="480" w:firstLineChars="200"/>
              <w:rPr>
                <w:sz w:val="24"/>
              </w:rPr>
            </w:pPr>
            <w:r>
              <w:rPr>
                <w:sz w:val="24"/>
              </w:rPr>
              <w:t>1、</w:t>
            </w:r>
            <w:r>
              <w:rPr>
                <w:rFonts w:hint="eastAsia"/>
                <w:sz w:val="24"/>
              </w:rPr>
              <w:t>噪声源强及监测结果</w:t>
            </w:r>
          </w:p>
          <w:p>
            <w:pPr>
              <w:spacing w:line="460" w:lineRule="exact"/>
              <w:ind w:firstLine="480" w:firstLineChars="200"/>
              <w:rPr>
                <w:sz w:val="24"/>
              </w:rPr>
            </w:pPr>
            <w:r>
              <w:rPr>
                <w:sz w:val="24"/>
              </w:rPr>
              <w:t>本项目产生的主要噪声源为</w:t>
            </w:r>
            <w:r>
              <w:rPr>
                <w:rFonts w:hint="eastAsia"/>
                <w:sz w:val="24"/>
              </w:rPr>
              <w:t>水泵及风机</w:t>
            </w:r>
            <w:r>
              <w:rPr>
                <w:sz w:val="24"/>
              </w:rPr>
              <w:t>运转时产生的机械噪声，噪声值约为90~100dB（A）。</w:t>
            </w:r>
          </w:p>
          <w:p>
            <w:pPr>
              <w:pStyle w:val="2"/>
              <w:keepNext w:val="0"/>
              <w:keepLines w:val="0"/>
              <w:widowControl w:val="0"/>
              <w:spacing w:line="240" w:lineRule="auto"/>
              <w:ind w:firstLine="420"/>
              <w:rPr>
                <w:color w:val="auto"/>
              </w:rPr>
            </w:pPr>
            <w:r>
              <w:rPr>
                <w:rFonts w:hint="eastAsia" w:ascii="黑体" w:hAnsi="黑体" w:eastAsia="黑体"/>
                <w:b w:val="0"/>
                <w:color w:val="auto"/>
                <w:sz w:val="21"/>
              </w:rPr>
              <w:t>表</w:t>
            </w:r>
            <w:r>
              <w:rPr>
                <w:rFonts w:ascii="黑体" w:hAnsi="黑体" w:eastAsia="黑体"/>
                <w:b w:val="0"/>
                <w:color w:val="auto"/>
                <w:sz w:val="21"/>
              </w:rPr>
              <w:t>4-13</w:t>
            </w:r>
            <w:r>
              <w:rPr>
                <w:rFonts w:hint="eastAsia" w:ascii="黑体" w:hAnsi="黑体" w:eastAsia="黑体"/>
                <w:b w:val="0"/>
                <w:color w:val="auto"/>
                <w:sz w:val="21"/>
              </w:rPr>
              <w:t xml:space="preserve">   </w:t>
            </w:r>
            <w:r>
              <w:rPr>
                <w:rFonts w:ascii="黑体" w:hAnsi="黑体" w:eastAsia="黑体"/>
                <w:b w:val="0"/>
                <w:color w:val="auto"/>
                <w:sz w:val="21"/>
              </w:rPr>
              <w:t xml:space="preserve">                </w:t>
            </w:r>
            <w:r>
              <w:rPr>
                <w:rFonts w:hint="eastAsia" w:ascii="黑体" w:hAnsi="黑体" w:eastAsia="黑体"/>
                <w:b w:val="0"/>
                <w:color w:val="auto"/>
                <w:sz w:val="21"/>
              </w:rPr>
              <w:t>项目噪声源源强一览表</w:t>
            </w:r>
            <w:r>
              <w:rPr>
                <w:rFonts w:ascii="黑体" w:hAnsi="黑体" w:eastAsia="黑体"/>
                <w:b w:val="0"/>
                <w:color w:val="auto"/>
                <w:sz w:val="21"/>
              </w:rPr>
              <w:t xml:space="preserve"> </w:t>
            </w:r>
          </w:p>
          <w:tbl>
            <w:tblPr>
              <w:tblStyle w:val="46"/>
              <w:tblW w:w="893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2061"/>
              <w:gridCol w:w="2664"/>
              <w:gridCol w:w="246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750" w:type="dxa"/>
                  <w:vAlign w:val="center"/>
                </w:tcPr>
                <w:p>
                  <w:pPr>
                    <w:autoSpaceDE w:val="0"/>
                    <w:autoSpaceDN w:val="0"/>
                    <w:adjustRightInd w:val="0"/>
                    <w:jc w:val="center"/>
                    <w:textAlignment w:val="center"/>
                    <w:rPr>
                      <w:bCs/>
                      <w:kern w:val="0"/>
                      <w:szCs w:val="21"/>
                    </w:rPr>
                  </w:pPr>
                  <w:r>
                    <w:rPr>
                      <w:rFonts w:hint="eastAsia"/>
                      <w:bCs/>
                      <w:kern w:val="0"/>
                      <w:szCs w:val="21"/>
                    </w:rPr>
                    <w:t>设备名</w:t>
                  </w:r>
                </w:p>
              </w:tc>
              <w:tc>
                <w:tcPr>
                  <w:tcW w:w="2061" w:type="dxa"/>
                  <w:vAlign w:val="center"/>
                </w:tcPr>
                <w:p>
                  <w:pPr>
                    <w:autoSpaceDE w:val="0"/>
                    <w:autoSpaceDN w:val="0"/>
                    <w:adjustRightInd w:val="0"/>
                    <w:jc w:val="center"/>
                    <w:textAlignment w:val="center"/>
                    <w:rPr>
                      <w:bCs/>
                      <w:kern w:val="0"/>
                      <w:szCs w:val="21"/>
                    </w:rPr>
                  </w:pPr>
                  <w:r>
                    <w:rPr>
                      <w:rFonts w:hint="eastAsia"/>
                      <w:bCs/>
                      <w:kern w:val="0"/>
                      <w:szCs w:val="21"/>
                    </w:rPr>
                    <w:t>噪声值（</w:t>
                  </w:r>
                  <w:r>
                    <w:rPr>
                      <w:bCs/>
                      <w:kern w:val="0"/>
                      <w:szCs w:val="21"/>
                    </w:rPr>
                    <w:t>dB(A)</w:t>
                  </w:r>
                  <w:r>
                    <w:rPr>
                      <w:rFonts w:hint="eastAsia"/>
                      <w:bCs/>
                      <w:kern w:val="0"/>
                      <w:szCs w:val="21"/>
                    </w:rPr>
                    <w:t>）</w:t>
                  </w:r>
                </w:p>
              </w:tc>
              <w:tc>
                <w:tcPr>
                  <w:tcW w:w="2664" w:type="dxa"/>
                  <w:vAlign w:val="center"/>
                </w:tcPr>
                <w:p>
                  <w:pPr>
                    <w:autoSpaceDE w:val="0"/>
                    <w:autoSpaceDN w:val="0"/>
                    <w:adjustRightInd w:val="0"/>
                    <w:jc w:val="center"/>
                    <w:textAlignment w:val="center"/>
                    <w:rPr>
                      <w:bCs/>
                      <w:kern w:val="0"/>
                      <w:szCs w:val="21"/>
                    </w:rPr>
                  </w:pPr>
                  <w:r>
                    <w:rPr>
                      <w:rFonts w:hint="eastAsia"/>
                      <w:bCs/>
                      <w:kern w:val="0"/>
                      <w:szCs w:val="21"/>
                    </w:rPr>
                    <w:t>治理措施</w:t>
                  </w:r>
                </w:p>
              </w:tc>
              <w:tc>
                <w:tcPr>
                  <w:tcW w:w="2463" w:type="dxa"/>
                  <w:vAlign w:val="center"/>
                </w:tcPr>
                <w:p>
                  <w:pPr>
                    <w:autoSpaceDE w:val="0"/>
                    <w:autoSpaceDN w:val="0"/>
                    <w:adjustRightInd w:val="0"/>
                    <w:jc w:val="center"/>
                    <w:textAlignment w:val="center"/>
                    <w:rPr>
                      <w:bCs/>
                      <w:kern w:val="0"/>
                      <w:szCs w:val="21"/>
                    </w:rPr>
                  </w:pPr>
                  <w:r>
                    <w:rPr>
                      <w:rFonts w:hint="eastAsia"/>
                      <w:bCs/>
                      <w:kern w:val="0"/>
                      <w:szCs w:val="21"/>
                    </w:rPr>
                    <w:t>治理后的噪声值（</w:t>
                  </w:r>
                  <w:r>
                    <w:rPr>
                      <w:bCs/>
                      <w:kern w:val="0"/>
                      <w:szCs w:val="21"/>
                    </w:rPr>
                    <w:t>dB(A)</w:t>
                  </w:r>
                  <w:r>
                    <w:rPr>
                      <w:rFonts w:hint="eastAsia"/>
                      <w:bCs/>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750" w:type="dxa"/>
                  <w:vAlign w:val="center"/>
                </w:tcPr>
                <w:p>
                  <w:pPr>
                    <w:autoSpaceDE w:val="0"/>
                    <w:autoSpaceDN w:val="0"/>
                    <w:adjustRightInd w:val="0"/>
                    <w:jc w:val="center"/>
                    <w:textAlignment w:val="center"/>
                    <w:rPr>
                      <w:bCs/>
                      <w:kern w:val="0"/>
                      <w:szCs w:val="21"/>
                    </w:rPr>
                  </w:pPr>
                  <w:r>
                    <w:rPr>
                      <w:rFonts w:hint="eastAsia"/>
                      <w:bCs/>
                      <w:kern w:val="0"/>
                      <w:szCs w:val="21"/>
                    </w:rPr>
                    <w:t>水泵、加药泵等</w:t>
                  </w:r>
                </w:p>
              </w:tc>
              <w:tc>
                <w:tcPr>
                  <w:tcW w:w="2061" w:type="dxa"/>
                  <w:vAlign w:val="center"/>
                </w:tcPr>
                <w:p>
                  <w:pPr>
                    <w:autoSpaceDE w:val="0"/>
                    <w:autoSpaceDN w:val="0"/>
                    <w:adjustRightInd w:val="0"/>
                    <w:jc w:val="center"/>
                    <w:textAlignment w:val="center"/>
                    <w:rPr>
                      <w:bCs/>
                      <w:kern w:val="0"/>
                      <w:szCs w:val="21"/>
                    </w:rPr>
                  </w:pPr>
                  <w:r>
                    <w:rPr>
                      <w:bCs/>
                      <w:kern w:val="0"/>
                      <w:szCs w:val="21"/>
                    </w:rPr>
                    <w:t>100</w:t>
                  </w:r>
                </w:p>
              </w:tc>
              <w:tc>
                <w:tcPr>
                  <w:tcW w:w="2664" w:type="dxa"/>
                  <w:vMerge w:val="restart"/>
                  <w:vAlign w:val="center"/>
                </w:tcPr>
                <w:p>
                  <w:pPr>
                    <w:autoSpaceDE w:val="0"/>
                    <w:autoSpaceDN w:val="0"/>
                    <w:adjustRightInd w:val="0"/>
                    <w:jc w:val="center"/>
                    <w:textAlignment w:val="center"/>
                    <w:rPr>
                      <w:bCs/>
                      <w:kern w:val="0"/>
                      <w:szCs w:val="21"/>
                    </w:rPr>
                  </w:pPr>
                  <w:r>
                    <w:rPr>
                      <w:bCs/>
                      <w:kern w:val="0"/>
                      <w:szCs w:val="21"/>
                    </w:rPr>
                    <w:t>选用低噪声设备，基础减振、采取厂房隔音等措施</w:t>
                  </w:r>
                </w:p>
              </w:tc>
              <w:tc>
                <w:tcPr>
                  <w:tcW w:w="2463" w:type="dxa"/>
                  <w:vAlign w:val="center"/>
                </w:tcPr>
                <w:p>
                  <w:pPr>
                    <w:autoSpaceDE w:val="0"/>
                    <w:autoSpaceDN w:val="0"/>
                    <w:adjustRightInd w:val="0"/>
                    <w:jc w:val="center"/>
                    <w:textAlignment w:val="center"/>
                    <w:rPr>
                      <w:bCs/>
                      <w:kern w:val="0"/>
                      <w:szCs w:val="21"/>
                    </w:rPr>
                  </w:pPr>
                  <w:r>
                    <w:rPr>
                      <w:bCs/>
                      <w:kern w:val="0"/>
                      <w:szCs w:val="21"/>
                    </w:rPr>
                    <w:t>70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750" w:type="dxa"/>
                  <w:vAlign w:val="center"/>
                </w:tcPr>
                <w:p>
                  <w:pPr>
                    <w:autoSpaceDE w:val="0"/>
                    <w:autoSpaceDN w:val="0"/>
                    <w:adjustRightInd w:val="0"/>
                    <w:jc w:val="center"/>
                    <w:textAlignment w:val="center"/>
                    <w:rPr>
                      <w:bCs/>
                      <w:kern w:val="0"/>
                      <w:szCs w:val="21"/>
                    </w:rPr>
                  </w:pPr>
                  <w:r>
                    <w:rPr>
                      <w:rFonts w:hint="eastAsia"/>
                      <w:bCs/>
                      <w:kern w:val="0"/>
                      <w:szCs w:val="21"/>
                    </w:rPr>
                    <w:t>风机</w:t>
                  </w:r>
                </w:p>
              </w:tc>
              <w:tc>
                <w:tcPr>
                  <w:tcW w:w="2061" w:type="dxa"/>
                  <w:vAlign w:val="center"/>
                </w:tcPr>
                <w:p>
                  <w:pPr>
                    <w:autoSpaceDE w:val="0"/>
                    <w:autoSpaceDN w:val="0"/>
                    <w:adjustRightInd w:val="0"/>
                    <w:jc w:val="center"/>
                    <w:textAlignment w:val="center"/>
                    <w:rPr>
                      <w:bCs/>
                      <w:kern w:val="0"/>
                      <w:szCs w:val="21"/>
                    </w:rPr>
                  </w:pPr>
                  <w:r>
                    <w:rPr>
                      <w:rFonts w:hint="eastAsia"/>
                      <w:bCs/>
                      <w:kern w:val="0"/>
                      <w:szCs w:val="21"/>
                    </w:rPr>
                    <w:t>9</w:t>
                  </w:r>
                  <w:r>
                    <w:rPr>
                      <w:bCs/>
                      <w:kern w:val="0"/>
                      <w:szCs w:val="21"/>
                    </w:rPr>
                    <w:t>0</w:t>
                  </w:r>
                </w:p>
              </w:tc>
              <w:tc>
                <w:tcPr>
                  <w:tcW w:w="2664" w:type="dxa"/>
                  <w:vMerge w:val="continue"/>
                  <w:vAlign w:val="center"/>
                </w:tcPr>
                <w:p>
                  <w:pPr>
                    <w:autoSpaceDE w:val="0"/>
                    <w:autoSpaceDN w:val="0"/>
                    <w:adjustRightInd w:val="0"/>
                    <w:jc w:val="center"/>
                    <w:textAlignment w:val="center"/>
                    <w:rPr>
                      <w:bCs/>
                      <w:kern w:val="0"/>
                      <w:szCs w:val="21"/>
                    </w:rPr>
                  </w:pPr>
                </w:p>
              </w:tc>
              <w:tc>
                <w:tcPr>
                  <w:tcW w:w="2463" w:type="dxa"/>
                  <w:vAlign w:val="center"/>
                </w:tcPr>
                <w:p>
                  <w:pPr>
                    <w:autoSpaceDE w:val="0"/>
                    <w:autoSpaceDN w:val="0"/>
                    <w:adjustRightInd w:val="0"/>
                    <w:jc w:val="center"/>
                    <w:textAlignment w:val="center"/>
                    <w:rPr>
                      <w:bCs/>
                      <w:kern w:val="0"/>
                      <w:szCs w:val="21"/>
                    </w:rPr>
                  </w:pPr>
                  <w:r>
                    <w:rPr>
                      <w:rFonts w:hint="eastAsia"/>
                      <w:bCs/>
                      <w:kern w:val="0"/>
                      <w:szCs w:val="21"/>
                    </w:rPr>
                    <w:t>6</w:t>
                  </w:r>
                  <w:r>
                    <w:rPr>
                      <w:bCs/>
                      <w:kern w:val="0"/>
                      <w:szCs w:val="21"/>
                    </w:rPr>
                    <w:t>0</w:t>
                  </w:r>
                </w:p>
              </w:tc>
            </w:tr>
          </w:tbl>
          <w:p>
            <w:pPr>
              <w:spacing w:line="460" w:lineRule="exact"/>
              <w:ind w:firstLine="480" w:firstLineChars="200"/>
              <w:rPr>
                <w:sz w:val="24"/>
              </w:rPr>
            </w:pPr>
            <w:r>
              <w:rPr>
                <w:rFonts w:hint="eastAsia"/>
                <w:sz w:val="24"/>
              </w:rPr>
              <w:t>企业目前已建成运行，根据现场勘查，水泵等设备布置在地下，泵及风机选用低噪声设备，采取基础减振、厂房隔声等措施。</w:t>
            </w:r>
          </w:p>
          <w:p>
            <w:pPr>
              <w:spacing w:line="460" w:lineRule="exact"/>
              <w:ind w:firstLine="480" w:firstLineChars="200"/>
              <w:rPr>
                <w:sz w:val="24"/>
              </w:rPr>
            </w:pPr>
            <w:r>
              <w:rPr>
                <w:rFonts w:hint="eastAsia"/>
                <w:sz w:val="24"/>
              </w:rPr>
              <w:t>本次评价采取企业自行监测报告中的噪声监测结果，</w:t>
            </w:r>
            <w:r>
              <w:rPr>
                <w:sz w:val="24"/>
              </w:rPr>
              <w:t>本项目</w:t>
            </w:r>
            <w:r>
              <w:rPr>
                <w:rFonts w:hint="eastAsia"/>
                <w:bCs/>
                <w:sz w:val="24"/>
              </w:rPr>
              <w:t>噪声值</w:t>
            </w:r>
            <w:r>
              <w:rPr>
                <w:sz w:val="24"/>
              </w:rPr>
              <w:t>见表4-14。</w:t>
            </w:r>
          </w:p>
          <w:p>
            <w:pPr>
              <w:ind w:firstLine="420" w:firstLineChars="200"/>
              <w:rPr>
                <w:rFonts w:ascii="黑体" w:hAnsi="黑体" w:eastAsia="黑体"/>
                <w:bCs/>
                <w:szCs w:val="21"/>
              </w:rPr>
            </w:pPr>
          </w:p>
          <w:p>
            <w:pPr>
              <w:ind w:firstLine="420" w:firstLineChars="200"/>
              <w:rPr>
                <w:rFonts w:ascii="黑体" w:hAnsi="黑体" w:eastAsia="黑体"/>
                <w:bCs/>
                <w:sz w:val="24"/>
              </w:rPr>
            </w:pPr>
            <w:r>
              <w:rPr>
                <w:rFonts w:ascii="黑体" w:hAnsi="黑体" w:eastAsia="黑体"/>
                <w:bCs/>
                <w:szCs w:val="21"/>
              </w:rPr>
              <w:t xml:space="preserve">表4-14                   </w:t>
            </w:r>
            <w:r>
              <w:rPr>
                <w:rFonts w:hint="eastAsia" w:ascii="黑体" w:hAnsi="黑体" w:eastAsia="黑体"/>
                <w:bCs/>
                <w:szCs w:val="21"/>
              </w:rPr>
              <w:t xml:space="preserve">项目噪声值 </w:t>
            </w:r>
            <w:r>
              <w:rPr>
                <w:rFonts w:ascii="黑体" w:hAnsi="黑体" w:eastAsia="黑体"/>
                <w:bCs/>
                <w:szCs w:val="21"/>
              </w:rPr>
              <w:t xml:space="preserve">                </w:t>
            </w:r>
            <w:r>
              <w:rPr>
                <w:rFonts w:ascii="黑体" w:hAnsi="黑体" w:eastAsia="黑体"/>
                <w:szCs w:val="21"/>
              </w:rPr>
              <w:t>单位：dB（A）</w:t>
            </w:r>
          </w:p>
          <w:tbl>
            <w:tblPr>
              <w:tblStyle w:val="46"/>
              <w:tblW w:w="893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503"/>
              <w:gridCol w:w="1543"/>
              <w:gridCol w:w="1543"/>
              <w:gridCol w:w="1543"/>
              <w:gridCol w:w="15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70" w:type="dxa"/>
                  <w:vMerge w:val="restart"/>
                  <w:vAlign w:val="center"/>
                </w:tcPr>
                <w:p>
                  <w:pPr>
                    <w:snapToGrid w:val="0"/>
                    <w:jc w:val="center"/>
                    <w:rPr>
                      <w:spacing w:val="-6"/>
                      <w:szCs w:val="21"/>
                    </w:rPr>
                  </w:pPr>
                  <w:r>
                    <w:rPr>
                      <w:rFonts w:hAnsi="宋体"/>
                      <w:spacing w:val="-6"/>
                      <w:szCs w:val="21"/>
                    </w:rPr>
                    <w:t>项目</w:t>
                  </w:r>
                </w:p>
              </w:tc>
              <w:tc>
                <w:tcPr>
                  <w:tcW w:w="1503" w:type="dxa"/>
                  <w:vAlign w:val="center"/>
                </w:tcPr>
                <w:p>
                  <w:pPr>
                    <w:snapToGrid w:val="0"/>
                    <w:jc w:val="center"/>
                    <w:rPr>
                      <w:spacing w:val="-6"/>
                      <w:szCs w:val="21"/>
                    </w:rPr>
                  </w:pPr>
                  <w:r>
                    <w:rPr>
                      <w:rFonts w:hint="eastAsia"/>
                      <w:spacing w:val="-6"/>
                      <w:szCs w:val="21"/>
                    </w:rPr>
                    <w:t>时段</w:t>
                  </w:r>
                </w:p>
              </w:tc>
              <w:tc>
                <w:tcPr>
                  <w:tcW w:w="1543" w:type="dxa"/>
                  <w:vAlign w:val="center"/>
                </w:tcPr>
                <w:p>
                  <w:pPr>
                    <w:snapToGrid w:val="0"/>
                    <w:jc w:val="center"/>
                    <w:rPr>
                      <w:spacing w:val="-6"/>
                      <w:szCs w:val="21"/>
                    </w:rPr>
                  </w:pPr>
                  <w:r>
                    <w:rPr>
                      <w:rFonts w:hAnsi="宋体"/>
                      <w:spacing w:val="-6"/>
                      <w:szCs w:val="21"/>
                    </w:rPr>
                    <w:t>东厂界</w:t>
                  </w:r>
                  <w:r>
                    <w:rPr>
                      <w:spacing w:val="-6"/>
                      <w:szCs w:val="21"/>
                    </w:rPr>
                    <w:t xml:space="preserve"> </w:t>
                  </w:r>
                </w:p>
              </w:tc>
              <w:tc>
                <w:tcPr>
                  <w:tcW w:w="1543" w:type="dxa"/>
                  <w:vAlign w:val="center"/>
                </w:tcPr>
                <w:p>
                  <w:pPr>
                    <w:snapToGrid w:val="0"/>
                    <w:jc w:val="center"/>
                    <w:rPr>
                      <w:spacing w:val="-6"/>
                      <w:szCs w:val="21"/>
                    </w:rPr>
                  </w:pPr>
                  <w:r>
                    <w:rPr>
                      <w:rFonts w:hAnsi="宋体"/>
                      <w:spacing w:val="-6"/>
                      <w:szCs w:val="21"/>
                    </w:rPr>
                    <w:t>南厂界</w:t>
                  </w:r>
                </w:p>
              </w:tc>
              <w:tc>
                <w:tcPr>
                  <w:tcW w:w="1543" w:type="dxa"/>
                  <w:vAlign w:val="center"/>
                </w:tcPr>
                <w:p>
                  <w:pPr>
                    <w:snapToGrid w:val="0"/>
                    <w:jc w:val="center"/>
                    <w:rPr>
                      <w:spacing w:val="-6"/>
                      <w:szCs w:val="21"/>
                    </w:rPr>
                  </w:pPr>
                  <w:r>
                    <w:rPr>
                      <w:rFonts w:hAnsi="宋体"/>
                      <w:spacing w:val="-6"/>
                      <w:szCs w:val="21"/>
                    </w:rPr>
                    <w:t>西厂界</w:t>
                  </w:r>
                </w:p>
              </w:tc>
              <w:tc>
                <w:tcPr>
                  <w:tcW w:w="1536" w:type="dxa"/>
                  <w:vAlign w:val="center"/>
                </w:tcPr>
                <w:p>
                  <w:pPr>
                    <w:snapToGrid w:val="0"/>
                    <w:jc w:val="center"/>
                    <w:rPr>
                      <w:spacing w:val="-6"/>
                      <w:szCs w:val="21"/>
                    </w:rPr>
                  </w:pPr>
                  <w:r>
                    <w:rPr>
                      <w:rFonts w:hAnsi="宋体"/>
                      <w:spacing w:val="-6"/>
                      <w:szCs w:val="21"/>
                    </w:rPr>
                    <w:t>北厂界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70" w:type="dxa"/>
                  <w:vMerge w:val="continue"/>
                  <w:vAlign w:val="center"/>
                </w:tcPr>
                <w:p>
                  <w:pPr>
                    <w:snapToGrid w:val="0"/>
                    <w:jc w:val="center"/>
                    <w:rPr>
                      <w:spacing w:val="-6"/>
                      <w:szCs w:val="21"/>
                    </w:rPr>
                  </w:pPr>
                </w:p>
              </w:tc>
              <w:tc>
                <w:tcPr>
                  <w:tcW w:w="1503" w:type="dxa"/>
                  <w:vAlign w:val="center"/>
                </w:tcPr>
                <w:p>
                  <w:pPr>
                    <w:snapToGrid w:val="0"/>
                    <w:jc w:val="center"/>
                    <w:rPr>
                      <w:spacing w:val="-6"/>
                      <w:szCs w:val="21"/>
                    </w:rPr>
                  </w:pPr>
                  <w:r>
                    <w:rPr>
                      <w:rFonts w:hint="eastAsia"/>
                      <w:spacing w:val="-6"/>
                      <w:szCs w:val="21"/>
                    </w:rPr>
                    <w:t>昼间</w:t>
                  </w:r>
                </w:p>
              </w:tc>
              <w:tc>
                <w:tcPr>
                  <w:tcW w:w="1543" w:type="dxa"/>
                  <w:vAlign w:val="center"/>
                </w:tcPr>
                <w:p>
                  <w:pPr>
                    <w:jc w:val="center"/>
                    <w:rPr>
                      <w:spacing w:val="-6"/>
                      <w:szCs w:val="21"/>
                    </w:rPr>
                  </w:pPr>
                  <w:r>
                    <w:rPr>
                      <w:rFonts w:hint="eastAsia"/>
                      <w:spacing w:val="-6"/>
                      <w:szCs w:val="21"/>
                    </w:rPr>
                    <w:t>5</w:t>
                  </w:r>
                  <w:r>
                    <w:rPr>
                      <w:spacing w:val="-6"/>
                      <w:szCs w:val="21"/>
                    </w:rPr>
                    <w:t>2</w:t>
                  </w:r>
                </w:p>
              </w:tc>
              <w:tc>
                <w:tcPr>
                  <w:tcW w:w="1543" w:type="dxa"/>
                  <w:vAlign w:val="center"/>
                </w:tcPr>
                <w:p>
                  <w:pPr>
                    <w:jc w:val="center"/>
                    <w:rPr>
                      <w:spacing w:val="-6"/>
                      <w:szCs w:val="21"/>
                    </w:rPr>
                  </w:pPr>
                  <w:r>
                    <w:rPr>
                      <w:rFonts w:hint="eastAsia"/>
                      <w:spacing w:val="-6"/>
                      <w:szCs w:val="21"/>
                    </w:rPr>
                    <w:t>4</w:t>
                  </w:r>
                  <w:r>
                    <w:rPr>
                      <w:spacing w:val="-6"/>
                      <w:szCs w:val="21"/>
                    </w:rPr>
                    <w:t>7</w:t>
                  </w:r>
                </w:p>
              </w:tc>
              <w:tc>
                <w:tcPr>
                  <w:tcW w:w="1543" w:type="dxa"/>
                  <w:vAlign w:val="center"/>
                </w:tcPr>
                <w:p>
                  <w:pPr>
                    <w:snapToGrid w:val="0"/>
                    <w:jc w:val="center"/>
                    <w:rPr>
                      <w:spacing w:val="-6"/>
                      <w:szCs w:val="21"/>
                    </w:rPr>
                  </w:pPr>
                  <w:r>
                    <w:rPr>
                      <w:rFonts w:hint="eastAsia"/>
                      <w:spacing w:val="-6"/>
                      <w:szCs w:val="21"/>
                    </w:rPr>
                    <w:t>4</w:t>
                  </w:r>
                  <w:r>
                    <w:rPr>
                      <w:spacing w:val="-6"/>
                      <w:szCs w:val="21"/>
                    </w:rPr>
                    <w:t>8</w:t>
                  </w:r>
                </w:p>
              </w:tc>
              <w:tc>
                <w:tcPr>
                  <w:tcW w:w="1536" w:type="dxa"/>
                  <w:vAlign w:val="center"/>
                </w:tcPr>
                <w:p>
                  <w:pPr>
                    <w:snapToGrid w:val="0"/>
                    <w:jc w:val="center"/>
                    <w:rPr>
                      <w:spacing w:val="-6"/>
                      <w:szCs w:val="21"/>
                    </w:rPr>
                  </w:pPr>
                  <w:r>
                    <w:rPr>
                      <w:rFonts w:hint="eastAsia"/>
                      <w:spacing w:val="-6"/>
                      <w:szCs w:val="21"/>
                    </w:rPr>
                    <w:t>4</w:t>
                  </w:r>
                  <w:r>
                    <w:rPr>
                      <w:spacing w:val="-6"/>
                      <w:szCs w:val="21"/>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70" w:type="dxa"/>
                  <w:vMerge w:val="continue"/>
                  <w:vAlign w:val="center"/>
                </w:tcPr>
                <w:p>
                  <w:pPr>
                    <w:snapToGrid w:val="0"/>
                    <w:jc w:val="center"/>
                    <w:rPr>
                      <w:spacing w:val="-6"/>
                      <w:szCs w:val="21"/>
                    </w:rPr>
                  </w:pPr>
                </w:p>
              </w:tc>
              <w:tc>
                <w:tcPr>
                  <w:tcW w:w="1503" w:type="dxa"/>
                  <w:vAlign w:val="center"/>
                </w:tcPr>
                <w:p>
                  <w:pPr>
                    <w:snapToGrid w:val="0"/>
                    <w:jc w:val="center"/>
                    <w:rPr>
                      <w:spacing w:val="-6"/>
                      <w:szCs w:val="21"/>
                    </w:rPr>
                  </w:pPr>
                  <w:r>
                    <w:rPr>
                      <w:rFonts w:hint="eastAsia"/>
                      <w:spacing w:val="-6"/>
                      <w:szCs w:val="21"/>
                    </w:rPr>
                    <w:t>夜间</w:t>
                  </w:r>
                </w:p>
              </w:tc>
              <w:tc>
                <w:tcPr>
                  <w:tcW w:w="1543" w:type="dxa"/>
                  <w:vAlign w:val="center"/>
                </w:tcPr>
                <w:p>
                  <w:pPr>
                    <w:jc w:val="center"/>
                    <w:rPr>
                      <w:spacing w:val="-6"/>
                      <w:szCs w:val="21"/>
                    </w:rPr>
                  </w:pPr>
                  <w:r>
                    <w:rPr>
                      <w:rFonts w:hint="eastAsia"/>
                      <w:spacing w:val="-6"/>
                      <w:szCs w:val="21"/>
                    </w:rPr>
                    <w:t>4</w:t>
                  </w:r>
                  <w:r>
                    <w:rPr>
                      <w:spacing w:val="-6"/>
                      <w:szCs w:val="21"/>
                    </w:rPr>
                    <w:t>5</w:t>
                  </w:r>
                </w:p>
              </w:tc>
              <w:tc>
                <w:tcPr>
                  <w:tcW w:w="1543" w:type="dxa"/>
                  <w:vAlign w:val="center"/>
                </w:tcPr>
                <w:p>
                  <w:pPr>
                    <w:jc w:val="center"/>
                    <w:rPr>
                      <w:spacing w:val="-6"/>
                      <w:szCs w:val="21"/>
                    </w:rPr>
                  </w:pPr>
                  <w:r>
                    <w:rPr>
                      <w:rFonts w:hint="eastAsia"/>
                      <w:spacing w:val="-6"/>
                      <w:szCs w:val="21"/>
                    </w:rPr>
                    <w:t>4</w:t>
                  </w:r>
                  <w:r>
                    <w:rPr>
                      <w:spacing w:val="-6"/>
                      <w:szCs w:val="21"/>
                    </w:rPr>
                    <w:t>3</w:t>
                  </w:r>
                </w:p>
              </w:tc>
              <w:tc>
                <w:tcPr>
                  <w:tcW w:w="1543" w:type="dxa"/>
                  <w:vAlign w:val="center"/>
                </w:tcPr>
                <w:p>
                  <w:pPr>
                    <w:snapToGrid w:val="0"/>
                    <w:jc w:val="center"/>
                    <w:rPr>
                      <w:spacing w:val="-6"/>
                      <w:szCs w:val="21"/>
                    </w:rPr>
                  </w:pPr>
                  <w:r>
                    <w:rPr>
                      <w:rFonts w:hint="eastAsia"/>
                      <w:spacing w:val="-6"/>
                      <w:szCs w:val="21"/>
                    </w:rPr>
                    <w:t>4</w:t>
                  </w:r>
                  <w:r>
                    <w:rPr>
                      <w:spacing w:val="-6"/>
                      <w:szCs w:val="21"/>
                    </w:rPr>
                    <w:t>2</w:t>
                  </w:r>
                </w:p>
              </w:tc>
              <w:tc>
                <w:tcPr>
                  <w:tcW w:w="1536" w:type="dxa"/>
                  <w:vAlign w:val="center"/>
                </w:tcPr>
                <w:p>
                  <w:pPr>
                    <w:snapToGrid w:val="0"/>
                    <w:jc w:val="center"/>
                    <w:rPr>
                      <w:spacing w:val="-6"/>
                      <w:szCs w:val="21"/>
                    </w:rPr>
                  </w:pPr>
                  <w:r>
                    <w:rPr>
                      <w:rFonts w:hint="eastAsia"/>
                      <w:spacing w:val="-6"/>
                      <w:szCs w:val="21"/>
                    </w:rPr>
                    <w:t>4</w:t>
                  </w:r>
                  <w:r>
                    <w:rPr>
                      <w:spacing w:val="-6"/>
                      <w:szCs w:val="21"/>
                    </w:rPr>
                    <w:t>2</w:t>
                  </w:r>
                </w:p>
              </w:tc>
            </w:tr>
          </w:tbl>
          <w:p>
            <w:pPr>
              <w:pStyle w:val="77"/>
              <w:ind w:firstLine="480"/>
            </w:pPr>
            <w:r>
              <w:t>根据上表可知，项目厂界四周噪声值均满足《工业企业厂界环境噪声排放标准》（GB12348-2008）2类标准要求</w:t>
            </w:r>
            <w:r>
              <w:rPr>
                <w:rFonts w:hint="eastAsia"/>
              </w:rPr>
              <w:t>，</w:t>
            </w:r>
            <w:r>
              <w:t>说明项目建成运营后对周边声环境的影响不大。</w:t>
            </w:r>
          </w:p>
          <w:p>
            <w:pPr>
              <w:pStyle w:val="77"/>
              <w:ind w:firstLine="480"/>
            </w:pPr>
            <w:r>
              <w:rPr>
                <w:rFonts w:hint="eastAsia"/>
              </w:rPr>
              <w:t>2、</w:t>
            </w:r>
            <w:r>
              <w:t>监测计划</w:t>
            </w:r>
          </w:p>
          <w:p>
            <w:pPr>
              <w:pStyle w:val="77"/>
              <w:ind w:firstLine="480"/>
            </w:pPr>
            <w:r>
              <w:t>本项目环境噪声监测方案见表4-15。</w:t>
            </w:r>
          </w:p>
          <w:p>
            <w:pPr>
              <w:ind w:firstLine="420" w:firstLineChars="200"/>
              <w:rPr>
                <w:rFonts w:ascii="黑体" w:hAnsi="黑体" w:eastAsia="黑体"/>
                <w:bCs/>
              </w:rPr>
            </w:pPr>
            <w:r>
              <w:rPr>
                <w:rFonts w:ascii="黑体" w:hAnsi="黑体" w:eastAsia="黑体"/>
                <w:bCs/>
                <w:szCs w:val="21"/>
              </w:rPr>
              <w:t>表4-15                   项目运营期噪声监测计划</w:t>
            </w:r>
          </w:p>
          <w:tbl>
            <w:tblPr>
              <w:tblStyle w:val="46"/>
              <w:tblW w:w="893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414"/>
              <w:gridCol w:w="1618"/>
              <w:gridCol w:w="1187"/>
              <w:gridCol w:w="343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283" w:type="dxa"/>
                  <w:vAlign w:val="center"/>
                </w:tcPr>
                <w:p>
                  <w:pPr>
                    <w:jc w:val="center"/>
                    <w:rPr>
                      <w:bCs/>
                      <w:szCs w:val="21"/>
                    </w:rPr>
                  </w:pPr>
                  <w:r>
                    <w:rPr>
                      <w:bCs/>
                      <w:szCs w:val="21"/>
                    </w:rPr>
                    <w:t>监测位置</w:t>
                  </w:r>
                </w:p>
              </w:tc>
              <w:tc>
                <w:tcPr>
                  <w:tcW w:w="1414" w:type="dxa"/>
                  <w:vAlign w:val="center"/>
                </w:tcPr>
                <w:p>
                  <w:pPr>
                    <w:jc w:val="center"/>
                    <w:rPr>
                      <w:bCs/>
                      <w:szCs w:val="21"/>
                    </w:rPr>
                  </w:pPr>
                  <w:r>
                    <w:rPr>
                      <w:bCs/>
                      <w:szCs w:val="21"/>
                    </w:rPr>
                    <w:t>监测项目</w:t>
                  </w:r>
                </w:p>
              </w:tc>
              <w:tc>
                <w:tcPr>
                  <w:tcW w:w="1618" w:type="dxa"/>
                  <w:vAlign w:val="center"/>
                </w:tcPr>
                <w:p>
                  <w:pPr>
                    <w:jc w:val="center"/>
                    <w:rPr>
                      <w:bCs/>
                      <w:szCs w:val="21"/>
                    </w:rPr>
                  </w:pPr>
                  <w:r>
                    <w:rPr>
                      <w:bCs/>
                      <w:kern w:val="0"/>
                      <w:szCs w:val="21"/>
                      <w:lang w:bidi="ar"/>
                    </w:rPr>
                    <w:t>监测频率</w:t>
                  </w:r>
                </w:p>
              </w:tc>
              <w:tc>
                <w:tcPr>
                  <w:tcW w:w="1187" w:type="dxa"/>
                  <w:vAlign w:val="center"/>
                </w:tcPr>
                <w:p>
                  <w:pPr>
                    <w:jc w:val="center"/>
                    <w:rPr>
                      <w:bCs/>
                      <w:szCs w:val="21"/>
                    </w:rPr>
                  </w:pPr>
                  <w:r>
                    <w:rPr>
                      <w:bCs/>
                      <w:kern w:val="0"/>
                      <w:szCs w:val="21"/>
                      <w:lang w:bidi="ar"/>
                    </w:rPr>
                    <w:t>实施单位</w:t>
                  </w:r>
                </w:p>
              </w:tc>
              <w:tc>
                <w:tcPr>
                  <w:tcW w:w="3436" w:type="dxa"/>
                  <w:vAlign w:val="center"/>
                </w:tcPr>
                <w:p>
                  <w:pPr>
                    <w:jc w:val="center"/>
                    <w:rPr>
                      <w:bCs/>
                      <w:kern w:val="0"/>
                      <w:szCs w:val="21"/>
                      <w:lang w:bidi="ar"/>
                    </w:rPr>
                  </w:pPr>
                  <w:r>
                    <w:rPr>
                      <w:bCs/>
                      <w:kern w:val="0"/>
                      <w:szCs w:val="21"/>
                      <w:lang w:bidi="ar"/>
                    </w:rPr>
                    <w:t>执行标准</w:t>
                  </w:r>
                </w:p>
              </w:tc>
            </w:tr>
            <w:tr>
              <w:tblPrEx>
                <w:tblLayout w:type="fixed"/>
                <w:tblCellMar>
                  <w:top w:w="0" w:type="dxa"/>
                  <w:left w:w="108" w:type="dxa"/>
                  <w:bottom w:w="0" w:type="dxa"/>
                  <w:right w:w="108" w:type="dxa"/>
                </w:tblCellMar>
              </w:tblPrEx>
              <w:tc>
                <w:tcPr>
                  <w:tcW w:w="1283" w:type="dxa"/>
                  <w:vAlign w:val="center"/>
                </w:tcPr>
                <w:p>
                  <w:pPr>
                    <w:jc w:val="center"/>
                  </w:pPr>
                  <w:r>
                    <w:t>厂界四周</w:t>
                  </w:r>
                </w:p>
              </w:tc>
              <w:tc>
                <w:tcPr>
                  <w:tcW w:w="1414" w:type="dxa"/>
                  <w:vAlign w:val="center"/>
                </w:tcPr>
                <w:p>
                  <w:pPr>
                    <w:jc w:val="center"/>
                    <w:rPr>
                      <w:szCs w:val="21"/>
                    </w:rPr>
                  </w:pPr>
                  <w:r>
                    <w:rPr>
                      <w:szCs w:val="21"/>
                    </w:rPr>
                    <w:t>等效连续 A 声级（LeqA）</w:t>
                  </w:r>
                </w:p>
              </w:tc>
              <w:tc>
                <w:tcPr>
                  <w:tcW w:w="1618" w:type="dxa"/>
                  <w:vAlign w:val="center"/>
                </w:tcPr>
                <w:p>
                  <w:pPr>
                    <w:jc w:val="center"/>
                  </w:pPr>
                  <w:r>
                    <w:rPr>
                      <w:szCs w:val="21"/>
                    </w:rPr>
                    <w:t>1次</w:t>
                  </w:r>
                  <w:r>
                    <w:rPr>
                      <w:rFonts w:hint="eastAsia"/>
                      <w:szCs w:val="21"/>
                    </w:rPr>
                    <w:t>/季度</w:t>
                  </w:r>
                </w:p>
              </w:tc>
              <w:tc>
                <w:tcPr>
                  <w:tcW w:w="1187" w:type="dxa"/>
                  <w:vAlign w:val="center"/>
                </w:tcPr>
                <w:p>
                  <w:pPr>
                    <w:jc w:val="center"/>
                  </w:pPr>
                  <w:r>
                    <w:t>企业自行委托</w:t>
                  </w:r>
                </w:p>
              </w:tc>
              <w:tc>
                <w:tcPr>
                  <w:tcW w:w="3436" w:type="dxa"/>
                  <w:vAlign w:val="center"/>
                </w:tcPr>
                <w:p>
                  <w:pPr>
                    <w:jc w:val="center"/>
                  </w:pPr>
                  <w:r>
                    <w:t>《工业企业厂界环境噪声排放标准》（GB12348-2008）2类标准</w:t>
                  </w:r>
                </w:p>
              </w:tc>
            </w:tr>
          </w:tbl>
          <w:p>
            <w:pPr>
              <w:spacing w:line="460" w:lineRule="exact"/>
              <w:ind w:firstLine="482" w:firstLineChars="200"/>
              <w:rPr>
                <w:b/>
                <w:sz w:val="24"/>
                <w:szCs w:val="28"/>
              </w:rPr>
            </w:pPr>
            <w:r>
              <w:rPr>
                <w:b/>
                <w:sz w:val="24"/>
                <w:szCs w:val="28"/>
              </w:rPr>
              <w:t>四、固体废弃物</w:t>
            </w:r>
          </w:p>
          <w:p>
            <w:pPr>
              <w:spacing w:line="460" w:lineRule="exact"/>
              <w:ind w:firstLine="480"/>
              <w:rPr>
                <w:sz w:val="24"/>
              </w:rPr>
            </w:pPr>
            <w:r>
              <w:rPr>
                <w:rFonts w:hint="eastAsia"/>
                <w:sz w:val="24"/>
              </w:rPr>
              <w:t>本项目固体废物主要为废弃离子交换树脂及污水处理站污泥。</w:t>
            </w:r>
          </w:p>
          <w:p>
            <w:pPr>
              <w:spacing w:line="460" w:lineRule="exact"/>
              <w:ind w:firstLine="480"/>
              <w:rPr>
                <w:bCs/>
                <w:sz w:val="24"/>
              </w:rPr>
            </w:pPr>
            <w:r>
              <w:rPr>
                <w:rFonts w:hint="eastAsia"/>
                <w:bCs/>
                <w:sz w:val="24"/>
              </w:rPr>
              <w:t>（1）废弃离子交换树脂</w:t>
            </w:r>
          </w:p>
          <w:p>
            <w:pPr>
              <w:spacing w:line="460" w:lineRule="exact"/>
              <w:ind w:firstLine="480"/>
              <w:rPr>
                <w:bCs/>
                <w:sz w:val="24"/>
              </w:rPr>
            </w:pPr>
            <w:r>
              <w:rPr>
                <w:rFonts w:hint="eastAsia"/>
                <w:bCs/>
                <w:sz w:val="24"/>
              </w:rPr>
              <w:t>根据企业提供资料，废弃离子交换树脂产生量约为0</w:t>
            </w:r>
            <w:r>
              <w:rPr>
                <w:bCs/>
                <w:sz w:val="24"/>
              </w:rPr>
              <w:t>.2</w:t>
            </w:r>
            <w:r>
              <w:rPr>
                <w:rFonts w:hint="eastAsia"/>
                <w:bCs/>
                <w:sz w:val="24"/>
              </w:rPr>
              <w:t>t/a，由厂家进行更换并回收处置。</w:t>
            </w:r>
          </w:p>
          <w:p>
            <w:pPr>
              <w:spacing w:line="460" w:lineRule="exact"/>
              <w:ind w:firstLine="480"/>
              <w:rPr>
                <w:bCs/>
                <w:sz w:val="24"/>
              </w:rPr>
            </w:pPr>
            <w:r>
              <w:rPr>
                <w:rFonts w:hint="eastAsia"/>
                <w:bCs/>
                <w:sz w:val="24"/>
              </w:rPr>
              <w:t>（2）污水处理站污泥</w:t>
            </w:r>
          </w:p>
          <w:p>
            <w:pPr>
              <w:spacing w:line="460" w:lineRule="exact"/>
              <w:ind w:firstLine="480"/>
              <w:rPr>
                <w:bCs/>
                <w:sz w:val="24"/>
              </w:rPr>
            </w:pPr>
            <w:r>
              <w:rPr>
                <w:rFonts w:hint="eastAsia"/>
                <w:bCs/>
                <w:sz w:val="24"/>
              </w:rPr>
              <w:t>根据企业实际运行情况，污水处理站污泥产生量约为</w:t>
            </w:r>
            <w:r>
              <w:rPr>
                <w:bCs/>
                <w:sz w:val="24"/>
              </w:rPr>
              <w:t>0.3t/a</w:t>
            </w:r>
            <w:r>
              <w:rPr>
                <w:rFonts w:hint="eastAsia"/>
                <w:bCs/>
                <w:sz w:val="24"/>
              </w:rPr>
              <w:t>，根据《一般固体废物分类与代码》（G</w:t>
            </w:r>
            <w:r>
              <w:rPr>
                <w:bCs/>
                <w:sz w:val="24"/>
              </w:rPr>
              <w:t>B/T 39198-2020</w:t>
            </w:r>
            <w:r>
              <w:rPr>
                <w:rFonts w:hint="eastAsia"/>
                <w:bCs/>
                <w:sz w:val="24"/>
              </w:rPr>
              <w:t>），代码为1</w:t>
            </w:r>
            <w:r>
              <w:rPr>
                <w:bCs/>
                <w:sz w:val="24"/>
              </w:rPr>
              <w:t>44-001-61</w:t>
            </w:r>
            <w:r>
              <w:rPr>
                <w:rFonts w:hint="eastAsia"/>
                <w:bCs/>
                <w:sz w:val="24"/>
              </w:rPr>
              <w:t>，污泥产生量较小，产生后拉运至呼图壁县生活垃圾填埋场处置，不在厂区内暂存。</w:t>
            </w:r>
          </w:p>
          <w:p>
            <w:pPr>
              <w:spacing w:line="460" w:lineRule="exact"/>
              <w:ind w:firstLine="480"/>
              <w:rPr>
                <w:sz w:val="24"/>
              </w:rPr>
            </w:pPr>
            <w:r>
              <w:rPr>
                <w:rFonts w:hint="eastAsia"/>
                <w:sz w:val="24"/>
              </w:rPr>
              <w:t>根据《生活垃圾填埋场污染控制标准》（G</w:t>
            </w:r>
            <w:r>
              <w:rPr>
                <w:sz w:val="24"/>
              </w:rPr>
              <w:t>B16889-2008</w:t>
            </w:r>
            <w:r>
              <w:rPr>
                <w:rFonts w:hint="eastAsia"/>
                <w:sz w:val="24"/>
              </w:rPr>
              <w:t>）中6</w:t>
            </w:r>
            <w:r>
              <w:rPr>
                <w:sz w:val="24"/>
              </w:rPr>
              <w:t>.1</w:t>
            </w:r>
            <w:r>
              <w:rPr>
                <w:rFonts w:hint="eastAsia"/>
                <w:sz w:val="24"/>
              </w:rPr>
              <w:t>服装加工、食品加工以及其他城市生活服务行业产生的性质与生活垃圾相近的一般工业固体废物，可直接进入生活垃圾填埋场填埋处置；以及污泥经处理后含水率小于6</w:t>
            </w:r>
            <w:r>
              <w:rPr>
                <w:sz w:val="24"/>
              </w:rPr>
              <w:t>0%</w:t>
            </w:r>
            <w:r>
              <w:rPr>
                <w:rFonts w:hint="eastAsia"/>
                <w:sz w:val="24"/>
              </w:rPr>
              <w:t>，可以直接进入生活垃圾填埋场填埋处置，本项目污泥经板框压滤机处置后含水率小于6</w:t>
            </w:r>
            <w:r>
              <w:rPr>
                <w:sz w:val="24"/>
              </w:rPr>
              <w:t>0%</w:t>
            </w:r>
            <w:r>
              <w:rPr>
                <w:rFonts w:hint="eastAsia"/>
                <w:sz w:val="24"/>
              </w:rPr>
              <w:t>，因此可直接进入生活垃圾填埋场处置。</w:t>
            </w:r>
          </w:p>
          <w:p>
            <w:pPr>
              <w:spacing w:line="460" w:lineRule="exact"/>
              <w:ind w:firstLine="480"/>
              <w:rPr>
                <w:sz w:val="24"/>
              </w:rPr>
            </w:pPr>
            <w:r>
              <w:rPr>
                <w:sz w:val="24"/>
              </w:rPr>
              <w:t>呼图壁县生活垃圾填埋场</w:t>
            </w:r>
            <w:r>
              <w:rPr>
                <w:rFonts w:hint="eastAsia"/>
                <w:sz w:val="24"/>
              </w:rPr>
              <w:t>依托可行性：</w:t>
            </w:r>
          </w:p>
          <w:p>
            <w:pPr>
              <w:spacing w:line="460" w:lineRule="exact"/>
              <w:ind w:firstLine="480"/>
              <w:rPr>
                <w:sz w:val="24"/>
              </w:rPr>
            </w:pPr>
            <w:r>
              <w:rPr>
                <w:sz w:val="24"/>
              </w:rPr>
              <w:t>呼图壁县现有的一座全防渗生活垃圾处理场，场址位于呼图壁县至芳草湖农场公路（呼芳公路）西侧，距离县城14km。</w:t>
            </w:r>
          </w:p>
          <w:p>
            <w:pPr>
              <w:spacing w:line="460" w:lineRule="exact"/>
              <w:ind w:firstLine="480"/>
              <w:rPr>
                <w:sz w:val="24"/>
              </w:rPr>
            </w:pPr>
            <w:r>
              <w:rPr>
                <w:sz w:val="24"/>
              </w:rPr>
              <w:t>2007年6月，呼图壁县生活垃圾场可行性研究报告由新疆城乡规划设计研究院编制完成，2007年7月新疆生产建设兵团勘测规划设计研究院编制完成该项目环境影响评价，2007年10月自治区环保局审批通过了该项目环评批复，2011年完成了工程项目建设并于2015年完成配套附属设施项目建设。</w:t>
            </w:r>
          </w:p>
          <w:p>
            <w:pPr>
              <w:spacing w:line="460" w:lineRule="exact"/>
              <w:ind w:firstLine="480"/>
              <w:rPr>
                <w:sz w:val="24"/>
              </w:rPr>
            </w:pPr>
            <w:r>
              <w:rPr>
                <w:sz w:val="24"/>
              </w:rPr>
              <w:t>呼图壁县生活垃圾填埋场工程建设用地8.8万平方米，远期预留用地12万平方米。生活垃圾填埋场处理工艺为卫生填埋工艺，近期填埋规模为130t/d，远期填埋规模为140t/d。近期有效库容61.2万立方米，有效服务年限10年。</w:t>
            </w:r>
            <w:r>
              <w:rPr>
                <w:rFonts w:hint="eastAsia"/>
                <w:sz w:val="24"/>
              </w:rPr>
              <w:t>本项目</w:t>
            </w:r>
            <w:r>
              <w:rPr>
                <w:rFonts w:hint="eastAsia"/>
                <w:bCs/>
                <w:sz w:val="24"/>
              </w:rPr>
              <w:t>污泥产生量约为</w:t>
            </w:r>
            <w:r>
              <w:rPr>
                <w:bCs/>
                <w:sz w:val="24"/>
              </w:rPr>
              <w:t>0.3t/a</w:t>
            </w:r>
            <w:r>
              <w:rPr>
                <w:rFonts w:hint="eastAsia"/>
                <w:bCs/>
                <w:sz w:val="24"/>
              </w:rPr>
              <w:t>，</w:t>
            </w:r>
            <w:r>
              <w:rPr>
                <w:rFonts w:hint="eastAsia"/>
                <w:sz w:val="24"/>
              </w:rPr>
              <w:t>依托可行。</w:t>
            </w:r>
          </w:p>
          <w:p>
            <w:pPr>
              <w:spacing w:line="460" w:lineRule="exact"/>
              <w:ind w:firstLine="480"/>
              <w:rPr>
                <w:sz w:val="24"/>
              </w:rPr>
            </w:pPr>
            <w:r>
              <w:rPr>
                <w:sz w:val="24"/>
              </w:rPr>
              <w:t>本项目</w:t>
            </w:r>
            <w:r>
              <w:rPr>
                <w:rFonts w:hint="eastAsia"/>
                <w:sz w:val="24"/>
              </w:rPr>
              <w:t>固体</w:t>
            </w:r>
            <w:r>
              <w:rPr>
                <w:sz w:val="24"/>
              </w:rPr>
              <w:t>废物产生情况汇总见表4-16。</w:t>
            </w:r>
          </w:p>
          <w:p>
            <w:pPr>
              <w:ind w:firstLine="420" w:firstLineChars="200"/>
              <w:rPr>
                <w:rFonts w:ascii="黑体" w:hAnsi="黑体" w:eastAsia="黑体"/>
                <w:szCs w:val="21"/>
              </w:rPr>
            </w:pPr>
            <w:r>
              <w:rPr>
                <w:rFonts w:ascii="黑体" w:hAnsi="黑体" w:eastAsia="黑体"/>
                <w:szCs w:val="21"/>
              </w:rPr>
              <w:t xml:space="preserve">表4-16                </w:t>
            </w:r>
            <w:r>
              <w:rPr>
                <w:rFonts w:hint="eastAsia" w:ascii="黑体" w:hAnsi="黑体" w:eastAsia="黑体"/>
                <w:szCs w:val="21"/>
              </w:rPr>
              <w:t>固体</w:t>
            </w:r>
            <w:r>
              <w:rPr>
                <w:rFonts w:ascii="黑体" w:hAnsi="黑体" w:eastAsia="黑体"/>
                <w:szCs w:val="21"/>
              </w:rPr>
              <w:t>废物产生情况汇总一览表</w:t>
            </w:r>
          </w:p>
          <w:tbl>
            <w:tblPr>
              <w:tblStyle w:val="46"/>
              <w:tblW w:w="893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
            <w:tblGrid>
              <w:gridCol w:w="480"/>
              <w:gridCol w:w="1010"/>
              <w:gridCol w:w="1119"/>
              <w:gridCol w:w="1720"/>
              <w:gridCol w:w="1720"/>
              <w:gridCol w:w="1913"/>
              <w:gridCol w:w="9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80" w:type="dxa"/>
                  <w:shd w:val="clear" w:color="auto" w:fill="FFFFFF"/>
                  <w:vAlign w:val="center"/>
                </w:tcPr>
                <w:p>
                  <w:pPr>
                    <w:pStyle w:val="114"/>
                    <w:widowControl w:val="0"/>
                    <w:rPr>
                      <w:lang w:eastAsia="zh-CN"/>
                    </w:rPr>
                  </w:pPr>
                  <w:r>
                    <w:rPr>
                      <w:lang w:eastAsia="zh-CN"/>
                    </w:rPr>
                    <w:t>序号</w:t>
                  </w:r>
                </w:p>
              </w:tc>
              <w:tc>
                <w:tcPr>
                  <w:tcW w:w="1010" w:type="dxa"/>
                  <w:shd w:val="clear" w:color="auto" w:fill="FFFFFF"/>
                  <w:vAlign w:val="center"/>
                </w:tcPr>
                <w:p>
                  <w:pPr>
                    <w:pStyle w:val="114"/>
                    <w:widowControl w:val="0"/>
                    <w:rPr>
                      <w:lang w:eastAsia="zh-CN"/>
                    </w:rPr>
                  </w:pPr>
                  <w:r>
                    <w:rPr>
                      <w:rFonts w:hint="eastAsia"/>
                      <w:lang w:eastAsia="zh-CN"/>
                    </w:rPr>
                    <w:t>产生环节</w:t>
                  </w:r>
                </w:p>
              </w:tc>
              <w:tc>
                <w:tcPr>
                  <w:tcW w:w="1119" w:type="dxa"/>
                  <w:shd w:val="clear" w:color="auto" w:fill="FFFFFF"/>
                  <w:vAlign w:val="center"/>
                </w:tcPr>
                <w:p>
                  <w:pPr>
                    <w:pStyle w:val="114"/>
                    <w:widowControl w:val="0"/>
                    <w:rPr>
                      <w:lang w:eastAsia="zh-CN"/>
                    </w:rPr>
                  </w:pPr>
                  <w:r>
                    <w:rPr>
                      <w:lang w:eastAsia="zh-CN"/>
                    </w:rPr>
                    <w:t>污染物名称</w:t>
                  </w:r>
                </w:p>
              </w:tc>
              <w:tc>
                <w:tcPr>
                  <w:tcW w:w="1720" w:type="dxa"/>
                  <w:shd w:val="clear" w:color="auto" w:fill="FFFFFF"/>
                  <w:vAlign w:val="center"/>
                </w:tcPr>
                <w:p>
                  <w:pPr>
                    <w:pStyle w:val="114"/>
                    <w:widowControl w:val="0"/>
                    <w:rPr>
                      <w:lang w:eastAsia="zh-CN"/>
                    </w:rPr>
                  </w:pPr>
                  <w:r>
                    <w:rPr>
                      <w:rFonts w:hint="eastAsia"/>
                      <w:lang w:eastAsia="zh-CN"/>
                    </w:rPr>
                    <w:t>属性</w:t>
                  </w:r>
                </w:p>
              </w:tc>
              <w:tc>
                <w:tcPr>
                  <w:tcW w:w="1720" w:type="dxa"/>
                  <w:shd w:val="clear" w:color="auto" w:fill="FFFFFF"/>
                  <w:vAlign w:val="center"/>
                </w:tcPr>
                <w:p>
                  <w:pPr>
                    <w:pStyle w:val="114"/>
                    <w:widowControl w:val="0"/>
                    <w:rPr>
                      <w:lang w:eastAsia="zh-CN"/>
                    </w:rPr>
                  </w:pPr>
                  <w:r>
                    <w:rPr>
                      <w:rFonts w:hint="eastAsia"/>
                      <w:lang w:eastAsia="zh-CN"/>
                    </w:rPr>
                    <w:t>产生量t/a</w:t>
                  </w:r>
                </w:p>
              </w:tc>
              <w:tc>
                <w:tcPr>
                  <w:tcW w:w="1913" w:type="dxa"/>
                  <w:shd w:val="clear" w:color="auto" w:fill="FFFFFF"/>
                  <w:vAlign w:val="center"/>
                </w:tcPr>
                <w:p>
                  <w:pPr>
                    <w:pStyle w:val="114"/>
                    <w:widowControl w:val="0"/>
                    <w:rPr>
                      <w:lang w:eastAsia="zh-CN"/>
                    </w:rPr>
                  </w:pPr>
                  <w:r>
                    <w:rPr>
                      <w:lang w:eastAsia="zh-CN"/>
                    </w:rPr>
                    <w:t>处理措施</w:t>
                  </w:r>
                </w:p>
              </w:tc>
              <w:tc>
                <w:tcPr>
                  <w:tcW w:w="976" w:type="dxa"/>
                  <w:shd w:val="clear" w:color="auto" w:fill="FFFFFF"/>
                  <w:vAlign w:val="center"/>
                </w:tcPr>
                <w:p>
                  <w:pPr>
                    <w:pStyle w:val="114"/>
                    <w:widowControl w:val="0"/>
                    <w:rPr>
                      <w:lang w:eastAsia="zh-CN"/>
                    </w:rPr>
                  </w:pPr>
                  <w:r>
                    <w:rPr>
                      <w:rFonts w:hint="eastAsia"/>
                      <w:lang w:eastAsia="zh-CN"/>
                    </w:rPr>
                    <w:t>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80" w:type="dxa"/>
                  <w:shd w:val="clear" w:color="auto" w:fill="FFFFFF"/>
                  <w:vAlign w:val="center"/>
                </w:tcPr>
                <w:p>
                  <w:pPr>
                    <w:pStyle w:val="114"/>
                    <w:widowControl w:val="0"/>
                    <w:rPr>
                      <w:lang w:eastAsia="zh-CN"/>
                    </w:rPr>
                  </w:pPr>
                  <w:r>
                    <w:rPr>
                      <w:lang w:eastAsia="zh-CN"/>
                    </w:rPr>
                    <w:t>1</w:t>
                  </w:r>
                </w:p>
              </w:tc>
              <w:tc>
                <w:tcPr>
                  <w:tcW w:w="1010" w:type="dxa"/>
                  <w:shd w:val="clear" w:color="auto" w:fill="FFFFFF"/>
                  <w:vAlign w:val="center"/>
                </w:tcPr>
                <w:p>
                  <w:pPr>
                    <w:pStyle w:val="114"/>
                    <w:widowControl w:val="0"/>
                    <w:rPr>
                      <w:lang w:eastAsia="zh-CN"/>
                    </w:rPr>
                  </w:pPr>
                  <w:r>
                    <w:rPr>
                      <w:rFonts w:hint="eastAsia"/>
                      <w:lang w:eastAsia="zh-CN"/>
                    </w:rPr>
                    <w:t>软水制备</w:t>
                  </w:r>
                </w:p>
              </w:tc>
              <w:tc>
                <w:tcPr>
                  <w:tcW w:w="1119" w:type="dxa"/>
                  <w:shd w:val="clear" w:color="auto" w:fill="FFFFFF"/>
                  <w:vAlign w:val="center"/>
                </w:tcPr>
                <w:p>
                  <w:pPr>
                    <w:pStyle w:val="114"/>
                    <w:widowControl w:val="0"/>
                    <w:rPr>
                      <w:lang w:eastAsia="zh-CN"/>
                    </w:rPr>
                  </w:pPr>
                  <w:r>
                    <w:rPr>
                      <w:rFonts w:hint="eastAsia"/>
                      <w:lang w:eastAsia="zh-CN"/>
                    </w:rPr>
                    <w:t>废弃离子交换树脂</w:t>
                  </w:r>
                </w:p>
              </w:tc>
              <w:tc>
                <w:tcPr>
                  <w:tcW w:w="1720" w:type="dxa"/>
                  <w:shd w:val="clear" w:color="auto" w:fill="FFFFFF"/>
                  <w:vAlign w:val="center"/>
                </w:tcPr>
                <w:p>
                  <w:pPr>
                    <w:pStyle w:val="114"/>
                    <w:widowControl w:val="0"/>
                    <w:rPr>
                      <w:bCs/>
                      <w:lang w:eastAsia="zh-CN"/>
                    </w:rPr>
                  </w:pPr>
                  <w:r>
                    <w:rPr>
                      <w:rFonts w:hint="eastAsia"/>
                      <w:bCs/>
                      <w:lang w:eastAsia="zh-CN"/>
                    </w:rPr>
                    <w:t>一般固体废物</w:t>
                  </w:r>
                </w:p>
                <w:p>
                  <w:pPr>
                    <w:pStyle w:val="114"/>
                    <w:widowControl w:val="0"/>
                    <w:rPr>
                      <w:bCs/>
                      <w:lang w:eastAsia="zh-CN"/>
                    </w:rPr>
                  </w:pPr>
                  <w:r>
                    <w:rPr>
                      <w:bCs/>
                      <w:lang w:eastAsia="zh-CN"/>
                    </w:rPr>
                    <w:t>443-999-99</w:t>
                  </w:r>
                </w:p>
              </w:tc>
              <w:tc>
                <w:tcPr>
                  <w:tcW w:w="1720" w:type="dxa"/>
                  <w:shd w:val="clear" w:color="auto" w:fill="FFFFFF"/>
                  <w:vAlign w:val="center"/>
                </w:tcPr>
                <w:p>
                  <w:pPr>
                    <w:pStyle w:val="114"/>
                    <w:widowControl w:val="0"/>
                    <w:rPr>
                      <w:bCs/>
                      <w:lang w:eastAsia="zh-CN"/>
                    </w:rPr>
                  </w:pPr>
                  <w:r>
                    <w:rPr>
                      <w:rFonts w:hint="eastAsia"/>
                      <w:bCs/>
                      <w:lang w:eastAsia="zh-CN"/>
                    </w:rPr>
                    <w:t>0</w:t>
                  </w:r>
                  <w:r>
                    <w:rPr>
                      <w:bCs/>
                      <w:lang w:eastAsia="zh-CN"/>
                    </w:rPr>
                    <w:t>.2</w:t>
                  </w:r>
                </w:p>
              </w:tc>
              <w:tc>
                <w:tcPr>
                  <w:tcW w:w="1913" w:type="dxa"/>
                  <w:shd w:val="clear" w:color="auto" w:fill="FFFFFF"/>
                  <w:vAlign w:val="center"/>
                </w:tcPr>
                <w:p>
                  <w:pPr>
                    <w:pStyle w:val="114"/>
                    <w:widowControl w:val="0"/>
                    <w:rPr>
                      <w:lang w:eastAsia="zh-CN"/>
                    </w:rPr>
                  </w:pPr>
                  <w:r>
                    <w:rPr>
                      <w:bCs/>
                      <w:lang w:eastAsia="zh-CN"/>
                    </w:rPr>
                    <w:t>由厂家进行更换并回收处置</w:t>
                  </w:r>
                </w:p>
              </w:tc>
              <w:tc>
                <w:tcPr>
                  <w:tcW w:w="976" w:type="dxa"/>
                  <w:shd w:val="clear" w:color="auto" w:fill="FFFFFF"/>
                  <w:vAlign w:val="center"/>
                </w:tcPr>
                <w:p>
                  <w:pPr>
                    <w:pStyle w:val="114"/>
                    <w:widowControl w:val="0"/>
                    <w:rPr>
                      <w:lang w:eastAsia="zh-CN"/>
                    </w:rPr>
                  </w:pPr>
                  <w:r>
                    <w:rPr>
                      <w:rFonts w:hint="eastAsia"/>
                      <w:lang w:eastAsia="zh-CN"/>
                    </w:rPr>
                    <w:t>0</w:t>
                  </w:r>
                  <w:r>
                    <w:rPr>
                      <w:lang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 w:type="dxa"/>
                  <w:bottom w:w="0" w:type="dxa"/>
                  <w:right w:w="10" w:type="dxa"/>
                </w:tblCellMar>
              </w:tblPrEx>
              <w:trPr>
                <w:trHeight w:val="23" w:hRule="atLeast"/>
                <w:jc w:val="center"/>
              </w:trPr>
              <w:tc>
                <w:tcPr>
                  <w:tcW w:w="480" w:type="dxa"/>
                  <w:shd w:val="clear" w:color="auto" w:fill="FFFFFF"/>
                  <w:vAlign w:val="center"/>
                </w:tcPr>
                <w:p>
                  <w:pPr>
                    <w:pStyle w:val="114"/>
                    <w:widowControl w:val="0"/>
                    <w:rPr>
                      <w:lang w:eastAsia="zh-CN"/>
                    </w:rPr>
                  </w:pPr>
                  <w:r>
                    <w:rPr>
                      <w:rFonts w:hint="eastAsia"/>
                      <w:lang w:eastAsia="zh-CN"/>
                    </w:rPr>
                    <w:t>2</w:t>
                  </w:r>
                </w:p>
              </w:tc>
              <w:tc>
                <w:tcPr>
                  <w:tcW w:w="1010" w:type="dxa"/>
                  <w:shd w:val="clear" w:color="auto" w:fill="FFFFFF"/>
                  <w:vAlign w:val="center"/>
                </w:tcPr>
                <w:p>
                  <w:pPr>
                    <w:pStyle w:val="114"/>
                    <w:widowControl w:val="0"/>
                    <w:rPr>
                      <w:lang w:eastAsia="zh-CN"/>
                    </w:rPr>
                  </w:pPr>
                  <w:r>
                    <w:rPr>
                      <w:rFonts w:hint="eastAsia"/>
                      <w:lang w:eastAsia="zh-CN"/>
                    </w:rPr>
                    <w:t>污水处理站</w:t>
                  </w:r>
                </w:p>
              </w:tc>
              <w:tc>
                <w:tcPr>
                  <w:tcW w:w="1119" w:type="dxa"/>
                  <w:shd w:val="clear" w:color="auto" w:fill="FFFFFF"/>
                  <w:vAlign w:val="center"/>
                </w:tcPr>
                <w:p>
                  <w:pPr>
                    <w:pStyle w:val="114"/>
                    <w:widowControl w:val="0"/>
                    <w:rPr>
                      <w:lang w:eastAsia="zh-CN"/>
                    </w:rPr>
                  </w:pPr>
                  <w:r>
                    <w:rPr>
                      <w:rFonts w:hint="eastAsia"/>
                      <w:lang w:eastAsia="zh-CN"/>
                    </w:rPr>
                    <w:t>污泥</w:t>
                  </w:r>
                </w:p>
              </w:tc>
              <w:tc>
                <w:tcPr>
                  <w:tcW w:w="1720" w:type="dxa"/>
                  <w:shd w:val="clear" w:color="auto" w:fill="FFFFFF"/>
                  <w:vAlign w:val="center"/>
                </w:tcPr>
                <w:p>
                  <w:pPr>
                    <w:pStyle w:val="114"/>
                    <w:widowControl w:val="0"/>
                    <w:rPr>
                      <w:bCs/>
                      <w:lang w:eastAsia="zh-CN"/>
                    </w:rPr>
                  </w:pPr>
                  <w:r>
                    <w:rPr>
                      <w:rFonts w:hint="eastAsia"/>
                      <w:bCs/>
                      <w:lang w:eastAsia="zh-CN"/>
                    </w:rPr>
                    <w:t>一般固体废物</w:t>
                  </w:r>
                </w:p>
                <w:p>
                  <w:pPr>
                    <w:pStyle w:val="114"/>
                    <w:widowControl w:val="0"/>
                    <w:rPr>
                      <w:bCs/>
                      <w:lang w:eastAsia="zh-CN"/>
                    </w:rPr>
                  </w:pPr>
                  <w:r>
                    <w:rPr>
                      <w:rFonts w:hint="eastAsia"/>
                      <w:bCs/>
                      <w:lang w:eastAsia="zh-CN"/>
                    </w:rPr>
                    <w:t>1</w:t>
                  </w:r>
                  <w:r>
                    <w:rPr>
                      <w:bCs/>
                      <w:lang w:eastAsia="zh-CN"/>
                    </w:rPr>
                    <w:t>44-001-61</w:t>
                  </w:r>
                </w:p>
              </w:tc>
              <w:tc>
                <w:tcPr>
                  <w:tcW w:w="1720" w:type="dxa"/>
                  <w:shd w:val="clear" w:color="auto" w:fill="FFFFFF"/>
                  <w:vAlign w:val="center"/>
                </w:tcPr>
                <w:p>
                  <w:pPr>
                    <w:pStyle w:val="114"/>
                    <w:widowControl w:val="0"/>
                    <w:rPr>
                      <w:bCs/>
                      <w:lang w:eastAsia="zh-CN"/>
                    </w:rPr>
                  </w:pPr>
                  <w:r>
                    <w:rPr>
                      <w:bCs/>
                      <w:lang w:eastAsia="zh-CN"/>
                    </w:rPr>
                    <w:t>0.3</w:t>
                  </w:r>
                </w:p>
              </w:tc>
              <w:tc>
                <w:tcPr>
                  <w:tcW w:w="1913" w:type="dxa"/>
                  <w:shd w:val="clear" w:color="auto" w:fill="FFFFFF"/>
                  <w:vAlign w:val="center"/>
                </w:tcPr>
                <w:p>
                  <w:pPr>
                    <w:pStyle w:val="114"/>
                    <w:widowControl w:val="0"/>
                    <w:rPr>
                      <w:lang w:eastAsia="zh-CN"/>
                    </w:rPr>
                  </w:pPr>
                  <w:r>
                    <w:rPr>
                      <w:rFonts w:hint="eastAsia"/>
                      <w:lang w:eastAsia="zh-CN"/>
                    </w:rPr>
                    <w:t>收集后拉运至呼图壁县生活垃圾填埋场处置</w:t>
                  </w:r>
                </w:p>
              </w:tc>
              <w:tc>
                <w:tcPr>
                  <w:tcW w:w="976" w:type="dxa"/>
                  <w:shd w:val="clear" w:color="auto" w:fill="FFFFFF"/>
                  <w:vAlign w:val="center"/>
                </w:tcPr>
                <w:p>
                  <w:pPr>
                    <w:pStyle w:val="114"/>
                    <w:widowControl w:val="0"/>
                    <w:rPr>
                      <w:lang w:eastAsia="zh-CN"/>
                    </w:rPr>
                  </w:pPr>
                  <w:r>
                    <w:rPr>
                      <w:lang w:eastAsia="zh-CN"/>
                    </w:rPr>
                    <w:t>0.3</w:t>
                  </w:r>
                </w:p>
              </w:tc>
            </w:tr>
          </w:tbl>
          <w:p>
            <w:pPr>
              <w:pStyle w:val="110"/>
              <w:widowControl w:val="0"/>
              <w:ind w:firstLine="482"/>
              <w:rPr>
                <w:rFonts w:ascii="Times New Roman" w:hAnsi="Times New Roman" w:cs="Times New Roman"/>
                <w:b/>
                <w:color w:val="FF0000"/>
                <w:szCs w:val="22"/>
              </w:rPr>
            </w:pPr>
            <w:r>
              <w:rPr>
                <w:rFonts w:hint="eastAsia" w:ascii="Times New Roman" w:hAnsi="Times New Roman" w:cs="Times New Roman"/>
                <w:b/>
                <w:color w:val="FF0000"/>
                <w:szCs w:val="22"/>
              </w:rPr>
              <w:t>五、</w:t>
            </w:r>
            <w:r>
              <w:rPr>
                <w:rFonts w:ascii="Times New Roman" w:hAnsi="Times New Roman" w:cs="Times New Roman"/>
                <w:b/>
                <w:color w:val="FF0000"/>
                <w:szCs w:val="22"/>
              </w:rPr>
              <w:t>地下水及土壤污染防治措施</w:t>
            </w:r>
          </w:p>
          <w:p>
            <w:pPr>
              <w:pStyle w:val="110"/>
              <w:widowControl w:val="0"/>
              <w:ind w:firstLine="480"/>
              <w:rPr>
                <w:rFonts w:ascii="Times New Roman" w:hAnsi="Times New Roman" w:cs="Times New Roman"/>
                <w:color w:val="FF0000"/>
                <w:szCs w:val="22"/>
              </w:rPr>
            </w:pPr>
            <w:r>
              <w:rPr>
                <w:rFonts w:ascii="Times New Roman" w:hAnsi="Times New Roman" w:cs="Times New Roman"/>
                <w:color w:val="FF0000"/>
                <w:szCs w:val="22"/>
              </w:rPr>
              <w:t>根据现场勘查以及查阅资料，污水处理站以及锅炉房均已按照《环境影响评价技术导则 地下水环境》（HJ 610-2016）中相关要求做好防渗措施，不会对区域地下水及土壤环境造成影响。</w:t>
            </w:r>
          </w:p>
          <w:p>
            <w:pPr>
              <w:pStyle w:val="110"/>
              <w:widowControl w:val="0"/>
              <w:ind w:firstLine="482"/>
              <w:rPr>
                <w:rFonts w:ascii="Times New Roman" w:hAnsi="Times New Roman" w:cs="Times New Roman"/>
                <w:b/>
                <w:szCs w:val="22"/>
              </w:rPr>
            </w:pPr>
            <w:r>
              <w:rPr>
                <w:rFonts w:ascii="Times New Roman" w:hAnsi="Times New Roman" w:cs="Times New Roman"/>
                <w:b/>
                <w:szCs w:val="22"/>
              </w:rPr>
              <w:t>六、环境风险分析</w:t>
            </w:r>
          </w:p>
          <w:p>
            <w:pPr>
              <w:spacing w:line="460" w:lineRule="exact"/>
              <w:ind w:firstLine="480" w:firstLineChars="200"/>
              <w:rPr>
                <w:sz w:val="24"/>
              </w:rPr>
            </w:pPr>
            <w:r>
              <w:rPr>
                <w:rFonts w:hint="eastAsia"/>
                <w:sz w:val="24"/>
              </w:rPr>
              <w:t>（1）环境风险评价目的</w:t>
            </w:r>
          </w:p>
          <w:p>
            <w:pPr>
              <w:spacing w:line="460" w:lineRule="exact"/>
              <w:ind w:firstLine="480" w:firstLineChars="200"/>
              <w:rPr>
                <w:sz w:val="24"/>
              </w:rPr>
            </w:pPr>
            <w:r>
              <w:rPr>
                <w:sz w:val="24"/>
              </w:rPr>
              <w:t>环境风险评价的目的是分析建设项目存在的潜在危险、有害因素，建设项目建设和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w:t>
            </w:r>
          </w:p>
          <w:p>
            <w:pPr>
              <w:spacing w:line="460" w:lineRule="exact"/>
              <w:ind w:firstLine="480" w:firstLineChars="200"/>
              <w:rPr>
                <w:sz w:val="24"/>
              </w:rPr>
            </w:pPr>
            <w:bookmarkStart w:id="30" w:name="_Toc20720"/>
            <w:r>
              <w:rPr>
                <w:sz w:val="24"/>
              </w:rPr>
              <w:t>（2）风险调查</w:t>
            </w:r>
          </w:p>
          <w:p>
            <w:pPr>
              <w:spacing w:line="460" w:lineRule="exact"/>
              <w:ind w:firstLine="200"/>
              <w:rPr>
                <w:sz w:val="24"/>
              </w:rPr>
            </w:pPr>
            <w:r>
              <w:rPr>
                <w:sz w:val="24"/>
              </w:rPr>
              <w:t>本项目涉及的风险物质主要为管道天然气，天然气属于易燃、易爆物质，经对比可燃物质的危险特性，结合生产设施风险识别结果，项目最大可信事故设定为天然气在使用过程中发生泄漏、火灾、爆炸事故。</w:t>
            </w:r>
          </w:p>
          <w:p>
            <w:pPr>
              <w:spacing w:line="460" w:lineRule="exact"/>
              <w:ind w:firstLine="480" w:firstLineChars="200"/>
              <w:rPr>
                <w:rFonts w:hAnsi="宋体"/>
                <w:sz w:val="24"/>
              </w:rPr>
            </w:pPr>
            <w:r>
              <w:rPr>
                <w:rFonts w:hint="eastAsia" w:hAnsi="宋体"/>
                <w:sz w:val="24"/>
              </w:rPr>
              <w:t>（3）</w:t>
            </w:r>
            <w:r>
              <w:rPr>
                <w:rFonts w:hAnsi="宋体"/>
                <w:sz w:val="24"/>
              </w:rPr>
              <w:t>环境风险潜势初判</w:t>
            </w:r>
          </w:p>
          <w:p>
            <w:pPr>
              <w:spacing w:line="460" w:lineRule="exact"/>
              <w:ind w:firstLine="480" w:firstLineChars="200"/>
              <w:rPr>
                <w:rFonts w:hAnsi="宋体"/>
                <w:sz w:val="24"/>
              </w:rPr>
            </w:pPr>
            <w:r>
              <w:rPr>
                <w:rFonts w:hint="eastAsia" w:hAnsi="宋体"/>
                <w:sz w:val="24"/>
              </w:rPr>
              <w:t>1）</w:t>
            </w:r>
            <w:r>
              <w:rPr>
                <w:rFonts w:hAnsi="宋体"/>
                <w:sz w:val="24"/>
              </w:rPr>
              <w:t>危险物质数量与临界量比值（Q）</w:t>
            </w:r>
          </w:p>
          <w:p>
            <w:pPr>
              <w:spacing w:line="460" w:lineRule="exact"/>
              <w:ind w:firstLine="480" w:firstLineChars="200"/>
              <w:rPr>
                <w:rFonts w:hAnsi="宋体"/>
                <w:sz w:val="24"/>
              </w:rPr>
            </w:pPr>
            <w:r>
              <w:rPr>
                <w:rFonts w:hint="eastAsia" w:hAnsi="宋体"/>
                <w:sz w:val="24"/>
              </w:rPr>
              <w:t>根据《建设项目环境风险评价技术导则》（</w:t>
            </w:r>
            <w:r>
              <w:rPr>
                <w:rFonts w:hAnsi="宋体"/>
                <w:sz w:val="24"/>
              </w:rPr>
              <w:t>HJ169-2018</w:t>
            </w:r>
            <w:r>
              <w:rPr>
                <w:rFonts w:hint="eastAsia" w:hAnsi="宋体"/>
                <w:sz w:val="24"/>
              </w:rPr>
              <w:t>）和《危险化学品重大危险源辨识》（</w:t>
            </w:r>
            <w:r>
              <w:rPr>
                <w:rFonts w:hAnsi="宋体"/>
                <w:sz w:val="24"/>
              </w:rPr>
              <w:t>GB18218-2018</w:t>
            </w:r>
            <w:r>
              <w:rPr>
                <w:rFonts w:hint="eastAsia" w:hAnsi="宋体"/>
                <w:sz w:val="24"/>
              </w:rPr>
              <w:t>），危险化学品重大危险源是指</w:t>
            </w:r>
            <w:r>
              <w:rPr>
                <w:rFonts w:hAnsi="宋体"/>
                <w:sz w:val="24"/>
              </w:rPr>
              <w:t>“</w:t>
            </w:r>
            <w:r>
              <w:rPr>
                <w:rFonts w:hint="eastAsia" w:hAnsi="宋体"/>
                <w:sz w:val="24"/>
              </w:rPr>
              <w:t>长期地或临时地生产、加工、搬运、使用或储存危险化学品，且危险化学品的数量等于或</w:t>
            </w:r>
            <w:r>
              <w:rPr>
                <w:rFonts w:hAnsi="宋体"/>
                <w:sz w:val="24"/>
              </w:rPr>
              <w:t>超过临界量的单元”。计算所涉及的每种危险物质在厂界内的最大存在总量与其在附录B</w:t>
            </w:r>
            <w:r>
              <w:rPr>
                <w:rFonts w:hint="eastAsia" w:hAnsi="宋体"/>
                <w:sz w:val="24"/>
              </w:rPr>
              <w:t>中对应临界量的比值</w:t>
            </w:r>
            <w:r>
              <w:rPr>
                <w:rFonts w:hAnsi="宋体"/>
                <w:sz w:val="24"/>
              </w:rPr>
              <w:t>Q</w:t>
            </w:r>
            <w:r>
              <w:rPr>
                <w:rFonts w:hint="eastAsia" w:hAnsi="宋体"/>
                <w:sz w:val="24"/>
              </w:rPr>
              <w:t>。在不同厂区的同一种物质，按其在厂界内的最大存在总量计算。单元内存在的危险化学品的数量根据处理危险化学品的多少，区分为以下两种情况：</w:t>
            </w:r>
            <w:r>
              <w:rPr>
                <w:rFonts w:hAnsi="宋体"/>
                <w:sz w:val="24"/>
              </w:rPr>
              <w:t xml:space="preserve"> </w:t>
            </w:r>
          </w:p>
          <w:p>
            <w:pPr>
              <w:spacing w:line="460" w:lineRule="exact"/>
              <w:ind w:firstLine="480" w:firstLineChars="200"/>
              <w:rPr>
                <w:rFonts w:hAnsi="宋体"/>
                <w:sz w:val="24"/>
              </w:rPr>
            </w:pPr>
            <w:r>
              <w:rPr>
                <w:rFonts w:hint="eastAsia" w:hAnsi="宋体"/>
                <w:sz w:val="24"/>
              </w:rPr>
              <w:t>①当只涉及一种危险物质时，计算该物质的总量与其临界量比值，即为</w:t>
            </w:r>
            <w:r>
              <w:rPr>
                <w:rFonts w:hAnsi="宋体"/>
                <w:sz w:val="24"/>
              </w:rPr>
              <w:t>Q</w:t>
            </w:r>
            <w:r>
              <w:rPr>
                <w:rFonts w:hint="eastAsia" w:hAnsi="宋体"/>
                <w:sz w:val="24"/>
              </w:rPr>
              <w:t>；</w:t>
            </w:r>
          </w:p>
          <w:p>
            <w:pPr>
              <w:spacing w:line="460" w:lineRule="exact"/>
              <w:ind w:firstLine="480" w:firstLineChars="200"/>
              <w:rPr>
                <w:rFonts w:hAnsi="宋体"/>
                <w:sz w:val="24"/>
              </w:rPr>
            </w:pPr>
            <w:r>
              <w:rPr>
                <w:rFonts w:hint="eastAsia" w:hAnsi="宋体"/>
                <w:sz w:val="24"/>
              </w:rPr>
              <w:t>②当存在多种危险物质时，则按下式计算物质总量与其临界量比值（</w:t>
            </w:r>
            <w:r>
              <w:rPr>
                <w:rFonts w:hAnsi="宋体"/>
                <w:sz w:val="24"/>
              </w:rPr>
              <w:t>Q</w:t>
            </w:r>
            <w:r>
              <w:rPr>
                <w:rFonts w:hint="eastAsia" w:hAnsi="宋体"/>
                <w:sz w:val="24"/>
              </w:rPr>
              <w:t>）：</w:t>
            </w:r>
          </w:p>
          <w:p>
            <w:pPr>
              <w:ind w:firstLine="482" w:firstLineChars="200"/>
              <w:jc w:val="center"/>
              <w:rPr>
                <w:rFonts w:hAnsi="宋体"/>
                <w:b/>
                <w:bCs/>
                <w:sz w:val="24"/>
              </w:rPr>
            </w:pPr>
            <w:r>
              <w:rPr>
                <w:rFonts w:hAnsi="宋体"/>
                <w:b/>
                <w:bCs/>
                <w:sz w:val="24"/>
              </w:rPr>
              <w:drawing>
                <wp:inline distT="0" distB="0" distL="0" distR="0">
                  <wp:extent cx="1345565" cy="422910"/>
                  <wp:effectExtent l="19050" t="0" r="6985" b="0"/>
                  <wp:docPr id="78" name="图片框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框 1046"/>
                          <pic:cNvPicPr>
                            <a:picLocks noChangeAspect="1" noChangeArrowheads="1"/>
                          </pic:cNvPicPr>
                        </pic:nvPicPr>
                        <pic:blipFill>
                          <a:blip r:embed="rId10" cstate="print"/>
                          <a:srcRect/>
                          <a:stretch>
                            <a:fillRect/>
                          </a:stretch>
                        </pic:blipFill>
                        <pic:spPr>
                          <a:xfrm>
                            <a:off x="0" y="0"/>
                            <a:ext cx="1345565" cy="422910"/>
                          </a:xfrm>
                          <a:prstGeom prst="rect">
                            <a:avLst/>
                          </a:prstGeom>
                          <a:noFill/>
                          <a:ln w="9525">
                            <a:noFill/>
                            <a:miter lim="800000"/>
                            <a:headEnd/>
                            <a:tailEnd/>
                          </a:ln>
                        </pic:spPr>
                      </pic:pic>
                    </a:graphicData>
                  </a:graphic>
                </wp:inline>
              </w:drawing>
            </w:r>
          </w:p>
          <w:p>
            <w:pPr>
              <w:spacing w:line="460" w:lineRule="exact"/>
              <w:ind w:firstLine="480" w:firstLineChars="200"/>
              <w:rPr>
                <w:rFonts w:hAnsi="宋体"/>
                <w:sz w:val="24"/>
              </w:rPr>
            </w:pPr>
            <w:r>
              <w:rPr>
                <w:rFonts w:hint="eastAsia" w:hAnsi="宋体"/>
                <w:sz w:val="24"/>
              </w:rPr>
              <w:t>式中：</w:t>
            </w:r>
            <w:r>
              <w:rPr>
                <w:rFonts w:hAnsi="宋体"/>
                <w:iCs/>
                <w:sz w:val="24"/>
              </w:rPr>
              <w:t>q</w:t>
            </w:r>
            <w:r>
              <w:rPr>
                <w:rFonts w:hAnsi="宋体"/>
                <w:iCs/>
                <w:sz w:val="24"/>
                <w:vertAlign w:val="subscript"/>
              </w:rPr>
              <w:t>1</w:t>
            </w:r>
            <w:r>
              <w:rPr>
                <w:rFonts w:hint="eastAsia" w:hAnsi="宋体"/>
                <w:sz w:val="24"/>
              </w:rPr>
              <w:t>，</w:t>
            </w:r>
            <w:r>
              <w:rPr>
                <w:rFonts w:hAnsi="宋体"/>
                <w:iCs/>
                <w:sz w:val="24"/>
              </w:rPr>
              <w:t>q</w:t>
            </w:r>
            <w:r>
              <w:rPr>
                <w:rFonts w:hAnsi="宋体"/>
                <w:iCs/>
                <w:sz w:val="24"/>
                <w:vertAlign w:val="subscript"/>
              </w:rPr>
              <w:t>2</w:t>
            </w:r>
            <w:r>
              <w:rPr>
                <w:rFonts w:hint="eastAsia" w:hAnsi="宋体"/>
                <w:sz w:val="24"/>
              </w:rPr>
              <w:t>，</w:t>
            </w:r>
            <w:r>
              <w:rPr>
                <w:rFonts w:hAnsi="宋体"/>
                <w:sz w:val="24"/>
              </w:rPr>
              <w:t>...</w:t>
            </w:r>
            <w:r>
              <w:rPr>
                <w:rFonts w:hint="eastAsia" w:hAnsi="宋体"/>
                <w:sz w:val="24"/>
              </w:rPr>
              <w:t>，</w:t>
            </w:r>
            <w:r>
              <w:rPr>
                <w:rFonts w:hAnsi="宋体"/>
                <w:iCs/>
                <w:sz w:val="24"/>
              </w:rPr>
              <w:t>q</w:t>
            </w:r>
            <w:r>
              <w:rPr>
                <w:rFonts w:hAnsi="宋体"/>
                <w:iCs/>
                <w:sz w:val="24"/>
                <w:vertAlign w:val="subscript"/>
              </w:rPr>
              <w:t>n</w:t>
            </w:r>
            <w:r>
              <w:rPr>
                <w:rFonts w:hAnsi="宋体"/>
                <w:sz w:val="24"/>
              </w:rPr>
              <w:t>——</w:t>
            </w:r>
            <w:r>
              <w:rPr>
                <w:rFonts w:hint="eastAsia" w:hAnsi="宋体"/>
                <w:sz w:val="24"/>
              </w:rPr>
              <w:t>每种危险物质的最大总存在量，</w:t>
            </w:r>
            <w:r>
              <w:rPr>
                <w:rFonts w:hAnsi="宋体"/>
                <w:sz w:val="24"/>
              </w:rPr>
              <w:t>t</w:t>
            </w:r>
            <w:r>
              <w:rPr>
                <w:rFonts w:hint="eastAsia" w:hAnsi="宋体"/>
                <w:sz w:val="24"/>
              </w:rPr>
              <w:t>；</w:t>
            </w:r>
            <w:r>
              <w:rPr>
                <w:rFonts w:hAnsi="宋体"/>
                <w:sz w:val="24"/>
              </w:rPr>
              <w:t xml:space="preserve"> </w:t>
            </w:r>
          </w:p>
          <w:p>
            <w:pPr>
              <w:spacing w:line="460" w:lineRule="exact"/>
              <w:ind w:firstLine="480" w:firstLineChars="200"/>
              <w:rPr>
                <w:rFonts w:hAnsi="宋体"/>
                <w:sz w:val="24"/>
              </w:rPr>
            </w:pPr>
            <w:r>
              <w:rPr>
                <w:rFonts w:hAnsi="宋体"/>
                <w:iCs/>
                <w:sz w:val="24"/>
              </w:rPr>
              <w:t>Q</w:t>
            </w:r>
            <w:r>
              <w:rPr>
                <w:rFonts w:hAnsi="宋体"/>
                <w:iCs/>
                <w:sz w:val="24"/>
                <w:vertAlign w:val="subscript"/>
              </w:rPr>
              <w:t>1</w:t>
            </w:r>
            <w:r>
              <w:rPr>
                <w:rFonts w:hint="eastAsia" w:hAnsi="宋体"/>
                <w:sz w:val="24"/>
              </w:rPr>
              <w:t>，</w:t>
            </w:r>
            <w:r>
              <w:rPr>
                <w:rFonts w:hAnsi="宋体"/>
                <w:iCs/>
                <w:sz w:val="24"/>
              </w:rPr>
              <w:t>Q</w:t>
            </w:r>
            <w:r>
              <w:rPr>
                <w:rFonts w:hAnsi="宋体"/>
                <w:iCs/>
                <w:sz w:val="24"/>
                <w:vertAlign w:val="subscript"/>
              </w:rPr>
              <w:t>2</w:t>
            </w:r>
            <w:r>
              <w:rPr>
                <w:rFonts w:hint="eastAsia" w:hAnsi="宋体"/>
                <w:sz w:val="24"/>
              </w:rPr>
              <w:t>，</w:t>
            </w:r>
            <w:r>
              <w:rPr>
                <w:rFonts w:hAnsi="宋体"/>
                <w:sz w:val="24"/>
              </w:rPr>
              <w:t>...</w:t>
            </w:r>
            <w:r>
              <w:rPr>
                <w:rFonts w:hint="eastAsia" w:hAnsi="宋体"/>
                <w:sz w:val="24"/>
              </w:rPr>
              <w:t>，</w:t>
            </w:r>
            <w:r>
              <w:rPr>
                <w:rFonts w:hAnsi="宋体"/>
                <w:iCs/>
                <w:sz w:val="24"/>
              </w:rPr>
              <w:t>Q</w:t>
            </w:r>
            <w:r>
              <w:rPr>
                <w:rFonts w:hAnsi="宋体"/>
                <w:iCs/>
                <w:sz w:val="24"/>
                <w:vertAlign w:val="subscript"/>
              </w:rPr>
              <w:t>n</w:t>
            </w:r>
            <w:r>
              <w:rPr>
                <w:rFonts w:hAnsi="宋体"/>
                <w:sz w:val="24"/>
              </w:rPr>
              <w:t>——</w:t>
            </w:r>
            <w:r>
              <w:rPr>
                <w:rFonts w:hint="eastAsia" w:hAnsi="宋体"/>
                <w:sz w:val="24"/>
              </w:rPr>
              <w:t>每种危险物质的临界量，</w:t>
            </w:r>
            <w:r>
              <w:rPr>
                <w:rFonts w:hAnsi="宋体"/>
                <w:sz w:val="24"/>
              </w:rPr>
              <w:t>t</w:t>
            </w:r>
            <w:r>
              <w:rPr>
                <w:rFonts w:hint="eastAsia" w:hAnsi="宋体"/>
                <w:sz w:val="24"/>
              </w:rPr>
              <w:t>；</w:t>
            </w:r>
            <w:r>
              <w:rPr>
                <w:rFonts w:hAnsi="宋体"/>
                <w:sz w:val="24"/>
              </w:rPr>
              <w:t xml:space="preserve"> </w:t>
            </w:r>
          </w:p>
          <w:p>
            <w:pPr>
              <w:spacing w:line="460" w:lineRule="exact"/>
              <w:ind w:firstLine="480" w:firstLineChars="200"/>
              <w:rPr>
                <w:rFonts w:hAnsi="宋体"/>
                <w:sz w:val="24"/>
              </w:rPr>
            </w:pPr>
            <w:r>
              <w:rPr>
                <w:rFonts w:hint="eastAsia" w:hAnsi="宋体"/>
                <w:sz w:val="24"/>
              </w:rPr>
              <w:t>当</w:t>
            </w:r>
            <w:r>
              <w:rPr>
                <w:rFonts w:hAnsi="宋体"/>
                <w:iCs/>
                <w:sz w:val="24"/>
              </w:rPr>
              <w:t>Q</w:t>
            </w:r>
            <w:r>
              <w:rPr>
                <w:rFonts w:hint="eastAsia" w:hAnsi="宋体"/>
                <w:sz w:val="24"/>
              </w:rPr>
              <w:t>＜</w:t>
            </w:r>
            <w:r>
              <w:rPr>
                <w:rFonts w:hAnsi="宋体"/>
                <w:sz w:val="24"/>
              </w:rPr>
              <w:t>1</w:t>
            </w:r>
            <w:r>
              <w:rPr>
                <w:rFonts w:hint="eastAsia" w:hAnsi="宋体"/>
                <w:sz w:val="24"/>
              </w:rPr>
              <w:t>时，该项目环境风险潜势为Ⅰ；</w:t>
            </w:r>
            <w:r>
              <w:rPr>
                <w:rFonts w:hAnsi="宋体"/>
                <w:sz w:val="24"/>
              </w:rPr>
              <w:t xml:space="preserve"> </w:t>
            </w:r>
          </w:p>
          <w:p>
            <w:pPr>
              <w:spacing w:line="460" w:lineRule="exact"/>
              <w:ind w:firstLine="480" w:firstLineChars="200"/>
              <w:rPr>
                <w:rFonts w:hAnsi="宋体"/>
                <w:sz w:val="24"/>
              </w:rPr>
            </w:pPr>
            <w:r>
              <w:rPr>
                <w:rFonts w:hint="eastAsia" w:hAnsi="宋体"/>
                <w:sz w:val="24"/>
              </w:rPr>
              <w:t>当</w:t>
            </w:r>
            <w:r>
              <w:rPr>
                <w:rFonts w:hAnsi="宋体"/>
                <w:iCs/>
                <w:sz w:val="24"/>
              </w:rPr>
              <w:t>Q</w:t>
            </w:r>
            <w:r>
              <w:rPr>
                <w:rFonts w:hint="eastAsia" w:hAnsi="宋体"/>
                <w:sz w:val="24"/>
              </w:rPr>
              <w:t>≥</w:t>
            </w:r>
            <w:r>
              <w:rPr>
                <w:rFonts w:hAnsi="宋体"/>
                <w:sz w:val="24"/>
              </w:rPr>
              <w:t>1</w:t>
            </w:r>
            <w:r>
              <w:rPr>
                <w:rFonts w:hint="eastAsia" w:hAnsi="宋体"/>
                <w:sz w:val="24"/>
              </w:rPr>
              <w:t>时，将</w:t>
            </w:r>
            <w:r>
              <w:rPr>
                <w:rFonts w:hAnsi="宋体"/>
                <w:iCs/>
                <w:sz w:val="24"/>
              </w:rPr>
              <w:t xml:space="preserve">Q </w:t>
            </w:r>
            <w:r>
              <w:rPr>
                <w:rFonts w:hint="eastAsia" w:hAnsi="宋体"/>
                <w:sz w:val="24"/>
              </w:rPr>
              <w:t>值划分为：</w:t>
            </w:r>
            <w:r>
              <w:rPr>
                <w:rFonts w:hAnsi="宋体"/>
                <w:sz w:val="24"/>
              </w:rPr>
              <w:t>1</w:t>
            </w:r>
            <w:r>
              <w:rPr>
                <w:rFonts w:hint="eastAsia" w:hAnsi="宋体"/>
                <w:sz w:val="24"/>
              </w:rPr>
              <w:t>≤</w:t>
            </w:r>
            <w:r>
              <w:rPr>
                <w:rFonts w:hAnsi="宋体"/>
                <w:sz w:val="24"/>
              </w:rPr>
              <w:t>Q</w:t>
            </w:r>
            <w:r>
              <w:rPr>
                <w:rFonts w:hint="eastAsia" w:hAnsi="宋体"/>
                <w:sz w:val="24"/>
              </w:rPr>
              <w:t>＜</w:t>
            </w:r>
            <w:r>
              <w:rPr>
                <w:rFonts w:hAnsi="宋体"/>
                <w:sz w:val="24"/>
              </w:rPr>
              <w:t>10</w:t>
            </w:r>
            <w:r>
              <w:rPr>
                <w:rFonts w:hint="eastAsia" w:hAnsi="宋体"/>
                <w:sz w:val="24"/>
              </w:rPr>
              <w:t>；</w:t>
            </w:r>
            <w:r>
              <w:rPr>
                <w:rFonts w:hAnsi="宋体"/>
                <w:sz w:val="24"/>
              </w:rPr>
              <w:t>10</w:t>
            </w:r>
            <w:r>
              <w:rPr>
                <w:rFonts w:hint="eastAsia" w:hAnsi="宋体"/>
                <w:sz w:val="24"/>
              </w:rPr>
              <w:t>≤</w:t>
            </w:r>
            <w:r>
              <w:rPr>
                <w:rFonts w:hAnsi="宋体"/>
                <w:sz w:val="24"/>
              </w:rPr>
              <w:t>Q</w:t>
            </w:r>
            <w:r>
              <w:rPr>
                <w:rFonts w:hint="eastAsia" w:hAnsi="宋体"/>
                <w:sz w:val="24"/>
              </w:rPr>
              <w:t>＜</w:t>
            </w:r>
            <w:r>
              <w:rPr>
                <w:rFonts w:hAnsi="宋体"/>
                <w:sz w:val="24"/>
              </w:rPr>
              <w:t>100</w:t>
            </w:r>
            <w:r>
              <w:rPr>
                <w:rFonts w:hint="eastAsia" w:hAnsi="宋体"/>
                <w:sz w:val="24"/>
              </w:rPr>
              <w:t>；</w:t>
            </w:r>
            <w:r>
              <w:rPr>
                <w:rFonts w:hAnsi="宋体"/>
                <w:iCs/>
                <w:sz w:val="24"/>
              </w:rPr>
              <w:t>Q</w:t>
            </w:r>
            <w:r>
              <w:rPr>
                <w:rFonts w:hint="eastAsia" w:hAnsi="宋体"/>
                <w:sz w:val="24"/>
              </w:rPr>
              <w:t>≥</w:t>
            </w:r>
            <w:r>
              <w:rPr>
                <w:rFonts w:hAnsi="宋体"/>
                <w:sz w:val="24"/>
              </w:rPr>
              <w:t>100</w:t>
            </w:r>
            <w:r>
              <w:rPr>
                <w:rFonts w:hint="eastAsia" w:hAnsi="宋体"/>
                <w:sz w:val="24"/>
              </w:rPr>
              <w:t>。</w:t>
            </w:r>
          </w:p>
          <w:p>
            <w:pPr>
              <w:spacing w:line="460" w:lineRule="exact"/>
              <w:ind w:firstLine="480" w:firstLineChars="200"/>
              <w:rPr>
                <w:rFonts w:hAnsi="宋体"/>
                <w:sz w:val="24"/>
              </w:rPr>
            </w:pPr>
            <w:r>
              <w:rPr>
                <w:rFonts w:hint="eastAsia" w:hAnsi="宋体"/>
                <w:sz w:val="24"/>
              </w:rPr>
              <w:t>本项目</w:t>
            </w:r>
            <w:r>
              <w:rPr>
                <w:rFonts w:hAnsi="宋体"/>
                <w:sz w:val="24"/>
              </w:rPr>
              <w:t>涉及的</w:t>
            </w:r>
            <w:r>
              <w:rPr>
                <w:rFonts w:hint="eastAsia" w:hAnsi="宋体"/>
                <w:sz w:val="24"/>
              </w:rPr>
              <w:t>危</w:t>
            </w:r>
            <w:r>
              <w:rPr>
                <w:rFonts w:hAnsi="宋体"/>
                <w:sz w:val="24"/>
              </w:rPr>
              <w:t>险物质</w:t>
            </w:r>
            <w:r>
              <w:rPr>
                <w:rFonts w:hint="eastAsia" w:hAnsi="宋体"/>
                <w:sz w:val="24"/>
              </w:rPr>
              <w:t>天然气不在厂区储存。本项目危险物质</w:t>
            </w:r>
            <w:r>
              <w:rPr>
                <w:rFonts w:hAnsi="宋体"/>
                <w:sz w:val="24"/>
              </w:rPr>
              <w:t>未构成重大危险源，</w:t>
            </w:r>
            <w:r>
              <w:rPr>
                <w:rFonts w:hint="eastAsia" w:hAnsi="宋体"/>
                <w:sz w:val="24"/>
              </w:rPr>
              <w:t>其</w:t>
            </w:r>
            <w:r>
              <w:rPr>
                <w:rFonts w:hAnsi="宋体"/>
                <w:sz w:val="24"/>
              </w:rPr>
              <w:t>存在量</w:t>
            </w:r>
            <w:r>
              <w:rPr>
                <w:rFonts w:hint="eastAsia" w:hAnsi="宋体"/>
                <w:sz w:val="24"/>
              </w:rPr>
              <w:t>和临界量比值（</w:t>
            </w:r>
            <w:r>
              <w:rPr>
                <w:rFonts w:hAnsi="宋体"/>
                <w:sz w:val="24"/>
              </w:rPr>
              <w:t>Q</w:t>
            </w:r>
            <w:r>
              <w:rPr>
                <w:rFonts w:hint="eastAsia" w:hAnsi="宋体"/>
                <w:sz w:val="24"/>
              </w:rPr>
              <w:t>）＜</w:t>
            </w:r>
            <w:r>
              <w:rPr>
                <w:rFonts w:hAnsi="宋体"/>
                <w:sz w:val="24"/>
              </w:rPr>
              <w:t>1</w:t>
            </w:r>
            <w:r>
              <w:rPr>
                <w:rFonts w:hint="eastAsia" w:hAnsi="宋体"/>
                <w:sz w:val="24"/>
              </w:rPr>
              <w:t>，则该项目环境风险潜势为</w:t>
            </w:r>
            <w:r>
              <w:rPr>
                <w:rFonts w:hAnsi="宋体"/>
                <w:sz w:val="24"/>
              </w:rPr>
              <w:t>I</w:t>
            </w:r>
            <w:r>
              <w:rPr>
                <w:rFonts w:hint="eastAsia" w:hAnsi="宋体"/>
                <w:sz w:val="24"/>
              </w:rPr>
              <w:t>。</w:t>
            </w:r>
          </w:p>
          <w:p>
            <w:pPr>
              <w:spacing w:line="460" w:lineRule="exact"/>
              <w:ind w:firstLine="480" w:firstLineChars="200"/>
              <w:rPr>
                <w:rFonts w:hAnsi="宋体"/>
                <w:sz w:val="24"/>
              </w:rPr>
            </w:pPr>
            <w:r>
              <w:rPr>
                <w:rFonts w:hint="eastAsia" w:hAnsi="宋体"/>
                <w:sz w:val="24"/>
              </w:rPr>
              <w:t>2）环境</w:t>
            </w:r>
            <w:r>
              <w:rPr>
                <w:rFonts w:hAnsi="宋体"/>
                <w:sz w:val="24"/>
              </w:rPr>
              <w:t>风险评价等级</w:t>
            </w:r>
          </w:p>
          <w:p>
            <w:pPr>
              <w:spacing w:line="460" w:lineRule="exact"/>
              <w:ind w:firstLine="480" w:firstLineChars="200"/>
              <w:rPr>
                <w:rFonts w:hAnsi="宋体"/>
                <w:sz w:val="24"/>
              </w:rPr>
            </w:pPr>
            <w:r>
              <w:rPr>
                <w:rFonts w:hint="eastAsia" w:hAnsi="宋体"/>
                <w:sz w:val="24"/>
              </w:rPr>
              <w:t>根据《建设项目环境风险评价技术导则》（</w:t>
            </w:r>
            <w:r>
              <w:rPr>
                <w:rFonts w:hAnsi="宋体"/>
                <w:sz w:val="24"/>
              </w:rPr>
              <w:t>HJ169-2018</w:t>
            </w:r>
            <w:r>
              <w:rPr>
                <w:rFonts w:hint="eastAsia" w:hAnsi="宋体"/>
                <w:sz w:val="24"/>
              </w:rPr>
              <w:t>）确定</w:t>
            </w:r>
            <w:r>
              <w:rPr>
                <w:rFonts w:hAnsi="宋体"/>
                <w:sz w:val="24"/>
              </w:rPr>
              <w:t>本项目评价等级</w:t>
            </w:r>
            <w:r>
              <w:rPr>
                <w:rFonts w:hint="eastAsia" w:hAnsi="宋体"/>
                <w:sz w:val="24"/>
              </w:rPr>
              <w:t>，评价工作等级划分表见</w:t>
            </w:r>
            <w:r>
              <w:rPr>
                <w:rFonts w:hint="eastAsia" w:hAnsi="宋体"/>
                <w:sz w:val="24"/>
                <w:lang w:bidi="en-US"/>
              </w:rPr>
              <w:t>4-1</w:t>
            </w:r>
            <w:r>
              <w:rPr>
                <w:rFonts w:hAnsi="宋体"/>
                <w:sz w:val="24"/>
                <w:lang w:bidi="en-US"/>
              </w:rPr>
              <w:t>8</w:t>
            </w:r>
            <w:r>
              <w:rPr>
                <w:rFonts w:hint="eastAsia" w:hAnsi="宋体"/>
                <w:sz w:val="24"/>
                <w:lang w:bidi="en-US"/>
              </w:rPr>
              <w:t>。</w:t>
            </w:r>
          </w:p>
          <w:p>
            <w:pPr>
              <w:ind w:firstLine="420" w:firstLineChars="200"/>
              <w:rPr>
                <w:rFonts w:ascii="黑体" w:hAnsi="黑体" w:eastAsia="黑体"/>
              </w:rPr>
            </w:pPr>
            <w:r>
              <w:rPr>
                <w:rFonts w:hint="eastAsia" w:ascii="黑体" w:hAnsi="黑体" w:eastAsia="黑体"/>
              </w:rPr>
              <w:t>表</w:t>
            </w:r>
            <w:r>
              <w:rPr>
                <w:rFonts w:hint="eastAsia" w:ascii="黑体" w:hAnsi="黑体" w:eastAsia="黑体"/>
                <w:lang w:bidi="en-US"/>
              </w:rPr>
              <w:t>4-1</w:t>
            </w:r>
            <w:r>
              <w:rPr>
                <w:rFonts w:ascii="黑体" w:hAnsi="黑体" w:eastAsia="黑体"/>
                <w:lang w:bidi="en-US"/>
              </w:rPr>
              <w:t>8</w:t>
            </w:r>
            <w:r>
              <w:rPr>
                <w:rFonts w:hint="eastAsia" w:ascii="黑体" w:hAnsi="黑体" w:eastAsia="黑体"/>
              </w:rPr>
              <w:t xml:space="preserve">                  评价工作等级划分表</w:t>
            </w:r>
          </w:p>
          <w:tbl>
            <w:tblPr>
              <w:tblStyle w:val="46"/>
              <w:tblW w:w="8938"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01"/>
              <w:gridCol w:w="1938"/>
              <w:gridCol w:w="899"/>
              <w:gridCol w:w="899"/>
              <w:gridCol w:w="24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1" w:type="dxa"/>
                  <w:vAlign w:val="center"/>
                </w:tcPr>
                <w:p>
                  <w:pPr>
                    <w:jc w:val="center"/>
                    <w:rPr>
                      <w:rFonts w:hAnsi="宋体"/>
                      <w:bCs/>
                      <w:lang w:bidi="en-US"/>
                    </w:rPr>
                  </w:pPr>
                  <w:r>
                    <w:rPr>
                      <w:rFonts w:hAnsi="宋体"/>
                      <w:bCs/>
                      <w:lang w:bidi="en-US"/>
                    </w:rPr>
                    <w:t>环境风险潜势</w:t>
                  </w:r>
                </w:p>
              </w:tc>
              <w:tc>
                <w:tcPr>
                  <w:tcW w:w="1938" w:type="dxa"/>
                  <w:vAlign w:val="center"/>
                </w:tcPr>
                <w:p>
                  <w:pPr>
                    <w:jc w:val="center"/>
                    <w:rPr>
                      <w:rFonts w:hAnsi="宋体"/>
                      <w:bCs/>
                      <w:lang w:bidi="en-US"/>
                    </w:rPr>
                  </w:pPr>
                  <w:r>
                    <w:rPr>
                      <w:rFonts w:hint="eastAsia" w:hAnsi="宋体"/>
                      <w:bCs/>
                      <w:lang w:bidi="en-US"/>
                    </w:rPr>
                    <w:t>Ⅳ</w:t>
                  </w:r>
                  <w:r>
                    <w:rPr>
                      <w:rFonts w:hAnsi="宋体"/>
                      <w:bCs/>
                      <w:lang w:bidi="en-US"/>
                    </w:rPr>
                    <w:t>、</w:t>
                  </w:r>
                  <w:r>
                    <w:rPr>
                      <w:rFonts w:hint="eastAsia" w:hAnsi="宋体"/>
                      <w:bCs/>
                      <w:lang w:bidi="en-US"/>
                    </w:rPr>
                    <w:t>Ⅳ</w:t>
                  </w:r>
                  <w:r>
                    <w:rPr>
                      <w:rFonts w:hAnsi="宋体"/>
                      <w:bCs/>
                      <w:lang w:bidi="en-US"/>
                    </w:rPr>
                    <w:t>+</w:t>
                  </w:r>
                </w:p>
              </w:tc>
              <w:tc>
                <w:tcPr>
                  <w:tcW w:w="899" w:type="dxa"/>
                  <w:vAlign w:val="center"/>
                </w:tcPr>
                <w:p>
                  <w:pPr>
                    <w:jc w:val="center"/>
                    <w:rPr>
                      <w:rFonts w:hAnsi="宋体"/>
                      <w:bCs/>
                      <w:lang w:bidi="en-US"/>
                    </w:rPr>
                  </w:pPr>
                  <w:r>
                    <w:rPr>
                      <w:rFonts w:hint="eastAsia" w:hAnsi="宋体"/>
                      <w:bCs/>
                      <w:lang w:bidi="en-US"/>
                    </w:rPr>
                    <w:t>Ⅲ</w:t>
                  </w:r>
                </w:p>
              </w:tc>
              <w:tc>
                <w:tcPr>
                  <w:tcW w:w="899" w:type="dxa"/>
                  <w:vAlign w:val="center"/>
                </w:tcPr>
                <w:p>
                  <w:pPr>
                    <w:jc w:val="center"/>
                    <w:rPr>
                      <w:rFonts w:hAnsi="宋体"/>
                      <w:bCs/>
                      <w:lang w:bidi="en-US"/>
                    </w:rPr>
                  </w:pPr>
                  <w:r>
                    <w:rPr>
                      <w:rFonts w:hint="eastAsia" w:hAnsi="宋体"/>
                      <w:bCs/>
                      <w:lang w:bidi="en-US"/>
                    </w:rPr>
                    <w:t>Ⅱ</w:t>
                  </w:r>
                </w:p>
              </w:tc>
              <w:tc>
                <w:tcPr>
                  <w:tcW w:w="2401" w:type="dxa"/>
                  <w:vAlign w:val="center"/>
                </w:tcPr>
                <w:p>
                  <w:pPr>
                    <w:jc w:val="center"/>
                    <w:rPr>
                      <w:rFonts w:hAnsi="宋体"/>
                      <w:bCs/>
                      <w:lang w:bidi="en-US"/>
                    </w:rPr>
                  </w:pPr>
                  <w:r>
                    <w:rPr>
                      <w:rFonts w:hint="eastAsia" w:hAnsi="宋体"/>
                      <w:bCs/>
                      <w:lang w:bidi="en-US"/>
                    </w:rPr>
                    <w:t>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1" w:type="dxa"/>
                  <w:vAlign w:val="center"/>
                </w:tcPr>
                <w:p>
                  <w:pPr>
                    <w:jc w:val="center"/>
                    <w:rPr>
                      <w:rFonts w:hAnsi="宋体"/>
                      <w:bCs/>
                      <w:lang w:bidi="en-US"/>
                    </w:rPr>
                  </w:pPr>
                  <w:r>
                    <w:rPr>
                      <w:rFonts w:hAnsi="宋体"/>
                      <w:bCs/>
                      <w:lang w:bidi="en-US"/>
                    </w:rPr>
                    <w:t>评价工作等级</w:t>
                  </w:r>
                </w:p>
              </w:tc>
              <w:tc>
                <w:tcPr>
                  <w:tcW w:w="1938" w:type="dxa"/>
                  <w:vAlign w:val="center"/>
                </w:tcPr>
                <w:p>
                  <w:pPr>
                    <w:jc w:val="center"/>
                    <w:rPr>
                      <w:rFonts w:hAnsi="宋体"/>
                      <w:bCs/>
                      <w:lang w:bidi="en-US"/>
                    </w:rPr>
                  </w:pPr>
                  <w:r>
                    <w:rPr>
                      <w:rFonts w:hAnsi="宋体"/>
                      <w:bCs/>
                      <w:lang w:bidi="en-US"/>
                    </w:rPr>
                    <w:t>一</w:t>
                  </w:r>
                </w:p>
              </w:tc>
              <w:tc>
                <w:tcPr>
                  <w:tcW w:w="899" w:type="dxa"/>
                  <w:vAlign w:val="center"/>
                </w:tcPr>
                <w:p>
                  <w:pPr>
                    <w:jc w:val="center"/>
                    <w:rPr>
                      <w:rFonts w:hAnsi="宋体"/>
                      <w:bCs/>
                      <w:lang w:bidi="en-US"/>
                    </w:rPr>
                  </w:pPr>
                  <w:r>
                    <w:rPr>
                      <w:rFonts w:hAnsi="宋体"/>
                      <w:bCs/>
                      <w:lang w:bidi="en-US"/>
                    </w:rPr>
                    <w:t>二</w:t>
                  </w:r>
                </w:p>
              </w:tc>
              <w:tc>
                <w:tcPr>
                  <w:tcW w:w="899" w:type="dxa"/>
                  <w:vAlign w:val="center"/>
                </w:tcPr>
                <w:p>
                  <w:pPr>
                    <w:jc w:val="center"/>
                    <w:rPr>
                      <w:rFonts w:hAnsi="宋体"/>
                      <w:bCs/>
                      <w:lang w:bidi="en-US"/>
                    </w:rPr>
                  </w:pPr>
                  <w:r>
                    <w:rPr>
                      <w:rFonts w:hAnsi="宋体"/>
                      <w:bCs/>
                      <w:lang w:bidi="en-US"/>
                    </w:rPr>
                    <w:t>三</w:t>
                  </w:r>
                </w:p>
              </w:tc>
              <w:tc>
                <w:tcPr>
                  <w:tcW w:w="2401" w:type="dxa"/>
                  <w:vAlign w:val="center"/>
                </w:tcPr>
                <w:p>
                  <w:pPr>
                    <w:jc w:val="center"/>
                    <w:rPr>
                      <w:rFonts w:hAnsi="宋体"/>
                      <w:bCs/>
                      <w:lang w:bidi="en-US"/>
                    </w:rPr>
                  </w:pPr>
                  <w:r>
                    <w:rPr>
                      <w:rFonts w:hAnsi="宋体"/>
                      <w:bCs/>
                      <w:lang w:bidi="en-US"/>
                    </w:rPr>
                    <w:t>简单分析 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8938" w:type="dxa"/>
                  <w:gridSpan w:val="5"/>
                  <w:vAlign w:val="center"/>
                </w:tcPr>
                <w:p>
                  <w:pPr>
                    <w:jc w:val="left"/>
                    <w:rPr>
                      <w:rFonts w:hAnsi="宋体"/>
                      <w:bCs/>
                      <w:lang w:bidi="en-US"/>
                    </w:rPr>
                  </w:pPr>
                  <w:r>
                    <w:rPr>
                      <w:rFonts w:hAnsi="宋体"/>
                      <w:bCs/>
                      <w:lang w:bidi="en-US"/>
                    </w:rPr>
                    <w:t>a 是相对于详细评价工作内容而言，在描述危险物质、环境影响途径、环境危害后果、风险防范措施等方面给出定性的说明。</w:t>
                  </w:r>
                </w:p>
              </w:tc>
            </w:tr>
          </w:tbl>
          <w:p>
            <w:pPr>
              <w:spacing w:line="460" w:lineRule="exact"/>
              <w:ind w:firstLine="480" w:firstLineChars="200"/>
              <w:rPr>
                <w:rFonts w:hAnsi="宋体"/>
                <w:sz w:val="24"/>
              </w:rPr>
            </w:pPr>
            <w:r>
              <w:rPr>
                <w:rFonts w:hint="eastAsia" w:hAnsi="宋体"/>
                <w:sz w:val="24"/>
              </w:rPr>
              <w:t>根据</w:t>
            </w:r>
            <w:r>
              <w:rPr>
                <w:rFonts w:hAnsi="宋体"/>
                <w:sz w:val="24"/>
              </w:rPr>
              <w:t>《建设项目环境风险评价技术导则》（HJ169-20</w:t>
            </w:r>
            <w:r>
              <w:rPr>
                <w:rFonts w:hint="eastAsia" w:hAnsi="宋体"/>
                <w:sz w:val="24"/>
              </w:rPr>
              <w:t>18</w:t>
            </w:r>
            <w:r>
              <w:rPr>
                <w:rFonts w:hAnsi="宋体"/>
                <w:sz w:val="24"/>
              </w:rPr>
              <w:t>）</w:t>
            </w:r>
            <w:r>
              <w:rPr>
                <w:rFonts w:hint="eastAsia" w:hAnsi="宋体"/>
                <w:sz w:val="24"/>
              </w:rPr>
              <w:t>中判定原则，</w:t>
            </w:r>
            <w:r>
              <w:rPr>
                <w:rFonts w:hAnsi="宋体"/>
                <w:sz w:val="24"/>
              </w:rPr>
              <w:t>本项目</w:t>
            </w:r>
            <w:r>
              <w:rPr>
                <w:rFonts w:hint="eastAsia" w:hAnsi="宋体"/>
                <w:sz w:val="24"/>
              </w:rPr>
              <w:t>环境风险潜势为</w:t>
            </w:r>
            <w:r>
              <w:rPr>
                <w:sz w:val="24"/>
              </w:rPr>
              <w:t>Ⅰ</w:t>
            </w:r>
            <w:r>
              <w:rPr>
                <w:rFonts w:hint="eastAsia" w:hAnsi="宋体"/>
                <w:sz w:val="24"/>
              </w:rPr>
              <w:t>，故进行</w:t>
            </w:r>
            <w:r>
              <w:rPr>
                <w:rFonts w:hAnsi="宋体"/>
                <w:sz w:val="24"/>
              </w:rPr>
              <w:t>简单分析</w:t>
            </w:r>
            <w:r>
              <w:rPr>
                <w:rFonts w:hint="eastAsia" w:hAnsi="宋体"/>
                <w:sz w:val="24"/>
              </w:rPr>
              <w:t>。</w:t>
            </w:r>
          </w:p>
          <w:p>
            <w:pPr>
              <w:spacing w:line="460" w:lineRule="exact"/>
              <w:ind w:firstLine="480" w:firstLineChars="200"/>
              <w:rPr>
                <w:sz w:val="24"/>
              </w:rPr>
            </w:pPr>
            <w:r>
              <w:rPr>
                <w:rFonts w:hint="eastAsia" w:hAnsi="宋体"/>
                <w:sz w:val="24"/>
              </w:rPr>
              <w:t>3）</w:t>
            </w:r>
            <w:r>
              <w:rPr>
                <w:rFonts w:hAnsi="宋体"/>
                <w:sz w:val="24"/>
              </w:rPr>
              <w:t>风险识别</w:t>
            </w:r>
          </w:p>
          <w:p>
            <w:pPr>
              <w:spacing w:line="460" w:lineRule="exact"/>
              <w:ind w:firstLine="480" w:firstLineChars="200"/>
              <w:rPr>
                <w:rFonts w:hAnsi="宋体"/>
                <w:sz w:val="24"/>
              </w:rPr>
            </w:pPr>
            <w:r>
              <w:rPr>
                <w:rFonts w:hint="eastAsia" w:hAnsi="宋体"/>
                <w:bCs/>
                <w:sz w:val="24"/>
              </w:rPr>
              <w:t>根据《建设项目环境风险评价技术导则》（</w:t>
            </w:r>
            <w:r>
              <w:rPr>
                <w:rFonts w:hAnsi="宋体"/>
                <w:bCs/>
                <w:sz w:val="24"/>
              </w:rPr>
              <w:t>HJ169-2018</w:t>
            </w:r>
            <w:r>
              <w:rPr>
                <w:rFonts w:hint="eastAsia" w:hAnsi="宋体"/>
                <w:bCs/>
                <w:sz w:val="24"/>
              </w:rPr>
              <w:t>）内容，本</w:t>
            </w:r>
            <w:r>
              <w:rPr>
                <w:rFonts w:hAnsi="宋体"/>
                <w:sz w:val="24"/>
              </w:rPr>
              <w:t>项目涉及的危险物质为</w:t>
            </w:r>
            <w:r>
              <w:rPr>
                <w:rFonts w:hint="eastAsia" w:hAnsi="宋体"/>
                <w:sz w:val="24"/>
              </w:rPr>
              <w:t>天然气</w:t>
            </w:r>
            <w:r>
              <w:rPr>
                <w:rFonts w:hAnsi="宋体"/>
                <w:sz w:val="24"/>
              </w:rPr>
              <w:t>，其基本性质</w:t>
            </w:r>
            <w:r>
              <w:rPr>
                <w:rFonts w:hint="eastAsia" w:hAnsi="宋体"/>
                <w:sz w:val="24"/>
              </w:rPr>
              <w:t>详见</w:t>
            </w:r>
            <w:r>
              <w:rPr>
                <w:rFonts w:hAnsi="宋体"/>
                <w:sz w:val="24"/>
              </w:rPr>
              <w:t>表</w:t>
            </w:r>
            <w:r>
              <w:rPr>
                <w:rFonts w:hint="eastAsia" w:hAnsi="宋体"/>
                <w:sz w:val="24"/>
              </w:rPr>
              <w:t>4-1</w:t>
            </w:r>
            <w:r>
              <w:rPr>
                <w:rFonts w:hAnsi="宋体"/>
                <w:sz w:val="24"/>
              </w:rPr>
              <w:t>9。</w:t>
            </w:r>
          </w:p>
          <w:p>
            <w:pPr>
              <w:ind w:firstLine="420" w:firstLineChars="200"/>
              <w:rPr>
                <w:b/>
                <w:szCs w:val="21"/>
                <w:lang w:val="zh-CN"/>
              </w:rPr>
            </w:pPr>
            <w:r>
              <w:rPr>
                <w:rFonts w:hint="eastAsia"/>
                <w:lang w:val="zh-CN"/>
              </w:rPr>
              <w:t>表</w:t>
            </w:r>
            <w:r>
              <w:t xml:space="preserve">4-19 </w:t>
            </w:r>
            <w:r>
              <w:rPr>
                <w:lang w:val="zh-CN"/>
              </w:rPr>
              <w:t xml:space="preserve">    </w:t>
            </w:r>
            <w:r>
              <w:t xml:space="preserve">                </w:t>
            </w:r>
            <w:r>
              <w:rPr>
                <w:rFonts w:hint="eastAsia"/>
                <w:lang w:val="zh-CN"/>
              </w:rPr>
              <w:t>天然气主要特性一览表</w:t>
            </w:r>
          </w:p>
          <w:tbl>
            <w:tblPr>
              <w:tblStyle w:val="46"/>
              <w:tblW w:w="893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804"/>
              <w:gridCol w:w="933"/>
              <w:gridCol w:w="545"/>
              <w:gridCol w:w="1342"/>
              <w:gridCol w:w="685"/>
              <w:gridCol w:w="177"/>
              <w:gridCol w:w="2158"/>
              <w:gridCol w:w="8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restart"/>
                  <w:tcBorders>
                    <w:top w:val="single" w:color="auto" w:sz="12" w:space="0"/>
                    <w:left w:val="nil"/>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标识</w:t>
                  </w:r>
                </w:p>
              </w:tc>
              <w:tc>
                <w:tcPr>
                  <w:tcW w:w="5486" w:type="dxa"/>
                  <w:gridSpan w:val="6"/>
                  <w:tcBorders>
                    <w:top w:val="single" w:color="auto" w:sz="12" w:space="0"/>
                    <w:left w:val="single" w:color="auto" w:sz="4" w:space="0"/>
                    <w:bottom w:val="single" w:color="auto" w:sz="4" w:space="0"/>
                    <w:right w:val="single" w:color="auto" w:sz="4" w:space="0"/>
                  </w:tcBorders>
                  <w:vAlign w:val="center"/>
                </w:tcPr>
                <w:p>
                  <w:pPr>
                    <w:widowControl/>
                    <w:jc w:val="center"/>
                    <w:rPr>
                      <w:kern w:val="0"/>
                      <w:szCs w:val="21"/>
                      <w:lang w:bidi="en-US"/>
                    </w:rPr>
                  </w:pPr>
                  <w:r>
                    <w:rPr>
                      <w:rFonts w:hint="eastAsia"/>
                      <w:kern w:val="0"/>
                      <w:szCs w:val="21"/>
                      <w:lang w:bidi="en-US"/>
                    </w:rPr>
                    <w:t>中文名：天然气</w:t>
                  </w:r>
                  <w:r>
                    <w:rPr>
                      <w:kern w:val="0"/>
                      <w:szCs w:val="21"/>
                      <w:lang w:bidi="en-US"/>
                    </w:rPr>
                    <w:t>[</w:t>
                  </w:r>
                  <w:r>
                    <w:rPr>
                      <w:rFonts w:hint="eastAsia"/>
                      <w:kern w:val="0"/>
                      <w:szCs w:val="21"/>
                      <w:lang w:bidi="en-US"/>
                    </w:rPr>
                    <w:t>含甲烷，压缩的</w:t>
                  </w:r>
                  <w:r>
                    <w:rPr>
                      <w:kern w:val="0"/>
                      <w:szCs w:val="21"/>
                      <w:lang w:bidi="en-US"/>
                    </w:rPr>
                    <w:t>]</w:t>
                  </w:r>
                  <w:r>
                    <w:rPr>
                      <w:rFonts w:hint="eastAsia"/>
                      <w:kern w:val="0"/>
                      <w:szCs w:val="21"/>
                      <w:lang w:bidi="en-US"/>
                    </w:rPr>
                    <w:t>；沼气</w:t>
                  </w:r>
                </w:p>
              </w:tc>
              <w:tc>
                <w:tcPr>
                  <w:tcW w:w="2973" w:type="dxa"/>
                  <w:gridSpan w:val="2"/>
                  <w:tcBorders>
                    <w:top w:val="single" w:color="auto" w:sz="12" w:space="0"/>
                    <w:left w:val="single" w:color="auto" w:sz="4" w:space="0"/>
                    <w:bottom w:val="single" w:color="auto" w:sz="4" w:space="0"/>
                    <w:right w:val="nil"/>
                  </w:tcBorders>
                  <w:vAlign w:val="center"/>
                </w:tcPr>
                <w:p>
                  <w:pPr>
                    <w:widowControl/>
                    <w:jc w:val="center"/>
                    <w:rPr>
                      <w:kern w:val="0"/>
                      <w:szCs w:val="21"/>
                      <w:lang w:eastAsia="en-US" w:bidi="en-US"/>
                    </w:rPr>
                  </w:pPr>
                  <w:r>
                    <w:rPr>
                      <w:rFonts w:hint="eastAsia"/>
                      <w:kern w:val="0"/>
                      <w:szCs w:val="21"/>
                      <w:lang w:eastAsia="en-US" w:bidi="en-US"/>
                    </w:rPr>
                    <w:t>危险货物编号：</w:t>
                  </w:r>
                  <w:r>
                    <w:rPr>
                      <w:kern w:val="0"/>
                      <w:szCs w:val="21"/>
                      <w:lang w:eastAsia="en-US" w:bidi="en-US"/>
                    </w:rPr>
                    <w:t>21007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continue"/>
                  <w:tcBorders>
                    <w:top w:val="single" w:color="auto" w:sz="12" w:space="0"/>
                    <w:left w:val="nil"/>
                    <w:bottom w:val="single" w:color="auto" w:sz="4" w:space="0"/>
                    <w:right w:val="single" w:color="auto" w:sz="4" w:space="0"/>
                  </w:tcBorders>
                  <w:vAlign w:val="center"/>
                </w:tcPr>
                <w:p>
                  <w:pPr>
                    <w:widowControl/>
                    <w:jc w:val="left"/>
                    <w:rPr>
                      <w:kern w:val="0"/>
                      <w:szCs w:val="21"/>
                    </w:rPr>
                  </w:pPr>
                </w:p>
              </w:tc>
              <w:tc>
                <w:tcPr>
                  <w:tcW w:w="5486"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英文名</w:t>
                  </w:r>
                  <w:r>
                    <w:rPr>
                      <w:rFonts w:hint="eastAsia"/>
                      <w:kern w:val="0"/>
                      <w:szCs w:val="21"/>
                      <w:lang w:val="en-GB" w:eastAsia="en-US" w:bidi="en-US"/>
                    </w:rPr>
                    <w:t>：</w:t>
                  </w:r>
                  <w:r>
                    <w:rPr>
                      <w:kern w:val="0"/>
                      <w:szCs w:val="21"/>
                      <w:lang w:eastAsia="en-US" w:bidi="en-US"/>
                    </w:rPr>
                    <w:t xml:space="preserve"> natural gas</w:t>
                  </w:r>
                  <w:r>
                    <w:rPr>
                      <w:rFonts w:hint="eastAsia"/>
                      <w:kern w:val="0"/>
                      <w:szCs w:val="21"/>
                      <w:lang w:val="en-GB" w:eastAsia="en-US" w:bidi="en-US"/>
                    </w:rPr>
                    <w:t>，</w:t>
                  </w:r>
                  <w:r>
                    <w:rPr>
                      <w:kern w:val="0"/>
                      <w:szCs w:val="21"/>
                      <w:lang w:eastAsia="en-US" w:bidi="en-US"/>
                    </w:rPr>
                    <w:t>NG</w:t>
                  </w:r>
                </w:p>
              </w:tc>
              <w:tc>
                <w:tcPr>
                  <w:tcW w:w="2973" w:type="dxa"/>
                  <w:gridSpan w:val="2"/>
                  <w:tcBorders>
                    <w:top w:val="single" w:color="auto" w:sz="4" w:space="0"/>
                    <w:left w:val="single" w:color="auto" w:sz="4" w:space="0"/>
                    <w:bottom w:val="single" w:color="auto" w:sz="4" w:space="0"/>
                    <w:right w:val="nil"/>
                  </w:tcBorders>
                  <w:vAlign w:val="center"/>
                </w:tcPr>
                <w:p>
                  <w:pPr>
                    <w:widowControl/>
                    <w:jc w:val="center"/>
                    <w:rPr>
                      <w:kern w:val="0"/>
                      <w:szCs w:val="21"/>
                      <w:lang w:eastAsia="en-US" w:bidi="en-US"/>
                    </w:rPr>
                  </w:pPr>
                  <w:r>
                    <w:rPr>
                      <w:kern w:val="0"/>
                      <w:szCs w:val="21"/>
                      <w:lang w:eastAsia="en-US" w:bidi="en-US"/>
                    </w:rPr>
                    <w:t>UN</w:t>
                  </w:r>
                  <w:r>
                    <w:rPr>
                      <w:rFonts w:hint="eastAsia"/>
                      <w:kern w:val="0"/>
                      <w:szCs w:val="21"/>
                      <w:lang w:eastAsia="en-US" w:bidi="en-US"/>
                    </w:rPr>
                    <w:t>编号：</w:t>
                  </w:r>
                  <w:r>
                    <w:rPr>
                      <w:kern w:val="0"/>
                      <w:szCs w:val="21"/>
                      <w:lang w:eastAsia="en-US" w:bidi="en-US"/>
                    </w:rPr>
                    <w:t>1971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continue"/>
                  <w:tcBorders>
                    <w:top w:val="single" w:color="auto" w:sz="12" w:space="0"/>
                    <w:left w:val="nil"/>
                    <w:bottom w:val="single" w:color="auto" w:sz="4" w:space="0"/>
                    <w:right w:val="single" w:color="auto" w:sz="4" w:space="0"/>
                  </w:tcBorders>
                  <w:vAlign w:val="center"/>
                </w:tcPr>
                <w:p>
                  <w:pPr>
                    <w:widowControl/>
                    <w:jc w:val="left"/>
                    <w:rPr>
                      <w:kern w:val="0"/>
                      <w:szCs w:val="21"/>
                    </w:rPr>
                  </w:pPr>
                </w:p>
              </w:tc>
              <w:tc>
                <w:tcPr>
                  <w:tcW w:w="273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分子式：</w:t>
                  </w:r>
                  <w:r>
                    <w:rPr>
                      <w:kern w:val="0"/>
                      <w:szCs w:val="21"/>
                      <w:lang w:eastAsia="en-US" w:bidi="en-US"/>
                    </w:rPr>
                    <w:t>/</w:t>
                  </w:r>
                </w:p>
              </w:tc>
              <w:tc>
                <w:tcPr>
                  <w:tcW w:w="274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分子量：</w:t>
                  </w:r>
                  <w:r>
                    <w:rPr>
                      <w:kern w:val="0"/>
                      <w:szCs w:val="21"/>
                      <w:lang w:eastAsia="en-US" w:bidi="en-US"/>
                    </w:rPr>
                    <w:t>/</w:t>
                  </w:r>
                </w:p>
              </w:tc>
              <w:tc>
                <w:tcPr>
                  <w:tcW w:w="2973" w:type="dxa"/>
                  <w:gridSpan w:val="2"/>
                  <w:tcBorders>
                    <w:top w:val="single" w:color="auto" w:sz="4" w:space="0"/>
                    <w:left w:val="single" w:color="auto" w:sz="4" w:space="0"/>
                    <w:bottom w:val="single" w:color="auto" w:sz="4" w:space="0"/>
                    <w:right w:val="nil"/>
                  </w:tcBorders>
                  <w:vAlign w:val="center"/>
                </w:tcPr>
                <w:p>
                  <w:pPr>
                    <w:widowControl/>
                    <w:jc w:val="center"/>
                    <w:rPr>
                      <w:kern w:val="0"/>
                      <w:szCs w:val="21"/>
                      <w:lang w:eastAsia="en-US" w:bidi="en-US"/>
                    </w:rPr>
                  </w:pPr>
                  <w:r>
                    <w:rPr>
                      <w:kern w:val="0"/>
                      <w:szCs w:val="21"/>
                      <w:lang w:eastAsia="en-US" w:bidi="en-US"/>
                    </w:rPr>
                    <w:t>CAS</w:t>
                  </w:r>
                  <w:r>
                    <w:rPr>
                      <w:rFonts w:hint="eastAsia"/>
                      <w:kern w:val="0"/>
                      <w:szCs w:val="21"/>
                      <w:lang w:eastAsia="en-US" w:bidi="en-US"/>
                    </w:rPr>
                    <w:t>号：</w:t>
                  </w:r>
                  <w:r>
                    <w:rPr>
                      <w:kern w:val="0"/>
                      <w:szCs w:val="21"/>
                      <w:lang w:eastAsia="en-US" w:bidi="en-US"/>
                    </w:rPr>
                    <w:t>8006-14-2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restart"/>
                  <w:tcBorders>
                    <w:top w:val="single" w:color="auto" w:sz="4" w:space="0"/>
                    <w:left w:val="nil"/>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理化性质</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外观与性状</w:t>
                  </w:r>
                </w:p>
              </w:tc>
              <w:tc>
                <w:tcPr>
                  <w:tcW w:w="6655" w:type="dxa"/>
                  <w:gridSpan w:val="7"/>
                  <w:tcBorders>
                    <w:top w:val="single" w:color="auto" w:sz="4" w:space="0"/>
                    <w:left w:val="single" w:color="auto" w:sz="4" w:space="0"/>
                    <w:bottom w:val="single" w:color="auto" w:sz="4" w:space="0"/>
                    <w:right w:val="nil"/>
                  </w:tcBorders>
                  <w:vAlign w:val="center"/>
                </w:tcPr>
                <w:p>
                  <w:pPr>
                    <w:widowControl/>
                    <w:jc w:val="center"/>
                    <w:rPr>
                      <w:kern w:val="0"/>
                      <w:szCs w:val="21"/>
                      <w:lang w:eastAsia="en-US" w:bidi="en-US"/>
                    </w:rPr>
                  </w:pPr>
                  <w:r>
                    <w:rPr>
                      <w:rFonts w:hint="eastAsia"/>
                      <w:kern w:val="0"/>
                      <w:szCs w:val="21"/>
                      <w:lang w:eastAsia="en-US" w:bidi="en-US"/>
                    </w:rPr>
                    <w:t>无色无臭气体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continue"/>
                  <w:tcBorders>
                    <w:top w:val="single" w:color="auto" w:sz="4" w:space="0"/>
                    <w:left w:val="nil"/>
                    <w:bottom w:val="single" w:color="auto" w:sz="4" w:space="0"/>
                    <w:right w:val="single" w:color="auto" w:sz="4" w:space="0"/>
                  </w:tcBorders>
                  <w:vAlign w:val="center"/>
                </w:tcPr>
                <w:p>
                  <w:pPr>
                    <w:widowControl/>
                    <w:jc w:val="left"/>
                    <w:rPr>
                      <w:kern w:val="0"/>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熔点（</w:t>
                  </w:r>
                  <w:r>
                    <w:rPr>
                      <w:rFonts w:hint="eastAsia" w:ascii="宋体" w:hAnsi="宋体" w:cs="宋体"/>
                      <w:kern w:val="0"/>
                      <w:szCs w:val="21"/>
                      <w:lang w:eastAsia="en-US" w:bidi="en-US"/>
                    </w:rPr>
                    <w:t>℃</w:t>
                  </w:r>
                  <w:r>
                    <w:rPr>
                      <w:rFonts w:hint="eastAsia"/>
                      <w:kern w:val="0"/>
                      <w:szCs w:val="21"/>
                      <w:lang w:eastAsia="en-US" w:bidi="en-US"/>
                    </w:rPr>
                    <w:t>）</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kern w:val="0"/>
                      <w:szCs w:val="21"/>
                      <w:lang w:eastAsia="en-US" w:bidi="en-US"/>
                    </w:rPr>
                    <w:t>/</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相对密度</w:t>
                  </w:r>
                  <w:r>
                    <w:rPr>
                      <w:kern w:val="0"/>
                      <w:szCs w:val="21"/>
                      <w:lang w:eastAsia="en-US" w:bidi="en-US"/>
                    </w:rPr>
                    <w:t>(</w:t>
                  </w:r>
                  <w:r>
                    <w:rPr>
                      <w:rFonts w:hint="eastAsia"/>
                      <w:kern w:val="0"/>
                      <w:szCs w:val="21"/>
                      <w:lang w:eastAsia="en-US" w:bidi="en-US"/>
                    </w:rPr>
                    <w:t>水</w:t>
                  </w:r>
                  <w:r>
                    <w:rPr>
                      <w:kern w:val="0"/>
                      <w:szCs w:val="21"/>
                      <w:lang w:eastAsia="en-US" w:bidi="en-US"/>
                    </w:rPr>
                    <w:t>=1)</w:t>
                  </w:r>
                </w:p>
              </w:tc>
              <w:tc>
                <w:tcPr>
                  <w:tcW w:w="86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kern w:val="0"/>
                      <w:szCs w:val="21"/>
                      <w:lang w:eastAsia="en-US" w:bidi="en-US"/>
                    </w:rPr>
                    <w:t>0.415</w:t>
                  </w:r>
                </w:p>
              </w:tc>
              <w:tc>
                <w:tcPr>
                  <w:tcW w:w="2158"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相对密度</w:t>
                  </w:r>
                  <w:r>
                    <w:rPr>
                      <w:kern w:val="0"/>
                      <w:szCs w:val="21"/>
                      <w:lang w:eastAsia="en-US" w:bidi="en-US"/>
                    </w:rPr>
                    <w:t>(</w:t>
                  </w:r>
                  <w:r>
                    <w:rPr>
                      <w:rFonts w:hint="eastAsia"/>
                      <w:kern w:val="0"/>
                      <w:szCs w:val="21"/>
                      <w:lang w:eastAsia="en-US" w:bidi="en-US"/>
                    </w:rPr>
                    <w:t>空气</w:t>
                  </w:r>
                  <w:r>
                    <w:rPr>
                      <w:kern w:val="0"/>
                      <w:szCs w:val="21"/>
                      <w:lang w:eastAsia="en-US" w:bidi="en-US"/>
                    </w:rPr>
                    <w:t>=1)</w:t>
                  </w:r>
                </w:p>
              </w:tc>
              <w:tc>
                <w:tcPr>
                  <w:tcW w:w="815" w:type="dxa"/>
                  <w:tcBorders>
                    <w:top w:val="single" w:color="auto" w:sz="4" w:space="0"/>
                    <w:left w:val="single" w:color="auto" w:sz="4" w:space="0"/>
                    <w:bottom w:val="single" w:color="auto" w:sz="4" w:space="0"/>
                    <w:right w:val="nil"/>
                  </w:tcBorders>
                  <w:vAlign w:val="center"/>
                </w:tcPr>
                <w:p>
                  <w:pPr>
                    <w:widowControl/>
                    <w:jc w:val="center"/>
                    <w:rPr>
                      <w:kern w:val="0"/>
                      <w:szCs w:val="21"/>
                      <w:lang w:eastAsia="en-US" w:bidi="en-US"/>
                    </w:rPr>
                  </w:pPr>
                  <w:r>
                    <w:rPr>
                      <w:kern w:val="0"/>
                      <w:szCs w:val="21"/>
                      <w:lang w:eastAsia="en-US" w:bidi="en-US"/>
                    </w:rPr>
                    <w:t>0.55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continue"/>
                  <w:tcBorders>
                    <w:top w:val="single" w:color="auto" w:sz="4" w:space="0"/>
                    <w:left w:val="nil"/>
                    <w:bottom w:val="single" w:color="auto" w:sz="4" w:space="0"/>
                    <w:right w:val="single" w:color="auto" w:sz="4" w:space="0"/>
                  </w:tcBorders>
                  <w:vAlign w:val="center"/>
                </w:tcPr>
                <w:p>
                  <w:pPr>
                    <w:widowControl/>
                    <w:jc w:val="left"/>
                    <w:rPr>
                      <w:kern w:val="0"/>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沸点（</w:t>
                  </w:r>
                  <w:r>
                    <w:rPr>
                      <w:rFonts w:hint="eastAsia" w:ascii="宋体" w:hAnsi="宋体" w:cs="宋体"/>
                      <w:kern w:val="0"/>
                      <w:szCs w:val="21"/>
                      <w:lang w:eastAsia="en-US" w:bidi="en-US"/>
                    </w:rPr>
                    <w:t>℃</w:t>
                  </w:r>
                  <w:r>
                    <w:rPr>
                      <w:rFonts w:hint="eastAsia"/>
                      <w:kern w:val="0"/>
                      <w:szCs w:val="21"/>
                      <w:lang w:eastAsia="en-US" w:bidi="en-US"/>
                    </w:rPr>
                    <w:t>）</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kern w:val="0"/>
                      <w:szCs w:val="21"/>
                      <w:lang w:eastAsia="en-US" w:bidi="en-US"/>
                    </w:rPr>
                    <w:t>-161.5</w:t>
                  </w:r>
                </w:p>
              </w:tc>
              <w:tc>
                <w:tcPr>
                  <w:tcW w:w="274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bidi="en-US"/>
                    </w:rPr>
                  </w:pPr>
                  <w:r>
                    <w:rPr>
                      <w:rFonts w:hint="eastAsia"/>
                      <w:kern w:val="0"/>
                      <w:szCs w:val="21"/>
                      <w:lang w:bidi="en-US"/>
                    </w:rPr>
                    <w:t>饱和蒸气压（</w:t>
                  </w:r>
                  <w:r>
                    <w:rPr>
                      <w:kern w:val="0"/>
                      <w:szCs w:val="21"/>
                      <w:lang w:bidi="en-US"/>
                    </w:rPr>
                    <w:t>kPa</w:t>
                  </w:r>
                  <w:r>
                    <w:rPr>
                      <w:rFonts w:hint="eastAsia"/>
                      <w:kern w:val="0"/>
                      <w:szCs w:val="21"/>
                      <w:lang w:bidi="en-US"/>
                    </w:rPr>
                    <w:t>）</w:t>
                  </w:r>
                </w:p>
              </w:tc>
              <w:tc>
                <w:tcPr>
                  <w:tcW w:w="2973" w:type="dxa"/>
                  <w:gridSpan w:val="2"/>
                  <w:tcBorders>
                    <w:top w:val="single" w:color="auto" w:sz="4" w:space="0"/>
                    <w:left w:val="single" w:color="auto" w:sz="4" w:space="0"/>
                    <w:bottom w:val="single" w:color="auto" w:sz="4" w:space="0"/>
                    <w:right w:val="nil"/>
                  </w:tcBorders>
                  <w:vAlign w:val="center"/>
                </w:tcPr>
                <w:p>
                  <w:pPr>
                    <w:widowControl/>
                    <w:jc w:val="center"/>
                    <w:rPr>
                      <w:kern w:val="0"/>
                      <w:szCs w:val="21"/>
                      <w:lang w:eastAsia="en-US" w:bidi="en-US"/>
                    </w:rPr>
                  </w:pPr>
                  <w:r>
                    <w:rPr>
                      <w:kern w:val="0"/>
                      <w:szCs w:val="21"/>
                      <w:lang w:eastAsia="en-US" w:bidi="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continue"/>
                  <w:tcBorders>
                    <w:top w:val="single" w:color="auto" w:sz="4" w:space="0"/>
                    <w:left w:val="nil"/>
                    <w:bottom w:val="single" w:color="auto" w:sz="4" w:space="0"/>
                    <w:right w:val="single" w:color="auto" w:sz="4" w:space="0"/>
                  </w:tcBorders>
                  <w:vAlign w:val="center"/>
                </w:tcPr>
                <w:p>
                  <w:pPr>
                    <w:widowControl/>
                    <w:jc w:val="left"/>
                    <w:rPr>
                      <w:kern w:val="0"/>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溶解性</w:t>
                  </w:r>
                </w:p>
              </w:tc>
              <w:tc>
                <w:tcPr>
                  <w:tcW w:w="6655" w:type="dxa"/>
                  <w:gridSpan w:val="7"/>
                  <w:tcBorders>
                    <w:top w:val="single" w:color="auto" w:sz="4" w:space="0"/>
                    <w:left w:val="single" w:color="auto" w:sz="4" w:space="0"/>
                    <w:bottom w:val="single" w:color="auto" w:sz="4" w:space="0"/>
                    <w:right w:val="nil"/>
                  </w:tcBorders>
                  <w:vAlign w:val="center"/>
                </w:tcPr>
                <w:p>
                  <w:pPr>
                    <w:widowControl/>
                    <w:jc w:val="center"/>
                    <w:rPr>
                      <w:kern w:val="0"/>
                      <w:szCs w:val="21"/>
                      <w:lang w:eastAsia="en-US" w:bidi="en-US"/>
                    </w:rPr>
                  </w:pPr>
                  <w:r>
                    <w:rPr>
                      <w:rFonts w:hint="eastAsia"/>
                      <w:kern w:val="0"/>
                      <w:szCs w:val="21"/>
                      <w:lang w:eastAsia="en-US" w:bidi="en-US"/>
                    </w:rPr>
                    <w:t>微溶于水，溶于乙醇、乙醚。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restart"/>
                  <w:tcBorders>
                    <w:top w:val="single" w:color="auto" w:sz="4" w:space="0"/>
                    <w:left w:val="nil"/>
                    <w:bottom w:val="single" w:color="auto" w:sz="12"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燃烧爆炸危险性</w:t>
                  </w:r>
                </w:p>
              </w:tc>
              <w:tc>
                <w:tcPr>
                  <w:tcW w:w="18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燃烧性</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易燃</w:t>
                  </w:r>
                </w:p>
              </w:tc>
              <w:tc>
                <w:tcPr>
                  <w:tcW w:w="20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燃烧分解物</w:t>
                  </w:r>
                </w:p>
              </w:tc>
              <w:tc>
                <w:tcPr>
                  <w:tcW w:w="3150" w:type="dxa"/>
                  <w:gridSpan w:val="3"/>
                  <w:tcBorders>
                    <w:top w:val="single" w:color="auto" w:sz="4" w:space="0"/>
                    <w:left w:val="single" w:color="auto" w:sz="4" w:space="0"/>
                    <w:bottom w:val="single" w:color="auto" w:sz="4" w:space="0"/>
                    <w:right w:val="nil"/>
                  </w:tcBorders>
                  <w:vAlign w:val="center"/>
                </w:tcPr>
                <w:p>
                  <w:pPr>
                    <w:widowControl/>
                    <w:jc w:val="center"/>
                    <w:rPr>
                      <w:kern w:val="0"/>
                      <w:szCs w:val="21"/>
                      <w:lang w:eastAsia="en-US" w:bidi="en-US"/>
                    </w:rPr>
                  </w:pPr>
                  <w:r>
                    <w:rPr>
                      <w:kern w:val="0"/>
                      <w:szCs w:val="21"/>
                      <w:lang w:eastAsia="en-US" w:bidi="en-U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continue"/>
                  <w:tcBorders>
                    <w:top w:val="single" w:color="auto" w:sz="4" w:space="0"/>
                    <w:left w:val="nil"/>
                    <w:bottom w:val="single" w:color="auto" w:sz="12" w:space="0"/>
                    <w:right w:val="single" w:color="auto" w:sz="4" w:space="0"/>
                  </w:tcBorders>
                  <w:vAlign w:val="center"/>
                </w:tcPr>
                <w:p>
                  <w:pPr>
                    <w:widowControl/>
                    <w:jc w:val="left"/>
                    <w:rPr>
                      <w:kern w:val="0"/>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闪点</w:t>
                  </w:r>
                  <w:r>
                    <w:rPr>
                      <w:kern w:val="0"/>
                      <w:szCs w:val="21"/>
                      <w:lang w:eastAsia="en-US" w:bidi="en-US"/>
                    </w:rPr>
                    <w:t>(</w:t>
                  </w:r>
                  <w:r>
                    <w:rPr>
                      <w:rFonts w:hint="eastAsia" w:ascii="宋体" w:hAnsi="宋体" w:cs="宋体"/>
                      <w:kern w:val="0"/>
                      <w:szCs w:val="21"/>
                      <w:lang w:eastAsia="en-US" w:bidi="en-US"/>
                    </w:rPr>
                    <w:t>℃</w:t>
                  </w:r>
                  <w:r>
                    <w:rPr>
                      <w:kern w:val="0"/>
                      <w:szCs w:val="21"/>
                      <w:lang w:eastAsia="en-US" w:bidi="en-US"/>
                    </w:rPr>
                    <w:t>)</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kern w:val="0"/>
                      <w:szCs w:val="21"/>
                      <w:lang w:eastAsia="en-US" w:bidi="en-US"/>
                    </w:rPr>
                    <w:t>/</w:t>
                  </w:r>
                </w:p>
              </w:tc>
              <w:tc>
                <w:tcPr>
                  <w:tcW w:w="20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爆炸上限（</w:t>
                  </w:r>
                  <w:r>
                    <w:rPr>
                      <w:kern w:val="0"/>
                      <w:szCs w:val="21"/>
                      <w:lang w:eastAsia="en-US" w:bidi="en-US"/>
                    </w:rPr>
                    <w:t>v%</w:t>
                  </w:r>
                  <w:r>
                    <w:rPr>
                      <w:rFonts w:hint="eastAsia"/>
                      <w:kern w:val="0"/>
                      <w:szCs w:val="21"/>
                      <w:lang w:eastAsia="en-US" w:bidi="en-US"/>
                    </w:rPr>
                    <w:t>）</w:t>
                  </w:r>
                </w:p>
              </w:tc>
              <w:tc>
                <w:tcPr>
                  <w:tcW w:w="3150" w:type="dxa"/>
                  <w:gridSpan w:val="3"/>
                  <w:tcBorders>
                    <w:top w:val="single" w:color="auto" w:sz="4" w:space="0"/>
                    <w:left w:val="single" w:color="auto" w:sz="4" w:space="0"/>
                    <w:bottom w:val="single" w:color="auto" w:sz="4" w:space="0"/>
                    <w:right w:val="nil"/>
                  </w:tcBorders>
                  <w:vAlign w:val="center"/>
                </w:tcPr>
                <w:p>
                  <w:pPr>
                    <w:widowControl/>
                    <w:jc w:val="center"/>
                    <w:rPr>
                      <w:kern w:val="0"/>
                      <w:szCs w:val="21"/>
                      <w:lang w:eastAsia="en-US" w:bidi="en-US"/>
                    </w:rPr>
                  </w:pPr>
                  <w:r>
                    <w:rPr>
                      <w:kern w:val="0"/>
                      <w:szCs w:val="21"/>
                      <w:lang w:eastAsia="en-US" w:bidi="en-US"/>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continue"/>
                  <w:tcBorders>
                    <w:top w:val="single" w:color="auto" w:sz="4" w:space="0"/>
                    <w:left w:val="nil"/>
                    <w:bottom w:val="single" w:color="auto" w:sz="12" w:space="0"/>
                    <w:right w:val="single" w:color="auto" w:sz="4" w:space="0"/>
                  </w:tcBorders>
                  <w:vAlign w:val="center"/>
                </w:tcPr>
                <w:p>
                  <w:pPr>
                    <w:widowControl/>
                    <w:jc w:val="left"/>
                    <w:rPr>
                      <w:kern w:val="0"/>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引燃温度</w:t>
                  </w:r>
                  <w:r>
                    <w:rPr>
                      <w:kern w:val="0"/>
                      <w:szCs w:val="21"/>
                      <w:lang w:eastAsia="en-US" w:bidi="en-US"/>
                    </w:rPr>
                    <w:t>(</w:t>
                  </w:r>
                  <w:r>
                    <w:rPr>
                      <w:rFonts w:hint="eastAsia" w:ascii="宋体" w:hAnsi="宋体" w:cs="宋体"/>
                      <w:kern w:val="0"/>
                      <w:szCs w:val="21"/>
                      <w:lang w:eastAsia="en-US" w:bidi="en-US"/>
                    </w:rPr>
                    <w:t>℃</w:t>
                  </w:r>
                  <w:r>
                    <w:rPr>
                      <w:kern w:val="0"/>
                      <w:szCs w:val="21"/>
                      <w:lang w:eastAsia="en-US" w:bidi="en-US"/>
                    </w:rPr>
                    <w:t>)</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kern w:val="0"/>
                      <w:szCs w:val="21"/>
                      <w:lang w:eastAsia="en-US" w:bidi="en-US"/>
                    </w:rPr>
                    <w:t>537</w:t>
                  </w:r>
                </w:p>
              </w:tc>
              <w:tc>
                <w:tcPr>
                  <w:tcW w:w="20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爆炸下限（</w:t>
                  </w:r>
                  <w:r>
                    <w:rPr>
                      <w:kern w:val="0"/>
                      <w:szCs w:val="21"/>
                      <w:lang w:eastAsia="en-US" w:bidi="en-US"/>
                    </w:rPr>
                    <w:t>v%</w:t>
                  </w:r>
                  <w:r>
                    <w:rPr>
                      <w:rFonts w:hint="eastAsia"/>
                      <w:kern w:val="0"/>
                      <w:szCs w:val="21"/>
                      <w:lang w:eastAsia="en-US" w:bidi="en-US"/>
                    </w:rPr>
                    <w:t>）</w:t>
                  </w:r>
                </w:p>
              </w:tc>
              <w:tc>
                <w:tcPr>
                  <w:tcW w:w="3150" w:type="dxa"/>
                  <w:gridSpan w:val="3"/>
                  <w:tcBorders>
                    <w:top w:val="single" w:color="auto" w:sz="4" w:space="0"/>
                    <w:left w:val="single" w:color="auto" w:sz="4" w:space="0"/>
                    <w:bottom w:val="single" w:color="auto" w:sz="4" w:space="0"/>
                    <w:right w:val="nil"/>
                  </w:tcBorders>
                  <w:vAlign w:val="center"/>
                </w:tcPr>
                <w:p>
                  <w:pPr>
                    <w:widowControl/>
                    <w:jc w:val="center"/>
                    <w:rPr>
                      <w:kern w:val="0"/>
                      <w:szCs w:val="21"/>
                      <w:lang w:eastAsia="en-US" w:bidi="en-US"/>
                    </w:rPr>
                  </w:pPr>
                  <w:r>
                    <w:rPr>
                      <w:kern w:val="0"/>
                      <w:szCs w:val="21"/>
                      <w:lang w:eastAsia="en-US" w:bidi="en-US"/>
                    </w:rPr>
                    <w:t>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continue"/>
                  <w:tcBorders>
                    <w:top w:val="single" w:color="auto" w:sz="4" w:space="0"/>
                    <w:left w:val="nil"/>
                    <w:bottom w:val="single" w:color="auto" w:sz="12" w:space="0"/>
                    <w:right w:val="single" w:color="auto" w:sz="4" w:space="0"/>
                  </w:tcBorders>
                  <w:vAlign w:val="center"/>
                </w:tcPr>
                <w:p>
                  <w:pPr>
                    <w:widowControl/>
                    <w:jc w:val="left"/>
                    <w:rPr>
                      <w:kern w:val="0"/>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危险特性</w:t>
                  </w:r>
                </w:p>
              </w:tc>
              <w:tc>
                <w:tcPr>
                  <w:tcW w:w="6655" w:type="dxa"/>
                  <w:gridSpan w:val="7"/>
                  <w:tcBorders>
                    <w:top w:val="single" w:color="auto" w:sz="4" w:space="0"/>
                    <w:left w:val="single" w:color="auto" w:sz="4" w:space="0"/>
                    <w:bottom w:val="single" w:color="auto" w:sz="4" w:space="0"/>
                    <w:right w:val="nil"/>
                  </w:tcBorders>
                  <w:vAlign w:val="center"/>
                </w:tcPr>
                <w:p>
                  <w:pPr>
                    <w:widowControl/>
                    <w:jc w:val="center"/>
                    <w:rPr>
                      <w:kern w:val="0"/>
                      <w:szCs w:val="21"/>
                      <w:lang w:bidi="en-US"/>
                    </w:rPr>
                  </w:pPr>
                  <w:r>
                    <w:rPr>
                      <w:rFonts w:hint="eastAsia"/>
                      <w:kern w:val="0"/>
                      <w:szCs w:val="21"/>
                      <w:lang w:bidi="en-US"/>
                    </w:rPr>
                    <w:t>蒸气能与空气形成爆炸性混合物；遇热源、明火着火、爆炸危险。与五氟化溴、氯气、次氯酸、三氟化氮、液氧、二氟化溴、强氧化剂接触剧烈反应。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continue"/>
                  <w:tcBorders>
                    <w:top w:val="single" w:color="auto" w:sz="4" w:space="0"/>
                    <w:left w:val="nil"/>
                    <w:bottom w:val="single" w:color="auto" w:sz="12" w:space="0"/>
                    <w:right w:val="single" w:color="auto" w:sz="4" w:space="0"/>
                  </w:tcBorders>
                  <w:vAlign w:val="center"/>
                </w:tcPr>
                <w:p>
                  <w:pPr>
                    <w:widowControl/>
                    <w:jc w:val="left"/>
                    <w:rPr>
                      <w:kern w:val="0"/>
                      <w:szCs w:val="21"/>
                    </w:rPr>
                  </w:pPr>
                </w:p>
              </w:tc>
              <w:tc>
                <w:tcPr>
                  <w:tcW w:w="180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储运条件</w:t>
                  </w:r>
                </w:p>
                <w:p>
                  <w:pPr>
                    <w:widowControl/>
                    <w:jc w:val="center"/>
                    <w:rPr>
                      <w:kern w:val="0"/>
                      <w:szCs w:val="21"/>
                      <w:lang w:eastAsia="en-US" w:bidi="en-US"/>
                    </w:rPr>
                  </w:pPr>
                  <w:r>
                    <w:rPr>
                      <w:rFonts w:hint="eastAsia"/>
                      <w:kern w:val="0"/>
                      <w:szCs w:val="21"/>
                      <w:lang w:eastAsia="en-US" w:bidi="en-US"/>
                    </w:rPr>
                    <w:t>与泄漏处理</w:t>
                  </w:r>
                </w:p>
              </w:tc>
              <w:tc>
                <w:tcPr>
                  <w:tcW w:w="6655" w:type="dxa"/>
                  <w:gridSpan w:val="7"/>
                  <w:tcBorders>
                    <w:top w:val="single" w:color="auto" w:sz="4" w:space="0"/>
                    <w:left w:val="single" w:color="auto" w:sz="4" w:space="0"/>
                    <w:bottom w:val="single" w:color="auto" w:sz="4" w:space="0"/>
                    <w:right w:val="nil"/>
                  </w:tcBorders>
                  <w:vAlign w:val="center"/>
                </w:tcPr>
                <w:p>
                  <w:pPr>
                    <w:widowControl/>
                    <w:jc w:val="center"/>
                    <w:rPr>
                      <w:kern w:val="0"/>
                      <w:szCs w:val="21"/>
                      <w:lang w:bidi="en-US"/>
                    </w:rPr>
                  </w:pPr>
                  <w:r>
                    <w:rPr>
                      <w:rFonts w:hint="eastAsia"/>
                      <w:kern w:val="0"/>
                      <w:szCs w:val="21"/>
                      <w:lang w:bidi="en-US"/>
                    </w:rPr>
                    <w:t>储运条件：储存在阴凉、通风良好的专用库房内或大型气柜，远离容易起火的地方。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479" w:type="dxa"/>
                  <w:vMerge w:val="continue"/>
                  <w:tcBorders>
                    <w:top w:val="single" w:color="auto" w:sz="4" w:space="0"/>
                    <w:left w:val="nil"/>
                    <w:bottom w:val="single" w:color="auto" w:sz="12" w:space="0"/>
                    <w:right w:val="single" w:color="auto" w:sz="4" w:space="0"/>
                  </w:tcBorders>
                  <w:vAlign w:val="center"/>
                </w:tcPr>
                <w:p>
                  <w:pPr>
                    <w:widowControl/>
                    <w:jc w:val="left"/>
                    <w:rPr>
                      <w:kern w:val="0"/>
                      <w:szCs w:val="21"/>
                    </w:rPr>
                  </w:pPr>
                </w:p>
              </w:tc>
              <w:tc>
                <w:tcPr>
                  <w:tcW w:w="1804" w:type="dxa"/>
                  <w:tcBorders>
                    <w:top w:val="single" w:color="auto" w:sz="4" w:space="0"/>
                    <w:left w:val="single" w:color="auto" w:sz="4" w:space="0"/>
                    <w:bottom w:val="single" w:color="auto" w:sz="12" w:space="0"/>
                    <w:right w:val="single" w:color="auto" w:sz="4" w:space="0"/>
                  </w:tcBorders>
                  <w:vAlign w:val="center"/>
                </w:tcPr>
                <w:p>
                  <w:pPr>
                    <w:widowControl/>
                    <w:jc w:val="center"/>
                    <w:rPr>
                      <w:kern w:val="0"/>
                      <w:szCs w:val="21"/>
                      <w:lang w:eastAsia="en-US" w:bidi="en-US"/>
                    </w:rPr>
                  </w:pPr>
                  <w:r>
                    <w:rPr>
                      <w:rFonts w:hint="eastAsia"/>
                      <w:kern w:val="0"/>
                      <w:szCs w:val="21"/>
                      <w:lang w:eastAsia="en-US" w:bidi="en-US"/>
                    </w:rPr>
                    <w:t>灭火方法</w:t>
                  </w:r>
                </w:p>
              </w:tc>
              <w:tc>
                <w:tcPr>
                  <w:tcW w:w="6655" w:type="dxa"/>
                  <w:gridSpan w:val="7"/>
                  <w:tcBorders>
                    <w:top w:val="single" w:color="auto" w:sz="4" w:space="0"/>
                    <w:left w:val="single" w:color="auto" w:sz="4" w:space="0"/>
                    <w:bottom w:val="single" w:color="auto" w:sz="12" w:space="0"/>
                    <w:right w:val="nil"/>
                  </w:tcBorders>
                  <w:vAlign w:val="center"/>
                </w:tcPr>
                <w:p>
                  <w:pPr>
                    <w:widowControl/>
                    <w:jc w:val="center"/>
                    <w:rPr>
                      <w:kern w:val="0"/>
                      <w:szCs w:val="21"/>
                      <w:lang w:bidi="en-US"/>
                    </w:rPr>
                  </w:pPr>
                  <w:r>
                    <w:rPr>
                      <w:rFonts w:hint="eastAsia"/>
                      <w:kern w:val="0"/>
                      <w:szCs w:val="21"/>
                      <w:lang w:bidi="en-US"/>
                    </w:rPr>
                    <w:t>用泡沫、雾状水、二氧化碳、干粉。</w:t>
                  </w:r>
                </w:p>
              </w:tc>
            </w:tr>
            <w:bookmarkEnd w:id="30"/>
          </w:tbl>
          <w:p>
            <w:pPr>
              <w:spacing w:line="460" w:lineRule="exact"/>
              <w:ind w:firstLine="480" w:firstLineChars="200"/>
              <w:rPr>
                <w:sz w:val="24"/>
              </w:rPr>
            </w:pPr>
            <w:r>
              <w:rPr>
                <w:rFonts w:hint="eastAsia" w:hAnsi="宋体"/>
                <w:sz w:val="24"/>
              </w:rPr>
              <w:t>4）</w:t>
            </w:r>
            <w:r>
              <w:rPr>
                <w:rFonts w:hAnsi="宋体"/>
                <w:sz w:val="24"/>
              </w:rPr>
              <w:t>环境风险分析</w:t>
            </w:r>
          </w:p>
          <w:p>
            <w:pPr>
              <w:spacing w:line="460" w:lineRule="exact"/>
              <w:ind w:firstLine="480" w:firstLineChars="200"/>
              <w:rPr>
                <w:sz w:val="24"/>
              </w:rPr>
            </w:pPr>
            <w:r>
              <w:rPr>
                <w:rFonts w:hint="eastAsia"/>
                <w:sz w:val="24"/>
              </w:rPr>
              <w:t>本工程涉及物质为天然气，主要成分为甲烷，属于清洁能源。运营期间的环境风险主要来自于输气管道、锅炉本体、各控制阀连接部位等泄露、火灾及爆炸。由于天然气的密度比空气轻若意外泄漏，会在空气中挥发掉，不容易产生聚集，引发各类燃气事故的概率相对较小。</w:t>
            </w:r>
          </w:p>
          <w:p>
            <w:pPr>
              <w:spacing w:line="460" w:lineRule="exact"/>
              <w:ind w:firstLine="480" w:firstLineChars="200"/>
              <w:rPr>
                <w:sz w:val="24"/>
              </w:rPr>
            </w:pPr>
            <w:r>
              <w:rPr>
                <w:rFonts w:hint="eastAsia"/>
                <w:sz w:val="24"/>
              </w:rPr>
              <w:t>天然气发生火灾、爆炸事故后，爆炸产生的冲击波会对一定范围内的人员造成伤亡，以及财物损失。火灾事故发生时，火灾释放物中除完全燃烧产物CO</w:t>
            </w:r>
            <w:r>
              <w:rPr>
                <w:rFonts w:hint="eastAsia"/>
                <w:sz w:val="24"/>
                <w:vertAlign w:val="subscript"/>
              </w:rPr>
              <w:t>2</w:t>
            </w:r>
            <w:r>
              <w:rPr>
                <w:rFonts w:hint="eastAsia"/>
                <w:sz w:val="24"/>
              </w:rPr>
              <w:t>外，不完全燃烧部分包括CO、烟尘等。CO为毒性物质，CO经人呼吸进入肺部，被血液吸收后能与体内血红蛋白结合成一氧化碳—血红蛋白。CO与血红蛋白的亲和力比氧与血红蛋白的亲和力要大250倍。一氧化碳—血红蛋白一经形成，离解很慢，容易造成低氧血症，从而导致人体组织缺氧。当大气中的一氧化碳浓度达到70～80ppm以上时，人在接触几小时后，一氧化碳—血红蛋白含量为20%左右时，就会引起中毒；当含量达到60%时，即可因窒息而死亡。一旦发生火灾，其周围环境温度较高，辐射热强烈，热辐射强度与发生火灾的时间成正比，时间越长，热辐射越强。天然气泄漏可能造成人员窒息，引起头痛、头晕、乏力、注意力不集中、呼吸和心跳加速、供给失调，若不及时脱离，可导致窒息死亡。</w:t>
            </w:r>
          </w:p>
          <w:p>
            <w:pPr>
              <w:spacing w:line="460" w:lineRule="exact"/>
              <w:ind w:firstLine="480" w:firstLineChars="200"/>
              <w:rPr>
                <w:sz w:val="24"/>
              </w:rPr>
            </w:pPr>
            <w:r>
              <w:rPr>
                <w:rFonts w:hint="eastAsia"/>
                <w:sz w:val="24"/>
              </w:rPr>
              <w:t xml:space="preserve">（4）风险防范措施 </w:t>
            </w:r>
          </w:p>
          <w:p>
            <w:pPr>
              <w:spacing w:line="460" w:lineRule="exact"/>
              <w:ind w:firstLine="480" w:firstLineChars="200"/>
              <w:rPr>
                <w:sz w:val="24"/>
              </w:rPr>
            </w:pPr>
            <w:r>
              <w:rPr>
                <w:rFonts w:hint="eastAsia"/>
                <w:sz w:val="24"/>
              </w:rPr>
              <w:t>1）事故预防安全装置</w:t>
            </w:r>
          </w:p>
          <w:p>
            <w:pPr>
              <w:spacing w:line="460" w:lineRule="exact"/>
              <w:ind w:firstLine="480" w:firstLineChars="200"/>
              <w:rPr>
                <w:sz w:val="24"/>
              </w:rPr>
            </w:pPr>
            <w:r>
              <w:rPr>
                <w:rFonts w:hint="eastAsia"/>
                <w:sz w:val="24"/>
              </w:rPr>
              <w:t>①加装自动报警装置，以便锅炉在水位、压力等参数出现异常时第一时间调解。</w:t>
            </w:r>
          </w:p>
          <w:p>
            <w:pPr>
              <w:spacing w:line="460" w:lineRule="exact"/>
              <w:ind w:firstLine="480" w:firstLineChars="200"/>
              <w:rPr>
                <w:sz w:val="24"/>
              </w:rPr>
            </w:pPr>
            <w:r>
              <w:rPr>
                <w:rFonts w:hint="eastAsia"/>
                <w:sz w:val="24"/>
              </w:rPr>
              <w:t>②加装切断装置，以便在出现锅炉燃气压、水压、炉温或辅助设备发生故障时能自动切断相关设备。</w:t>
            </w:r>
          </w:p>
          <w:p>
            <w:pPr>
              <w:spacing w:line="460" w:lineRule="exact"/>
              <w:ind w:firstLine="480" w:firstLineChars="200"/>
              <w:rPr>
                <w:sz w:val="24"/>
              </w:rPr>
            </w:pPr>
            <w:r>
              <w:rPr>
                <w:rFonts w:hint="eastAsia"/>
                <w:sz w:val="24"/>
              </w:rPr>
              <w:t>③用科学的手段和现有的检测仪器及时发现泄漏隐患，提前采取预防措施。</w:t>
            </w:r>
          </w:p>
          <w:p>
            <w:pPr>
              <w:spacing w:line="460" w:lineRule="exact"/>
              <w:ind w:firstLine="480" w:firstLineChars="200"/>
              <w:rPr>
                <w:sz w:val="24"/>
              </w:rPr>
            </w:pPr>
            <w:r>
              <w:rPr>
                <w:rFonts w:hint="eastAsia"/>
                <w:sz w:val="24"/>
              </w:rPr>
              <w:t>④燃气锅炉点火前，必须仔细吹扫炉膛和烟道，排除炉内可能积存的可燃气体。</w:t>
            </w:r>
          </w:p>
          <w:p>
            <w:pPr>
              <w:spacing w:line="460" w:lineRule="exact"/>
              <w:ind w:firstLine="480" w:firstLineChars="200"/>
              <w:rPr>
                <w:sz w:val="24"/>
              </w:rPr>
            </w:pPr>
            <w:r>
              <w:rPr>
                <w:rFonts w:hint="eastAsia"/>
                <w:sz w:val="24"/>
              </w:rPr>
              <w:t>⑤保证灭火降温装置（消防系统）完好。</w:t>
            </w:r>
          </w:p>
          <w:p>
            <w:pPr>
              <w:spacing w:line="460" w:lineRule="exact"/>
              <w:ind w:firstLine="480" w:firstLineChars="200"/>
              <w:rPr>
                <w:sz w:val="24"/>
              </w:rPr>
            </w:pPr>
            <w:r>
              <w:rPr>
                <w:rFonts w:hint="eastAsia"/>
                <w:sz w:val="24"/>
              </w:rPr>
              <w:t>2）燃气管道风险防范</w:t>
            </w:r>
          </w:p>
          <w:p>
            <w:pPr>
              <w:spacing w:line="460" w:lineRule="exact"/>
              <w:ind w:firstLine="480" w:firstLineChars="200"/>
              <w:rPr>
                <w:sz w:val="24"/>
              </w:rPr>
            </w:pPr>
            <w:r>
              <w:rPr>
                <w:rFonts w:hint="eastAsia"/>
                <w:sz w:val="24"/>
              </w:rPr>
              <w:t>①项目施工区域若在燃气管网附近，建设方要制定保护方案，在道路挖掘审批的程序中可将办理燃气监护手续作为必要条件之一，可以有效避免人为因素造成管网损坏引发爆炸事故。</w:t>
            </w:r>
          </w:p>
          <w:p>
            <w:pPr>
              <w:spacing w:line="460" w:lineRule="exact"/>
              <w:ind w:firstLine="480" w:firstLineChars="200"/>
              <w:rPr>
                <w:sz w:val="24"/>
              </w:rPr>
            </w:pPr>
            <w:r>
              <w:rPr>
                <w:rFonts w:hint="eastAsia"/>
                <w:sz w:val="24"/>
              </w:rPr>
              <w:t>②严把管线质量关，防止燃气因管线破损而泄漏。</w:t>
            </w:r>
          </w:p>
          <w:p>
            <w:pPr>
              <w:spacing w:line="460" w:lineRule="exact"/>
              <w:ind w:firstLine="480" w:firstLineChars="200"/>
              <w:rPr>
                <w:sz w:val="24"/>
              </w:rPr>
            </w:pPr>
            <w:r>
              <w:rPr>
                <w:rFonts w:hint="eastAsia"/>
                <w:sz w:val="24"/>
              </w:rPr>
              <w:t>③项目运行中燃气管道要定期进行检修，对于到达使用期限或腐蚀严重的管线应立即更换或维修，站内工作人员要掌握锅炉车间燃气、水管道及相关设施的位置，巡检到位，及时发现问题</w:t>
            </w:r>
          </w:p>
          <w:p>
            <w:pPr>
              <w:spacing w:line="460" w:lineRule="exact"/>
              <w:ind w:firstLine="480" w:firstLineChars="200"/>
              <w:rPr>
                <w:sz w:val="24"/>
              </w:rPr>
            </w:pPr>
            <w:r>
              <w:rPr>
                <w:rFonts w:hint="eastAsia"/>
                <w:sz w:val="24"/>
              </w:rPr>
              <w:t>3）锅炉车间管理细则要点：</w:t>
            </w:r>
          </w:p>
          <w:p>
            <w:pPr>
              <w:spacing w:line="460" w:lineRule="exact"/>
              <w:ind w:firstLine="480" w:firstLineChars="200"/>
              <w:rPr>
                <w:sz w:val="24"/>
              </w:rPr>
            </w:pPr>
            <w:r>
              <w:rPr>
                <w:rFonts w:hint="eastAsia"/>
                <w:sz w:val="24"/>
              </w:rPr>
              <w:t>①燃气锅炉车间内不得有明火、不得吸烟，在锅炉车间内、外明显部位要张贴禁烟、禁火标志。</w:t>
            </w:r>
          </w:p>
          <w:p>
            <w:pPr>
              <w:spacing w:line="460" w:lineRule="exact"/>
              <w:ind w:firstLine="480" w:firstLineChars="200"/>
              <w:rPr>
                <w:sz w:val="24"/>
              </w:rPr>
            </w:pPr>
            <w:r>
              <w:rPr>
                <w:rFonts w:hint="eastAsia"/>
                <w:sz w:val="24"/>
              </w:rPr>
              <w:t>②供热期结束锅炉停用后，要将管道内剩余的气体通过放散管放净，然后把所有燃气管道的阀们关紧（电磁阀）。</w:t>
            </w:r>
          </w:p>
          <w:p>
            <w:pPr>
              <w:spacing w:line="460" w:lineRule="exact"/>
              <w:ind w:firstLine="480" w:firstLineChars="200"/>
              <w:rPr>
                <w:sz w:val="24"/>
              </w:rPr>
            </w:pPr>
            <w:r>
              <w:rPr>
                <w:rFonts w:hint="eastAsia"/>
                <w:sz w:val="24"/>
              </w:rPr>
              <w:t>③维修锅炉需动用电气焊时，必须由专业人员在有人监护和确认无误管道中没有余气的情况下，方可进行操作。如修燃气部分要由燃气公司的专业人员进行维修。</w:t>
            </w:r>
          </w:p>
          <w:p>
            <w:pPr>
              <w:spacing w:line="460" w:lineRule="exact"/>
              <w:ind w:firstLine="480" w:firstLineChars="200"/>
              <w:rPr>
                <w:sz w:val="24"/>
              </w:rPr>
            </w:pPr>
            <w:r>
              <w:rPr>
                <w:rFonts w:hint="eastAsia"/>
                <w:sz w:val="24"/>
              </w:rPr>
              <w:t>④锅炉运行及维修时，锅炉车间内闲杂人员不得进入。锅炉不运行期间，锅炉车间内不得堆放与锅炉设备无关的物品。</w:t>
            </w:r>
          </w:p>
          <w:p>
            <w:pPr>
              <w:spacing w:line="460" w:lineRule="exact"/>
              <w:ind w:firstLine="480" w:firstLineChars="200"/>
              <w:rPr>
                <w:sz w:val="24"/>
              </w:rPr>
            </w:pPr>
            <w:r>
              <w:rPr>
                <w:rFonts w:hint="eastAsia"/>
                <w:sz w:val="24"/>
              </w:rPr>
              <w:t>⑤要时刻保证燃气、消检、通风等设备的灵敏可靠。</w:t>
            </w:r>
          </w:p>
          <w:p>
            <w:pPr>
              <w:spacing w:line="460" w:lineRule="exact"/>
              <w:ind w:firstLine="480" w:firstLineChars="200"/>
              <w:rPr>
                <w:sz w:val="24"/>
              </w:rPr>
            </w:pPr>
            <w:r>
              <w:rPr>
                <w:rFonts w:hint="eastAsia"/>
                <w:sz w:val="24"/>
              </w:rPr>
              <w:t>⑥要经常对司炉、维修、管理人员进行燃气安全方面的教育。</w:t>
            </w:r>
          </w:p>
          <w:p>
            <w:pPr>
              <w:spacing w:line="460" w:lineRule="exact"/>
              <w:ind w:firstLine="480" w:firstLineChars="200"/>
              <w:rPr>
                <w:sz w:val="24"/>
              </w:rPr>
            </w:pPr>
            <w:r>
              <w:rPr>
                <w:rFonts w:hint="eastAsia"/>
                <w:sz w:val="24"/>
              </w:rPr>
              <w:t>4）管理燃气锅炉车间的达标工作</w:t>
            </w:r>
          </w:p>
          <w:p>
            <w:pPr>
              <w:spacing w:line="460" w:lineRule="exact"/>
              <w:ind w:firstLine="480" w:firstLineChars="200"/>
              <w:rPr>
                <w:sz w:val="24"/>
              </w:rPr>
            </w:pPr>
            <w:r>
              <w:rPr>
                <w:rFonts w:hint="eastAsia"/>
                <w:sz w:val="24"/>
              </w:rPr>
              <w:t>①建立和健全领导组织机构，明确锅炉车间管理人员职责。</w:t>
            </w:r>
          </w:p>
          <w:p>
            <w:pPr>
              <w:spacing w:line="460" w:lineRule="exact"/>
              <w:ind w:firstLine="480" w:firstLineChars="200"/>
              <w:rPr>
                <w:sz w:val="24"/>
              </w:rPr>
            </w:pPr>
            <w:r>
              <w:rPr>
                <w:rFonts w:hint="eastAsia"/>
                <w:sz w:val="24"/>
              </w:rPr>
              <w:t>②制订和完善锅炉车间各项安全管理制度、健全锅炉设备档案，编制安全措施和维修计划并督促实施。</w:t>
            </w:r>
          </w:p>
          <w:p>
            <w:pPr>
              <w:spacing w:line="460" w:lineRule="exact"/>
              <w:ind w:firstLine="480" w:firstLineChars="200"/>
              <w:rPr>
                <w:sz w:val="24"/>
              </w:rPr>
            </w:pPr>
            <w:r>
              <w:rPr>
                <w:rFonts w:hint="eastAsia"/>
                <w:sz w:val="24"/>
              </w:rPr>
              <w:t>③锅炉车间的管道要画水流方向箭头，按规定刷色环，锅炉车间内外要整洁干净。锅炉车间要悬挂《锅炉使用登记证》、《燃气锅炉车间的各层次领导管理框图》、《燃气锅炉管理制度》、《司炉工巡视路线图》、《锅炉车间管道系统图》、《天燃气公司紧急抢修电话》、《燃气锅炉车间发生紧急情况的处理预案》、直接工作人员上岗证等。</w:t>
            </w:r>
          </w:p>
          <w:p>
            <w:pPr>
              <w:spacing w:line="460" w:lineRule="exact"/>
              <w:ind w:firstLine="480" w:firstLineChars="200"/>
              <w:rPr>
                <w:sz w:val="24"/>
              </w:rPr>
            </w:pPr>
            <w:r>
              <w:rPr>
                <w:rFonts w:hint="eastAsia"/>
                <w:sz w:val="24"/>
              </w:rPr>
              <w:t>④进行安全宣传，组织锅炉车间直接工作人员(司、维、管、水质化验等)培训。</w:t>
            </w:r>
          </w:p>
          <w:p>
            <w:pPr>
              <w:spacing w:line="460" w:lineRule="exact"/>
              <w:ind w:firstLine="480" w:firstLineChars="200"/>
              <w:rPr>
                <w:sz w:val="24"/>
              </w:rPr>
            </w:pPr>
            <w:r>
              <w:rPr>
                <w:rFonts w:hint="eastAsia"/>
                <w:sz w:val="24"/>
              </w:rPr>
              <w:t>⑤组织安全检查，开展安全竞赛以及评比总结，实施奖励、处分。</w:t>
            </w:r>
          </w:p>
          <w:p>
            <w:pPr>
              <w:spacing w:line="460" w:lineRule="exact"/>
              <w:ind w:firstLine="480" w:firstLineChars="200"/>
              <w:rPr>
                <w:sz w:val="24"/>
              </w:rPr>
            </w:pPr>
            <w:r>
              <w:rPr>
                <w:rFonts w:hint="eastAsia"/>
                <w:sz w:val="24"/>
              </w:rPr>
              <w:t>（5）环境风险分析结论</w:t>
            </w:r>
          </w:p>
          <w:p>
            <w:pPr>
              <w:spacing w:line="460" w:lineRule="exact"/>
              <w:ind w:firstLine="480" w:firstLineChars="200"/>
              <w:rPr>
                <w:sz w:val="24"/>
              </w:rPr>
            </w:pPr>
            <w:r>
              <w:rPr>
                <w:rFonts w:hint="eastAsia"/>
                <w:sz w:val="24"/>
              </w:rPr>
              <w:t>本项目风险事故主要为泄露和火灾爆炸事故。项目应严格落实本评价提出的各项环境风险防范措施，严格按国家有关环保、安全处理的要求，规范工程设计，落实有关安全、环保设施“三同时”，制定相应的环保及安全处理规章制度；处理过程中，加强处理管理。评价认为，在采取相应的防范控制及应急措施后，项目风险处于可接受水平，不会对项目周围环境产生明显影响，项目提出的风险管理措施可靠、有效，在认真落实本评价针对安全处理以及风险事故提出的具体防范对策及应急措施的情况下，从环境风险角度，项目在拟建地实施是可行的。</w:t>
            </w:r>
          </w:p>
          <w:p>
            <w:pPr>
              <w:spacing w:line="460" w:lineRule="exact"/>
              <w:ind w:firstLine="480" w:firstLineChars="200"/>
              <w:rPr>
                <w:sz w:val="24"/>
              </w:rPr>
            </w:pPr>
            <w:r>
              <w:rPr>
                <w:rFonts w:hint="eastAsia"/>
                <w:sz w:val="24"/>
              </w:rPr>
              <w:t>（6）</w:t>
            </w:r>
            <w:r>
              <w:rPr>
                <w:sz w:val="24"/>
              </w:rPr>
              <w:t>环境风险简单分析内容表</w:t>
            </w:r>
          </w:p>
          <w:p>
            <w:pPr>
              <w:ind w:firstLine="420" w:firstLineChars="200"/>
              <w:rPr>
                <w:rFonts w:ascii="黑体" w:hAnsi="黑体" w:eastAsia="黑体"/>
                <w:szCs w:val="21"/>
              </w:rPr>
            </w:pPr>
            <w:r>
              <w:rPr>
                <w:rFonts w:hint="eastAsia" w:ascii="黑体" w:hAnsi="黑体" w:eastAsia="黑体"/>
                <w:szCs w:val="21"/>
              </w:rPr>
              <w:t>表</w:t>
            </w:r>
            <w:r>
              <w:rPr>
                <w:rFonts w:ascii="黑体" w:hAnsi="黑体" w:eastAsia="黑体"/>
                <w:szCs w:val="21"/>
              </w:rPr>
              <w:t xml:space="preserve">4-20                </w:t>
            </w:r>
            <w:r>
              <w:rPr>
                <w:rFonts w:hint="eastAsia" w:ascii="黑体" w:hAnsi="黑体" w:eastAsia="黑体"/>
                <w:szCs w:val="21"/>
              </w:rPr>
              <w:t>建设项目环境风险简单分析内容表</w:t>
            </w:r>
          </w:p>
          <w:tbl>
            <w:tblPr>
              <w:tblStyle w:val="46"/>
              <w:tblW w:w="893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427"/>
              <w:gridCol w:w="2222"/>
              <w:gridCol w:w="976"/>
              <w:gridCol w:w="996"/>
              <w:gridCol w:w="17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601" w:type="dxa"/>
                  <w:tcBorders>
                    <w:top w:val="single" w:color="auto" w:sz="12" w:space="0"/>
                    <w:left w:val="nil"/>
                    <w:bottom w:val="single" w:color="auto" w:sz="4" w:space="0"/>
                    <w:right w:val="single" w:color="auto" w:sz="4" w:space="0"/>
                  </w:tcBorders>
                  <w:vAlign w:val="center"/>
                </w:tcPr>
                <w:p>
                  <w:pPr>
                    <w:adjustRightInd w:val="0"/>
                    <w:snapToGrid w:val="0"/>
                    <w:jc w:val="center"/>
                    <w:rPr>
                      <w:rFonts w:ascii="Calibri" w:hAnsi="Calibri"/>
                      <w:szCs w:val="21"/>
                    </w:rPr>
                  </w:pPr>
                  <w:r>
                    <w:rPr>
                      <w:rFonts w:hint="eastAsia" w:ascii="Calibri" w:hAnsi="Calibri"/>
                      <w:szCs w:val="21"/>
                    </w:rPr>
                    <w:t>建设项目</w:t>
                  </w:r>
                </w:p>
                <w:p>
                  <w:pPr>
                    <w:adjustRightInd w:val="0"/>
                    <w:snapToGrid w:val="0"/>
                    <w:jc w:val="center"/>
                    <w:rPr>
                      <w:rFonts w:ascii="Calibri" w:hAnsi="Calibri"/>
                      <w:szCs w:val="21"/>
                    </w:rPr>
                  </w:pPr>
                  <w:r>
                    <w:rPr>
                      <w:rFonts w:hint="eastAsia" w:ascii="Calibri" w:hAnsi="Calibri"/>
                      <w:szCs w:val="21"/>
                    </w:rPr>
                    <w:t>名称</w:t>
                  </w:r>
                </w:p>
              </w:tc>
              <w:tc>
                <w:tcPr>
                  <w:tcW w:w="7337" w:type="dxa"/>
                  <w:gridSpan w:val="5"/>
                  <w:tcBorders>
                    <w:top w:val="single" w:color="auto" w:sz="12" w:space="0"/>
                    <w:left w:val="single" w:color="auto" w:sz="4" w:space="0"/>
                    <w:bottom w:val="single" w:color="auto" w:sz="4" w:space="0"/>
                    <w:right w:val="nil"/>
                  </w:tcBorders>
                  <w:vAlign w:val="center"/>
                </w:tcPr>
                <w:p>
                  <w:pPr>
                    <w:adjustRightInd w:val="0"/>
                    <w:snapToGrid w:val="0"/>
                    <w:jc w:val="center"/>
                    <w:rPr>
                      <w:rFonts w:ascii="Calibri" w:hAnsi="Calibri"/>
                      <w:szCs w:val="21"/>
                    </w:rPr>
                  </w:pPr>
                  <w:r>
                    <w:rPr>
                      <w:rFonts w:hint="eastAsia" w:ascii="Calibri" w:hAnsi="Calibri"/>
                      <w:szCs w:val="21"/>
                      <w:lang w:bidi="en-US"/>
                    </w:rPr>
                    <w:t>新疆维维天山雪乳业有限公司锅炉、污水处理设施技改项目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601" w:type="dxa"/>
                  <w:tcBorders>
                    <w:top w:val="single" w:color="auto" w:sz="4" w:space="0"/>
                    <w:left w:val="nil"/>
                    <w:bottom w:val="single" w:color="auto" w:sz="4" w:space="0"/>
                    <w:right w:val="single" w:color="auto" w:sz="4" w:space="0"/>
                  </w:tcBorders>
                  <w:vAlign w:val="center"/>
                </w:tcPr>
                <w:p>
                  <w:pPr>
                    <w:adjustRightInd w:val="0"/>
                    <w:snapToGrid w:val="0"/>
                    <w:jc w:val="center"/>
                    <w:rPr>
                      <w:rFonts w:ascii="Calibri" w:hAnsi="Calibri"/>
                      <w:szCs w:val="21"/>
                    </w:rPr>
                  </w:pPr>
                  <w:r>
                    <w:rPr>
                      <w:rFonts w:hint="eastAsia" w:ascii="Calibri" w:hAnsi="Calibri"/>
                      <w:szCs w:val="21"/>
                    </w:rPr>
                    <w:t>建设地点</w:t>
                  </w: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szCs w:val="21"/>
                    </w:rPr>
                  </w:pPr>
                  <w:r>
                    <w:rPr>
                      <w:rFonts w:hint="eastAsia" w:ascii="Calibri" w:hAnsi="Calibri"/>
                      <w:szCs w:val="21"/>
                    </w:rPr>
                    <w:t>（新疆）省</w:t>
                  </w:r>
                </w:p>
              </w:tc>
              <w:tc>
                <w:tcPr>
                  <w:tcW w:w="22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szCs w:val="21"/>
                    </w:rPr>
                  </w:pPr>
                  <w:r>
                    <w:rPr>
                      <w:rFonts w:hint="eastAsia" w:ascii="Calibri" w:hAnsi="Calibri"/>
                      <w:szCs w:val="21"/>
                    </w:rPr>
                    <w:t>（昌吉州）地区</w:t>
                  </w:r>
                </w:p>
              </w:tc>
              <w:tc>
                <w:tcPr>
                  <w:tcW w:w="9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szCs w:val="21"/>
                    </w:rPr>
                  </w:pPr>
                  <w:r>
                    <w:rPr>
                      <w:rFonts w:hint="eastAsia" w:ascii="Calibri" w:hAnsi="Calibri"/>
                      <w:szCs w:val="21"/>
                    </w:rPr>
                    <w:t>（）区</w:t>
                  </w:r>
                </w:p>
              </w:tc>
              <w:tc>
                <w:tcPr>
                  <w:tcW w:w="9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Calibri" w:hAnsi="Calibri"/>
                      <w:szCs w:val="21"/>
                    </w:rPr>
                  </w:pPr>
                  <w:r>
                    <w:rPr>
                      <w:rFonts w:hint="eastAsia" w:ascii="Calibri" w:hAnsi="Calibri"/>
                      <w:szCs w:val="21"/>
                    </w:rPr>
                    <w:t>（呼图壁县）县</w:t>
                  </w:r>
                </w:p>
              </w:tc>
              <w:tc>
                <w:tcPr>
                  <w:tcW w:w="1716" w:type="dxa"/>
                  <w:tcBorders>
                    <w:top w:val="single" w:color="auto" w:sz="4" w:space="0"/>
                    <w:left w:val="single" w:color="auto" w:sz="4" w:space="0"/>
                    <w:bottom w:val="single" w:color="auto" w:sz="4" w:space="0"/>
                    <w:right w:val="nil"/>
                  </w:tcBorders>
                  <w:vAlign w:val="center"/>
                </w:tcPr>
                <w:p>
                  <w:pPr>
                    <w:adjustRightInd w:val="0"/>
                    <w:snapToGrid w:val="0"/>
                    <w:jc w:val="center"/>
                    <w:rPr>
                      <w:rFonts w:ascii="Calibri" w:hAnsi="Calibri"/>
                      <w:szCs w:val="21"/>
                    </w:rPr>
                  </w:pPr>
                  <w:r>
                    <w:rPr>
                      <w:rFonts w:ascii="Calibri" w:hAnsi="Calibri"/>
                      <w:szCs w:val="21"/>
                    </w:rPr>
                    <w:t>天山雪大道99号</w:t>
                  </w:r>
                  <w:r>
                    <w:rPr>
                      <w:rFonts w:hint="eastAsia" w:ascii="Calibri" w:hAnsi="Calibri"/>
                      <w:szCs w:val="21"/>
                      <w:lang w:bidi="en-US"/>
                    </w:rPr>
                    <w:t>新疆维维天山雪乳业有限公司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601" w:type="dxa"/>
                  <w:tcBorders>
                    <w:top w:val="single" w:color="auto" w:sz="4" w:space="0"/>
                    <w:left w:val="nil"/>
                    <w:bottom w:val="single" w:color="auto" w:sz="4" w:space="0"/>
                    <w:right w:val="single" w:color="auto" w:sz="4" w:space="0"/>
                  </w:tcBorders>
                  <w:vAlign w:val="center"/>
                </w:tcPr>
                <w:p>
                  <w:pPr>
                    <w:adjustRightInd w:val="0"/>
                    <w:snapToGrid w:val="0"/>
                    <w:jc w:val="center"/>
                    <w:rPr>
                      <w:rFonts w:ascii="Calibri" w:hAnsi="Calibri"/>
                      <w:szCs w:val="21"/>
                    </w:rPr>
                  </w:pPr>
                  <w:r>
                    <w:rPr>
                      <w:rFonts w:hint="eastAsia" w:ascii="Calibri" w:hAnsi="Calibri"/>
                      <w:szCs w:val="21"/>
                    </w:rPr>
                    <w:t>地理坐标</w:t>
                  </w:r>
                </w:p>
              </w:tc>
              <w:tc>
                <w:tcPr>
                  <w:tcW w:w="7337"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r>
                    <w:rPr>
                      <w:bCs/>
                      <w:szCs w:val="21"/>
                      <w:lang w:bidi="en-US"/>
                    </w:rPr>
                    <w:t>E86°51′39.140″,N44°9′27.007″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jc w:val="center"/>
              </w:trPr>
              <w:tc>
                <w:tcPr>
                  <w:tcW w:w="1601" w:type="dxa"/>
                  <w:tcBorders>
                    <w:top w:val="single" w:color="auto" w:sz="4" w:space="0"/>
                    <w:left w:val="nil"/>
                    <w:bottom w:val="single" w:color="auto" w:sz="4" w:space="0"/>
                    <w:right w:val="single" w:color="auto" w:sz="4" w:space="0"/>
                  </w:tcBorders>
                  <w:vAlign w:val="center"/>
                </w:tcPr>
                <w:p>
                  <w:pPr>
                    <w:adjustRightInd w:val="0"/>
                    <w:snapToGrid w:val="0"/>
                    <w:jc w:val="center"/>
                    <w:rPr>
                      <w:rFonts w:ascii="Calibri" w:hAnsi="Calibri"/>
                      <w:szCs w:val="21"/>
                    </w:rPr>
                  </w:pPr>
                  <w:r>
                    <w:rPr>
                      <w:rFonts w:hint="eastAsia" w:ascii="Calibri" w:hAnsi="Calibri"/>
                      <w:szCs w:val="21"/>
                    </w:rPr>
                    <w:t>主要危险物质及分布</w:t>
                  </w:r>
                </w:p>
              </w:tc>
              <w:tc>
                <w:tcPr>
                  <w:tcW w:w="7337" w:type="dxa"/>
                  <w:gridSpan w:val="5"/>
                  <w:tcBorders>
                    <w:top w:val="single" w:color="auto" w:sz="4" w:space="0"/>
                    <w:left w:val="single" w:color="auto" w:sz="4" w:space="0"/>
                    <w:bottom w:val="single" w:color="auto" w:sz="4" w:space="0"/>
                    <w:right w:val="nil"/>
                  </w:tcBorders>
                  <w:vAlign w:val="center"/>
                </w:tcPr>
                <w:p>
                  <w:pPr>
                    <w:adjustRightInd w:val="0"/>
                    <w:snapToGrid w:val="0"/>
                    <w:jc w:val="center"/>
                    <w:rPr>
                      <w:rFonts w:ascii="Calibri" w:hAnsi="Calibri"/>
                      <w:szCs w:val="21"/>
                    </w:rPr>
                  </w:pPr>
                  <w:r>
                    <w:rPr>
                      <w:rFonts w:hint="eastAsia" w:ascii="Calibri" w:hAnsi="Calibri"/>
                      <w:szCs w:val="21"/>
                    </w:rPr>
                    <w:t>本项目主要物质为天然气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601" w:type="dxa"/>
                  <w:tcBorders>
                    <w:top w:val="single" w:color="auto" w:sz="4" w:space="0"/>
                    <w:left w:val="nil"/>
                    <w:bottom w:val="single" w:color="auto" w:sz="4" w:space="0"/>
                    <w:right w:val="single" w:color="auto" w:sz="4" w:space="0"/>
                  </w:tcBorders>
                  <w:vAlign w:val="center"/>
                </w:tcPr>
                <w:p>
                  <w:pPr>
                    <w:adjustRightInd w:val="0"/>
                    <w:snapToGrid w:val="0"/>
                    <w:jc w:val="center"/>
                    <w:rPr>
                      <w:rFonts w:ascii="Calibri" w:hAnsi="Calibri"/>
                      <w:szCs w:val="21"/>
                    </w:rPr>
                  </w:pPr>
                  <w:r>
                    <w:rPr>
                      <w:rFonts w:hint="eastAsia" w:ascii="Calibri" w:hAnsi="Calibri"/>
                      <w:szCs w:val="21"/>
                    </w:rPr>
                    <w:t>环境影响途径及危害后果</w:t>
                  </w:r>
                </w:p>
              </w:tc>
              <w:tc>
                <w:tcPr>
                  <w:tcW w:w="7337" w:type="dxa"/>
                  <w:gridSpan w:val="5"/>
                  <w:tcBorders>
                    <w:top w:val="single" w:color="auto" w:sz="4" w:space="0"/>
                    <w:left w:val="single" w:color="auto" w:sz="4" w:space="0"/>
                    <w:bottom w:val="single" w:color="auto" w:sz="4" w:space="0"/>
                    <w:right w:val="nil"/>
                  </w:tcBorders>
                  <w:vAlign w:val="center"/>
                </w:tcPr>
                <w:p>
                  <w:pPr>
                    <w:adjustRightInd w:val="0"/>
                    <w:snapToGrid w:val="0"/>
                    <w:rPr>
                      <w:rFonts w:ascii="Calibri" w:hAnsi="Calibri"/>
                      <w:szCs w:val="21"/>
                    </w:rPr>
                  </w:pPr>
                  <w:r>
                    <w:rPr>
                      <w:rFonts w:hint="eastAsia" w:ascii="Calibri" w:hAnsi="Calibri"/>
                      <w:szCs w:val="21"/>
                    </w:rPr>
                    <w:t>本项目可能的风险事故为原辅材料存放、管理不当遇明火引发泄露和火灾，火灾事故次生、伴生灾害主要为产生的烟雾对周围人群和环境的影响。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01" w:type="dxa"/>
                  <w:tcBorders>
                    <w:top w:val="single" w:color="auto" w:sz="4" w:space="0"/>
                    <w:left w:val="nil"/>
                    <w:bottom w:val="single" w:color="auto" w:sz="4" w:space="0"/>
                    <w:right w:val="single" w:color="auto" w:sz="4" w:space="0"/>
                  </w:tcBorders>
                  <w:vAlign w:val="center"/>
                </w:tcPr>
                <w:p>
                  <w:pPr>
                    <w:adjustRightInd w:val="0"/>
                    <w:snapToGrid w:val="0"/>
                    <w:jc w:val="center"/>
                    <w:rPr>
                      <w:rFonts w:ascii="Calibri" w:hAnsi="Calibri"/>
                      <w:szCs w:val="21"/>
                    </w:rPr>
                  </w:pPr>
                  <w:r>
                    <w:rPr>
                      <w:rFonts w:hint="eastAsia" w:ascii="Calibri" w:hAnsi="Calibri"/>
                      <w:szCs w:val="21"/>
                    </w:rPr>
                    <w:t>风险防范措施要求</w:t>
                  </w:r>
                </w:p>
              </w:tc>
              <w:tc>
                <w:tcPr>
                  <w:tcW w:w="7337" w:type="dxa"/>
                  <w:gridSpan w:val="5"/>
                  <w:tcBorders>
                    <w:top w:val="single" w:color="auto" w:sz="4" w:space="0"/>
                    <w:left w:val="single" w:color="auto" w:sz="4" w:space="0"/>
                    <w:bottom w:val="single" w:color="auto" w:sz="4" w:space="0"/>
                    <w:right w:val="nil"/>
                  </w:tcBorders>
                  <w:vAlign w:val="center"/>
                </w:tcPr>
                <w:p>
                  <w:pPr>
                    <w:adjustRightInd w:val="0"/>
                    <w:snapToGrid w:val="0"/>
                    <w:jc w:val="center"/>
                    <w:rPr>
                      <w:rFonts w:ascii="Calibri" w:hAnsi="Calibri"/>
                      <w:szCs w:val="21"/>
                    </w:rPr>
                  </w:pPr>
                  <w:r>
                    <w:rPr>
                      <w:rFonts w:hint="eastAsia" w:ascii="Calibri" w:hAnsi="Calibri"/>
                      <w:szCs w:val="21"/>
                    </w:rPr>
                    <w:t>①设置消防设备和消防器材；②加强检修；③运输及储存、生产过程事故防范措施；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38" w:type="dxa"/>
                  <w:gridSpan w:val="6"/>
                  <w:tcBorders>
                    <w:top w:val="single" w:color="auto" w:sz="4" w:space="0"/>
                    <w:left w:val="nil"/>
                    <w:bottom w:val="single" w:color="auto" w:sz="12" w:space="0"/>
                    <w:right w:val="nil"/>
                  </w:tcBorders>
                  <w:vAlign w:val="center"/>
                </w:tcPr>
                <w:p>
                  <w:pPr>
                    <w:adjustRightInd w:val="0"/>
                    <w:snapToGrid w:val="0"/>
                    <w:rPr>
                      <w:rFonts w:ascii="Calibri" w:hAnsi="Calibri"/>
                      <w:szCs w:val="21"/>
                    </w:rPr>
                  </w:pPr>
                  <w:r>
                    <w:rPr>
                      <w:rFonts w:hint="eastAsia" w:ascii="Calibri" w:hAnsi="Calibri"/>
                      <w:szCs w:val="21"/>
                    </w:rPr>
                    <w:t>填表说明（列出项目相关信息及评价说明）：</w:t>
                  </w:r>
                  <w:r>
                    <w:rPr>
                      <w:rFonts w:ascii="Calibri" w:hAnsi="Calibri"/>
                      <w:szCs w:val="21"/>
                    </w:rPr>
                    <w:t>根据《建设项目环境风险评价技术导则》（HJ169-2018）中判定原则，本项目环境风险潜势为</w:t>
                  </w:r>
                  <w:r>
                    <w:rPr>
                      <w:rFonts w:hint="eastAsia" w:ascii="Calibri" w:hAnsi="Calibri"/>
                      <w:szCs w:val="21"/>
                    </w:rPr>
                    <w:t>Ⅰ</w:t>
                  </w:r>
                  <w:r>
                    <w:rPr>
                      <w:rFonts w:ascii="Calibri" w:hAnsi="Calibri"/>
                      <w:szCs w:val="21"/>
                    </w:rPr>
                    <w:t>，故进行简单分析</w:t>
                  </w:r>
                </w:p>
              </w:tc>
            </w:tr>
          </w:tbl>
          <w:p>
            <w:pPr>
              <w:pStyle w:val="112"/>
              <w:ind w:firstLine="482"/>
              <w:rPr>
                <w:b/>
                <w:bCs/>
              </w:rPr>
            </w:pPr>
            <w:r>
              <w:rPr>
                <w:rFonts w:hint="eastAsia"/>
                <w:b/>
                <w:bCs/>
              </w:rPr>
              <w:t>七</w:t>
            </w:r>
            <w:r>
              <w:rPr>
                <w:b/>
                <w:bCs/>
              </w:rPr>
              <w:t>、环境影响评价制度与排污许可制衔接分析</w:t>
            </w:r>
          </w:p>
          <w:p>
            <w:pPr>
              <w:pStyle w:val="112"/>
              <w:rPr>
                <w:bCs/>
              </w:rPr>
            </w:pPr>
            <w:r>
              <w:rPr>
                <w:bCs/>
              </w:rPr>
              <w:t>根据环办环评[2017]84号《关于做好环境影响评价制度与排污许可制衔接相关工作的通知》，为贯彻落实《国务院办公厅关于印发控制污染物排放许可制实施方案的通知》（国办发〔2016〕81 号）和《环境保护部关于印发〈“十三五”环境影响评价改革实施方案〉的通知》（环环评〔2016〕95 号），推进环境质量改善，依据《排污许可管理条例》（国令第736号）做好建设项目环境影响评价制度与排污许可制有机衔接相关工作。</w:t>
            </w:r>
          </w:p>
          <w:p>
            <w:pPr>
              <w:pStyle w:val="112"/>
              <w:rPr>
                <w:bCs/>
                <w:color w:val="FF0000"/>
              </w:rPr>
            </w:pPr>
            <w:r>
              <w:rPr>
                <w:rFonts w:hint="eastAsia"/>
                <w:bCs/>
                <w:color w:val="FF0000"/>
              </w:rPr>
              <w:t>根据查阅资料，建设单位已</w:t>
            </w:r>
            <w:r>
              <w:rPr>
                <w:bCs/>
                <w:color w:val="FF0000"/>
              </w:rPr>
              <w:t>根据《排污许可管理条例》（中华人民共和国国务院令 第736号，2021.3.1）、《排污许可证申请与核发技术规范 总则》（HJ942-2018）、《固定污染源排污许可分类管理名录》（2019年版）要求</w:t>
            </w:r>
            <w:r>
              <w:rPr>
                <w:rFonts w:hint="eastAsia"/>
                <w:bCs/>
                <w:color w:val="FF0000"/>
              </w:rPr>
              <w:t>申请排污许可证，于2</w:t>
            </w:r>
            <w:r>
              <w:rPr>
                <w:bCs/>
                <w:color w:val="FF0000"/>
              </w:rPr>
              <w:t>019</w:t>
            </w:r>
            <w:r>
              <w:rPr>
                <w:rFonts w:hint="eastAsia"/>
                <w:bCs/>
                <w:color w:val="FF0000"/>
              </w:rPr>
              <w:t>年1</w:t>
            </w:r>
            <w:r>
              <w:rPr>
                <w:bCs/>
                <w:color w:val="FF0000"/>
              </w:rPr>
              <w:t>2</w:t>
            </w:r>
            <w:r>
              <w:rPr>
                <w:rFonts w:hint="eastAsia"/>
                <w:bCs/>
                <w:color w:val="FF0000"/>
              </w:rPr>
              <w:t>月1</w:t>
            </w:r>
            <w:r>
              <w:rPr>
                <w:bCs/>
                <w:color w:val="FF0000"/>
              </w:rPr>
              <w:t>1</w:t>
            </w:r>
            <w:r>
              <w:rPr>
                <w:rFonts w:hint="eastAsia"/>
                <w:bCs/>
                <w:color w:val="FF0000"/>
              </w:rPr>
              <w:t>日取得了昌吉回族自治州生态环境局下发的排污许可证（证书编号：</w:t>
            </w:r>
            <w:r>
              <w:rPr>
                <w:bCs/>
                <w:color w:val="FF0000"/>
              </w:rPr>
              <w:t>91652323734452225X001Q</w:t>
            </w:r>
            <w:r>
              <w:rPr>
                <w:rFonts w:hint="eastAsia"/>
                <w:bCs/>
                <w:color w:val="FF0000"/>
              </w:rPr>
              <w:t>），有效期自2</w:t>
            </w:r>
            <w:r>
              <w:rPr>
                <w:bCs/>
                <w:color w:val="FF0000"/>
              </w:rPr>
              <w:t>019</w:t>
            </w:r>
            <w:r>
              <w:rPr>
                <w:rFonts w:hint="eastAsia"/>
                <w:bCs/>
                <w:color w:val="FF0000"/>
              </w:rPr>
              <w:t>年1</w:t>
            </w:r>
            <w:r>
              <w:rPr>
                <w:bCs/>
                <w:color w:val="FF0000"/>
              </w:rPr>
              <w:t>2</w:t>
            </w:r>
            <w:r>
              <w:rPr>
                <w:rFonts w:hint="eastAsia"/>
                <w:bCs/>
                <w:color w:val="FF0000"/>
              </w:rPr>
              <w:t>月1</w:t>
            </w:r>
            <w:r>
              <w:rPr>
                <w:bCs/>
                <w:color w:val="FF0000"/>
              </w:rPr>
              <w:t>1</w:t>
            </w:r>
            <w:r>
              <w:rPr>
                <w:rFonts w:hint="eastAsia"/>
                <w:bCs/>
                <w:color w:val="FF0000"/>
              </w:rPr>
              <w:t>日至2</w:t>
            </w:r>
            <w:r>
              <w:rPr>
                <w:bCs/>
                <w:color w:val="FF0000"/>
              </w:rPr>
              <w:t>024</w:t>
            </w:r>
            <w:r>
              <w:rPr>
                <w:rFonts w:hint="eastAsia"/>
                <w:bCs/>
                <w:color w:val="FF0000"/>
              </w:rPr>
              <w:t>年1</w:t>
            </w:r>
            <w:r>
              <w:rPr>
                <w:bCs/>
                <w:color w:val="FF0000"/>
              </w:rPr>
              <w:t>2</w:t>
            </w:r>
            <w:r>
              <w:rPr>
                <w:rFonts w:hint="eastAsia"/>
                <w:bCs/>
                <w:color w:val="FF0000"/>
              </w:rPr>
              <w:t>月1</w:t>
            </w:r>
            <w:r>
              <w:rPr>
                <w:bCs/>
                <w:color w:val="FF0000"/>
              </w:rPr>
              <w:t>0</w:t>
            </w:r>
            <w:r>
              <w:rPr>
                <w:rFonts w:hint="eastAsia"/>
                <w:bCs/>
                <w:color w:val="FF0000"/>
              </w:rPr>
              <w:t>日止，2</w:t>
            </w:r>
            <w:r>
              <w:rPr>
                <w:bCs/>
                <w:color w:val="FF0000"/>
              </w:rPr>
              <w:t>021</w:t>
            </w:r>
            <w:r>
              <w:rPr>
                <w:rFonts w:hint="eastAsia"/>
                <w:bCs/>
                <w:color w:val="FF0000"/>
              </w:rPr>
              <w:t>年1</w:t>
            </w:r>
            <w:r>
              <w:rPr>
                <w:bCs/>
                <w:color w:val="FF0000"/>
              </w:rPr>
              <w:t>1</w:t>
            </w:r>
            <w:r>
              <w:rPr>
                <w:rFonts w:hint="eastAsia"/>
                <w:bCs/>
                <w:color w:val="FF0000"/>
              </w:rPr>
              <w:t>月，</w:t>
            </w:r>
            <w:r>
              <w:rPr>
                <w:rFonts w:hint="eastAsia"/>
                <w:color w:val="FF0000"/>
              </w:rPr>
              <w:t>企业已按本次补做的工程内容进行填报</w:t>
            </w:r>
            <w:r>
              <w:rPr>
                <w:rFonts w:hint="eastAsia"/>
                <w:bCs/>
                <w:color w:val="FF0000"/>
              </w:rPr>
              <w:t>变更</w:t>
            </w:r>
            <w:r>
              <w:rPr>
                <w:bCs/>
                <w:color w:val="FF0000"/>
              </w:rPr>
              <w:t>。</w:t>
            </w:r>
          </w:p>
          <w:p>
            <w:pPr>
              <w:pStyle w:val="112"/>
              <w:ind w:firstLine="482"/>
              <w:rPr>
                <w:b/>
                <w:snapToGrid w:val="0"/>
                <w:kern w:val="0"/>
              </w:rPr>
            </w:pPr>
            <w:r>
              <w:rPr>
                <w:rFonts w:hint="eastAsia"/>
                <w:b/>
              </w:rPr>
              <w:t>八</w:t>
            </w:r>
            <w:r>
              <w:rPr>
                <w:b/>
              </w:rPr>
              <w:t>、</w:t>
            </w:r>
            <w:r>
              <w:rPr>
                <w:rFonts w:hint="eastAsia"/>
                <w:b/>
                <w:snapToGrid w:val="0"/>
                <w:kern w:val="0"/>
              </w:rPr>
              <w:t>排污口规范化管理</w:t>
            </w:r>
          </w:p>
          <w:p>
            <w:pPr>
              <w:topLinePunct/>
              <w:spacing w:line="460" w:lineRule="exact"/>
              <w:ind w:firstLine="480" w:firstLineChars="200"/>
              <w:rPr>
                <w:snapToGrid w:val="0"/>
                <w:kern w:val="0"/>
                <w:sz w:val="24"/>
              </w:rPr>
            </w:pPr>
            <w:r>
              <w:rPr>
                <w:rFonts w:hint="eastAsia"/>
                <w:snapToGrid w:val="0"/>
                <w:kern w:val="0"/>
                <w:sz w:val="24"/>
              </w:rPr>
              <w:t>排污口是投产后污染物进入环境、污染环境的出口，强化排污口管理是实施污染物总量控制的基础工作，也是环境管理逐步实现污染物科学化、定量化的手段。</w:t>
            </w:r>
          </w:p>
          <w:p>
            <w:pPr>
              <w:topLinePunct/>
              <w:spacing w:line="460" w:lineRule="exact"/>
              <w:ind w:firstLine="480" w:firstLineChars="200"/>
              <w:rPr>
                <w:snapToGrid w:val="0"/>
                <w:kern w:val="0"/>
                <w:sz w:val="24"/>
              </w:rPr>
            </w:pPr>
            <w:r>
              <w:rPr>
                <w:rFonts w:hint="eastAsia"/>
                <w:snapToGrid w:val="0"/>
                <w:kern w:val="0"/>
                <w:sz w:val="24"/>
              </w:rPr>
              <w:t>1）排污口规范化管理的基本原则</w:t>
            </w:r>
          </w:p>
          <w:p>
            <w:pPr>
              <w:topLinePunct/>
              <w:spacing w:line="460" w:lineRule="exact"/>
              <w:ind w:firstLine="480" w:firstLineChars="200"/>
              <w:rPr>
                <w:snapToGrid w:val="0"/>
                <w:kern w:val="0"/>
                <w:sz w:val="24"/>
              </w:rPr>
            </w:pPr>
            <w:r>
              <w:rPr>
                <w:rFonts w:hint="eastAsia"/>
                <w:snapToGrid w:val="0"/>
                <w:kern w:val="0"/>
                <w:sz w:val="24"/>
              </w:rPr>
              <w:t>①向环境排放污染物的排放口必须规范化；</w:t>
            </w:r>
          </w:p>
          <w:p>
            <w:pPr>
              <w:topLinePunct/>
              <w:spacing w:line="460" w:lineRule="exact"/>
              <w:ind w:firstLine="480" w:firstLineChars="200"/>
              <w:rPr>
                <w:snapToGrid w:val="0"/>
                <w:kern w:val="0"/>
                <w:sz w:val="24"/>
              </w:rPr>
            </w:pPr>
            <w:r>
              <w:rPr>
                <w:rFonts w:hint="eastAsia"/>
                <w:snapToGrid w:val="0"/>
                <w:kern w:val="0"/>
                <w:sz w:val="24"/>
              </w:rPr>
              <w:t>②根据工程的特点，废气排放口作为管理重点；</w:t>
            </w:r>
          </w:p>
          <w:p>
            <w:pPr>
              <w:topLinePunct/>
              <w:spacing w:line="460" w:lineRule="exact"/>
              <w:ind w:firstLine="480" w:firstLineChars="200"/>
              <w:rPr>
                <w:snapToGrid w:val="0"/>
                <w:kern w:val="0"/>
                <w:sz w:val="24"/>
              </w:rPr>
            </w:pPr>
            <w:r>
              <w:rPr>
                <w:rFonts w:hint="eastAsia"/>
                <w:snapToGrid w:val="0"/>
                <w:kern w:val="0"/>
                <w:sz w:val="24"/>
              </w:rPr>
              <w:t>③排污口设置应便于采集样品、便于计量监测、便于日常现场监督检查。</w:t>
            </w:r>
          </w:p>
          <w:p>
            <w:pPr>
              <w:topLinePunct/>
              <w:spacing w:line="460" w:lineRule="exact"/>
              <w:ind w:firstLine="480" w:firstLineChars="200"/>
              <w:rPr>
                <w:snapToGrid w:val="0"/>
                <w:kern w:val="0"/>
                <w:sz w:val="24"/>
              </w:rPr>
            </w:pPr>
            <w:r>
              <w:rPr>
                <w:rFonts w:hint="eastAsia"/>
                <w:snapToGrid w:val="0"/>
                <w:kern w:val="0"/>
                <w:sz w:val="24"/>
              </w:rPr>
              <w:t>2）排污口的技术要求</w:t>
            </w:r>
          </w:p>
          <w:p>
            <w:pPr>
              <w:topLinePunct/>
              <w:spacing w:line="460" w:lineRule="exact"/>
              <w:ind w:firstLine="480" w:firstLineChars="200"/>
              <w:rPr>
                <w:snapToGrid w:val="0"/>
                <w:kern w:val="0"/>
                <w:sz w:val="24"/>
              </w:rPr>
            </w:pPr>
            <w:r>
              <w:rPr>
                <w:rFonts w:hint="eastAsia" w:ascii="宋体" w:hAnsi="宋体" w:cs="宋体"/>
                <w:snapToGrid w:val="0"/>
                <w:kern w:val="0"/>
                <w:sz w:val="24"/>
              </w:rPr>
              <w:t>①</w:t>
            </w:r>
            <w:r>
              <w:rPr>
                <w:snapToGrid w:val="0"/>
                <w:kern w:val="0"/>
                <w:sz w:val="24"/>
              </w:rPr>
              <w:t xml:space="preserve"> 排污口的设置必须合理，按照《排污口规范化整理技术要求（试行）》环监</w:t>
            </w:r>
            <w:r>
              <w:rPr>
                <w:rFonts w:hint="eastAsia"/>
                <w:snapToGrid w:val="0"/>
                <w:kern w:val="0"/>
                <w:sz w:val="24"/>
              </w:rPr>
              <w:t>〔1996〕</w:t>
            </w:r>
            <w:r>
              <w:rPr>
                <w:snapToGrid w:val="0"/>
                <w:kern w:val="0"/>
                <w:sz w:val="24"/>
              </w:rPr>
              <w:t>470号文件要求，进行规范化管理；</w:t>
            </w:r>
          </w:p>
          <w:p>
            <w:pPr>
              <w:topLinePunct/>
              <w:spacing w:line="460" w:lineRule="exact"/>
              <w:ind w:firstLine="480" w:firstLineChars="200"/>
              <w:rPr>
                <w:snapToGrid w:val="0"/>
                <w:kern w:val="0"/>
                <w:sz w:val="24"/>
              </w:rPr>
            </w:pPr>
            <w:r>
              <w:rPr>
                <w:rFonts w:hint="eastAsia" w:ascii="宋体" w:hAnsi="宋体" w:cs="宋体"/>
                <w:snapToGrid w:val="0"/>
                <w:kern w:val="0"/>
                <w:sz w:val="24"/>
              </w:rPr>
              <w:t>②</w:t>
            </w:r>
            <w:r>
              <w:rPr>
                <w:snapToGrid w:val="0"/>
                <w:kern w:val="0"/>
                <w:sz w:val="24"/>
              </w:rPr>
              <w:t xml:space="preserve"> 排污口立标管理</w:t>
            </w:r>
          </w:p>
          <w:p>
            <w:pPr>
              <w:topLinePunct/>
              <w:spacing w:line="460" w:lineRule="exact"/>
              <w:ind w:firstLine="480" w:firstLineChars="200"/>
              <w:rPr>
                <w:snapToGrid w:val="0"/>
                <w:kern w:val="0"/>
                <w:sz w:val="24"/>
              </w:rPr>
            </w:pPr>
            <w:r>
              <w:rPr>
                <w:snapToGrid w:val="0"/>
                <w:kern w:val="0"/>
                <w:sz w:val="24"/>
              </w:rPr>
              <w:t>各污染物排放口，应按照国家《环境保护图形标志》（GB15562.1-1995）的规定，设置排放口图形标志牌。</w:t>
            </w:r>
          </w:p>
          <w:p>
            <w:pPr>
              <w:ind w:firstLine="420" w:firstLineChars="200"/>
              <w:rPr>
                <w:rFonts w:ascii="黑体" w:hAnsi="黑体" w:eastAsia="黑体"/>
                <w:szCs w:val="21"/>
              </w:rPr>
            </w:pPr>
            <w:r>
              <w:rPr>
                <w:rFonts w:ascii="黑体" w:hAnsi="黑体" w:eastAsia="黑体"/>
                <w:szCs w:val="21"/>
              </w:rPr>
              <w:t>表4-21                 各排污口（源）标志牌设置示意图表</w:t>
            </w:r>
          </w:p>
          <w:tbl>
            <w:tblPr>
              <w:tblStyle w:val="46"/>
              <w:tblW w:w="892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1786"/>
              <w:gridCol w:w="1784"/>
              <w:gridCol w:w="1786"/>
              <w:gridCol w:w="17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86" w:type="dxa"/>
                  <w:tcBorders>
                    <w:top w:val="single" w:color="auto" w:sz="12" w:space="0"/>
                    <w:bottom w:val="single" w:color="auto" w:sz="12" w:space="0"/>
                    <w:right w:val="single" w:color="auto" w:sz="4" w:space="0"/>
                  </w:tcBorders>
                  <w:vAlign w:val="center"/>
                </w:tcPr>
                <w:p>
                  <w:pPr>
                    <w:spacing w:line="360" w:lineRule="auto"/>
                    <w:jc w:val="center"/>
                    <w:rPr>
                      <w:b/>
                      <w:bCs/>
                      <w:szCs w:val="21"/>
                    </w:rPr>
                  </w:pPr>
                  <w:r>
                    <w:rPr>
                      <w:b/>
                      <w:bCs/>
                      <w:szCs w:val="21"/>
                    </w:rPr>
                    <w:t>名称</w:t>
                  </w:r>
                </w:p>
              </w:tc>
              <w:tc>
                <w:tcPr>
                  <w:tcW w:w="1786"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b/>
                      <w:bCs/>
                      <w:szCs w:val="21"/>
                    </w:rPr>
                  </w:pPr>
                  <w:r>
                    <w:rPr>
                      <w:b/>
                      <w:bCs/>
                      <w:szCs w:val="21"/>
                    </w:rPr>
                    <w:t>废气排放口</w:t>
                  </w:r>
                </w:p>
              </w:tc>
              <w:tc>
                <w:tcPr>
                  <w:tcW w:w="1784"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b/>
                      <w:bCs/>
                      <w:szCs w:val="21"/>
                    </w:rPr>
                  </w:pPr>
                  <w:r>
                    <w:rPr>
                      <w:b/>
                      <w:bCs/>
                      <w:szCs w:val="21"/>
                    </w:rPr>
                    <w:t>废水排放口</w:t>
                  </w:r>
                </w:p>
              </w:tc>
              <w:tc>
                <w:tcPr>
                  <w:tcW w:w="1786"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b/>
                      <w:bCs/>
                      <w:szCs w:val="21"/>
                    </w:rPr>
                  </w:pPr>
                  <w:r>
                    <w:rPr>
                      <w:b/>
                      <w:bCs/>
                      <w:szCs w:val="21"/>
                    </w:rPr>
                    <w:t>噪声排放源</w:t>
                  </w:r>
                </w:p>
              </w:tc>
              <w:tc>
                <w:tcPr>
                  <w:tcW w:w="1786"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b/>
                      <w:bCs/>
                      <w:szCs w:val="21"/>
                    </w:rPr>
                  </w:pPr>
                  <w:r>
                    <w:rPr>
                      <w:b/>
                      <w:bCs/>
                      <w:spacing w:val="-11"/>
                      <w:szCs w:val="21"/>
                    </w:rPr>
                    <w:t>一般固体废物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86" w:type="dxa"/>
                  <w:tcBorders>
                    <w:top w:val="single" w:color="auto" w:sz="12" w:space="0"/>
                    <w:bottom w:val="single" w:color="auto" w:sz="4" w:space="0"/>
                    <w:right w:val="single" w:color="auto" w:sz="4" w:space="0"/>
                  </w:tcBorders>
                  <w:vAlign w:val="center"/>
                </w:tcPr>
                <w:p>
                  <w:pPr>
                    <w:spacing w:line="360" w:lineRule="auto"/>
                    <w:jc w:val="center"/>
                    <w:rPr>
                      <w:szCs w:val="21"/>
                    </w:rPr>
                  </w:pPr>
                  <w:r>
                    <w:rPr>
                      <w:szCs w:val="21"/>
                    </w:rPr>
                    <w:t>提示图形符号</w:t>
                  </w:r>
                </w:p>
              </w:tc>
              <w:tc>
                <w:tcPr>
                  <w:tcW w:w="1786"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drawing>
                      <wp:inline distT="0" distB="0" distL="0" distR="0">
                        <wp:extent cx="728980" cy="7334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46176" cy="750494"/>
                                </a:xfrm>
                                <a:prstGeom prst="rect">
                                  <a:avLst/>
                                </a:prstGeom>
                                <a:noFill/>
                              </pic:spPr>
                            </pic:pic>
                          </a:graphicData>
                        </a:graphic>
                      </wp:inline>
                    </w:drawing>
                  </w:r>
                </w:p>
              </w:tc>
              <w:tc>
                <w:tcPr>
                  <w:tcW w:w="1784"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drawing>
                      <wp:inline distT="0" distB="0" distL="0" distR="0">
                        <wp:extent cx="702945" cy="709930"/>
                        <wp:effectExtent l="0" t="0" r="190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12379" cy="719610"/>
                                </a:xfrm>
                                <a:prstGeom prst="rect">
                                  <a:avLst/>
                                </a:prstGeom>
                                <a:noFill/>
                              </pic:spPr>
                            </pic:pic>
                          </a:graphicData>
                        </a:graphic>
                      </wp:inline>
                    </w:drawing>
                  </w:r>
                </w:p>
              </w:tc>
              <w:tc>
                <w:tcPr>
                  <w:tcW w:w="1786"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drawing>
                      <wp:inline distT="0" distB="0" distL="0" distR="0">
                        <wp:extent cx="733425" cy="7334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33425" cy="733425"/>
                                </a:xfrm>
                                <a:prstGeom prst="rect">
                                  <a:avLst/>
                                </a:prstGeom>
                                <a:noFill/>
                              </pic:spPr>
                            </pic:pic>
                          </a:graphicData>
                        </a:graphic>
                      </wp:inline>
                    </w:drawing>
                  </w:r>
                </w:p>
              </w:tc>
              <w:tc>
                <w:tcPr>
                  <w:tcW w:w="1786"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szCs w:val="21"/>
                    </w:rPr>
                  </w:pPr>
                  <w:r>
                    <w:rPr>
                      <w:szCs w:val="21"/>
                    </w:rPr>
                    <w:drawing>
                      <wp:inline distT="0" distB="0" distL="0" distR="0">
                        <wp:extent cx="719455" cy="723900"/>
                        <wp:effectExtent l="0" t="0" r="444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25922" cy="729902"/>
                                </a:xfrm>
                                <a:prstGeom prst="rect">
                                  <a:avLst/>
                                </a:prstGeom>
                                <a:noFill/>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86" w:type="dxa"/>
                  <w:tcBorders>
                    <w:top w:val="single" w:color="auto" w:sz="4" w:space="0"/>
                    <w:bottom w:val="single" w:color="auto" w:sz="12" w:space="0"/>
                    <w:right w:val="single" w:color="auto" w:sz="4" w:space="0"/>
                  </w:tcBorders>
                  <w:vAlign w:val="center"/>
                </w:tcPr>
                <w:p>
                  <w:pPr>
                    <w:jc w:val="center"/>
                    <w:rPr>
                      <w:szCs w:val="21"/>
                    </w:rPr>
                  </w:pPr>
                  <w:r>
                    <w:rPr>
                      <w:szCs w:val="21"/>
                    </w:rPr>
                    <w:t>功能</w:t>
                  </w:r>
                </w:p>
              </w:tc>
              <w:tc>
                <w:tcPr>
                  <w:tcW w:w="1786" w:type="dxa"/>
                  <w:tcBorders>
                    <w:top w:val="single" w:color="auto" w:sz="4" w:space="0"/>
                    <w:left w:val="single" w:color="auto" w:sz="4" w:space="0"/>
                    <w:bottom w:val="single" w:color="auto" w:sz="12" w:space="0"/>
                    <w:right w:val="single" w:color="auto" w:sz="4" w:space="0"/>
                  </w:tcBorders>
                  <w:vAlign w:val="center"/>
                </w:tcPr>
                <w:p>
                  <w:pPr>
                    <w:jc w:val="center"/>
                    <w:rPr>
                      <w:szCs w:val="21"/>
                    </w:rPr>
                  </w:pPr>
                  <w:r>
                    <w:rPr>
                      <w:szCs w:val="21"/>
                    </w:rPr>
                    <w:t>表示废气向大气环境排放</w:t>
                  </w:r>
                </w:p>
              </w:tc>
              <w:tc>
                <w:tcPr>
                  <w:tcW w:w="1784" w:type="dxa"/>
                  <w:tcBorders>
                    <w:top w:val="single" w:color="auto" w:sz="4" w:space="0"/>
                    <w:left w:val="single" w:color="auto" w:sz="4" w:space="0"/>
                    <w:bottom w:val="single" w:color="auto" w:sz="12" w:space="0"/>
                    <w:right w:val="single" w:color="auto" w:sz="4" w:space="0"/>
                  </w:tcBorders>
                  <w:vAlign w:val="center"/>
                </w:tcPr>
                <w:p>
                  <w:pPr>
                    <w:jc w:val="center"/>
                    <w:rPr>
                      <w:szCs w:val="21"/>
                    </w:rPr>
                  </w:pPr>
                  <w:r>
                    <w:rPr>
                      <w:szCs w:val="21"/>
                    </w:rPr>
                    <w:t>表示废水向水环境排放</w:t>
                  </w:r>
                </w:p>
              </w:tc>
              <w:tc>
                <w:tcPr>
                  <w:tcW w:w="1786" w:type="dxa"/>
                  <w:tcBorders>
                    <w:top w:val="single" w:color="auto" w:sz="4" w:space="0"/>
                    <w:left w:val="single" w:color="auto" w:sz="4" w:space="0"/>
                    <w:bottom w:val="single" w:color="auto" w:sz="12" w:space="0"/>
                    <w:right w:val="single" w:color="auto" w:sz="4" w:space="0"/>
                  </w:tcBorders>
                  <w:vAlign w:val="center"/>
                </w:tcPr>
                <w:p>
                  <w:pPr>
                    <w:jc w:val="center"/>
                    <w:rPr>
                      <w:szCs w:val="21"/>
                    </w:rPr>
                  </w:pPr>
                  <w:r>
                    <w:rPr>
                      <w:szCs w:val="21"/>
                    </w:rPr>
                    <w:t>表示噪声向外环境排放</w:t>
                  </w:r>
                </w:p>
              </w:tc>
              <w:tc>
                <w:tcPr>
                  <w:tcW w:w="1786" w:type="dxa"/>
                  <w:tcBorders>
                    <w:top w:val="single" w:color="auto" w:sz="4" w:space="0"/>
                    <w:left w:val="single" w:color="auto" w:sz="4" w:space="0"/>
                    <w:bottom w:val="single" w:color="auto" w:sz="12" w:space="0"/>
                    <w:right w:val="single" w:color="auto" w:sz="4" w:space="0"/>
                  </w:tcBorders>
                  <w:vAlign w:val="center"/>
                </w:tcPr>
                <w:p>
                  <w:pPr>
                    <w:jc w:val="center"/>
                    <w:rPr>
                      <w:szCs w:val="21"/>
                    </w:rPr>
                  </w:pPr>
                  <w:r>
                    <w:rPr>
                      <w:szCs w:val="21"/>
                    </w:rPr>
                    <w:t>表示一般固体废物贮存、处置场所</w:t>
                  </w:r>
                </w:p>
              </w:tc>
            </w:tr>
          </w:tbl>
          <w:p>
            <w:pPr>
              <w:spacing w:line="460" w:lineRule="exact"/>
              <w:ind w:firstLine="480" w:firstLineChars="200"/>
              <w:rPr>
                <w:color w:val="FF0000"/>
                <w:sz w:val="24"/>
              </w:rPr>
            </w:pPr>
            <w:r>
              <w:rPr>
                <w:rFonts w:hint="eastAsia"/>
                <w:color w:val="FF0000"/>
                <w:sz w:val="24"/>
              </w:rPr>
              <w:t>根据现场勘查，企业未落实排污口标志牌的设置，本次评价</w:t>
            </w:r>
            <w:r>
              <w:rPr>
                <w:color w:val="FF0000"/>
                <w:sz w:val="24"/>
              </w:rPr>
              <w:t>要求各排污口（源）提示标志形状采用正方形边框，背景颜色采用绿色，图形颜色采用白色，警告标志采用三角形边框，背景颜色采用黄色，图形颜色采用黑色，标志牌应设在与功能相应的醒目处，并保持清晰、完整。</w:t>
            </w:r>
          </w:p>
          <w:p>
            <w:pPr>
              <w:pStyle w:val="112"/>
              <w:ind w:firstLine="482"/>
              <w:rPr>
                <w:b/>
                <w:bCs/>
                <w:color w:val="FF0000"/>
              </w:rPr>
            </w:pPr>
            <w:r>
              <w:rPr>
                <w:rFonts w:hint="eastAsia"/>
                <w:b/>
                <w:bCs/>
                <w:color w:val="FF0000"/>
              </w:rPr>
              <w:t>九、环境经济损益分析</w:t>
            </w:r>
          </w:p>
          <w:p>
            <w:pPr>
              <w:spacing w:line="460" w:lineRule="exact"/>
              <w:ind w:firstLine="480" w:firstLineChars="200"/>
              <w:rPr>
                <w:color w:val="FF0000"/>
                <w:sz w:val="24"/>
                <w:szCs w:val="32"/>
              </w:rPr>
            </w:pPr>
            <w:bookmarkStart w:id="31" w:name="_Hlk147659097"/>
            <w:r>
              <w:rPr>
                <w:rFonts w:hint="eastAsia"/>
                <w:color w:val="FF0000"/>
                <w:sz w:val="24"/>
                <w:szCs w:val="32"/>
              </w:rPr>
              <w:t>1、环保设施内容及投资</w:t>
            </w:r>
          </w:p>
          <w:p>
            <w:pPr>
              <w:spacing w:line="460" w:lineRule="exact"/>
              <w:ind w:firstLine="480" w:firstLineChars="200"/>
              <w:rPr>
                <w:color w:val="FF0000"/>
                <w:sz w:val="24"/>
                <w:szCs w:val="32"/>
              </w:rPr>
            </w:pPr>
            <w:r>
              <w:rPr>
                <w:color w:val="FF0000"/>
                <w:sz w:val="24"/>
                <w:szCs w:val="32"/>
              </w:rPr>
              <w:t>本项目总投资</w:t>
            </w:r>
            <w:r>
              <w:rPr>
                <w:rFonts w:hint="eastAsia"/>
                <w:color w:val="FF0000"/>
                <w:sz w:val="24"/>
                <w:szCs w:val="32"/>
              </w:rPr>
              <w:t>为</w:t>
            </w:r>
            <w:r>
              <w:rPr>
                <w:color w:val="FF0000"/>
                <w:sz w:val="24"/>
                <w:szCs w:val="32"/>
              </w:rPr>
              <w:t>300万元，环保投资</w:t>
            </w:r>
            <w:r>
              <w:rPr>
                <w:rFonts w:hint="eastAsia"/>
                <w:color w:val="FF0000"/>
                <w:sz w:val="24"/>
                <w:szCs w:val="32"/>
              </w:rPr>
              <w:t>为</w:t>
            </w:r>
            <w:r>
              <w:rPr>
                <w:color w:val="FF0000"/>
                <w:sz w:val="24"/>
                <w:szCs w:val="32"/>
              </w:rPr>
              <w:t>102万元，占总投资的34%。本项目环保工程</w:t>
            </w:r>
            <w:r>
              <w:rPr>
                <w:rFonts w:hint="eastAsia"/>
                <w:color w:val="FF0000"/>
                <w:sz w:val="24"/>
                <w:szCs w:val="32"/>
              </w:rPr>
              <w:t>投资估算</w:t>
            </w:r>
            <w:r>
              <w:rPr>
                <w:color w:val="FF0000"/>
                <w:sz w:val="24"/>
                <w:szCs w:val="32"/>
              </w:rPr>
              <w:t>见表4-22。</w:t>
            </w:r>
          </w:p>
          <w:p>
            <w:pPr>
              <w:pStyle w:val="137"/>
              <w:ind w:firstLine="420" w:firstLineChars="200"/>
              <w:jc w:val="both"/>
              <w:rPr>
                <w:rFonts w:ascii="黑体" w:hAnsi="黑体" w:eastAsia="黑体"/>
                <w:b w:val="0"/>
                <w:bCs w:val="0"/>
                <w:color w:val="FF0000"/>
              </w:rPr>
            </w:pPr>
            <w:r>
              <w:rPr>
                <w:rFonts w:ascii="黑体" w:hAnsi="黑体" w:eastAsia="黑体"/>
                <w:b w:val="0"/>
                <w:bCs w:val="0"/>
                <w:color w:val="FF0000"/>
              </w:rPr>
              <w:t>表</w:t>
            </w:r>
            <w:r>
              <w:rPr>
                <w:rFonts w:hint="eastAsia" w:ascii="黑体" w:hAnsi="黑体" w:eastAsia="黑体"/>
                <w:b w:val="0"/>
                <w:bCs w:val="0"/>
                <w:color w:val="FF0000"/>
              </w:rPr>
              <w:t>4</w:t>
            </w:r>
            <w:r>
              <w:rPr>
                <w:rFonts w:ascii="黑体" w:hAnsi="黑体" w:eastAsia="黑体"/>
                <w:b w:val="0"/>
                <w:bCs w:val="0"/>
                <w:color w:val="FF0000"/>
              </w:rPr>
              <w:t xml:space="preserve">-22 </w:t>
            </w:r>
            <w:r>
              <w:rPr>
                <w:rFonts w:hint="eastAsia" w:ascii="黑体" w:hAnsi="黑体" w:eastAsia="黑体"/>
                <w:b w:val="0"/>
                <w:bCs w:val="0"/>
                <w:color w:val="FF0000"/>
              </w:rPr>
              <w:t xml:space="preserve">  </w:t>
            </w:r>
            <w:r>
              <w:rPr>
                <w:rFonts w:ascii="黑体" w:hAnsi="黑体" w:eastAsia="黑体"/>
                <w:b w:val="0"/>
                <w:bCs w:val="0"/>
                <w:color w:val="FF0000"/>
              </w:rPr>
              <w:t xml:space="preserve">                 环保工程项目及投资估算</w:t>
            </w:r>
          </w:p>
          <w:tbl>
            <w:tblPr>
              <w:tblStyle w:val="46"/>
              <w:tblW w:w="893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412"/>
              <w:gridCol w:w="3788"/>
              <w:gridCol w:w="1586"/>
              <w:gridCol w:w="11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Align w:val="center"/>
                </w:tcPr>
                <w:p>
                  <w:pPr>
                    <w:jc w:val="center"/>
                    <w:rPr>
                      <w:b/>
                      <w:bCs/>
                      <w:color w:val="FF0000"/>
                      <w:szCs w:val="21"/>
                    </w:rPr>
                  </w:pPr>
                  <w:r>
                    <w:rPr>
                      <w:b/>
                      <w:bCs/>
                      <w:color w:val="FF0000"/>
                      <w:szCs w:val="21"/>
                    </w:rPr>
                    <w:t>类别</w:t>
                  </w:r>
                </w:p>
              </w:tc>
              <w:tc>
                <w:tcPr>
                  <w:tcW w:w="1412" w:type="dxa"/>
                  <w:vAlign w:val="center"/>
                </w:tcPr>
                <w:p>
                  <w:pPr>
                    <w:jc w:val="center"/>
                    <w:rPr>
                      <w:b/>
                      <w:bCs/>
                      <w:color w:val="FF0000"/>
                      <w:szCs w:val="21"/>
                    </w:rPr>
                  </w:pPr>
                  <w:r>
                    <w:rPr>
                      <w:b/>
                      <w:bCs/>
                      <w:color w:val="FF0000"/>
                      <w:szCs w:val="21"/>
                    </w:rPr>
                    <w:t>污染源</w:t>
                  </w:r>
                </w:p>
              </w:tc>
              <w:tc>
                <w:tcPr>
                  <w:tcW w:w="3788" w:type="dxa"/>
                  <w:vAlign w:val="center"/>
                </w:tcPr>
                <w:p>
                  <w:pPr>
                    <w:jc w:val="center"/>
                    <w:rPr>
                      <w:b/>
                      <w:bCs/>
                      <w:color w:val="FF0000"/>
                      <w:szCs w:val="21"/>
                    </w:rPr>
                  </w:pPr>
                  <w:r>
                    <w:rPr>
                      <w:b/>
                      <w:bCs/>
                      <w:color w:val="FF0000"/>
                      <w:szCs w:val="21"/>
                    </w:rPr>
                    <w:t>环保措施</w:t>
                  </w:r>
                </w:p>
              </w:tc>
              <w:tc>
                <w:tcPr>
                  <w:tcW w:w="1586" w:type="dxa"/>
                  <w:vAlign w:val="center"/>
                </w:tcPr>
                <w:p>
                  <w:pPr>
                    <w:jc w:val="center"/>
                    <w:rPr>
                      <w:b/>
                      <w:bCs/>
                      <w:color w:val="FF0000"/>
                      <w:szCs w:val="21"/>
                    </w:rPr>
                  </w:pPr>
                  <w:r>
                    <w:rPr>
                      <w:b/>
                      <w:bCs/>
                      <w:color w:val="FF0000"/>
                      <w:szCs w:val="21"/>
                    </w:rPr>
                    <w:t>投资（万元）</w:t>
                  </w:r>
                </w:p>
              </w:tc>
              <w:tc>
                <w:tcPr>
                  <w:tcW w:w="1135" w:type="dxa"/>
                  <w:vAlign w:val="center"/>
                </w:tcPr>
                <w:p>
                  <w:pPr>
                    <w:jc w:val="center"/>
                    <w:rPr>
                      <w:b/>
                      <w:bCs/>
                      <w:color w:val="FF0000"/>
                      <w:szCs w:val="21"/>
                    </w:rPr>
                  </w:pPr>
                  <w:r>
                    <w:rPr>
                      <w:rFonts w:hint="eastAsia"/>
                      <w:b/>
                      <w:bCs/>
                      <w:color w:val="FF000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Merge w:val="restart"/>
                  <w:vAlign w:val="center"/>
                </w:tcPr>
                <w:p>
                  <w:pPr>
                    <w:jc w:val="center"/>
                    <w:rPr>
                      <w:bCs/>
                      <w:color w:val="FF0000"/>
                      <w:szCs w:val="21"/>
                    </w:rPr>
                  </w:pPr>
                  <w:r>
                    <w:rPr>
                      <w:bCs/>
                      <w:color w:val="FF0000"/>
                      <w:szCs w:val="21"/>
                    </w:rPr>
                    <w:t>废气</w:t>
                  </w:r>
                </w:p>
              </w:tc>
              <w:tc>
                <w:tcPr>
                  <w:tcW w:w="1412" w:type="dxa"/>
                  <w:vAlign w:val="center"/>
                </w:tcPr>
                <w:p>
                  <w:pPr>
                    <w:jc w:val="center"/>
                    <w:rPr>
                      <w:bCs/>
                      <w:color w:val="FF0000"/>
                      <w:szCs w:val="21"/>
                    </w:rPr>
                  </w:pPr>
                  <w:r>
                    <w:rPr>
                      <w:rFonts w:hint="eastAsia"/>
                      <w:bCs/>
                      <w:color w:val="FF0000"/>
                      <w:szCs w:val="21"/>
                    </w:rPr>
                    <w:t>锅炉烟气</w:t>
                  </w:r>
                </w:p>
              </w:tc>
              <w:tc>
                <w:tcPr>
                  <w:tcW w:w="3788" w:type="dxa"/>
                  <w:vAlign w:val="center"/>
                </w:tcPr>
                <w:p>
                  <w:pPr>
                    <w:pStyle w:val="45"/>
                    <w:spacing w:after="0"/>
                    <w:ind w:left="0" w:leftChars="0" w:firstLine="0" w:firstLineChars="0"/>
                    <w:jc w:val="center"/>
                    <w:rPr>
                      <w:color w:val="FF0000"/>
                      <w:szCs w:val="21"/>
                    </w:rPr>
                  </w:pPr>
                  <w:r>
                    <w:rPr>
                      <w:rFonts w:hint="eastAsia"/>
                      <w:color w:val="FF0000"/>
                      <w:szCs w:val="21"/>
                    </w:rPr>
                    <w:t>2套低氮燃烧+烟气再循环技术+</w:t>
                  </w:r>
                  <w:r>
                    <w:rPr>
                      <w:color w:val="FF0000"/>
                      <w:szCs w:val="21"/>
                    </w:rPr>
                    <w:t>15</w:t>
                  </w:r>
                  <w:r>
                    <w:rPr>
                      <w:rFonts w:hint="eastAsia"/>
                      <w:color w:val="FF0000"/>
                      <w:szCs w:val="21"/>
                    </w:rPr>
                    <w:t>m高排气筒</w:t>
                  </w:r>
                </w:p>
              </w:tc>
              <w:tc>
                <w:tcPr>
                  <w:tcW w:w="1586" w:type="dxa"/>
                  <w:vAlign w:val="center"/>
                </w:tcPr>
                <w:p>
                  <w:pPr>
                    <w:jc w:val="center"/>
                    <w:rPr>
                      <w:bCs/>
                      <w:color w:val="FF0000"/>
                      <w:szCs w:val="21"/>
                    </w:rPr>
                  </w:pPr>
                  <w:r>
                    <w:rPr>
                      <w:bCs/>
                      <w:color w:val="FF0000"/>
                      <w:szCs w:val="21"/>
                    </w:rPr>
                    <w:t>40</w:t>
                  </w:r>
                </w:p>
              </w:tc>
              <w:tc>
                <w:tcPr>
                  <w:tcW w:w="1135" w:type="dxa"/>
                  <w:vAlign w:val="center"/>
                </w:tcPr>
                <w:p>
                  <w:pPr>
                    <w:jc w:val="center"/>
                    <w:rPr>
                      <w:bCs/>
                      <w:color w:val="FF0000"/>
                      <w:szCs w:val="21"/>
                    </w:rPr>
                  </w:pPr>
                  <w:r>
                    <w:rPr>
                      <w:rFonts w:hint="eastAsia"/>
                      <w:bCs/>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Merge w:val="continue"/>
                  <w:vAlign w:val="center"/>
                </w:tcPr>
                <w:p>
                  <w:pPr>
                    <w:jc w:val="center"/>
                    <w:rPr>
                      <w:bCs/>
                      <w:color w:val="FF0000"/>
                      <w:szCs w:val="21"/>
                    </w:rPr>
                  </w:pPr>
                </w:p>
              </w:tc>
              <w:tc>
                <w:tcPr>
                  <w:tcW w:w="1412" w:type="dxa"/>
                  <w:vAlign w:val="center"/>
                </w:tcPr>
                <w:p>
                  <w:pPr>
                    <w:jc w:val="center"/>
                    <w:rPr>
                      <w:bCs/>
                      <w:color w:val="FF0000"/>
                      <w:szCs w:val="21"/>
                    </w:rPr>
                  </w:pPr>
                  <w:r>
                    <w:rPr>
                      <w:rFonts w:hint="eastAsia"/>
                      <w:bCs/>
                      <w:color w:val="FF0000"/>
                      <w:szCs w:val="21"/>
                    </w:rPr>
                    <w:t>污水处理站废气</w:t>
                  </w:r>
                </w:p>
              </w:tc>
              <w:tc>
                <w:tcPr>
                  <w:tcW w:w="3788" w:type="dxa"/>
                  <w:vAlign w:val="center"/>
                </w:tcPr>
                <w:p>
                  <w:pPr>
                    <w:pStyle w:val="45"/>
                    <w:spacing w:after="0"/>
                    <w:ind w:left="0" w:leftChars="0" w:firstLine="0" w:firstLineChars="0"/>
                    <w:jc w:val="center"/>
                    <w:rPr>
                      <w:color w:val="FF0000"/>
                      <w:szCs w:val="21"/>
                    </w:rPr>
                  </w:pPr>
                  <w:r>
                    <w:rPr>
                      <w:rFonts w:hint="eastAsia"/>
                      <w:color w:val="FF0000"/>
                      <w:szCs w:val="21"/>
                    </w:rPr>
                    <w:t>对产生恶臭区域加盖密封</w:t>
                  </w:r>
                </w:p>
              </w:tc>
              <w:tc>
                <w:tcPr>
                  <w:tcW w:w="1586" w:type="dxa"/>
                  <w:vAlign w:val="center"/>
                </w:tcPr>
                <w:p>
                  <w:pPr>
                    <w:jc w:val="center"/>
                    <w:rPr>
                      <w:bCs/>
                      <w:color w:val="FF0000"/>
                      <w:szCs w:val="21"/>
                      <w:highlight w:val="yellow"/>
                    </w:rPr>
                  </w:pPr>
                  <w:r>
                    <w:rPr>
                      <w:bCs/>
                      <w:color w:val="FF0000"/>
                      <w:szCs w:val="21"/>
                    </w:rPr>
                    <w:t>10</w:t>
                  </w:r>
                </w:p>
              </w:tc>
              <w:tc>
                <w:tcPr>
                  <w:tcW w:w="1135" w:type="dxa"/>
                  <w:vAlign w:val="center"/>
                </w:tcPr>
                <w:p>
                  <w:pPr>
                    <w:jc w:val="center"/>
                    <w:rPr>
                      <w:bCs/>
                      <w:color w:val="FF0000"/>
                      <w:szCs w:val="21"/>
                    </w:rPr>
                  </w:pPr>
                  <w:r>
                    <w:rPr>
                      <w:rFonts w:hint="eastAsia"/>
                      <w:bCs/>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Align w:val="center"/>
                </w:tcPr>
                <w:p>
                  <w:pPr>
                    <w:jc w:val="center"/>
                    <w:rPr>
                      <w:bCs/>
                      <w:color w:val="FF0000"/>
                      <w:szCs w:val="21"/>
                    </w:rPr>
                  </w:pPr>
                  <w:r>
                    <w:rPr>
                      <w:rFonts w:hint="eastAsia"/>
                      <w:bCs/>
                      <w:color w:val="FF0000"/>
                      <w:szCs w:val="21"/>
                    </w:rPr>
                    <w:t>废水</w:t>
                  </w:r>
                </w:p>
              </w:tc>
              <w:tc>
                <w:tcPr>
                  <w:tcW w:w="1412" w:type="dxa"/>
                  <w:vAlign w:val="center"/>
                </w:tcPr>
                <w:p>
                  <w:pPr>
                    <w:jc w:val="center"/>
                    <w:rPr>
                      <w:bCs/>
                      <w:color w:val="FF0000"/>
                      <w:szCs w:val="21"/>
                    </w:rPr>
                  </w:pPr>
                  <w:r>
                    <w:rPr>
                      <w:rFonts w:hint="eastAsia"/>
                      <w:bCs/>
                      <w:color w:val="FF0000"/>
                      <w:szCs w:val="21"/>
                    </w:rPr>
                    <w:t>污水</w:t>
                  </w:r>
                </w:p>
              </w:tc>
              <w:tc>
                <w:tcPr>
                  <w:tcW w:w="3788" w:type="dxa"/>
                  <w:vAlign w:val="center"/>
                </w:tcPr>
                <w:p>
                  <w:pPr>
                    <w:pStyle w:val="45"/>
                    <w:spacing w:after="0"/>
                    <w:ind w:left="0" w:leftChars="0" w:firstLine="0" w:firstLineChars="0"/>
                    <w:jc w:val="center"/>
                    <w:rPr>
                      <w:color w:val="FF0000"/>
                      <w:szCs w:val="21"/>
                    </w:rPr>
                  </w:pPr>
                  <w:r>
                    <w:rPr>
                      <w:rFonts w:hint="eastAsia"/>
                      <w:color w:val="FF0000"/>
                      <w:szCs w:val="21"/>
                    </w:rPr>
                    <w:t>污水处理站为环保工程</w:t>
                  </w:r>
                </w:p>
              </w:tc>
              <w:tc>
                <w:tcPr>
                  <w:tcW w:w="1586" w:type="dxa"/>
                  <w:vAlign w:val="center"/>
                </w:tcPr>
                <w:p>
                  <w:pPr>
                    <w:jc w:val="center"/>
                    <w:rPr>
                      <w:bCs/>
                      <w:color w:val="FF0000"/>
                      <w:szCs w:val="21"/>
                    </w:rPr>
                  </w:pPr>
                  <w:r>
                    <w:rPr>
                      <w:bCs/>
                      <w:color w:val="FF0000"/>
                      <w:szCs w:val="21"/>
                    </w:rPr>
                    <w:t>44</w:t>
                  </w:r>
                </w:p>
              </w:tc>
              <w:tc>
                <w:tcPr>
                  <w:tcW w:w="1135" w:type="dxa"/>
                  <w:vAlign w:val="center"/>
                </w:tcPr>
                <w:p>
                  <w:pPr>
                    <w:jc w:val="center"/>
                    <w:rPr>
                      <w:bCs/>
                      <w:color w:val="FF0000"/>
                      <w:szCs w:val="21"/>
                    </w:rPr>
                  </w:pPr>
                  <w:r>
                    <w:rPr>
                      <w:rFonts w:hint="eastAsia"/>
                      <w:bCs/>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017" w:type="dxa"/>
                  <w:vAlign w:val="center"/>
                </w:tcPr>
                <w:p>
                  <w:pPr>
                    <w:jc w:val="center"/>
                    <w:rPr>
                      <w:bCs/>
                      <w:color w:val="FF0000"/>
                      <w:szCs w:val="21"/>
                    </w:rPr>
                  </w:pPr>
                  <w:r>
                    <w:rPr>
                      <w:bCs/>
                      <w:color w:val="FF0000"/>
                      <w:szCs w:val="21"/>
                    </w:rPr>
                    <w:t>噪声</w:t>
                  </w:r>
                </w:p>
              </w:tc>
              <w:tc>
                <w:tcPr>
                  <w:tcW w:w="1412" w:type="dxa"/>
                  <w:vAlign w:val="center"/>
                </w:tcPr>
                <w:p>
                  <w:pPr>
                    <w:jc w:val="center"/>
                    <w:rPr>
                      <w:bCs/>
                      <w:color w:val="FF0000"/>
                      <w:szCs w:val="21"/>
                    </w:rPr>
                  </w:pPr>
                  <w:r>
                    <w:rPr>
                      <w:rFonts w:hint="eastAsia"/>
                      <w:bCs/>
                      <w:color w:val="FF0000"/>
                      <w:szCs w:val="21"/>
                    </w:rPr>
                    <w:t>水泵、风机等设备</w:t>
                  </w:r>
                </w:p>
              </w:tc>
              <w:tc>
                <w:tcPr>
                  <w:tcW w:w="3788" w:type="dxa"/>
                  <w:vAlign w:val="center"/>
                </w:tcPr>
                <w:p>
                  <w:pPr>
                    <w:jc w:val="center"/>
                    <w:rPr>
                      <w:color w:val="FF0000"/>
                      <w:szCs w:val="21"/>
                    </w:rPr>
                  </w:pPr>
                  <w:r>
                    <w:rPr>
                      <w:rFonts w:hint="eastAsia"/>
                      <w:color w:val="FF0000"/>
                      <w:szCs w:val="21"/>
                    </w:rPr>
                    <w:t>选用低噪声设备，基础减振、采取厂房隔音等措施</w:t>
                  </w:r>
                </w:p>
              </w:tc>
              <w:tc>
                <w:tcPr>
                  <w:tcW w:w="1586" w:type="dxa"/>
                  <w:vAlign w:val="center"/>
                </w:tcPr>
                <w:p>
                  <w:pPr>
                    <w:jc w:val="center"/>
                    <w:rPr>
                      <w:bCs/>
                      <w:color w:val="FF0000"/>
                      <w:szCs w:val="21"/>
                    </w:rPr>
                  </w:pPr>
                  <w:r>
                    <w:rPr>
                      <w:bCs/>
                      <w:color w:val="FF0000"/>
                      <w:szCs w:val="21"/>
                    </w:rPr>
                    <w:t>5</w:t>
                  </w:r>
                </w:p>
              </w:tc>
              <w:tc>
                <w:tcPr>
                  <w:tcW w:w="1135" w:type="dxa"/>
                  <w:vAlign w:val="center"/>
                </w:tcPr>
                <w:p>
                  <w:pPr>
                    <w:jc w:val="center"/>
                    <w:rPr>
                      <w:bCs/>
                      <w:color w:val="FF0000"/>
                      <w:szCs w:val="21"/>
                    </w:rPr>
                  </w:pPr>
                  <w:r>
                    <w:rPr>
                      <w:rFonts w:hint="eastAsia"/>
                      <w:bCs/>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017" w:type="dxa"/>
                  <w:vMerge w:val="restart"/>
                  <w:vAlign w:val="center"/>
                </w:tcPr>
                <w:p>
                  <w:pPr>
                    <w:jc w:val="center"/>
                    <w:rPr>
                      <w:bCs/>
                      <w:color w:val="FF0000"/>
                      <w:szCs w:val="21"/>
                    </w:rPr>
                  </w:pPr>
                  <w:r>
                    <w:rPr>
                      <w:bCs/>
                      <w:color w:val="FF0000"/>
                      <w:szCs w:val="21"/>
                    </w:rPr>
                    <w:t>固废</w:t>
                  </w:r>
                </w:p>
              </w:tc>
              <w:tc>
                <w:tcPr>
                  <w:tcW w:w="1412" w:type="dxa"/>
                  <w:vAlign w:val="center"/>
                </w:tcPr>
                <w:p>
                  <w:pPr>
                    <w:jc w:val="center"/>
                    <w:rPr>
                      <w:bCs/>
                      <w:color w:val="FF0000"/>
                      <w:szCs w:val="21"/>
                    </w:rPr>
                  </w:pPr>
                  <w:r>
                    <w:rPr>
                      <w:rFonts w:hint="eastAsia"/>
                      <w:bCs/>
                      <w:color w:val="FF0000"/>
                      <w:szCs w:val="21"/>
                    </w:rPr>
                    <w:t>废弃离子交换树脂</w:t>
                  </w:r>
                </w:p>
              </w:tc>
              <w:tc>
                <w:tcPr>
                  <w:tcW w:w="3788" w:type="dxa"/>
                  <w:vAlign w:val="center"/>
                </w:tcPr>
                <w:p>
                  <w:pPr>
                    <w:pStyle w:val="45"/>
                    <w:spacing w:after="0"/>
                    <w:ind w:left="0" w:leftChars="0" w:firstLine="0" w:firstLineChars="0"/>
                    <w:jc w:val="center"/>
                    <w:rPr>
                      <w:color w:val="FF0000"/>
                      <w:szCs w:val="21"/>
                    </w:rPr>
                  </w:pPr>
                  <w:r>
                    <w:rPr>
                      <w:rFonts w:hint="eastAsia"/>
                      <w:color w:val="FF0000"/>
                      <w:szCs w:val="21"/>
                    </w:rPr>
                    <w:t>由厂家进行更换并回收处理</w:t>
                  </w:r>
                </w:p>
              </w:tc>
              <w:tc>
                <w:tcPr>
                  <w:tcW w:w="1586" w:type="dxa"/>
                  <w:vAlign w:val="center"/>
                </w:tcPr>
                <w:p>
                  <w:pPr>
                    <w:jc w:val="center"/>
                    <w:rPr>
                      <w:bCs/>
                      <w:color w:val="FF0000"/>
                      <w:szCs w:val="21"/>
                    </w:rPr>
                  </w:pPr>
                  <w:r>
                    <w:rPr>
                      <w:bCs/>
                      <w:color w:val="FF0000"/>
                      <w:szCs w:val="21"/>
                    </w:rPr>
                    <w:t>2</w:t>
                  </w:r>
                </w:p>
              </w:tc>
              <w:tc>
                <w:tcPr>
                  <w:tcW w:w="1135" w:type="dxa"/>
                  <w:vAlign w:val="center"/>
                </w:tcPr>
                <w:p>
                  <w:pPr>
                    <w:jc w:val="center"/>
                    <w:rPr>
                      <w:bCs/>
                      <w:color w:val="FF0000"/>
                      <w:szCs w:val="21"/>
                    </w:rPr>
                  </w:pPr>
                  <w:r>
                    <w:rPr>
                      <w:rFonts w:hint="eastAsia"/>
                      <w:bCs/>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017" w:type="dxa"/>
                  <w:vMerge w:val="continue"/>
                  <w:vAlign w:val="center"/>
                </w:tcPr>
                <w:p>
                  <w:pPr>
                    <w:jc w:val="center"/>
                    <w:rPr>
                      <w:bCs/>
                      <w:color w:val="FF0000"/>
                      <w:szCs w:val="21"/>
                    </w:rPr>
                  </w:pPr>
                </w:p>
              </w:tc>
              <w:tc>
                <w:tcPr>
                  <w:tcW w:w="1412" w:type="dxa"/>
                  <w:vAlign w:val="center"/>
                </w:tcPr>
                <w:p>
                  <w:pPr>
                    <w:jc w:val="center"/>
                    <w:rPr>
                      <w:bCs/>
                      <w:color w:val="FF0000"/>
                      <w:szCs w:val="21"/>
                    </w:rPr>
                  </w:pPr>
                  <w:r>
                    <w:rPr>
                      <w:rFonts w:hint="eastAsia"/>
                      <w:color w:val="FF0000"/>
                    </w:rPr>
                    <w:t>污泥</w:t>
                  </w:r>
                </w:p>
              </w:tc>
              <w:tc>
                <w:tcPr>
                  <w:tcW w:w="3788" w:type="dxa"/>
                  <w:vAlign w:val="center"/>
                </w:tcPr>
                <w:p>
                  <w:pPr>
                    <w:pStyle w:val="45"/>
                    <w:spacing w:after="0"/>
                    <w:ind w:left="0" w:leftChars="0" w:firstLine="0" w:firstLineChars="0"/>
                    <w:jc w:val="center"/>
                    <w:rPr>
                      <w:color w:val="FF0000"/>
                      <w:szCs w:val="21"/>
                    </w:rPr>
                  </w:pPr>
                  <w:r>
                    <w:rPr>
                      <w:bCs/>
                      <w:color w:val="FF0000"/>
                    </w:rPr>
                    <w:t>污泥</w:t>
                  </w:r>
                  <w:r>
                    <w:rPr>
                      <w:rFonts w:hint="eastAsia"/>
                      <w:bCs/>
                      <w:color w:val="FF0000"/>
                    </w:rPr>
                    <w:t>收集后拉运</w:t>
                  </w:r>
                </w:p>
              </w:tc>
              <w:tc>
                <w:tcPr>
                  <w:tcW w:w="1586" w:type="dxa"/>
                  <w:vAlign w:val="center"/>
                </w:tcPr>
                <w:p>
                  <w:pPr>
                    <w:jc w:val="center"/>
                    <w:rPr>
                      <w:bCs/>
                      <w:color w:val="FF0000"/>
                      <w:szCs w:val="21"/>
                    </w:rPr>
                  </w:pPr>
                  <w:r>
                    <w:rPr>
                      <w:bCs/>
                      <w:color w:val="FF0000"/>
                      <w:szCs w:val="21"/>
                    </w:rPr>
                    <w:t>1</w:t>
                  </w:r>
                </w:p>
              </w:tc>
              <w:tc>
                <w:tcPr>
                  <w:tcW w:w="1135" w:type="dxa"/>
                  <w:vAlign w:val="center"/>
                </w:tcPr>
                <w:p>
                  <w:pPr>
                    <w:jc w:val="center"/>
                    <w:rPr>
                      <w:bCs/>
                      <w:color w:val="FF0000"/>
                      <w:szCs w:val="21"/>
                    </w:rPr>
                  </w:pPr>
                  <w:r>
                    <w:rPr>
                      <w:rFonts w:hint="eastAsia"/>
                      <w:bCs/>
                      <w:color w:val="FF0000"/>
                      <w:szCs w:val="21"/>
                    </w:rPr>
                    <w:t>已建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217" w:type="dxa"/>
                  <w:gridSpan w:val="3"/>
                  <w:vAlign w:val="center"/>
                </w:tcPr>
                <w:p>
                  <w:pPr>
                    <w:jc w:val="center"/>
                    <w:rPr>
                      <w:bCs/>
                      <w:color w:val="FF0000"/>
                      <w:szCs w:val="21"/>
                    </w:rPr>
                  </w:pPr>
                  <w:r>
                    <w:rPr>
                      <w:bCs/>
                      <w:color w:val="FF0000"/>
                      <w:szCs w:val="21"/>
                    </w:rPr>
                    <w:t>合计</w:t>
                  </w:r>
                </w:p>
              </w:tc>
              <w:tc>
                <w:tcPr>
                  <w:tcW w:w="1586" w:type="dxa"/>
                  <w:vAlign w:val="center"/>
                </w:tcPr>
                <w:p>
                  <w:pPr>
                    <w:jc w:val="center"/>
                    <w:rPr>
                      <w:bCs/>
                      <w:color w:val="FF0000"/>
                      <w:szCs w:val="21"/>
                    </w:rPr>
                  </w:pPr>
                  <w:r>
                    <w:rPr>
                      <w:rFonts w:hint="eastAsia"/>
                      <w:bCs/>
                      <w:color w:val="FF0000"/>
                      <w:szCs w:val="21"/>
                    </w:rPr>
                    <w:t>1</w:t>
                  </w:r>
                  <w:r>
                    <w:rPr>
                      <w:bCs/>
                      <w:color w:val="FF0000"/>
                      <w:szCs w:val="21"/>
                    </w:rPr>
                    <w:t>02</w:t>
                  </w:r>
                </w:p>
              </w:tc>
              <w:tc>
                <w:tcPr>
                  <w:tcW w:w="1135" w:type="dxa"/>
                  <w:vAlign w:val="center"/>
                </w:tcPr>
                <w:p>
                  <w:pPr>
                    <w:jc w:val="center"/>
                    <w:rPr>
                      <w:bCs/>
                      <w:color w:val="FF0000"/>
                      <w:szCs w:val="21"/>
                    </w:rPr>
                  </w:pPr>
                </w:p>
              </w:tc>
            </w:tr>
            <w:bookmarkEnd w:id="31"/>
          </w:tbl>
          <w:p>
            <w:pPr>
              <w:pStyle w:val="40"/>
              <w:widowControl w:val="0"/>
              <w:spacing w:before="0" w:beforeAutospacing="0" w:after="0" w:afterAutospacing="0" w:line="460" w:lineRule="exact"/>
              <w:ind w:firstLine="480" w:firstLineChars="200"/>
              <w:jc w:val="both"/>
              <w:rPr>
                <w:rFonts w:ascii="Times New Roman" w:hAnsi="Times New Roman"/>
                <w:color w:val="FF0000"/>
              </w:rPr>
            </w:pPr>
            <w:r>
              <w:rPr>
                <w:rFonts w:hint="eastAsia" w:ascii="Times New Roman" w:hAnsi="Times New Roman"/>
                <w:color w:val="FF0000"/>
              </w:rPr>
              <w:t>2、</w:t>
            </w:r>
            <w:bookmarkStart w:id="32" w:name="_Hlk147827480"/>
            <w:r>
              <w:rPr>
                <w:rFonts w:hint="eastAsia" w:ascii="Times New Roman" w:hAnsi="Times New Roman"/>
                <w:color w:val="FF0000"/>
              </w:rPr>
              <w:t>环境效益分析</w:t>
            </w:r>
          </w:p>
          <w:p>
            <w:pPr>
              <w:pStyle w:val="40"/>
              <w:spacing w:before="0" w:beforeAutospacing="0" w:after="0" w:afterAutospacing="0" w:line="460" w:lineRule="exact"/>
              <w:ind w:firstLine="480" w:firstLineChars="200"/>
              <w:jc w:val="both"/>
              <w:rPr>
                <w:rFonts w:ascii="Times New Roman" w:hAnsi="Times New Roman"/>
                <w:color w:val="FF0000"/>
              </w:rPr>
            </w:pPr>
            <w:r>
              <w:rPr>
                <w:rFonts w:hint="eastAsia" w:ascii="Times New Roman" w:hAnsi="Times New Roman"/>
                <w:color w:val="FF0000"/>
              </w:rPr>
              <w:t>项目采取的废气、废水处理技术成熟、稳定，处理效果好，投资少，能较大程度地削减废气、废水中污染物的排放量，同时减少排污费的缴纳，降低了企业成本。采取污染治理措施后，项目废水、废气、噪声、固体废物得到了有效治理和处置，可实现达标排放，同时可有效防避免固废二次污染以及地下水及土壤污染，降低了对周围环境的影响；</w:t>
            </w:r>
            <w:r>
              <w:rPr>
                <w:rFonts w:hint="eastAsia"/>
                <w:color w:val="FF0000"/>
              </w:rPr>
              <w:t>根据工程分析，采取各项治理措施后，建设项目的各污染物的排放浓度均能达到相关标准的要求，有效地削减了污染物的排放量。所以拟建工程的环保投资是合理的，在实现经济效益的同时，也保护了环境。</w:t>
            </w:r>
            <w:r>
              <w:rPr>
                <w:rFonts w:hint="eastAsia" w:ascii="Times New Roman" w:hAnsi="Times New Roman"/>
                <w:color w:val="FF0000"/>
              </w:rPr>
              <w:t>本项目通过采用一系列技术上可行、经济上合理的环保措施，对其生产过程中产生的废气、废水、固废及设备噪声等进行综合治理，减少了工程对环境造成的污染，达到了削减污染物排放量，保护环境的目的，环境效益明显。</w:t>
            </w:r>
          </w:p>
          <w:p>
            <w:pPr>
              <w:pStyle w:val="40"/>
              <w:spacing w:before="0" w:beforeAutospacing="0" w:after="0" w:afterAutospacing="0" w:line="460" w:lineRule="exact"/>
              <w:ind w:firstLine="480" w:firstLineChars="200"/>
              <w:jc w:val="both"/>
              <w:rPr>
                <w:rFonts w:ascii="Times New Roman" w:hAnsi="Times New Roman"/>
                <w:color w:val="FF0000"/>
              </w:rPr>
            </w:pPr>
            <w:r>
              <w:rPr>
                <w:rFonts w:hint="eastAsia" w:ascii="Times New Roman" w:hAnsi="Times New Roman"/>
                <w:color w:val="FF0000"/>
              </w:rPr>
              <w:t>本项目的建设从社会效益、环保经济效益分析均较好，但是在营运过程中对环境产生损害的可能还是存在的，应当引起建设单位的重视。只要加强污染防治的投资与环境管理，把污染物控制在最低限度，可以保证收到良好的环境效益。只要加强环保措施和环境管理，本项目可以达到社会效益、经济效益、环保效益同步发展。</w:t>
            </w:r>
          </w:p>
          <w:bookmarkEnd w:id="32"/>
          <w:p>
            <w:pPr>
              <w:pStyle w:val="40"/>
              <w:widowControl w:val="0"/>
              <w:spacing w:before="0" w:beforeAutospacing="0" w:after="0" w:afterAutospacing="0" w:line="460" w:lineRule="exact"/>
              <w:ind w:firstLine="482" w:firstLineChars="200"/>
              <w:outlineLvl w:val="0"/>
              <w:rPr>
                <w:rFonts w:ascii="Times New Roman" w:hAnsi="Times New Roman"/>
                <w:b/>
                <w:bCs/>
              </w:rPr>
            </w:pPr>
            <w:r>
              <w:rPr>
                <w:rFonts w:hint="eastAsia" w:ascii="Times New Roman" w:hAnsi="Times New Roman"/>
                <w:b/>
                <w:bCs/>
              </w:rPr>
              <w:t>十、三本账分析</w:t>
            </w:r>
          </w:p>
          <w:p>
            <w:pPr>
              <w:pStyle w:val="45"/>
              <w:spacing w:after="0" w:line="460" w:lineRule="exact"/>
              <w:ind w:left="0" w:leftChars="0" w:firstLine="480"/>
              <w:rPr>
                <w:sz w:val="24"/>
              </w:rPr>
            </w:pPr>
            <w:r>
              <w:rPr>
                <w:sz w:val="24"/>
              </w:rPr>
              <w:t>本项目建设完成后，</w:t>
            </w:r>
            <w:r>
              <w:rPr>
                <w:rFonts w:hint="eastAsia"/>
                <w:sz w:val="24"/>
              </w:rPr>
              <w:t>“三本账”分析详见下表。</w:t>
            </w:r>
          </w:p>
          <w:p>
            <w:pPr>
              <w:ind w:firstLine="420" w:firstLineChars="200"/>
              <w:rPr>
                <w:rFonts w:hAnsi="黑体" w:eastAsia="黑体"/>
              </w:rPr>
            </w:pPr>
            <w:bookmarkStart w:id="33" w:name="_Hlk147770085"/>
            <w:r>
              <w:rPr>
                <w:rFonts w:hAnsi="黑体" w:eastAsia="黑体"/>
                <w:color w:val="FF0000"/>
              </w:rPr>
              <w:t xml:space="preserve">表4-23               </w:t>
            </w:r>
            <w:r>
              <w:rPr>
                <w:rFonts w:hint="eastAsia" w:hAnsi="黑体" w:eastAsia="黑体"/>
                <w:color w:val="FF0000"/>
              </w:rPr>
              <w:t>技改</w:t>
            </w:r>
            <w:r>
              <w:rPr>
                <w:rFonts w:hAnsi="黑体" w:eastAsia="黑体"/>
                <w:color w:val="FF0000"/>
              </w:rPr>
              <w:t>项目“三本账”分析一览表</w:t>
            </w:r>
            <w:r>
              <w:rPr>
                <w:rFonts w:hint="eastAsia" w:hAnsi="黑体" w:eastAsia="黑体"/>
                <w:color w:val="FF0000"/>
              </w:rPr>
              <w:t xml:space="preserve"> </w:t>
            </w:r>
            <w:r>
              <w:rPr>
                <w:rFonts w:hint="eastAsia" w:hAnsi="黑体" w:eastAsia="黑体"/>
              </w:rPr>
              <w:t xml:space="preserve">        </w:t>
            </w:r>
            <w:r>
              <w:rPr>
                <w:rFonts w:hAnsi="黑体" w:eastAsia="黑体"/>
              </w:rPr>
              <w:t xml:space="preserve">   </w:t>
            </w:r>
            <w:r>
              <w:rPr>
                <w:rFonts w:hint="eastAsia" w:hAnsi="黑体" w:eastAsia="黑体"/>
              </w:rPr>
              <w:t xml:space="preserve"> </w:t>
            </w:r>
          </w:p>
          <w:tbl>
            <w:tblPr>
              <w:tblStyle w:val="47"/>
              <w:tblW w:w="893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9"/>
              <w:gridCol w:w="2093"/>
              <w:gridCol w:w="1251"/>
              <w:gridCol w:w="1464"/>
              <w:gridCol w:w="1121"/>
              <w:gridCol w:w="1246"/>
              <w:gridCol w:w="12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9" w:type="dxa"/>
                  <w:vMerge w:val="restart"/>
                  <w:vAlign w:val="center"/>
                </w:tcPr>
                <w:p>
                  <w:pPr>
                    <w:pStyle w:val="114"/>
                    <w:widowControl w:val="0"/>
                    <w:rPr>
                      <w:color w:val="FF0000"/>
                    </w:rPr>
                  </w:pPr>
                  <w:r>
                    <w:rPr>
                      <w:rFonts w:hint="eastAsia"/>
                      <w:color w:val="FF0000"/>
                    </w:rPr>
                    <w:t>分类</w:t>
                  </w:r>
                </w:p>
              </w:tc>
              <w:tc>
                <w:tcPr>
                  <w:tcW w:w="2093" w:type="dxa"/>
                  <w:vMerge w:val="restart"/>
                  <w:vAlign w:val="center"/>
                </w:tcPr>
                <w:p>
                  <w:pPr>
                    <w:pStyle w:val="114"/>
                    <w:widowControl w:val="0"/>
                    <w:rPr>
                      <w:color w:val="FF0000"/>
                    </w:rPr>
                  </w:pPr>
                  <w:r>
                    <w:rPr>
                      <w:rFonts w:hint="eastAsia"/>
                      <w:color w:val="FF0000"/>
                    </w:rPr>
                    <w:t>污染物</w:t>
                  </w:r>
                </w:p>
              </w:tc>
              <w:tc>
                <w:tcPr>
                  <w:tcW w:w="1251" w:type="dxa"/>
                  <w:vMerge w:val="restart"/>
                  <w:vAlign w:val="center"/>
                </w:tcPr>
                <w:p>
                  <w:pPr>
                    <w:pStyle w:val="114"/>
                    <w:widowControl w:val="0"/>
                    <w:rPr>
                      <w:color w:val="FF0000"/>
                    </w:rPr>
                  </w:pPr>
                  <w:r>
                    <w:rPr>
                      <w:rFonts w:hint="eastAsia"/>
                      <w:color w:val="FF0000"/>
                    </w:rPr>
                    <w:t>现有工程排放量</w:t>
                  </w:r>
                </w:p>
              </w:tc>
              <w:tc>
                <w:tcPr>
                  <w:tcW w:w="1464" w:type="dxa"/>
                  <w:vMerge w:val="restart"/>
                  <w:vAlign w:val="center"/>
                </w:tcPr>
                <w:p>
                  <w:pPr>
                    <w:pStyle w:val="114"/>
                    <w:widowControl w:val="0"/>
                    <w:rPr>
                      <w:color w:val="FF0000"/>
                    </w:rPr>
                  </w:pPr>
                  <w:r>
                    <w:rPr>
                      <w:rFonts w:hint="eastAsia"/>
                      <w:color w:val="FF0000"/>
                    </w:rPr>
                    <w:t>以新带老</w:t>
                  </w:r>
                </w:p>
                <w:p>
                  <w:pPr>
                    <w:pStyle w:val="114"/>
                    <w:widowControl w:val="0"/>
                    <w:rPr>
                      <w:color w:val="FF0000"/>
                    </w:rPr>
                  </w:pPr>
                  <w:r>
                    <w:rPr>
                      <w:color w:val="FF0000"/>
                    </w:rPr>
                    <w:t>消减量</w:t>
                  </w:r>
                </w:p>
              </w:tc>
              <w:tc>
                <w:tcPr>
                  <w:tcW w:w="1121" w:type="dxa"/>
                  <w:vAlign w:val="center"/>
                </w:tcPr>
                <w:p>
                  <w:pPr>
                    <w:pStyle w:val="114"/>
                    <w:widowControl w:val="0"/>
                    <w:rPr>
                      <w:color w:val="FF0000"/>
                    </w:rPr>
                  </w:pPr>
                  <w:r>
                    <w:rPr>
                      <w:rFonts w:hint="eastAsia"/>
                      <w:color w:val="FF0000"/>
                    </w:rPr>
                    <w:t>本工程</w:t>
                  </w:r>
                </w:p>
              </w:tc>
              <w:tc>
                <w:tcPr>
                  <w:tcW w:w="1246" w:type="dxa"/>
                  <w:vAlign w:val="center"/>
                </w:tcPr>
                <w:p>
                  <w:pPr>
                    <w:pStyle w:val="114"/>
                    <w:widowControl w:val="0"/>
                    <w:rPr>
                      <w:color w:val="FF0000"/>
                    </w:rPr>
                  </w:pPr>
                  <w:r>
                    <w:rPr>
                      <w:rFonts w:hint="eastAsia"/>
                      <w:color w:val="FF0000"/>
                    </w:rPr>
                    <w:t>总体工程</w:t>
                  </w:r>
                </w:p>
              </w:tc>
              <w:tc>
                <w:tcPr>
                  <w:tcW w:w="1264" w:type="dxa"/>
                  <w:vMerge w:val="restart"/>
                  <w:vAlign w:val="center"/>
                </w:tcPr>
                <w:p>
                  <w:pPr>
                    <w:pStyle w:val="114"/>
                    <w:widowControl w:val="0"/>
                    <w:rPr>
                      <w:color w:val="FF0000"/>
                    </w:rPr>
                  </w:pPr>
                  <w:r>
                    <w:rPr>
                      <w:rFonts w:hint="eastAsia"/>
                      <w:color w:val="FF0000"/>
                    </w:rPr>
                    <w:t>增减量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9" w:type="dxa"/>
                  <w:vMerge w:val="continue"/>
                  <w:vAlign w:val="center"/>
                </w:tcPr>
                <w:p>
                  <w:pPr>
                    <w:pStyle w:val="114"/>
                    <w:widowControl w:val="0"/>
                    <w:rPr>
                      <w:color w:val="FF0000"/>
                    </w:rPr>
                  </w:pPr>
                </w:p>
              </w:tc>
              <w:tc>
                <w:tcPr>
                  <w:tcW w:w="2093" w:type="dxa"/>
                  <w:vMerge w:val="continue"/>
                  <w:vAlign w:val="center"/>
                </w:tcPr>
                <w:p>
                  <w:pPr>
                    <w:pStyle w:val="114"/>
                    <w:widowControl w:val="0"/>
                    <w:rPr>
                      <w:color w:val="FF0000"/>
                    </w:rPr>
                  </w:pPr>
                </w:p>
              </w:tc>
              <w:tc>
                <w:tcPr>
                  <w:tcW w:w="1251" w:type="dxa"/>
                  <w:vMerge w:val="continue"/>
                  <w:vAlign w:val="center"/>
                </w:tcPr>
                <w:p>
                  <w:pPr>
                    <w:pStyle w:val="114"/>
                    <w:widowControl w:val="0"/>
                    <w:rPr>
                      <w:color w:val="FF0000"/>
                    </w:rPr>
                  </w:pPr>
                </w:p>
              </w:tc>
              <w:tc>
                <w:tcPr>
                  <w:tcW w:w="1464" w:type="dxa"/>
                  <w:vMerge w:val="continue"/>
                  <w:vAlign w:val="center"/>
                </w:tcPr>
                <w:p>
                  <w:pPr>
                    <w:pStyle w:val="114"/>
                    <w:widowControl w:val="0"/>
                    <w:rPr>
                      <w:color w:val="FF0000"/>
                    </w:rPr>
                  </w:pPr>
                </w:p>
              </w:tc>
              <w:tc>
                <w:tcPr>
                  <w:tcW w:w="1121" w:type="dxa"/>
                  <w:vAlign w:val="center"/>
                </w:tcPr>
                <w:p>
                  <w:pPr>
                    <w:pStyle w:val="114"/>
                    <w:widowControl w:val="0"/>
                    <w:rPr>
                      <w:color w:val="FF0000"/>
                    </w:rPr>
                  </w:pPr>
                  <w:r>
                    <w:rPr>
                      <w:rFonts w:hint="eastAsia"/>
                      <w:color w:val="FF0000"/>
                    </w:rPr>
                    <w:t>排放量</w:t>
                  </w:r>
                </w:p>
              </w:tc>
              <w:tc>
                <w:tcPr>
                  <w:tcW w:w="1246" w:type="dxa"/>
                  <w:vAlign w:val="center"/>
                </w:tcPr>
                <w:p>
                  <w:pPr>
                    <w:pStyle w:val="114"/>
                    <w:widowControl w:val="0"/>
                    <w:rPr>
                      <w:color w:val="FF0000"/>
                    </w:rPr>
                  </w:pPr>
                  <w:r>
                    <w:rPr>
                      <w:rFonts w:hint="eastAsia"/>
                      <w:color w:val="FF0000"/>
                    </w:rPr>
                    <w:t>现有+拟建</w:t>
                  </w:r>
                </w:p>
              </w:tc>
              <w:tc>
                <w:tcPr>
                  <w:tcW w:w="1264" w:type="dxa"/>
                  <w:vMerge w:val="continue"/>
                  <w:vAlign w:val="center"/>
                </w:tcPr>
                <w:p>
                  <w:pPr>
                    <w:pStyle w:val="114"/>
                    <w:widowControl w:val="0"/>
                    <w:rPr>
                      <w:color w:val="FF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9" w:type="dxa"/>
                  <w:vMerge w:val="restart"/>
                  <w:vAlign w:val="center"/>
                </w:tcPr>
                <w:p>
                  <w:pPr>
                    <w:pStyle w:val="114"/>
                    <w:widowControl w:val="0"/>
                    <w:rPr>
                      <w:color w:val="FF0000"/>
                    </w:rPr>
                  </w:pPr>
                  <w:r>
                    <w:rPr>
                      <w:rFonts w:hint="eastAsia"/>
                      <w:color w:val="FF0000"/>
                    </w:rPr>
                    <w:t>废气</w:t>
                  </w:r>
                </w:p>
              </w:tc>
              <w:tc>
                <w:tcPr>
                  <w:tcW w:w="2093" w:type="dxa"/>
                  <w:vAlign w:val="center"/>
                </w:tcPr>
                <w:p>
                  <w:pPr>
                    <w:pStyle w:val="114"/>
                    <w:widowControl w:val="0"/>
                    <w:rPr>
                      <w:color w:val="FF0000"/>
                    </w:rPr>
                  </w:pPr>
                  <w:r>
                    <w:rPr>
                      <w:color w:val="FF0000"/>
                    </w:rPr>
                    <w:t>SO</w:t>
                  </w:r>
                  <w:r>
                    <w:rPr>
                      <w:color w:val="FF0000"/>
                      <w:vertAlign w:val="subscript"/>
                    </w:rPr>
                    <w:t>2</w:t>
                  </w:r>
                </w:p>
              </w:tc>
              <w:tc>
                <w:tcPr>
                  <w:tcW w:w="1251" w:type="dxa"/>
                  <w:vAlign w:val="center"/>
                </w:tcPr>
                <w:p>
                  <w:pPr>
                    <w:pStyle w:val="114"/>
                    <w:widowControl w:val="0"/>
                    <w:rPr>
                      <w:color w:val="FF0000"/>
                    </w:rPr>
                  </w:pPr>
                  <w:r>
                    <w:rPr>
                      <w:color w:val="FF0000"/>
                    </w:rPr>
                    <w:t>8.4t/a</w:t>
                  </w:r>
                </w:p>
              </w:tc>
              <w:tc>
                <w:tcPr>
                  <w:tcW w:w="1464" w:type="dxa"/>
                  <w:vAlign w:val="center"/>
                </w:tcPr>
                <w:p>
                  <w:pPr>
                    <w:pStyle w:val="114"/>
                    <w:widowControl w:val="0"/>
                    <w:rPr>
                      <w:color w:val="FF0000"/>
                      <w:lang w:eastAsia="zh-CN"/>
                    </w:rPr>
                  </w:pPr>
                  <w:r>
                    <w:rPr>
                      <w:color w:val="FF0000"/>
                    </w:rPr>
                    <w:t>8.4t/a</w:t>
                  </w:r>
                </w:p>
              </w:tc>
              <w:tc>
                <w:tcPr>
                  <w:tcW w:w="1121" w:type="dxa"/>
                  <w:vAlign w:val="center"/>
                </w:tcPr>
                <w:p>
                  <w:pPr>
                    <w:pStyle w:val="114"/>
                    <w:widowControl w:val="0"/>
                    <w:rPr>
                      <w:color w:val="FF0000"/>
                      <w:lang w:eastAsia="zh-CN"/>
                    </w:rPr>
                  </w:pPr>
                  <w:r>
                    <w:rPr>
                      <w:rFonts w:hint="eastAsia"/>
                      <w:snapToGrid w:val="0"/>
                      <w:color w:val="FF0000"/>
                      <w:kern w:val="21"/>
                    </w:rPr>
                    <w:t>0</w:t>
                  </w:r>
                  <w:r>
                    <w:rPr>
                      <w:snapToGrid w:val="0"/>
                      <w:color w:val="FF0000"/>
                      <w:kern w:val="21"/>
                    </w:rPr>
                    <w:t>.023</w:t>
                  </w:r>
                  <w:r>
                    <w:rPr>
                      <w:rFonts w:hint="eastAsia"/>
                      <w:snapToGrid w:val="0"/>
                      <w:color w:val="FF0000"/>
                      <w:kern w:val="21"/>
                      <w:lang w:eastAsia="zh-CN"/>
                    </w:rPr>
                    <w:t>t/a</w:t>
                  </w:r>
                </w:p>
              </w:tc>
              <w:tc>
                <w:tcPr>
                  <w:tcW w:w="1246" w:type="dxa"/>
                  <w:vAlign w:val="center"/>
                </w:tcPr>
                <w:p>
                  <w:pPr>
                    <w:pStyle w:val="114"/>
                    <w:widowControl w:val="0"/>
                    <w:rPr>
                      <w:color w:val="FF0000"/>
                    </w:rPr>
                  </w:pPr>
                  <w:r>
                    <w:rPr>
                      <w:rFonts w:hint="eastAsia"/>
                      <w:snapToGrid w:val="0"/>
                      <w:color w:val="FF0000"/>
                      <w:kern w:val="21"/>
                    </w:rPr>
                    <w:t>0</w:t>
                  </w:r>
                  <w:r>
                    <w:rPr>
                      <w:snapToGrid w:val="0"/>
                      <w:color w:val="FF0000"/>
                      <w:kern w:val="21"/>
                    </w:rPr>
                    <w:t>.023</w:t>
                  </w:r>
                  <w:r>
                    <w:rPr>
                      <w:rFonts w:hint="eastAsia"/>
                      <w:snapToGrid w:val="0"/>
                      <w:color w:val="FF0000"/>
                      <w:kern w:val="21"/>
                      <w:lang w:eastAsia="zh-CN"/>
                    </w:rPr>
                    <w:t>t/a</w:t>
                  </w:r>
                </w:p>
              </w:tc>
              <w:tc>
                <w:tcPr>
                  <w:tcW w:w="1264" w:type="dxa"/>
                  <w:vAlign w:val="center"/>
                </w:tcPr>
                <w:p>
                  <w:pPr>
                    <w:pStyle w:val="114"/>
                    <w:widowControl w:val="0"/>
                    <w:rPr>
                      <w:color w:val="FF0000"/>
                      <w:lang w:eastAsia="zh-CN"/>
                    </w:rPr>
                  </w:pPr>
                  <w:r>
                    <w:rPr>
                      <w:rFonts w:hint="eastAsia"/>
                      <w:snapToGrid w:val="0"/>
                      <w:color w:val="FF0000"/>
                      <w:kern w:val="21"/>
                    </w:rPr>
                    <w:t>-</w:t>
                  </w:r>
                  <w:r>
                    <w:rPr>
                      <w:snapToGrid w:val="0"/>
                      <w:color w:val="FF0000"/>
                      <w:kern w:val="21"/>
                    </w:rPr>
                    <w:t>8.377</w:t>
                  </w:r>
                  <w:r>
                    <w:rPr>
                      <w:rFonts w:hint="eastAsia"/>
                      <w:snapToGrid w:val="0"/>
                      <w:color w:val="FF0000"/>
                      <w:kern w:val="21"/>
                      <w:lang w:eastAsia="zh-CN"/>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9" w:type="dxa"/>
                  <w:vMerge w:val="continue"/>
                  <w:vAlign w:val="center"/>
                </w:tcPr>
                <w:p>
                  <w:pPr>
                    <w:pStyle w:val="114"/>
                    <w:widowControl w:val="0"/>
                    <w:rPr>
                      <w:color w:val="FF0000"/>
                    </w:rPr>
                  </w:pPr>
                </w:p>
              </w:tc>
              <w:tc>
                <w:tcPr>
                  <w:tcW w:w="2093" w:type="dxa"/>
                  <w:vAlign w:val="center"/>
                </w:tcPr>
                <w:p>
                  <w:pPr>
                    <w:pStyle w:val="114"/>
                    <w:widowControl w:val="0"/>
                    <w:rPr>
                      <w:color w:val="FF0000"/>
                    </w:rPr>
                  </w:pPr>
                  <w:r>
                    <w:rPr>
                      <w:color w:val="FF0000"/>
                    </w:rPr>
                    <w:t>NOx</w:t>
                  </w:r>
                </w:p>
              </w:tc>
              <w:tc>
                <w:tcPr>
                  <w:tcW w:w="1251" w:type="dxa"/>
                  <w:vAlign w:val="center"/>
                </w:tcPr>
                <w:p>
                  <w:pPr>
                    <w:pStyle w:val="114"/>
                    <w:widowControl w:val="0"/>
                    <w:rPr>
                      <w:color w:val="FF0000"/>
                    </w:rPr>
                  </w:pPr>
                  <w:r>
                    <w:rPr>
                      <w:color w:val="FF0000"/>
                    </w:rPr>
                    <w:t>5.88t/a</w:t>
                  </w:r>
                </w:p>
              </w:tc>
              <w:tc>
                <w:tcPr>
                  <w:tcW w:w="1464" w:type="dxa"/>
                  <w:vAlign w:val="center"/>
                </w:tcPr>
                <w:p>
                  <w:pPr>
                    <w:pStyle w:val="114"/>
                    <w:widowControl w:val="0"/>
                    <w:rPr>
                      <w:color w:val="FF0000"/>
                      <w:lang w:eastAsia="zh-CN"/>
                    </w:rPr>
                  </w:pPr>
                  <w:r>
                    <w:rPr>
                      <w:color w:val="FF0000"/>
                    </w:rPr>
                    <w:t>5.88t/a</w:t>
                  </w:r>
                </w:p>
              </w:tc>
              <w:tc>
                <w:tcPr>
                  <w:tcW w:w="1121" w:type="dxa"/>
                  <w:vAlign w:val="center"/>
                </w:tcPr>
                <w:p>
                  <w:pPr>
                    <w:pStyle w:val="114"/>
                    <w:widowControl w:val="0"/>
                    <w:rPr>
                      <w:color w:val="FF0000"/>
                      <w:lang w:eastAsia="zh-CN"/>
                    </w:rPr>
                  </w:pPr>
                  <w:r>
                    <w:rPr>
                      <w:snapToGrid w:val="0"/>
                      <w:color w:val="FF0000"/>
                      <w:kern w:val="21"/>
                    </w:rPr>
                    <w:t>0.615</w:t>
                  </w:r>
                  <w:r>
                    <w:rPr>
                      <w:rFonts w:hint="eastAsia"/>
                      <w:snapToGrid w:val="0"/>
                      <w:color w:val="FF0000"/>
                      <w:kern w:val="21"/>
                      <w:lang w:eastAsia="zh-CN"/>
                    </w:rPr>
                    <w:t>t/a</w:t>
                  </w:r>
                </w:p>
              </w:tc>
              <w:tc>
                <w:tcPr>
                  <w:tcW w:w="1246" w:type="dxa"/>
                  <w:vAlign w:val="center"/>
                </w:tcPr>
                <w:p>
                  <w:pPr>
                    <w:pStyle w:val="114"/>
                    <w:widowControl w:val="0"/>
                    <w:rPr>
                      <w:color w:val="FF0000"/>
                    </w:rPr>
                  </w:pPr>
                  <w:r>
                    <w:rPr>
                      <w:rFonts w:hint="eastAsia"/>
                      <w:snapToGrid w:val="0"/>
                      <w:color w:val="FF0000"/>
                      <w:kern w:val="21"/>
                    </w:rPr>
                    <w:t>0.</w:t>
                  </w:r>
                  <w:r>
                    <w:rPr>
                      <w:snapToGrid w:val="0"/>
                      <w:color w:val="FF0000"/>
                      <w:kern w:val="21"/>
                    </w:rPr>
                    <w:t>615</w:t>
                  </w:r>
                  <w:r>
                    <w:rPr>
                      <w:rFonts w:hint="eastAsia"/>
                      <w:snapToGrid w:val="0"/>
                      <w:color w:val="FF0000"/>
                      <w:kern w:val="21"/>
                      <w:lang w:eastAsia="zh-CN"/>
                    </w:rPr>
                    <w:t>t/a</w:t>
                  </w:r>
                </w:p>
              </w:tc>
              <w:tc>
                <w:tcPr>
                  <w:tcW w:w="1264" w:type="dxa"/>
                  <w:vAlign w:val="center"/>
                </w:tcPr>
                <w:p>
                  <w:pPr>
                    <w:pStyle w:val="114"/>
                    <w:widowControl w:val="0"/>
                    <w:rPr>
                      <w:color w:val="FF0000"/>
                      <w:lang w:eastAsia="zh-CN"/>
                    </w:rPr>
                  </w:pPr>
                  <w:r>
                    <w:rPr>
                      <w:rFonts w:hint="eastAsia"/>
                      <w:snapToGrid w:val="0"/>
                      <w:color w:val="FF0000"/>
                      <w:kern w:val="21"/>
                    </w:rPr>
                    <w:t>-</w:t>
                  </w:r>
                  <w:r>
                    <w:rPr>
                      <w:snapToGrid w:val="0"/>
                      <w:color w:val="FF0000"/>
                      <w:kern w:val="21"/>
                    </w:rPr>
                    <w:t>5.265</w:t>
                  </w:r>
                  <w:r>
                    <w:rPr>
                      <w:rFonts w:hint="eastAsia"/>
                      <w:snapToGrid w:val="0"/>
                      <w:color w:val="FF0000"/>
                      <w:kern w:val="21"/>
                      <w:lang w:eastAsia="zh-CN"/>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9" w:type="dxa"/>
                  <w:vMerge w:val="continue"/>
                  <w:vAlign w:val="center"/>
                </w:tcPr>
                <w:p>
                  <w:pPr>
                    <w:pStyle w:val="114"/>
                    <w:widowControl w:val="0"/>
                    <w:rPr>
                      <w:color w:val="FF0000"/>
                    </w:rPr>
                  </w:pPr>
                </w:p>
              </w:tc>
              <w:tc>
                <w:tcPr>
                  <w:tcW w:w="2093" w:type="dxa"/>
                  <w:vAlign w:val="center"/>
                </w:tcPr>
                <w:p>
                  <w:pPr>
                    <w:pStyle w:val="114"/>
                    <w:widowControl w:val="0"/>
                    <w:rPr>
                      <w:color w:val="FF0000"/>
                    </w:rPr>
                  </w:pPr>
                  <w:r>
                    <w:rPr>
                      <w:color w:val="FF0000"/>
                    </w:rPr>
                    <w:t>颗粒物</w:t>
                  </w:r>
                </w:p>
              </w:tc>
              <w:tc>
                <w:tcPr>
                  <w:tcW w:w="1251" w:type="dxa"/>
                  <w:vAlign w:val="center"/>
                </w:tcPr>
                <w:p>
                  <w:pPr>
                    <w:pStyle w:val="114"/>
                    <w:widowControl w:val="0"/>
                    <w:rPr>
                      <w:color w:val="FF0000"/>
                    </w:rPr>
                  </w:pPr>
                  <w:r>
                    <w:rPr>
                      <w:color w:val="FF0000"/>
                    </w:rPr>
                    <w:t>12.07t/a</w:t>
                  </w:r>
                </w:p>
              </w:tc>
              <w:tc>
                <w:tcPr>
                  <w:tcW w:w="1464" w:type="dxa"/>
                  <w:vAlign w:val="center"/>
                </w:tcPr>
                <w:p>
                  <w:pPr>
                    <w:pStyle w:val="114"/>
                    <w:widowControl w:val="0"/>
                    <w:rPr>
                      <w:color w:val="FF0000"/>
                      <w:lang w:eastAsia="zh-CN"/>
                    </w:rPr>
                  </w:pPr>
                  <w:r>
                    <w:rPr>
                      <w:color w:val="FF0000"/>
                    </w:rPr>
                    <w:t>12.07t/a</w:t>
                  </w:r>
                </w:p>
              </w:tc>
              <w:tc>
                <w:tcPr>
                  <w:tcW w:w="1121" w:type="dxa"/>
                  <w:vAlign w:val="center"/>
                </w:tcPr>
                <w:p>
                  <w:pPr>
                    <w:pStyle w:val="114"/>
                    <w:widowControl w:val="0"/>
                    <w:rPr>
                      <w:color w:val="FF0000"/>
                      <w:lang w:eastAsia="zh-CN"/>
                    </w:rPr>
                  </w:pPr>
                  <w:r>
                    <w:rPr>
                      <w:rFonts w:hint="eastAsia"/>
                      <w:snapToGrid w:val="0"/>
                      <w:color w:val="FF0000"/>
                      <w:kern w:val="21"/>
                    </w:rPr>
                    <w:t>0.008</w:t>
                  </w:r>
                  <w:r>
                    <w:rPr>
                      <w:rFonts w:hint="eastAsia"/>
                      <w:snapToGrid w:val="0"/>
                      <w:color w:val="FF0000"/>
                      <w:kern w:val="21"/>
                      <w:lang w:eastAsia="zh-CN"/>
                    </w:rPr>
                    <w:t>t/a</w:t>
                  </w:r>
                </w:p>
              </w:tc>
              <w:tc>
                <w:tcPr>
                  <w:tcW w:w="1246" w:type="dxa"/>
                  <w:vAlign w:val="center"/>
                </w:tcPr>
                <w:p>
                  <w:pPr>
                    <w:pStyle w:val="114"/>
                    <w:widowControl w:val="0"/>
                    <w:rPr>
                      <w:color w:val="FF0000"/>
                    </w:rPr>
                  </w:pPr>
                  <w:r>
                    <w:rPr>
                      <w:rFonts w:hint="eastAsia"/>
                      <w:snapToGrid w:val="0"/>
                      <w:color w:val="FF0000"/>
                      <w:kern w:val="21"/>
                    </w:rPr>
                    <w:t>0.008</w:t>
                  </w:r>
                  <w:r>
                    <w:rPr>
                      <w:rFonts w:hint="eastAsia"/>
                      <w:snapToGrid w:val="0"/>
                      <w:color w:val="FF0000"/>
                      <w:kern w:val="21"/>
                      <w:lang w:eastAsia="zh-CN"/>
                    </w:rPr>
                    <w:t>t/a</w:t>
                  </w:r>
                </w:p>
              </w:tc>
              <w:tc>
                <w:tcPr>
                  <w:tcW w:w="1264" w:type="dxa"/>
                  <w:vAlign w:val="center"/>
                </w:tcPr>
                <w:p>
                  <w:pPr>
                    <w:pStyle w:val="114"/>
                    <w:widowControl w:val="0"/>
                    <w:rPr>
                      <w:color w:val="FF0000"/>
                      <w:lang w:eastAsia="zh-CN"/>
                    </w:rPr>
                  </w:pPr>
                  <w:r>
                    <w:rPr>
                      <w:rFonts w:hint="eastAsia"/>
                      <w:snapToGrid w:val="0"/>
                      <w:color w:val="FF0000"/>
                      <w:kern w:val="21"/>
                    </w:rPr>
                    <w:t>-</w:t>
                  </w:r>
                  <w:r>
                    <w:rPr>
                      <w:snapToGrid w:val="0"/>
                      <w:color w:val="FF0000"/>
                      <w:kern w:val="21"/>
                    </w:rPr>
                    <w:t>12.062</w:t>
                  </w:r>
                  <w:r>
                    <w:rPr>
                      <w:rFonts w:hint="eastAsia"/>
                      <w:snapToGrid w:val="0"/>
                      <w:color w:val="FF0000"/>
                      <w:kern w:val="21"/>
                      <w:lang w:eastAsia="zh-CN"/>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9" w:type="dxa"/>
                  <w:vMerge w:val="restart"/>
                  <w:vAlign w:val="center"/>
                </w:tcPr>
                <w:p>
                  <w:pPr>
                    <w:pStyle w:val="114"/>
                    <w:widowControl w:val="0"/>
                    <w:rPr>
                      <w:color w:val="FF0000"/>
                    </w:rPr>
                  </w:pPr>
                  <w:r>
                    <w:rPr>
                      <w:rFonts w:hint="eastAsia"/>
                      <w:color w:val="FF0000"/>
                    </w:rPr>
                    <w:t>废水</w:t>
                  </w:r>
                </w:p>
              </w:tc>
              <w:tc>
                <w:tcPr>
                  <w:tcW w:w="2093" w:type="dxa"/>
                  <w:vAlign w:val="center"/>
                </w:tcPr>
                <w:p>
                  <w:pPr>
                    <w:pStyle w:val="114"/>
                    <w:widowControl w:val="0"/>
                    <w:rPr>
                      <w:color w:val="FF0000"/>
                    </w:rPr>
                  </w:pPr>
                  <w:r>
                    <w:rPr>
                      <w:rFonts w:hint="eastAsia"/>
                      <w:color w:val="FF0000"/>
                      <w:lang w:eastAsia="zh-CN"/>
                    </w:rPr>
                    <w:t>C</w:t>
                  </w:r>
                  <w:r>
                    <w:rPr>
                      <w:color w:val="FF0000"/>
                      <w:lang w:eastAsia="zh-CN"/>
                    </w:rPr>
                    <w:t>OD</w:t>
                  </w:r>
                  <w:r>
                    <w:rPr>
                      <w:rFonts w:hint="eastAsia"/>
                      <w:color w:val="FF0000"/>
                      <w:lang w:eastAsia="zh-CN"/>
                    </w:rPr>
                    <w:t>cr</w:t>
                  </w:r>
                </w:p>
              </w:tc>
              <w:tc>
                <w:tcPr>
                  <w:tcW w:w="1251" w:type="dxa"/>
                  <w:vAlign w:val="center"/>
                </w:tcPr>
                <w:p>
                  <w:pPr>
                    <w:pStyle w:val="114"/>
                    <w:widowControl w:val="0"/>
                    <w:rPr>
                      <w:color w:val="FF0000"/>
                    </w:rPr>
                  </w:pPr>
                  <w:r>
                    <w:rPr>
                      <w:color w:val="FF0000"/>
                    </w:rPr>
                    <w:t>2.49</w:t>
                  </w:r>
                  <w:r>
                    <w:rPr>
                      <w:rFonts w:hint="eastAsia"/>
                      <w:color w:val="FF0000"/>
                    </w:rPr>
                    <w:t>t/a</w:t>
                  </w:r>
                </w:p>
              </w:tc>
              <w:tc>
                <w:tcPr>
                  <w:tcW w:w="1464" w:type="dxa"/>
                  <w:vAlign w:val="center"/>
                </w:tcPr>
                <w:p>
                  <w:pPr>
                    <w:pStyle w:val="114"/>
                    <w:widowControl w:val="0"/>
                    <w:rPr>
                      <w:color w:val="FF0000"/>
                      <w:lang w:eastAsia="zh-CN"/>
                    </w:rPr>
                  </w:pPr>
                  <w:r>
                    <w:rPr>
                      <w:snapToGrid w:val="0"/>
                      <w:color w:val="FF0000"/>
                      <w:kern w:val="21"/>
                    </w:rPr>
                    <w:t>2.49</w:t>
                  </w:r>
                  <w:r>
                    <w:rPr>
                      <w:rFonts w:hint="eastAsia"/>
                      <w:snapToGrid w:val="0"/>
                      <w:color w:val="FF0000"/>
                      <w:kern w:val="21"/>
                    </w:rPr>
                    <w:t>t/a</w:t>
                  </w:r>
                </w:p>
              </w:tc>
              <w:tc>
                <w:tcPr>
                  <w:tcW w:w="1121" w:type="dxa"/>
                  <w:vAlign w:val="center"/>
                </w:tcPr>
                <w:p>
                  <w:pPr>
                    <w:pStyle w:val="114"/>
                    <w:widowControl w:val="0"/>
                    <w:rPr>
                      <w:color w:val="FF0000"/>
                    </w:rPr>
                  </w:pPr>
                  <w:r>
                    <w:rPr>
                      <w:color w:val="FF0000"/>
                    </w:rPr>
                    <w:t>2.49</w:t>
                  </w:r>
                  <w:r>
                    <w:rPr>
                      <w:rFonts w:hint="eastAsia"/>
                      <w:color w:val="FF0000"/>
                      <w:lang w:eastAsia="zh-CN"/>
                    </w:rPr>
                    <w:t>t/a</w:t>
                  </w:r>
                </w:p>
              </w:tc>
              <w:tc>
                <w:tcPr>
                  <w:tcW w:w="1246" w:type="dxa"/>
                  <w:vAlign w:val="center"/>
                </w:tcPr>
                <w:p>
                  <w:pPr>
                    <w:pStyle w:val="114"/>
                    <w:widowControl w:val="0"/>
                    <w:rPr>
                      <w:color w:val="FF0000"/>
                      <w:lang w:eastAsia="zh-CN"/>
                    </w:rPr>
                  </w:pPr>
                  <w:r>
                    <w:rPr>
                      <w:snapToGrid w:val="0"/>
                      <w:color w:val="FF0000"/>
                      <w:kern w:val="21"/>
                    </w:rPr>
                    <w:t>2.49</w:t>
                  </w:r>
                  <w:r>
                    <w:rPr>
                      <w:rFonts w:hint="eastAsia"/>
                      <w:snapToGrid w:val="0"/>
                      <w:color w:val="FF0000"/>
                      <w:kern w:val="21"/>
                    </w:rPr>
                    <w:t>t/a</w:t>
                  </w:r>
                </w:p>
              </w:tc>
              <w:tc>
                <w:tcPr>
                  <w:tcW w:w="1264" w:type="dxa"/>
                  <w:vAlign w:val="center"/>
                </w:tcPr>
                <w:p>
                  <w:pPr>
                    <w:pStyle w:val="114"/>
                    <w:widowControl w:val="0"/>
                    <w:rPr>
                      <w:color w:val="FF0000"/>
                      <w:lang w:eastAsia="zh-CN"/>
                    </w:rPr>
                  </w:pPr>
                  <w:r>
                    <w:rPr>
                      <w:color w:val="FF0000"/>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9" w:type="dxa"/>
                  <w:vMerge w:val="continue"/>
                  <w:vAlign w:val="center"/>
                </w:tcPr>
                <w:p>
                  <w:pPr>
                    <w:pStyle w:val="114"/>
                    <w:widowControl w:val="0"/>
                    <w:rPr>
                      <w:color w:val="FF0000"/>
                    </w:rPr>
                  </w:pPr>
                </w:p>
              </w:tc>
              <w:tc>
                <w:tcPr>
                  <w:tcW w:w="2093" w:type="dxa"/>
                  <w:vAlign w:val="center"/>
                </w:tcPr>
                <w:p>
                  <w:pPr>
                    <w:pStyle w:val="114"/>
                    <w:widowControl w:val="0"/>
                    <w:rPr>
                      <w:color w:val="FF0000"/>
                      <w:lang w:eastAsia="zh-CN"/>
                    </w:rPr>
                  </w:pPr>
                  <w:r>
                    <w:rPr>
                      <w:color w:val="FF0000"/>
                      <w:lang w:eastAsia="zh-CN"/>
                    </w:rPr>
                    <w:t>NH</w:t>
                  </w:r>
                  <w:r>
                    <w:rPr>
                      <w:color w:val="FF0000"/>
                      <w:vertAlign w:val="subscript"/>
                      <w:lang w:eastAsia="zh-CN"/>
                    </w:rPr>
                    <w:t>3</w:t>
                  </w:r>
                  <w:r>
                    <w:rPr>
                      <w:color w:val="FF0000"/>
                      <w:lang w:eastAsia="zh-CN"/>
                    </w:rPr>
                    <w:t>-N</w:t>
                  </w:r>
                </w:p>
              </w:tc>
              <w:tc>
                <w:tcPr>
                  <w:tcW w:w="1251" w:type="dxa"/>
                  <w:vAlign w:val="center"/>
                </w:tcPr>
                <w:p>
                  <w:pPr>
                    <w:pStyle w:val="114"/>
                    <w:widowControl w:val="0"/>
                    <w:rPr>
                      <w:snapToGrid w:val="0"/>
                      <w:color w:val="FF0000"/>
                      <w:kern w:val="21"/>
                      <w:lang w:eastAsia="zh-CN"/>
                    </w:rPr>
                  </w:pPr>
                  <w:r>
                    <w:rPr>
                      <w:color w:val="FF0000"/>
                    </w:rPr>
                    <w:t>0.447</w:t>
                  </w:r>
                  <w:r>
                    <w:rPr>
                      <w:rFonts w:hint="eastAsia"/>
                      <w:color w:val="FF0000"/>
                    </w:rPr>
                    <w:t>t/a</w:t>
                  </w:r>
                </w:p>
              </w:tc>
              <w:tc>
                <w:tcPr>
                  <w:tcW w:w="1464" w:type="dxa"/>
                  <w:vAlign w:val="center"/>
                </w:tcPr>
                <w:p>
                  <w:pPr>
                    <w:pStyle w:val="114"/>
                    <w:widowControl w:val="0"/>
                    <w:rPr>
                      <w:snapToGrid w:val="0"/>
                      <w:color w:val="FF0000"/>
                      <w:kern w:val="21"/>
                      <w:lang w:eastAsia="zh-CN"/>
                    </w:rPr>
                  </w:pPr>
                  <w:r>
                    <w:rPr>
                      <w:color w:val="FF0000"/>
                    </w:rPr>
                    <w:t>0.447</w:t>
                  </w:r>
                  <w:r>
                    <w:rPr>
                      <w:rFonts w:hint="eastAsia"/>
                      <w:color w:val="FF0000"/>
                    </w:rPr>
                    <w:t>t/a</w:t>
                  </w:r>
                </w:p>
              </w:tc>
              <w:tc>
                <w:tcPr>
                  <w:tcW w:w="1121" w:type="dxa"/>
                  <w:vAlign w:val="center"/>
                </w:tcPr>
                <w:p>
                  <w:pPr>
                    <w:pStyle w:val="114"/>
                    <w:widowControl w:val="0"/>
                    <w:rPr>
                      <w:snapToGrid w:val="0"/>
                      <w:color w:val="FF0000"/>
                      <w:kern w:val="21"/>
                      <w:lang w:eastAsia="zh-CN"/>
                    </w:rPr>
                  </w:pPr>
                  <w:r>
                    <w:rPr>
                      <w:color w:val="FF0000"/>
                    </w:rPr>
                    <w:t>0.447</w:t>
                  </w:r>
                  <w:r>
                    <w:rPr>
                      <w:rFonts w:hint="eastAsia"/>
                      <w:color w:val="FF0000"/>
                    </w:rPr>
                    <w:t>t/a</w:t>
                  </w:r>
                </w:p>
              </w:tc>
              <w:tc>
                <w:tcPr>
                  <w:tcW w:w="1246" w:type="dxa"/>
                  <w:vAlign w:val="center"/>
                </w:tcPr>
                <w:p>
                  <w:pPr>
                    <w:pStyle w:val="114"/>
                    <w:widowControl w:val="0"/>
                    <w:rPr>
                      <w:color w:val="FF0000"/>
                      <w:lang w:eastAsia="zh-CN"/>
                    </w:rPr>
                  </w:pPr>
                  <w:r>
                    <w:rPr>
                      <w:color w:val="FF0000"/>
                    </w:rPr>
                    <w:t>0.447</w:t>
                  </w:r>
                  <w:r>
                    <w:rPr>
                      <w:rFonts w:hint="eastAsia"/>
                      <w:color w:val="FF0000"/>
                    </w:rPr>
                    <w:t>t/a</w:t>
                  </w:r>
                </w:p>
              </w:tc>
              <w:tc>
                <w:tcPr>
                  <w:tcW w:w="1264" w:type="dxa"/>
                  <w:vAlign w:val="center"/>
                </w:tcPr>
                <w:p>
                  <w:pPr>
                    <w:pStyle w:val="114"/>
                    <w:widowControl w:val="0"/>
                    <w:rPr>
                      <w:snapToGrid w:val="0"/>
                      <w:color w:val="FF0000"/>
                      <w:kern w:val="21"/>
                      <w:lang w:eastAsia="zh-CN"/>
                    </w:rPr>
                  </w:pPr>
                  <w:r>
                    <w:rPr>
                      <w:color w:val="FF0000"/>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340" w:hRule="atLeast"/>
                <w:jc w:val="center"/>
              </w:trPr>
              <w:tc>
                <w:tcPr>
                  <w:tcW w:w="499" w:type="dxa"/>
                  <w:vMerge w:val="restart"/>
                  <w:vAlign w:val="center"/>
                </w:tcPr>
                <w:p>
                  <w:pPr>
                    <w:pStyle w:val="114"/>
                    <w:widowControl w:val="0"/>
                    <w:rPr>
                      <w:color w:val="FF0000"/>
                    </w:rPr>
                  </w:pPr>
                  <w:r>
                    <w:rPr>
                      <w:rFonts w:hint="eastAsia"/>
                      <w:color w:val="FF0000"/>
                    </w:rPr>
                    <w:t>固体废物</w:t>
                  </w:r>
                </w:p>
              </w:tc>
              <w:tc>
                <w:tcPr>
                  <w:tcW w:w="2093" w:type="dxa"/>
                  <w:vAlign w:val="center"/>
                </w:tcPr>
                <w:p>
                  <w:pPr>
                    <w:pStyle w:val="114"/>
                    <w:widowControl w:val="0"/>
                    <w:rPr>
                      <w:color w:val="FF0000"/>
                    </w:rPr>
                  </w:pPr>
                  <w:r>
                    <w:rPr>
                      <w:color w:val="FF0000"/>
                    </w:rPr>
                    <w:t>废离子交换树脂</w:t>
                  </w:r>
                </w:p>
              </w:tc>
              <w:tc>
                <w:tcPr>
                  <w:tcW w:w="1251" w:type="dxa"/>
                  <w:vAlign w:val="center"/>
                </w:tcPr>
                <w:p>
                  <w:pPr>
                    <w:pStyle w:val="114"/>
                    <w:widowControl w:val="0"/>
                    <w:rPr>
                      <w:color w:val="FF0000"/>
                    </w:rPr>
                  </w:pPr>
                  <w:r>
                    <w:rPr>
                      <w:color w:val="FF0000"/>
                    </w:rPr>
                    <w:t>0.2t/a</w:t>
                  </w:r>
                </w:p>
              </w:tc>
              <w:tc>
                <w:tcPr>
                  <w:tcW w:w="1464" w:type="dxa"/>
                  <w:vAlign w:val="center"/>
                </w:tcPr>
                <w:p>
                  <w:pPr>
                    <w:pStyle w:val="114"/>
                    <w:widowControl w:val="0"/>
                    <w:rPr>
                      <w:color w:val="FF0000"/>
                    </w:rPr>
                  </w:pPr>
                  <w:r>
                    <w:rPr>
                      <w:snapToGrid w:val="0"/>
                      <w:color w:val="FF0000"/>
                      <w:kern w:val="21"/>
                    </w:rPr>
                    <w:t>/</w:t>
                  </w:r>
                </w:p>
              </w:tc>
              <w:tc>
                <w:tcPr>
                  <w:tcW w:w="1121" w:type="dxa"/>
                  <w:vAlign w:val="center"/>
                </w:tcPr>
                <w:p>
                  <w:pPr>
                    <w:pStyle w:val="114"/>
                    <w:widowControl w:val="0"/>
                    <w:rPr>
                      <w:color w:val="FF0000"/>
                    </w:rPr>
                  </w:pPr>
                  <w:r>
                    <w:rPr>
                      <w:snapToGrid w:val="0"/>
                      <w:color w:val="FF0000"/>
                      <w:kern w:val="21"/>
                    </w:rPr>
                    <w:t>/</w:t>
                  </w:r>
                </w:p>
              </w:tc>
              <w:tc>
                <w:tcPr>
                  <w:tcW w:w="1246" w:type="dxa"/>
                  <w:vAlign w:val="center"/>
                </w:tcPr>
                <w:p>
                  <w:pPr>
                    <w:pStyle w:val="114"/>
                    <w:widowControl w:val="0"/>
                    <w:rPr>
                      <w:color w:val="FF0000"/>
                    </w:rPr>
                  </w:pPr>
                  <w:r>
                    <w:rPr>
                      <w:color w:val="FF0000"/>
                    </w:rPr>
                    <w:t>0.2t/a</w:t>
                  </w:r>
                </w:p>
              </w:tc>
              <w:tc>
                <w:tcPr>
                  <w:tcW w:w="1264" w:type="dxa"/>
                  <w:vAlign w:val="center"/>
                </w:tcPr>
                <w:p>
                  <w:pPr>
                    <w:pStyle w:val="114"/>
                    <w:widowControl w:val="0"/>
                    <w:rPr>
                      <w:color w:val="FF0000"/>
                      <w:lang w:eastAsia="zh-CN"/>
                    </w:rPr>
                  </w:pPr>
                  <w:r>
                    <w:rPr>
                      <w:snapToGrid w:val="0"/>
                      <w:color w:val="FF0000"/>
                      <w:kern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340" w:hRule="atLeast"/>
                <w:jc w:val="center"/>
              </w:trPr>
              <w:tc>
                <w:tcPr>
                  <w:tcW w:w="499" w:type="dxa"/>
                  <w:vMerge w:val="continue"/>
                  <w:vAlign w:val="center"/>
                </w:tcPr>
                <w:p>
                  <w:pPr>
                    <w:pStyle w:val="114"/>
                    <w:widowControl w:val="0"/>
                    <w:rPr>
                      <w:color w:val="FF0000"/>
                    </w:rPr>
                  </w:pPr>
                </w:p>
              </w:tc>
              <w:tc>
                <w:tcPr>
                  <w:tcW w:w="2093" w:type="dxa"/>
                  <w:vAlign w:val="center"/>
                </w:tcPr>
                <w:p>
                  <w:pPr>
                    <w:pStyle w:val="114"/>
                    <w:widowControl w:val="0"/>
                    <w:rPr>
                      <w:color w:val="FF0000"/>
                    </w:rPr>
                  </w:pPr>
                  <w:r>
                    <w:rPr>
                      <w:rFonts w:hint="eastAsia"/>
                      <w:color w:val="FF0000"/>
                      <w:lang w:eastAsia="zh-CN"/>
                    </w:rPr>
                    <w:t>锅炉炉渣</w:t>
                  </w:r>
                </w:p>
              </w:tc>
              <w:tc>
                <w:tcPr>
                  <w:tcW w:w="1251" w:type="dxa"/>
                  <w:vAlign w:val="center"/>
                </w:tcPr>
                <w:p>
                  <w:pPr>
                    <w:pStyle w:val="114"/>
                    <w:widowControl w:val="0"/>
                    <w:rPr>
                      <w:color w:val="FF0000"/>
                    </w:rPr>
                  </w:pPr>
                  <w:r>
                    <w:rPr>
                      <w:color w:val="FF0000"/>
                    </w:rPr>
                    <w:t>277.2t/a</w:t>
                  </w:r>
                </w:p>
              </w:tc>
              <w:tc>
                <w:tcPr>
                  <w:tcW w:w="1464" w:type="dxa"/>
                  <w:vAlign w:val="center"/>
                </w:tcPr>
                <w:p>
                  <w:pPr>
                    <w:pStyle w:val="114"/>
                    <w:widowControl w:val="0"/>
                    <w:rPr>
                      <w:color w:val="FF0000"/>
                      <w:lang w:eastAsia="zh-CN"/>
                    </w:rPr>
                  </w:pPr>
                  <w:r>
                    <w:rPr>
                      <w:snapToGrid w:val="0"/>
                      <w:color w:val="FF0000"/>
                      <w:kern w:val="21"/>
                    </w:rPr>
                    <w:t>277.2</w:t>
                  </w:r>
                  <w:r>
                    <w:rPr>
                      <w:rFonts w:hint="eastAsia"/>
                      <w:snapToGrid w:val="0"/>
                      <w:color w:val="FF0000"/>
                      <w:kern w:val="21"/>
                      <w:lang w:eastAsia="zh-CN"/>
                    </w:rPr>
                    <w:t>t/a</w:t>
                  </w:r>
                </w:p>
              </w:tc>
              <w:tc>
                <w:tcPr>
                  <w:tcW w:w="1121" w:type="dxa"/>
                  <w:vAlign w:val="center"/>
                </w:tcPr>
                <w:p>
                  <w:pPr>
                    <w:pStyle w:val="114"/>
                    <w:widowControl w:val="0"/>
                    <w:rPr>
                      <w:color w:val="FF0000"/>
                      <w:lang w:eastAsia="zh-CN"/>
                    </w:rPr>
                  </w:pPr>
                  <w:r>
                    <w:rPr>
                      <w:snapToGrid w:val="0"/>
                      <w:color w:val="FF0000"/>
                      <w:kern w:val="21"/>
                    </w:rPr>
                    <w:t>/</w:t>
                  </w:r>
                </w:p>
              </w:tc>
              <w:tc>
                <w:tcPr>
                  <w:tcW w:w="1246" w:type="dxa"/>
                  <w:vAlign w:val="center"/>
                </w:tcPr>
                <w:p>
                  <w:pPr>
                    <w:pStyle w:val="114"/>
                    <w:widowControl w:val="0"/>
                    <w:rPr>
                      <w:color w:val="FF0000"/>
                    </w:rPr>
                  </w:pPr>
                  <w:r>
                    <w:rPr>
                      <w:color w:val="FF0000"/>
                    </w:rPr>
                    <w:t>0</w:t>
                  </w:r>
                  <w:r>
                    <w:rPr>
                      <w:rFonts w:hint="eastAsia"/>
                      <w:color w:val="FF0000"/>
                      <w:lang w:eastAsia="zh-CN"/>
                    </w:rPr>
                    <w:t>t/a</w:t>
                  </w:r>
                </w:p>
              </w:tc>
              <w:tc>
                <w:tcPr>
                  <w:tcW w:w="1264" w:type="dxa"/>
                  <w:vAlign w:val="center"/>
                </w:tcPr>
                <w:p>
                  <w:pPr>
                    <w:pStyle w:val="114"/>
                    <w:widowControl w:val="0"/>
                    <w:rPr>
                      <w:color w:val="FF0000"/>
                      <w:lang w:eastAsia="zh-CN"/>
                    </w:rPr>
                  </w:pPr>
                  <w:r>
                    <w:rPr>
                      <w:snapToGrid w:val="0"/>
                      <w:color w:val="FF0000"/>
                      <w:kern w:val="21"/>
                    </w:rPr>
                    <w:t>-277.2</w:t>
                  </w:r>
                  <w:r>
                    <w:rPr>
                      <w:rFonts w:hint="eastAsia"/>
                      <w:snapToGrid w:val="0"/>
                      <w:color w:val="FF0000"/>
                      <w:kern w:val="21"/>
                      <w:lang w:eastAsia="zh-CN"/>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9" w:type="dxa"/>
                  <w:vMerge w:val="continue"/>
                  <w:vAlign w:val="center"/>
                </w:tcPr>
                <w:p>
                  <w:pPr>
                    <w:pStyle w:val="114"/>
                    <w:widowControl w:val="0"/>
                    <w:rPr>
                      <w:color w:val="FF0000"/>
                    </w:rPr>
                  </w:pPr>
                </w:p>
              </w:tc>
              <w:tc>
                <w:tcPr>
                  <w:tcW w:w="2093" w:type="dxa"/>
                  <w:vAlign w:val="center"/>
                </w:tcPr>
                <w:p>
                  <w:pPr>
                    <w:pStyle w:val="114"/>
                    <w:widowControl w:val="0"/>
                    <w:rPr>
                      <w:color w:val="FF0000"/>
                    </w:rPr>
                  </w:pPr>
                  <w:r>
                    <w:rPr>
                      <w:color w:val="FF0000"/>
                    </w:rPr>
                    <w:t>污水处理站污泥</w:t>
                  </w:r>
                </w:p>
              </w:tc>
              <w:tc>
                <w:tcPr>
                  <w:tcW w:w="1251" w:type="dxa"/>
                  <w:vAlign w:val="center"/>
                </w:tcPr>
                <w:p>
                  <w:pPr>
                    <w:pStyle w:val="114"/>
                    <w:widowControl w:val="0"/>
                    <w:rPr>
                      <w:color w:val="FF0000"/>
                    </w:rPr>
                  </w:pPr>
                  <w:r>
                    <w:rPr>
                      <w:color w:val="FF0000"/>
                    </w:rPr>
                    <w:t>0.3</w:t>
                  </w:r>
                  <w:r>
                    <w:rPr>
                      <w:rFonts w:hint="eastAsia"/>
                      <w:color w:val="FF0000"/>
                      <w:lang w:eastAsia="zh-CN"/>
                    </w:rPr>
                    <w:t>t/a</w:t>
                  </w:r>
                </w:p>
              </w:tc>
              <w:tc>
                <w:tcPr>
                  <w:tcW w:w="1464" w:type="dxa"/>
                  <w:vAlign w:val="center"/>
                </w:tcPr>
                <w:p>
                  <w:pPr>
                    <w:pStyle w:val="114"/>
                    <w:widowControl w:val="0"/>
                    <w:rPr>
                      <w:color w:val="FF0000"/>
                      <w:lang w:eastAsia="zh-CN"/>
                    </w:rPr>
                  </w:pPr>
                  <w:r>
                    <w:rPr>
                      <w:color w:val="FF0000"/>
                    </w:rPr>
                    <w:t>0.3</w:t>
                  </w:r>
                  <w:r>
                    <w:rPr>
                      <w:rFonts w:hint="eastAsia"/>
                      <w:color w:val="FF0000"/>
                      <w:lang w:eastAsia="zh-CN"/>
                    </w:rPr>
                    <w:t>t/a</w:t>
                  </w:r>
                </w:p>
              </w:tc>
              <w:tc>
                <w:tcPr>
                  <w:tcW w:w="1121" w:type="dxa"/>
                  <w:vAlign w:val="center"/>
                </w:tcPr>
                <w:p>
                  <w:pPr>
                    <w:pStyle w:val="114"/>
                    <w:widowControl w:val="0"/>
                    <w:rPr>
                      <w:color w:val="FF0000"/>
                      <w:lang w:eastAsia="zh-CN"/>
                    </w:rPr>
                  </w:pPr>
                  <w:r>
                    <w:rPr>
                      <w:color w:val="FF0000"/>
                    </w:rPr>
                    <w:t>0.3</w:t>
                  </w:r>
                  <w:r>
                    <w:rPr>
                      <w:rFonts w:hint="eastAsia"/>
                      <w:color w:val="FF0000"/>
                      <w:lang w:eastAsia="zh-CN"/>
                    </w:rPr>
                    <w:t>t/a</w:t>
                  </w:r>
                </w:p>
              </w:tc>
              <w:tc>
                <w:tcPr>
                  <w:tcW w:w="1246" w:type="dxa"/>
                  <w:vAlign w:val="center"/>
                </w:tcPr>
                <w:p>
                  <w:pPr>
                    <w:pStyle w:val="114"/>
                    <w:widowControl w:val="0"/>
                    <w:rPr>
                      <w:color w:val="FF0000"/>
                      <w:lang w:eastAsia="zh-CN"/>
                    </w:rPr>
                  </w:pPr>
                  <w:r>
                    <w:rPr>
                      <w:color w:val="FF0000"/>
                    </w:rPr>
                    <w:t>0.3</w:t>
                  </w:r>
                  <w:r>
                    <w:rPr>
                      <w:rFonts w:hint="eastAsia"/>
                      <w:color w:val="FF0000"/>
                      <w:lang w:eastAsia="zh-CN"/>
                    </w:rPr>
                    <w:t>t/a</w:t>
                  </w:r>
                </w:p>
              </w:tc>
              <w:tc>
                <w:tcPr>
                  <w:tcW w:w="1264" w:type="dxa"/>
                  <w:vAlign w:val="center"/>
                </w:tcPr>
                <w:p>
                  <w:pPr>
                    <w:pStyle w:val="114"/>
                    <w:widowControl w:val="0"/>
                    <w:rPr>
                      <w:color w:val="FF0000"/>
                      <w:lang w:eastAsia="zh-CN"/>
                    </w:rPr>
                  </w:pPr>
                  <w:r>
                    <w:rPr>
                      <w:snapToGrid w:val="0"/>
                      <w:color w:val="FF0000"/>
                      <w:kern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9" w:type="dxa"/>
                  <w:vMerge w:val="continue"/>
                  <w:vAlign w:val="center"/>
                </w:tcPr>
                <w:p>
                  <w:pPr>
                    <w:pStyle w:val="114"/>
                    <w:widowControl w:val="0"/>
                    <w:rPr>
                      <w:color w:val="FF0000"/>
                    </w:rPr>
                  </w:pPr>
                </w:p>
              </w:tc>
              <w:tc>
                <w:tcPr>
                  <w:tcW w:w="2093" w:type="dxa"/>
                  <w:vAlign w:val="center"/>
                </w:tcPr>
                <w:p>
                  <w:pPr>
                    <w:pStyle w:val="114"/>
                    <w:widowControl w:val="0"/>
                    <w:rPr>
                      <w:color w:val="FF0000"/>
                    </w:rPr>
                  </w:pPr>
                  <w:r>
                    <w:rPr>
                      <w:rFonts w:hint="eastAsia"/>
                      <w:color w:val="FF0000"/>
                      <w:lang w:eastAsia="zh-CN"/>
                    </w:rPr>
                    <w:t>废包装材料</w:t>
                  </w:r>
                </w:p>
              </w:tc>
              <w:tc>
                <w:tcPr>
                  <w:tcW w:w="1251" w:type="dxa"/>
                  <w:vAlign w:val="center"/>
                </w:tcPr>
                <w:p>
                  <w:pPr>
                    <w:pStyle w:val="114"/>
                    <w:widowControl w:val="0"/>
                    <w:rPr>
                      <w:color w:val="FF0000"/>
                    </w:rPr>
                  </w:pPr>
                  <w:r>
                    <w:rPr>
                      <w:rFonts w:hint="eastAsia"/>
                      <w:snapToGrid w:val="0"/>
                      <w:color w:val="FF0000"/>
                      <w:kern w:val="21"/>
                    </w:rPr>
                    <w:t>0</w:t>
                  </w:r>
                  <w:r>
                    <w:rPr>
                      <w:snapToGrid w:val="0"/>
                      <w:color w:val="FF0000"/>
                      <w:kern w:val="21"/>
                    </w:rPr>
                    <w:t>.5</w:t>
                  </w:r>
                  <w:r>
                    <w:rPr>
                      <w:rFonts w:hint="eastAsia"/>
                      <w:snapToGrid w:val="0"/>
                      <w:color w:val="FF0000"/>
                      <w:kern w:val="21"/>
                      <w:lang w:eastAsia="zh-CN"/>
                    </w:rPr>
                    <w:t>t/a</w:t>
                  </w:r>
                </w:p>
              </w:tc>
              <w:tc>
                <w:tcPr>
                  <w:tcW w:w="1464" w:type="dxa"/>
                  <w:vAlign w:val="center"/>
                </w:tcPr>
                <w:p>
                  <w:pPr>
                    <w:pStyle w:val="114"/>
                    <w:widowControl w:val="0"/>
                    <w:rPr>
                      <w:color w:val="FF0000"/>
                      <w:lang w:eastAsia="zh-CN"/>
                    </w:rPr>
                  </w:pPr>
                  <w:r>
                    <w:rPr>
                      <w:rFonts w:hint="eastAsia"/>
                      <w:snapToGrid w:val="0"/>
                      <w:color w:val="FF0000"/>
                      <w:kern w:val="21"/>
                    </w:rPr>
                    <w:t>/</w:t>
                  </w:r>
                </w:p>
              </w:tc>
              <w:tc>
                <w:tcPr>
                  <w:tcW w:w="1121" w:type="dxa"/>
                  <w:vAlign w:val="center"/>
                </w:tcPr>
                <w:p>
                  <w:pPr>
                    <w:pStyle w:val="114"/>
                    <w:widowControl w:val="0"/>
                    <w:rPr>
                      <w:color w:val="FF0000"/>
                      <w:lang w:eastAsia="zh-CN"/>
                    </w:rPr>
                  </w:pPr>
                  <w:r>
                    <w:rPr>
                      <w:rFonts w:hint="eastAsia"/>
                      <w:color w:val="FF0000"/>
                    </w:rPr>
                    <w:t>/</w:t>
                  </w:r>
                </w:p>
              </w:tc>
              <w:tc>
                <w:tcPr>
                  <w:tcW w:w="1246" w:type="dxa"/>
                  <w:vAlign w:val="center"/>
                </w:tcPr>
                <w:p>
                  <w:pPr>
                    <w:pStyle w:val="114"/>
                    <w:widowControl w:val="0"/>
                    <w:rPr>
                      <w:color w:val="FF0000"/>
                      <w:lang w:eastAsia="zh-CN"/>
                    </w:rPr>
                  </w:pPr>
                  <w:r>
                    <w:rPr>
                      <w:color w:val="FF0000"/>
                    </w:rPr>
                    <w:t>0.5</w:t>
                  </w:r>
                  <w:r>
                    <w:rPr>
                      <w:rFonts w:hint="eastAsia"/>
                      <w:color w:val="FF0000"/>
                      <w:lang w:eastAsia="zh-CN"/>
                    </w:rPr>
                    <w:t>t/a</w:t>
                  </w:r>
                </w:p>
              </w:tc>
              <w:tc>
                <w:tcPr>
                  <w:tcW w:w="1264" w:type="dxa"/>
                  <w:vAlign w:val="center"/>
                </w:tcPr>
                <w:p>
                  <w:pPr>
                    <w:pStyle w:val="114"/>
                    <w:widowControl w:val="0"/>
                    <w:rPr>
                      <w:color w:val="FF0000"/>
                      <w:lang w:eastAsia="zh-CN"/>
                    </w:rPr>
                  </w:pPr>
                  <w:r>
                    <w:rPr>
                      <w:color w:val="FF0000"/>
                    </w:rPr>
                    <w:t>0</w:t>
                  </w:r>
                </w:p>
              </w:tc>
            </w:tr>
            <w:bookmarkEnd w:id="33"/>
          </w:tbl>
          <w:p>
            <w:pPr>
              <w:pStyle w:val="77"/>
              <w:ind w:firstLine="482"/>
              <w:rPr>
                <w:b/>
                <w:bCs/>
              </w:rPr>
            </w:pPr>
            <w:r>
              <w:rPr>
                <w:rFonts w:hint="eastAsia"/>
                <w:b/>
                <w:bCs/>
              </w:rPr>
              <w:t>十一、</w:t>
            </w:r>
            <w:bookmarkStart w:id="34" w:name="_Hlk142298511"/>
            <w:r>
              <w:rPr>
                <w:rFonts w:hint="eastAsia"/>
                <w:b/>
                <w:bCs/>
              </w:rPr>
              <w:t>竣工环境保护“三同时”</w:t>
            </w:r>
          </w:p>
          <w:p>
            <w:pPr>
              <w:adjustRightInd w:val="0"/>
              <w:snapToGrid w:val="0"/>
              <w:spacing w:line="460" w:lineRule="exact"/>
              <w:ind w:firstLine="480" w:firstLineChars="200"/>
              <w:rPr>
                <w:rFonts w:eastAsia="黑体"/>
              </w:rPr>
            </w:pPr>
            <w:r>
              <w:rPr>
                <w:bCs/>
                <w:sz w:val="24"/>
              </w:rPr>
              <w:t>项目建设期间，建设单位必须遵守环境保护设施必须与主体工程同时设计、同时施工、同时投产使用的“三同时”制度，在项目竣工后，须严格按照国家的有关规定，及时完成环保竣工验收，具体内容详见表4-24。</w:t>
            </w:r>
          </w:p>
          <w:p>
            <w:pPr>
              <w:autoSpaceDE w:val="0"/>
              <w:autoSpaceDN w:val="0"/>
              <w:ind w:firstLine="420"/>
              <w:jc w:val="left"/>
              <w:rPr>
                <w:rFonts w:eastAsia="黑体"/>
                <w:szCs w:val="21"/>
              </w:rPr>
            </w:pPr>
            <w:r>
              <w:rPr>
                <w:rFonts w:eastAsia="黑体"/>
              </w:rPr>
              <w:t>表4-24                 项目“三同时”验收一览表</w:t>
            </w:r>
          </w:p>
          <w:tbl>
            <w:tblPr>
              <w:tblStyle w:val="46"/>
              <w:tblW w:w="8938"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320"/>
              <w:gridCol w:w="3361"/>
              <w:gridCol w:w="260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52" w:type="dxa"/>
                  <w:vAlign w:val="center"/>
                </w:tcPr>
                <w:p>
                  <w:pPr>
                    <w:pStyle w:val="116"/>
                  </w:pPr>
                  <w:r>
                    <w:t>序号</w:t>
                  </w:r>
                </w:p>
              </w:tc>
              <w:tc>
                <w:tcPr>
                  <w:tcW w:w="2320" w:type="dxa"/>
                  <w:vAlign w:val="center"/>
                </w:tcPr>
                <w:p>
                  <w:pPr>
                    <w:pStyle w:val="116"/>
                  </w:pPr>
                  <w:r>
                    <w:t>污染源</w:t>
                  </w:r>
                </w:p>
              </w:tc>
              <w:tc>
                <w:tcPr>
                  <w:tcW w:w="3361" w:type="dxa"/>
                  <w:vAlign w:val="center"/>
                </w:tcPr>
                <w:p>
                  <w:pPr>
                    <w:pStyle w:val="116"/>
                  </w:pPr>
                  <w:r>
                    <w:t>环保措施</w:t>
                  </w:r>
                </w:p>
              </w:tc>
              <w:tc>
                <w:tcPr>
                  <w:tcW w:w="2605" w:type="dxa"/>
                  <w:vAlign w:val="center"/>
                </w:tcPr>
                <w:p>
                  <w:pPr>
                    <w:pStyle w:val="116"/>
                  </w:pPr>
                  <w:r>
                    <w:t>验收效果及要求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52" w:type="dxa"/>
                  <w:vAlign w:val="center"/>
                </w:tcPr>
                <w:p>
                  <w:pPr>
                    <w:pStyle w:val="116"/>
                    <w:rPr>
                      <w:b/>
                    </w:rPr>
                  </w:pPr>
                  <w:r>
                    <w:rPr>
                      <w:b/>
                    </w:rPr>
                    <w:t>一</w:t>
                  </w:r>
                </w:p>
              </w:tc>
              <w:tc>
                <w:tcPr>
                  <w:tcW w:w="8286" w:type="dxa"/>
                  <w:gridSpan w:val="3"/>
                  <w:vAlign w:val="center"/>
                </w:tcPr>
                <w:p>
                  <w:pPr>
                    <w:pStyle w:val="116"/>
                    <w:rPr>
                      <w:b/>
                    </w:rPr>
                  </w:pPr>
                  <w:r>
                    <w:rPr>
                      <w:b/>
                    </w:rPr>
                    <w:t>废气</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52" w:type="dxa"/>
                  <w:vAlign w:val="center"/>
                </w:tcPr>
                <w:p>
                  <w:pPr>
                    <w:pStyle w:val="116"/>
                  </w:pPr>
                  <w:r>
                    <w:rPr>
                      <w:rFonts w:hint="eastAsia"/>
                    </w:rPr>
                    <w:t>1</w:t>
                  </w:r>
                </w:p>
              </w:tc>
              <w:tc>
                <w:tcPr>
                  <w:tcW w:w="2320" w:type="dxa"/>
                  <w:vAlign w:val="center"/>
                </w:tcPr>
                <w:p>
                  <w:pPr>
                    <w:pStyle w:val="116"/>
                  </w:pPr>
                  <w:r>
                    <w:rPr>
                      <w:rFonts w:hint="eastAsia"/>
                    </w:rPr>
                    <w:t>燃气锅炉烟气</w:t>
                  </w:r>
                </w:p>
              </w:tc>
              <w:tc>
                <w:tcPr>
                  <w:tcW w:w="3361" w:type="dxa"/>
                  <w:vAlign w:val="center"/>
                </w:tcPr>
                <w:p>
                  <w:pPr>
                    <w:pStyle w:val="116"/>
                  </w:pPr>
                  <w:r>
                    <w:rPr>
                      <w:rFonts w:hint="eastAsia"/>
                    </w:rPr>
                    <w:t>低氮燃烧+烟气再循环技术+</w:t>
                  </w:r>
                  <w:r>
                    <w:t>15</w:t>
                  </w:r>
                  <w:r>
                    <w:rPr>
                      <w:rFonts w:hint="eastAsia"/>
                    </w:rPr>
                    <w:t>m高排气筒</w:t>
                  </w:r>
                </w:p>
              </w:tc>
              <w:tc>
                <w:tcPr>
                  <w:tcW w:w="2605" w:type="dxa"/>
                  <w:vAlign w:val="center"/>
                </w:tcPr>
                <w:p>
                  <w:pPr>
                    <w:pStyle w:val="116"/>
                  </w:pPr>
                  <w:r>
                    <w:t>SO</w:t>
                  </w:r>
                  <w:r>
                    <w:rPr>
                      <w:vertAlign w:val="subscript"/>
                    </w:rPr>
                    <w:t>2</w:t>
                  </w:r>
                  <w:r>
                    <w:t>、烟粉尘</w:t>
                  </w:r>
                  <w:r>
                    <w:rPr>
                      <w:rFonts w:hint="eastAsia"/>
                    </w:rPr>
                    <w:t>执行</w:t>
                  </w:r>
                  <w:r>
                    <w:t>《锅炉大气污染物排放标准》（GB13271-2014）表</w:t>
                  </w:r>
                  <w:r>
                    <w:rPr>
                      <w:rFonts w:hint="eastAsia"/>
                    </w:rPr>
                    <w:t>3燃气锅炉特别排放限值要求，其中N</w:t>
                  </w:r>
                  <w:r>
                    <w:t>O</w:t>
                  </w:r>
                  <w:r>
                    <w:rPr>
                      <w:rFonts w:hint="eastAsia"/>
                    </w:rPr>
                    <w:t>x执行《</w:t>
                  </w:r>
                  <w:r>
                    <w:t>关于开展自治区 2022 年度夏秋季大气污染防治“冬病夏治”工作的通知</w:t>
                  </w:r>
                  <w:r>
                    <w:rPr>
                      <w:rFonts w:hint="eastAsia"/>
                    </w:rPr>
                    <w:t>》中要求限值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52" w:type="dxa"/>
                  <w:vAlign w:val="center"/>
                </w:tcPr>
                <w:p>
                  <w:pPr>
                    <w:pStyle w:val="116"/>
                  </w:pPr>
                  <w:r>
                    <w:t>2</w:t>
                  </w:r>
                </w:p>
              </w:tc>
              <w:tc>
                <w:tcPr>
                  <w:tcW w:w="2320" w:type="dxa"/>
                  <w:vAlign w:val="center"/>
                </w:tcPr>
                <w:p>
                  <w:pPr>
                    <w:pStyle w:val="116"/>
                  </w:pPr>
                  <w:r>
                    <w:rPr>
                      <w:rFonts w:hint="eastAsia"/>
                    </w:rPr>
                    <w:t>污水处理站</w:t>
                  </w:r>
                </w:p>
              </w:tc>
              <w:tc>
                <w:tcPr>
                  <w:tcW w:w="3361" w:type="dxa"/>
                  <w:vAlign w:val="center"/>
                </w:tcPr>
                <w:p>
                  <w:pPr>
                    <w:pStyle w:val="116"/>
                  </w:pPr>
                  <w:r>
                    <w:rPr>
                      <w:rFonts w:hint="eastAsia"/>
                    </w:rPr>
                    <w:t>污水处理站产生恶臭的区域加盖密封</w:t>
                  </w:r>
                </w:p>
              </w:tc>
              <w:tc>
                <w:tcPr>
                  <w:tcW w:w="2605" w:type="dxa"/>
                  <w:vAlign w:val="center"/>
                </w:tcPr>
                <w:p>
                  <w:pPr>
                    <w:pStyle w:val="116"/>
                  </w:pPr>
                  <w:r>
                    <w:rPr>
                      <w:rFonts w:hint="eastAsia"/>
                    </w:rPr>
                    <w:t>臭气浓度满足《恶臭污染物排放标准》（</w:t>
                  </w:r>
                  <w:r>
                    <w:t>GB14554-93）</w:t>
                  </w:r>
                  <w:r>
                    <w:rPr>
                      <w:rFonts w:hint="eastAsia"/>
                    </w:rPr>
                    <w:t>中表1二级标准限值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52" w:type="dxa"/>
                  <w:vAlign w:val="center"/>
                </w:tcPr>
                <w:p>
                  <w:pPr>
                    <w:pStyle w:val="116"/>
                    <w:rPr>
                      <w:b/>
                    </w:rPr>
                  </w:pPr>
                  <w:r>
                    <w:rPr>
                      <w:b/>
                    </w:rPr>
                    <w:t>二</w:t>
                  </w:r>
                </w:p>
              </w:tc>
              <w:tc>
                <w:tcPr>
                  <w:tcW w:w="8286" w:type="dxa"/>
                  <w:gridSpan w:val="3"/>
                  <w:vAlign w:val="center"/>
                </w:tcPr>
                <w:p>
                  <w:pPr>
                    <w:pStyle w:val="116"/>
                    <w:rPr>
                      <w:b/>
                    </w:rPr>
                  </w:pPr>
                  <w:r>
                    <w:rPr>
                      <w:b/>
                    </w:rPr>
                    <w:t>废水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52" w:type="dxa"/>
                  <w:vAlign w:val="center"/>
                </w:tcPr>
                <w:p>
                  <w:pPr>
                    <w:pStyle w:val="116"/>
                  </w:pPr>
                  <w:r>
                    <w:rPr>
                      <w:rFonts w:hint="eastAsia"/>
                    </w:rPr>
                    <w:t>1</w:t>
                  </w:r>
                </w:p>
              </w:tc>
              <w:tc>
                <w:tcPr>
                  <w:tcW w:w="2320" w:type="dxa"/>
                  <w:vAlign w:val="center"/>
                </w:tcPr>
                <w:p>
                  <w:pPr>
                    <w:pStyle w:val="116"/>
                  </w:pPr>
                  <w:r>
                    <w:rPr>
                      <w:rFonts w:hint="eastAsia"/>
                    </w:rPr>
                    <w:t>企业污水处理站</w:t>
                  </w:r>
                </w:p>
              </w:tc>
              <w:tc>
                <w:tcPr>
                  <w:tcW w:w="3361" w:type="dxa"/>
                  <w:vAlign w:val="center"/>
                </w:tcPr>
                <w:p>
                  <w:pPr>
                    <w:pStyle w:val="116"/>
                    <w:rPr>
                      <w:kern w:val="0"/>
                    </w:rPr>
                  </w:pPr>
                  <w:r>
                    <w:rPr>
                      <w:rFonts w:hint="eastAsia"/>
                      <w:kern w:val="0"/>
                    </w:rPr>
                    <w:t>经污水处理站处理后达标排至污水管网，最终进入呼图壁县丰泉污水处理厂处置</w:t>
                  </w:r>
                </w:p>
              </w:tc>
              <w:tc>
                <w:tcPr>
                  <w:tcW w:w="2605" w:type="dxa"/>
                  <w:vAlign w:val="center"/>
                </w:tcPr>
                <w:p>
                  <w:pPr>
                    <w:pStyle w:val="116"/>
                  </w:pPr>
                  <w:r>
                    <w:rPr>
                      <w:rFonts w:hint="eastAsia"/>
                    </w:rPr>
                    <w:t>出水水质满足《污水综合排放标准》（G</w:t>
                  </w:r>
                  <w:r>
                    <w:t>B8978-1996</w:t>
                  </w:r>
                  <w:r>
                    <w:rPr>
                      <w:rFonts w:hint="eastAsia"/>
                    </w:rPr>
                    <w:t>）中表4三级标准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652" w:type="dxa"/>
                  <w:vAlign w:val="center"/>
                </w:tcPr>
                <w:p>
                  <w:pPr>
                    <w:pStyle w:val="116"/>
                    <w:rPr>
                      <w:b/>
                    </w:rPr>
                  </w:pPr>
                  <w:r>
                    <w:rPr>
                      <w:b/>
                    </w:rPr>
                    <w:t>三</w:t>
                  </w:r>
                </w:p>
              </w:tc>
              <w:tc>
                <w:tcPr>
                  <w:tcW w:w="8286" w:type="dxa"/>
                  <w:gridSpan w:val="3"/>
                  <w:vAlign w:val="center"/>
                </w:tcPr>
                <w:p>
                  <w:pPr>
                    <w:pStyle w:val="116"/>
                    <w:rPr>
                      <w:b/>
                    </w:rPr>
                  </w:pPr>
                  <w:r>
                    <w:rPr>
                      <w:b/>
                    </w:rPr>
                    <w:t>噪声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52" w:type="dxa"/>
                  <w:vAlign w:val="center"/>
                </w:tcPr>
                <w:p>
                  <w:pPr>
                    <w:pStyle w:val="116"/>
                  </w:pPr>
                  <w:r>
                    <w:t>1</w:t>
                  </w:r>
                </w:p>
              </w:tc>
              <w:tc>
                <w:tcPr>
                  <w:tcW w:w="2320" w:type="dxa"/>
                  <w:vAlign w:val="center"/>
                </w:tcPr>
                <w:p>
                  <w:pPr>
                    <w:pStyle w:val="116"/>
                  </w:pPr>
                  <w:r>
                    <w:rPr>
                      <w:rFonts w:hint="eastAsia"/>
                    </w:rPr>
                    <w:t>水泵、风机等设备噪声</w:t>
                  </w:r>
                </w:p>
              </w:tc>
              <w:tc>
                <w:tcPr>
                  <w:tcW w:w="3361" w:type="dxa"/>
                  <w:vAlign w:val="center"/>
                </w:tcPr>
                <w:p>
                  <w:pPr>
                    <w:pStyle w:val="116"/>
                  </w:pPr>
                  <w:r>
                    <w:t>低噪声设备、基础减振、厂房隔音等措施</w:t>
                  </w:r>
                </w:p>
              </w:tc>
              <w:tc>
                <w:tcPr>
                  <w:tcW w:w="2605" w:type="dxa"/>
                  <w:vAlign w:val="center"/>
                </w:tcPr>
                <w:p>
                  <w:pPr>
                    <w:pStyle w:val="116"/>
                  </w:pPr>
                  <w:r>
                    <w:t>厂界噪声执行《工业企业厂界环境噪声排放标准》（GB12348-2008）2类标准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52" w:type="dxa"/>
                  <w:vAlign w:val="center"/>
                </w:tcPr>
                <w:p>
                  <w:pPr>
                    <w:pStyle w:val="116"/>
                    <w:rPr>
                      <w:bCs w:val="0"/>
                    </w:rPr>
                  </w:pPr>
                  <w:r>
                    <w:rPr>
                      <w:bCs w:val="0"/>
                    </w:rPr>
                    <w:t>四</w:t>
                  </w:r>
                </w:p>
              </w:tc>
              <w:tc>
                <w:tcPr>
                  <w:tcW w:w="8286" w:type="dxa"/>
                  <w:gridSpan w:val="3"/>
                  <w:vAlign w:val="center"/>
                </w:tcPr>
                <w:p>
                  <w:pPr>
                    <w:pStyle w:val="116"/>
                    <w:rPr>
                      <w:b/>
                    </w:rPr>
                  </w:pPr>
                  <w:r>
                    <w:rPr>
                      <w:b/>
                    </w:rPr>
                    <w:t>固体废物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52" w:type="dxa"/>
                  <w:vAlign w:val="center"/>
                </w:tcPr>
                <w:p>
                  <w:pPr>
                    <w:pStyle w:val="116"/>
                  </w:pPr>
                  <w:r>
                    <w:rPr>
                      <w:rFonts w:hint="eastAsia"/>
                    </w:rPr>
                    <w:t>1</w:t>
                  </w:r>
                </w:p>
              </w:tc>
              <w:tc>
                <w:tcPr>
                  <w:tcW w:w="2320" w:type="dxa"/>
                  <w:vAlign w:val="center"/>
                </w:tcPr>
                <w:p>
                  <w:pPr>
                    <w:snapToGrid w:val="0"/>
                    <w:jc w:val="center"/>
                    <w:rPr>
                      <w:spacing w:val="-6"/>
                      <w:szCs w:val="21"/>
                    </w:rPr>
                  </w:pPr>
                  <w:r>
                    <w:rPr>
                      <w:rFonts w:hint="eastAsia"/>
                      <w:bCs/>
                      <w:spacing w:val="-6"/>
                      <w:szCs w:val="21"/>
                    </w:rPr>
                    <w:t>废离子交换树脂</w:t>
                  </w:r>
                </w:p>
              </w:tc>
              <w:tc>
                <w:tcPr>
                  <w:tcW w:w="3361" w:type="dxa"/>
                  <w:vAlign w:val="center"/>
                </w:tcPr>
                <w:p>
                  <w:pPr>
                    <w:pStyle w:val="114"/>
                    <w:widowControl w:val="0"/>
                    <w:overflowPunct w:val="0"/>
                    <w:adjustRightInd w:val="0"/>
                    <w:spacing w:line="240" w:lineRule="auto"/>
                    <w:textAlignment w:val="baseline"/>
                    <w:rPr>
                      <w:spacing w:val="-6"/>
                      <w:lang w:eastAsia="zh-CN"/>
                    </w:rPr>
                  </w:pPr>
                  <w:r>
                    <w:rPr>
                      <w:rFonts w:hint="eastAsia"/>
                      <w:bCs/>
                      <w:spacing w:val="-6"/>
                      <w:lang w:eastAsia="zh-CN"/>
                    </w:rPr>
                    <w:t>由厂家更换后回收</w:t>
                  </w:r>
                </w:p>
              </w:tc>
              <w:tc>
                <w:tcPr>
                  <w:tcW w:w="2605" w:type="dxa"/>
                  <w:vMerge w:val="restart"/>
                  <w:vAlign w:val="center"/>
                </w:tcPr>
                <w:p>
                  <w:pPr>
                    <w:pStyle w:val="116"/>
                  </w:pPr>
                  <w:r>
                    <w:t>处置率100%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52" w:type="dxa"/>
                  <w:vAlign w:val="center"/>
                </w:tcPr>
                <w:p>
                  <w:pPr>
                    <w:pStyle w:val="116"/>
                  </w:pPr>
                  <w:r>
                    <w:rPr>
                      <w:rFonts w:hint="eastAsia"/>
                    </w:rPr>
                    <w:t>2</w:t>
                  </w:r>
                </w:p>
              </w:tc>
              <w:tc>
                <w:tcPr>
                  <w:tcW w:w="2320" w:type="dxa"/>
                  <w:vAlign w:val="center"/>
                </w:tcPr>
                <w:p>
                  <w:pPr>
                    <w:snapToGrid w:val="0"/>
                    <w:jc w:val="center"/>
                    <w:rPr>
                      <w:spacing w:val="-6"/>
                      <w:szCs w:val="21"/>
                    </w:rPr>
                  </w:pPr>
                  <w:r>
                    <w:rPr>
                      <w:rFonts w:hint="eastAsia"/>
                      <w:bCs/>
                      <w:spacing w:val="-6"/>
                      <w:szCs w:val="21"/>
                    </w:rPr>
                    <w:t>污水处理站污泥</w:t>
                  </w:r>
                </w:p>
              </w:tc>
              <w:tc>
                <w:tcPr>
                  <w:tcW w:w="3361" w:type="dxa"/>
                  <w:vAlign w:val="center"/>
                </w:tcPr>
                <w:p>
                  <w:pPr>
                    <w:pStyle w:val="114"/>
                    <w:widowControl w:val="0"/>
                    <w:overflowPunct w:val="0"/>
                    <w:adjustRightInd w:val="0"/>
                    <w:spacing w:line="240" w:lineRule="auto"/>
                    <w:textAlignment w:val="baseline"/>
                    <w:rPr>
                      <w:spacing w:val="-6"/>
                      <w:lang w:eastAsia="zh-CN"/>
                    </w:rPr>
                  </w:pPr>
                  <w:r>
                    <w:rPr>
                      <w:rFonts w:hint="eastAsia"/>
                      <w:bCs/>
                      <w:spacing w:val="-6"/>
                      <w:lang w:eastAsia="zh-CN"/>
                    </w:rPr>
                    <w:t>产生量较小，产生后拉运至呼图壁县生活垃圾填埋场处置，不在厂区内暂存</w:t>
                  </w:r>
                </w:p>
              </w:tc>
              <w:tc>
                <w:tcPr>
                  <w:tcW w:w="2605" w:type="dxa"/>
                  <w:vMerge w:val="continue"/>
                  <w:vAlign w:val="center"/>
                </w:tcPr>
                <w:p>
                  <w:pPr>
                    <w:pStyle w:val="116"/>
                  </w:pPr>
                </w:p>
              </w:tc>
            </w:tr>
            <w:bookmarkEnd w:id="34"/>
          </w:tbl>
          <w:p>
            <w:pPr>
              <w:pStyle w:val="77"/>
              <w:spacing w:line="460" w:lineRule="exact"/>
              <w:ind w:firstLine="480"/>
            </w:pPr>
          </w:p>
        </w:tc>
      </w:tr>
    </w:tbl>
    <w:p>
      <w:pPr>
        <w:pStyle w:val="40"/>
        <w:jc w:val="center"/>
        <w:outlineLvl w:val="0"/>
        <w:rPr>
          <w:rFonts w:ascii="Times New Roman" w:hAnsi="Times New Roman" w:eastAsia="黑体"/>
          <w:snapToGrid w:val="0"/>
          <w:sz w:val="30"/>
          <w:szCs w:val="30"/>
        </w:rPr>
        <w:sectPr>
          <w:pgSz w:w="11906" w:h="16838"/>
          <w:pgMar w:top="1701" w:right="1531" w:bottom="1701" w:left="1531" w:header="851" w:footer="851" w:gutter="0"/>
          <w:cols w:space="720" w:num="1"/>
          <w:docGrid w:linePitch="312" w:charSpace="0"/>
        </w:sectPr>
      </w:pPr>
    </w:p>
    <w:p>
      <w:pPr>
        <w:pStyle w:val="4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五、</w:t>
      </w:r>
      <w:bookmarkStart w:id="35" w:name="_Hlk54167917"/>
      <w:r>
        <w:rPr>
          <w:rFonts w:ascii="Times New Roman" w:hAnsi="Times New Roman" w:eastAsia="黑体"/>
          <w:snapToGrid w:val="0"/>
          <w:sz w:val="30"/>
          <w:szCs w:val="30"/>
        </w:rPr>
        <w:t>环境保护措施监督检查清单</w:t>
      </w:r>
      <w:bookmarkEnd w:id="35"/>
    </w:p>
    <w:tbl>
      <w:tblPr>
        <w:tblStyle w:val="46"/>
        <w:tblW w:w="88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559"/>
        <w:gridCol w:w="1429"/>
        <w:gridCol w:w="1843"/>
        <w:gridCol w:w="29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tcBorders>
              <w:tl2br w:val="single" w:color="auto" w:sz="4" w:space="0"/>
            </w:tcBorders>
          </w:tcPr>
          <w:p>
            <w:pPr>
              <w:adjustRightInd w:val="0"/>
              <w:snapToGrid w:val="0"/>
              <w:rPr>
                <w:szCs w:val="21"/>
              </w:rPr>
            </w:pPr>
            <w:r>
              <w:rPr>
                <w:szCs w:val="21"/>
              </w:rPr>
              <w:t xml:space="preserve">  内容</w:t>
            </w:r>
          </w:p>
          <w:p>
            <w:pPr>
              <w:adjustRightInd w:val="0"/>
              <w:snapToGrid w:val="0"/>
              <w:rPr>
                <w:szCs w:val="21"/>
              </w:rPr>
            </w:pPr>
            <w:r>
              <w:rPr>
                <w:szCs w:val="21"/>
              </w:rPr>
              <w:t>要素</w:t>
            </w:r>
          </w:p>
        </w:tc>
        <w:tc>
          <w:tcPr>
            <w:tcW w:w="1559" w:type="dxa"/>
            <w:vAlign w:val="center"/>
          </w:tcPr>
          <w:p>
            <w:pPr>
              <w:adjustRightInd w:val="0"/>
              <w:snapToGrid w:val="0"/>
              <w:jc w:val="center"/>
              <w:rPr>
                <w:szCs w:val="21"/>
              </w:rPr>
            </w:pPr>
            <w:r>
              <w:rPr>
                <w:szCs w:val="21"/>
              </w:rPr>
              <w:t>排放口(编号、</w:t>
            </w:r>
          </w:p>
          <w:p>
            <w:pPr>
              <w:adjustRightInd w:val="0"/>
              <w:snapToGrid w:val="0"/>
              <w:jc w:val="center"/>
              <w:rPr>
                <w:szCs w:val="21"/>
              </w:rPr>
            </w:pPr>
            <w:r>
              <w:rPr>
                <w:szCs w:val="21"/>
              </w:rPr>
              <w:t>名称)/污染源</w:t>
            </w:r>
          </w:p>
        </w:tc>
        <w:tc>
          <w:tcPr>
            <w:tcW w:w="1429" w:type="dxa"/>
            <w:vAlign w:val="center"/>
          </w:tcPr>
          <w:p>
            <w:pPr>
              <w:adjustRightInd w:val="0"/>
              <w:snapToGrid w:val="0"/>
              <w:jc w:val="center"/>
              <w:rPr>
                <w:szCs w:val="21"/>
              </w:rPr>
            </w:pPr>
            <w:r>
              <w:rPr>
                <w:szCs w:val="21"/>
              </w:rPr>
              <w:t>污染物项目</w:t>
            </w:r>
          </w:p>
        </w:tc>
        <w:tc>
          <w:tcPr>
            <w:tcW w:w="1843" w:type="dxa"/>
            <w:vAlign w:val="center"/>
          </w:tcPr>
          <w:p>
            <w:pPr>
              <w:adjustRightInd w:val="0"/>
              <w:snapToGrid w:val="0"/>
              <w:jc w:val="center"/>
              <w:rPr>
                <w:szCs w:val="21"/>
              </w:rPr>
            </w:pPr>
            <w:r>
              <w:rPr>
                <w:szCs w:val="21"/>
              </w:rPr>
              <w:t>环境保护措施</w:t>
            </w:r>
          </w:p>
        </w:tc>
        <w:tc>
          <w:tcPr>
            <w:tcW w:w="2998" w:type="dxa"/>
            <w:vAlign w:val="center"/>
          </w:tcPr>
          <w:p>
            <w:pPr>
              <w:adjustRightInd w:val="0"/>
              <w:snapToGrid w:val="0"/>
              <w:jc w:val="center"/>
              <w:rPr>
                <w:szCs w:val="21"/>
              </w:rPr>
            </w:pPr>
            <w:r>
              <w:rPr>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71" w:type="dxa"/>
            <w:vMerge w:val="restart"/>
            <w:vAlign w:val="center"/>
          </w:tcPr>
          <w:p>
            <w:pPr>
              <w:adjustRightInd w:val="0"/>
              <w:snapToGrid w:val="0"/>
              <w:jc w:val="center"/>
              <w:rPr>
                <w:szCs w:val="21"/>
              </w:rPr>
            </w:pPr>
            <w:r>
              <w:rPr>
                <w:rFonts w:hint="eastAsia"/>
                <w:szCs w:val="21"/>
              </w:rPr>
              <w:t>大气环境</w:t>
            </w:r>
          </w:p>
        </w:tc>
        <w:tc>
          <w:tcPr>
            <w:tcW w:w="1559" w:type="dxa"/>
            <w:vAlign w:val="center"/>
          </w:tcPr>
          <w:p>
            <w:pPr>
              <w:adjustRightInd w:val="0"/>
              <w:snapToGrid w:val="0"/>
              <w:jc w:val="center"/>
              <w:rPr>
                <w:szCs w:val="21"/>
              </w:rPr>
            </w:pPr>
            <w:r>
              <w:rPr>
                <w:rFonts w:hint="eastAsia"/>
                <w:szCs w:val="21"/>
              </w:rPr>
              <w:t>锅炉烟囱D</w:t>
            </w:r>
            <w:r>
              <w:rPr>
                <w:szCs w:val="21"/>
              </w:rPr>
              <w:t>A002</w:t>
            </w:r>
          </w:p>
        </w:tc>
        <w:tc>
          <w:tcPr>
            <w:tcW w:w="1429" w:type="dxa"/>
            <w:vAlign w:val="center"/>
          </w:tcPr>
          <w:p>
            <w:pPr>
              <w:jc w:val="center"/>
            </w:pPr>
            <w:r>
              <w:t>SO</w:t>
            </w:r>
            <w:r>
              <w:rPr>
                <w:vertAlign w:val="subscript"/>
              </w:rPr>
              <w:t>2</w:t>
            </w:r>
            <w:r>
              <w:t>、NOx、烟粉尘</w:t>
            </w:r>
          </w:p>
        </w:tc>
        <w:tc>
          <w:tcPr>
            <w:tcW w:w="1843" w:type="dxa"/>
            <w:vAlign w:val="center"/>
          </w:tcPr>
          <w:p>
            <w:pPr>
              <w:jc w:val="center"/>
              <w:rPr>
                <w:kern w:val="0"/>
                <w:szCs w:val="21"/>
              </w:rPr>
            </w:pPr>
            <w:r>
              <w:rPr>
                <w:rFonts w:hint="eastAsia"/>
                <w:kern w:val="0"/>
                <w:szCs w:val="21"/>
              </w:rPr>
              <w:t>低氮燃烧+烟气再循环技术+</w:t>
            </w:r>
            <w:r>
              <w:rPr>
                <w:kern w:val="0"/>
                <w:szCs w:val="21"/>
              </w:rPr>
              <w:t>15</w:t>
            </w:r>
            <w:r>
              <w:rPr>
                <w:rFonts w:hint="eastAsia"/>
                <w:kern w:val="0"/>
                <w:szCs w:val="21"/>
              </w:rPr>
              <w:t>m高排气筒</w:t>
            </w:r>
          </w:p>
        </w:tc>
        <w:tc>
          <w:tcPr>
            <w:tcW w:w="2998" w:type="dxa"/>
            <w:vAlign w:val="center"/>
          </w:tcPr>
          <w:p>
            <w:pPr>
              <w:jc w:val="center"/>
              <w:rPr>
                <w:bCs/>
                <w:szCs w:val="21"/>
              </w:rPr>
            </w:pPr>
            <w:r>
              <w:t>SO</w:t>
            </w:r>
            <w:r>
              <w:rPr>
                <w:vertAlign w:val="subscript"/>
              </w:rPr>
              <w:t>2</w:t>
            </w:r>
            <w:r>
              <w:t>、烟粉尘</w:t>
            </w:r>
            <w:r>
              <w:rPr>
                <w:rFonts w:hint="eastAsia"/>
                <w:bCs/>
                <w:szCs w:val="21"/>
              </w:rPr>
              <w:t>执行</w:t>
            </w:r>
            <w:r>
              <w:rPr>
                <w:bCs/>
                <w:szCs w:val="21"/>
              </w:rPr>
              <w:t>《锅炉大气污染物排放标准》（GB13271-2014）表</w:t>
            </w:r>
            <w:r>
              <w:rPr>
                <w:rFonts w:hint="eastAsia"/>
                <w:bCs/>
                <w:szCs w:val="21"/>
              </w:rPr>
              <w:t>3燃气锅炉特别排放限值要求，其中N</w:t>
            </w:r>
            <w:r>
              <w:rPr>
                <w:bCs/>
                <w:szCs w:val="21"/>
              </w:rPr>
              <w:t>O</w:t>
            </w:r>
            <w:r>
              <w:rPr>
                <w:rFonts w:hint="eastAsia"/>
                <w:bCs/>
                <w:szCs w:val="21"/>
              </w:rPr>
              <w:t>x执行《</w:t>
            </w:r>
            <w:r>
              <w:rPr>
                <w:bCs/>
                <w:szCs w:val="21"/>
              </w:rPr>
              <w:t>关于开展自治区 2022 年度夏秋季大气污染防治“冬病夏治”工作的通知</w:t>
            </w:r>
            <w:r>
              <w:rPr>
                <w:rFonts w:hint="eastAsia"/>
                <w:bCs/>
                <w:szCs w:val="21"/>
              </w:rPr>
              <w:t>》中要求限值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971" w:type="dxa"/>
            <w:vMerge w:val="continue"/>
            <w:vAlign w:val="center"/>
          </w:tcPr>
          <w:p>
            <w:pPr>
              <w:adjustRightInd w:val="0"/>
              <w:snapToGrid w:val="0"/>
              <w:jc w:val="center"/>
              <w:rPr>
                <w:szCs w:val="21"/>
              </w:rPr>
            </w:pPr>
          </w:p>
        </w:tc>
        <w:tc>
          <w:tcPr>
            <w:tcW w:w="1559" w:type="dxa"/>
            <w:vAlign w:val="center"/>
          </w:tcPr>
          <w:p>
            <w:pPr>
              <w:adjustRightInd w:val="0"/>
              <w:snapToGrid w:val="0"/>
              <w:jc w:val="center"/>
              <w:rPr>
                <w:szCs w:val="21"/>
              </w:rPr>
            </w:pPr>
            <w:r>
              <w:rPr>
                <w:rFonts w:hint="eastAsia"/>
                <w:szCs w:val="21"/>
              </w:rPr>
              <w:t>厂界</w:t>
            </w:r>
          </w:p>
        </w:tc>
        <w:tc>
          <w:tcPr>
            <w:tcW w:w="1429" w:type="dxa"/>
            <w:vAlign w:val="center"/>
          </w:tcPr>
          <w:p>
            <w:pPr>
              <w:jc w:val="center"/>
            </w:pPr>
            <w:r>
              <w:rPr>
                <w:rFonts w:hint="eastAsia"/>
              </w:rPr>
              <w:t>臭气浓度</w:t>
            </w:r>
          </w:p>
        </w:tc>
        <w:tc>
          <w:tcPr>
            <w:tcW w:w="1843" w:type="dxa"/>
            <w:vAlign w:val="center"/>
          </w:tcPr>
          <w:p>
            <w:pPr>
              <w:jc w:val="center"/>
              <w:rPr>
                <w:kern w:val="0"/>
                <w:szCs w:val="21"/>
              </w:rPr>
            </w:pPr>
            <w:r>
              <w:rPr>
                <w:rFonts w:hint="eastAsia"/>
                <w:kern w:val="0"/>
                <w:szCs w:val="21"/>
              </w:rPr>
              <w:t>污水处理站产生恶臭的区域加盖密封</w:t>
            </w:r>
          </w:p>
        </w:tc>
        <w:tc>
          <w:tcPr>
            <w:tcW w:w="2998" w:type="dxa"/>
            <w:vAlign w:val="center"/>
          </w:tcPr>
          <w:p>
            <w:pPr>
              <w:jc w:val="center"/>
            </w:pPr>
            <w:r>
              <w:rPr>
                <w:rFonts w:hint="eastAsia"/>
              </w:rPr>
              <w:t>《恶臭污染物排放标准》（</w:t>
            </w:r>
            <w:r>
              <w:t>GB14554-93）</w:t>
            </w:r>
            <w:r>
              <w:rPr>
                <w:rFonts w:hint="eastAsia"/>
              </w:rPr>
              <w:t>中表1二级标准限值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971" w:type="dxa"/>
            <w:vAlign w:val="center"/>
          </w:tcPr>
          <w:p>
            <w:pPr>
              <w:adjustRightInd w:val="0"/>
              <w:snapToGrid w:val="0"/>
              <w:jc w:val="center"/>
              <w:rPr>
                <w:szCs w:val="21"/>
              </w:rPr>
            </w:pPr>
            <w:r>
              <w:rPr>
                <w:szCs w:val="21"/>
              </w:rPr>
              <w:t>地表水环境</w:t>
            </w:r>
          </w:p>
        </w:tc>
        <w:tc>
          <w:tcPr>
            <w:tcW w:w="1559" w:type="dxa"/>
            <w:vAlign w:val="center"/>
          </w:tcPr>
          <w:p>
            <w:pPr>
              <w:pStyle w:val="116"/>
            </w:pPr>
            <w:r>
              <w:rPr>
                <w:rFonts w:hint="eastAsia"/>
              </w:rPr>
              <w:t>污水处理站排口</w:t>
            </w:r>
          </w:p>
        </w:tc>
        <w:tc>
          <w:tcPr>
            <w:tcW w:w="1429" w:type="dxa"/>
            <w:vAlign w:val="center"/>
          </w:tcPr>
          <w:p>
            <w:pPr>
              <w:rPr>
                <w:kern w:val="0"/>
                <w:szCs w:val="21"/>
              </w:rPr>
            </w:pPr>
            <w:r>
              <w:rPr>
                <w:rFonts w:hint="eastAsia"/>
                <w:kern w:val="0"/>
                <w:szCs w:val="21"/>
              </w:rPr>
              <w:t>pH、COD、BOD</w:t>
            </w:r>
            <w:r>
              <w:rPr>
                <w:rFonts w:hint="eastAsia"/>
                <w:kern w:val="0"/>
                <w:szCs w:val="21"/>
                <w:vertAlign w:val="subscript"/>
              </w:rPr>
              <w:t>5</w:t>
            </w:r>
            <w:r>
              <w:rPr>
                <w:rFonts w:hint="eastAsia"/>
                <w:kern w:val="0"/>
                <w:szCs w:val="21"/>
              </w:rPr>
              <w:t>、S</w:t>
            </w:r>
            <w:r>
              <w:rPr>
                <w:kern w:val="0"/>
                <w:szCs w:val="21"/>
              </w:rPr>
              <w:t>S</w:t>
            </w:r>
            <w:r>
              <w:rPr>
                <w:rFonts w:hint="eastAsia"/>
                <w:kern w:val="0"/>
                <w:szCs w:val="21"/>
              </w:rPr>
              <w:t>、氨氮、磷酸盐、动植物油</w:t>
            </w:r>
          </w:p>
        </w:tc>
        <w:tc>
          <w:tcPr>
            <w:tcW w:w="1843" w:type="dxa"/>
            <w:vAlign w:val="center"/>
          </w:tcPr>
          <w:p>
            <w:pPr>
              <w:jc w:val="center"/>
              <w:rPr>
                <w:bCs/>
                <w:szCs w:val="21"/>
              </w:rPr>
            </w:pPr>
            <w:r>
              <w:rPr>
                <w:rFonts w:hint="eastAsia"/>
                <w:bCs/>
                <w:szCs w:val="21"/>
              </w:rPr>
              <w:t>经污水处理站处理后达标排至污水管网，最终进入呼图壁县丰泉污水处理厂处置</w:t>
            </w:r>
          </w:p>
        </w:tc>
        <w:tc>
          <w:tcPr>
            <w:tcW w:w="2998" w:type="dxa"/>
            <w:vAlign w:val="center"/>
          </w:tcPr>
          <w:p>
            <w:pPr>
              <w:jc w:val="center"/>
              <w:rPr>
                <w:bCs/>
                <w:szCs w:val="21"/>
              </w:rPr>
            </w:pPr>
            <w:r>
              <w:rPr>
                <w:rFonts w:hint="eastAsia"/>
                <w:bCs/>
                <w:szCs w:val="21"/>
              </w:rPr>
              <w:t>《污水综合排放标准》（G</w:t>
            </w:r>
            <w:r>
              <w:rPr>
                <w:bCs/>
                <w:szCs w:val="21"/>
              </w:rPr>
              <w:t>B8978-1996</w:t>
            </w:r>
            <w:r>
              <w:rPr>
                <w:rFonts w:hint="eastAsia"/>
                <w:bCs/>
                <w:szCs w:val="21"/>
              </w:rPr>
              <w:t>）中表4三级标准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Align w:val="center"/>
          </w:tcPr>
          <w:p>
            <w:pPr>
              <w:adjustRightInd w:val="0"/>
              <w:snapToGrid w:val="0"/>
              <w:jc w:val="center"/>
              <w:rPr>
                <w:szCs w:val="21"/>
              </w:rPr>
            </w:pPr>
            <w:r>
              <w:rPr>
                <w:szCs w:val="21"/>
              </w:rPr>
              <w:t>声环境</w:t>
            </w:r>
          </w:p>
        </w:tc>
        <w:tc>
          <w:tcPr>
            <w:tcW w:w="1559" w:type="dxa"/>
            <w:vAlign w:val="center"/>
          </w:tcPr>
          <w:p>
            <w:pPr>
              <w:adjustRightInd w:val="0"/>
              <w:snapToGrid w:val="0"/>
              <w:jc w:val="center"/>
              <w:rPr>
                <w:szCs w:val="21"/>
              </w:rPr>
            </w:pPr>
            <w:r>
              <w:rPr>
                <w:rFonts w:hint="eastAsia"/>
                <w:szCs w:val="21"/>
              </w:rPr>
              <w:t>水泵、风机等设备</w:t>
            </w:r>
          </w:p>
        </w:tc>
        <w:tc>
          <w:tcPr>
            <w:tcW w:w="1429" w:type="dxa"/>
            <w:vAlign w:val="center"/>
          </w:tcPr>
          <w:p>
            <w:pPr>
              <w:adjustRightInd w:val="0"/>
              <w:snapToGrid w:val="0"/>
              <w:jc w:val="center"/>
              <w:rPr>
                <w:szCs w:val="21"/>
              </w:rPr>
            </w:pPr>
            <w:r>
              <w:rPr>
                <w:szCs w:val="21"/>
              </w:rPr>
              <w:t>等效A声级</w:t>
            </w:r>
          </w:p>
        </w:tc>
        <w:tc>
          <w:tcPr>
            <w:tcW w:w="1843" w:type="dxa"/>
            <w:vAlign w:val="center"/>
          </w:tcPr>
          <w:p>
            <w:pPr>
              <w:adjustRightInd w:val="0"/>
              <w:snapToGrid w:val="0"/>
              <w:jc w:val="center"/>
              <w:rPr>
                <w:szCs w:val="21"/>
              </w:rPr>
            </w:pPr>
            <w:r>
              <w:rPr>
                <w:szCs w:val="21"/>
              </w:rPr>
              <w:t>选用低噪声设备，基础减振、采取厂房隔音</w:t>
            </w:r>
          </w:p>
        </w:tc>
        <w:tc>
          <w:tcPr>
            <w:tcW w:w="2998" w:type="dxa"/>
            <w:vAlign w:val="center"/>
          </w:tcPr>
          <w:p>
            <w:pPr>
              <w:adjustRightInd w:val="0"/>
              <w:snapToGrid w:val="0"/>
              <w:jc w:val="center"/>
              <w:rPr>
                <w:szCs w:val="21"/>
              </w:rPr>
            </w:pPr>
            <w:r>
              <w:rPr>
                <w:szCs w:val="21"/>
              </w:rPr>
              <w:t>厂界噪声满足《工业企业厂界环境噪声排放标准》（GB12348-2008）2类标准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71" w:type="dxa"/>
            <w:vAlign w:val="center"/>
          </w:tcPr>
          <w:p>
            <w:pPr>
              <w:adjustRightInd w:val="0"/>
              <w:snapToGrid w:val="0"/>
              <w:jc w:val="center"/>
              <w:rPr>
                <w:szCs w:val="21"/>
              </w:rPr>
            </w:pPr>
            <w:r>
              <w:rPr>
                <w:szCs w:val="21"/>
              </w:rPr>
              <w:t>电磁辐射</w:t>
            </w:r>
          </w:p>
        </w:tc>
        <w:tc>
          <w:tcPr>
            <w:tcW w:w="1559" w:type="dxa"/>
            <w:vAlign w:val="center"/>
          </w:tcPr>
          <w:p>
            <w:pPr>
              <w:adjustRightInd w:val="0"/>
              <w:snapToGrid w:val="0"/>
              <w:jc w:val="center"/>
              <w:rPr>
                <w:szCs w:val="21"/>
              </w:rPr>
            </w:pPr>
            <w:r>
              <w:rPr>
                <w:szCs w:val="21"/>
              </w:rPr>
              <w:t>/</w:t>
            </w:r>
          </w:p>
        </w:tc>
        <w:tc>
          <w:tcPr>
            <w:tcW w:w="1429" w:type="dxa"/>
            <w:vAlign w:val="center"/>
          </w:tcPr>
          <w:p>
            <w:pPr>
              <w:adjustRightInd w:val="0"/>
              <w:snapToGrid w:val="0"/>
              <w:jc w:val="center"/>
              <w:rPr>
                <w:szCs w:val="21"/>
              </w:rPr>
            </w:pPr>
            <w:r>
              <w:rPr>
                <w:szCs w:val="21"/>
              </w:rPr>
              <w:t>/</w:t>
            </w:r>
          </w:p>
        </w:tc>
        <w:tc>
          <w:tcPr>
            <w:tcW w:w="1843" w:type="dxa"/>
            <w:vAlign w:val="center"/>
          </w:tcPr>
          <w:p>
            <w:pPr>
              <w:adjustRightInd w:val="0"/>
              <w:snapToGrid w:val="0"/>
              <w:jc w:val="center"/>
              <w:rPr>
                <w:szCs w:val="21"/>
              </w:rPr>
            </w:pPr>
            <w:r>
              <w:rPr>
                <w:szCs w:val="21"/>
              </w:rPr>
              <w:t>/</w:t>
            </w:r>
          </w:p>
        </w:tc>
        <w:tc>
          <w:tcPr>
            <w:tcW w:w="2998" w:type="dxa"/>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971" w:type="dxa"/>
            <w:vAlign w:val="center"/>
          </w:tcPr>
          <w:p>
            <w:pPr>
              <w:adjustRightInd w:val="0"/>
              <w:snapToGrid w:val="0"/>
              <w:jc w:val="center"/>
              <w:rPr>
                <w:szCs w:val="21"/>
              </w:rPr>
            </w:pPr>
            <w:r>
              <w:rPr>
                <w:szCs w:val="21"/>
              </w:rPr>
              <w:t>固体废物</w:t>
            </w:r>
          </w:p>
        </w:tc>
        <w:tc>
          <w:tcPr>
            <w:tcW w:w="7829" w:type="dxa"/>
            <w:gridSpan w:val="4"/>
            <w:vAlign w:val="center"/>
          </w:tcPr>
          <w:p>
            <w:pPr>
              <w:adjustRightInd w:val="0"/>
              <w:snapToGrid w:val="0"/>
              <w:jc w:val="center"/>
              <w:rPr>
                <w:szCs w:val="21"/>
              </w:rPr>
            </w:pPr>
            <w:r>
              <w:rPr>
                <w:rFonts w:hint="eastAsia"/>
                <w:bCs/>
                <w:szCs w:val="21"/>
              </w:rPr>
              <w:t>废离子交换树脂由厂家更换后回收，污水处理站污泥产生量较小，产生后当天拉运至呼图壁县生活垃圾填埋场处置，不在厂区内暂存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971" w:type="dxa"/>
            <w:vAlign w:val="center"/>
          </w:tcPr>
          <w:p>
            <w:pPr>
              <w:adjustRightInd w:val="0"/>
              <w:snapToGrid w:val="0"/>
              <w:jc w:val="center"/>
              <w:rPr>
                <w:szCs w:val="21"/>
              </w:rPr>
            </w:pPr>
            <w:r>
              <w:rPr>
                <w:szCs w:val="21"/>
              </w:rPr>
              <w:t>土壤及地下水</w:t>
            </w:r>
          </w:p>
          <w:p>
            <w:pPr>
              <w:adjustRightInd w:val="0"/>
              <w:snapToGrid w:val="0"/>
              <w:jc w:val="center"/>
              <w:rPr>
                <w:szCs w:val="21"/>
              </w:rPr>
            </w:pPr>
            <w:r>
              <w:rPr>
                <w:szCs w:val="21"/>
              </w:rPr>
              <w:t>污染防治措施</w:t>
            </w:r>
          </w:p>
        </w:tc>
        <w:tc>
          <w:tcPr>
            <w:tcW w:w="7829" w:type="dxa"/>
            <w:gridSpan w:val="4"/>
            <w:vAlign w:val="center"/>
          </w:tcPr>
          <w:p>
            <w:pPr>
              <w:adjustRightInd w:val="0"/>
              <w:snapToGrid w:val="0"/>
              <w:jc w:val="center"/>
              <w:rPr>
                <w:color w:val="FF0000"/>
                <w:szCs w:val="21"/>
              </w:rPr>
            </w:pPr>
            <w:r>
              <w:rPr>
                <w:rFonts w:hint="eastAsia"/>
                <w:color w:val="FF0000"/>
                <w:szCs w:val="21"/>
              </w:rPr>
              <w:t>根据现场勘查以及查阅资料，污水处理站以及锅炉房均已按照《环境影响评价技术导则 地下水环境》（HJ 610-2016）中相关要求做好防渗措施，不会对区域地下水及土壤环境造成影响。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71" w:type="dxa"/>
            <w:vAlign w:val="center"/>
          </w:tcPr>
          <w:p>
            <w:pPr>
              <w:adjustRightInd w:val="0"/>
              <w:snapToGrid w:val="0"/>
              <w:jc w:val="center"/>
              <w:rPr>
                <w:szCs w:val="21"/>
              </w:rPr>
            </w:pPr>
            <w:r>
              <w:rPr>
                <w:szCs w:val="21"/>
              </w:rPr>
              <w:t>生态保护措施</w:t>
            </w:r>
          </w:p>
        </w:tc>
        <w:tc>
          <w:tcPr>
            <w:tcW w:w="7829" w:type="dxa"/>
            <w:gridSpan w:val="4"/>
            <w:vAlign w:val="center"/>
          </w:tcPr>
          <w:p>
            <w:pPr>
              <w:adjustRightInd w:val="0"/>
              <w:snapToGrid w:val="0"/>
              <w:jc w:val="center"/>
              <w:rPr>
                <w:szCs w:val="21"/>
              </w:rPr>
            </w:pPr>
            <w:r>
              <w:rPr>
                <w:rFonts w:hint="eastAsia"/>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971" w:type="dxa"/>
            <w:vAlign w:val="center"/>
          </w:tcPr>
          <w:p>
            <w:pPr>
              <w:adjustRightInd w:val="0"/>
              <w:snapToGrid w:val="0"/>
              <w:jc w:val="center"/>
              <w:rPr>
                <w:spacing w:val="-8"/>
                <w:szCs w:val="21"/>
              </w:rPr>
            </w:pPr>
            <w:r>
              <w:rPr>
                <w:spacing w:val="-8"/>
                <w:szCs w:val="21"/>
              </w:rPr>
              <w:t>环境风险防范措施</w:t>
            </w:r>
          </w:p>
        </w:tc>
        <w:tc>
          <w:tcPr>
            <w:tcW w:w="7829" w:type="dxa"/>
            <w:gridSpan w:val="4"/>
            <w:vAlign w:val="center"/>
          </w:tcPr>
          <w:p>
            <w:pPr>
              <w:adjustRightInd w:val="0"/>
              <w:snapToGrid w:val="0"/>
              <w:rPr>
                <w:bCs/>
              </w:rPr>
            </w:pPr>
            <w:r>
              <w:rPr>
                <w:rFonts w:hint="eastAsia"/>
                <w:bCs/>
              </w:rPr>
              <w:t>建设单位应加强管理，完善消防设施：发生火灾时，确定起火部位，立即切断电源、气源，充分利用既有消防设施进行灭火；在保证自身安全的前提下，可接近着火点灭火；定期维护设备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971" w:type="dxa"/>
            <w:vAlign w:val="center"/>
          </w:tcPr>
          <w:p>
            <w:pPr>
              <w:adjustRightInd w:val="0"/>
              <w:snapToGrid w:val="0"/>
              <w:jc w:val="center"/>
              <w:rPr>
                <w:spacing w:val="-8"/>
                <w:szCs w:val="21"/>
              </w:rPr>
            </w:pPr>
            <w:r>
              <w:rPr>
                <w:spacing w:val="-8"/>
                <w:szCs w:val="21"/>
              </w:rPr>
              <w:t>其他环境管理要求</w:t>
            </w:r>
          </w:p>
        </w:tc>
        <w:tc>
          <w:tcPr>
            <w:tcW w:w="7829" w:type="dxa"/>
            <w:gridSpan w:val="4"/>
            <w:vAlign w:val="center"/>
          </w:tcPr>
          <w:p>
            <w:pPr>
              <w:adjustRightInd w:val="0"/>
              <w:snapToGrid w:val="0"/>
              <w:jc w:val="left"/>
            </w:pPr>
            <w:r>
              <w:rPr>
                <w:rFonts w:hint="eastAsia"/>
              </w:rPr>
              <w:t>严格落实报告表中的其他环境管理要求。</w:t>
            </w:r>
          </w:p>
        </w:tc>
      </w:tr>
    </w:tbl>
    <w:p>
      <w:pPr>
        <w:pStyle w:val="40"/>
        <w:jc w:val="center"/>
        <w:outlineLvl w:val="0"/>
        <w:rPr>
          <w:rFonts w:ascii="Times New Roman" w:hAnsi="Times New Roman" w:eastAsia="黑体"/>
          <w:snapToGrid w:val="0"/>
          <w:sz w:val="30"/>
          <w:szCs w:val="30"/>
        </w:rPr>
      </w:pPr>
      <w:r>
        <w:rPr>
          <w:rFonts w:ascii="Times New Roman" w:hAnsi="Times New Roman"/>
          <w:snapToGrid w:val="0"/>
        </w:rPr>
        <w:br w:type="page"/>
      </w:r>
      <w:r>
        <w:rPr>
          <w:rFonts w:ascii="Times New Roman" w:hAnsi="Times New Roman" w:eastAsia="黑体"/>
          <w:snapToGrid w:val="0"/>
          <w:sz w:val="30"/>
          <w:szCs w:val="30"/>
        </w:rPr>
        <w:t>六、结论</w:t>
      </w:r>
    </w:p>
    <w:tbl>
      <w:tblPr>
        <w:tblStyle w:val="46"/>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tcPr>
          <w:p>
            <w:pPr>
              <w:adjustRightInd w:val="0"/>
              <w:snapToGrid w:val="0"/>
              <w:spacing w:line="480" w:lineRule="exact"/>
              <w:ind w:firstLine="480" w:firstLineChars="200"/>
              <w:rPr>
                <w:snapToGrid w:val="0"/>
                <w:sz w:val="24"/>
              </w:rPr>
            </w:pPr>
            <w:r>
              <w:rPr>
                <w:snapToGrid w:val="0"/>
                <w:sz w:val="24"/>
              </w:rPr>
              <w:t>综上所述，本项目符合国家相关产业政策。项目在运营以后将产生一定程度的环境影响，在企业认真执行环保</w:t>
            </w:r>
            <w:r>
              <w:rPr>
                <w:rFonts w:ascii="宋体" w:hAnsi="宋体"/>
                <w:snapToGrid w:val="0"/>
                <w:sz w:val="24"/>
              </w:rPr>
              <w:t>“三同时”</w:t>
            </w:r>
            <w:r>
              <w:rPr>
                <w:snapToGrid w:val="0"/>
                <w:sz w:val="24"/>
              </w:rPr>
              <w:t>并严格采取本评价提出的措施及满足地专管部门的环保要求以后，项目对周围环境的影响可以控制在国家有关标准和要求的允许范围以内。综合考虑项目运营从环保角度分析可行。</w:t>
            </w:r>
          </w:p>
        </w:tc>
      </w:tr>
    </w:tbl>
    <w:p>
      <w:pPr>
        <w:tabs>
          <w:tab w:val="left" w:pos="519"/>
        </w:tabs>
      </w:pPr>
    </w:p>
    <w:p>
      <w:pPr>
        <w:tabs>
          <w:tab w:val="left" w:pos="519"/>
        </w:tabs>
        <w:sectPr>
          <w:pgSz w:w="11906" w:h="16838"/>
          <w:pgMar w:top="1701" w:right="1531" w:bottom="1701" w:left="1531" w:header="851" w:footer="851" w:gutter="0"/>
          <w:cols w:space="720" w:num="1"/>
          <w:docGrid w:linePitch="312" w:charSpace="0"/>
        </w:sectPr>
      </w:pPr>
    </w:p>
    <w:p>
      <w:pPr>
        <w:pStyle w:val="40"/>
        <w:adjustRightInd w:val="0"/>
        <w:snapToGrid w:val="0"/>
        <w:spacing w:before="0" w:beforeAutospacing="0" w:after="0" w:afterAutospacing="0"/>
        <w:outlineLvl w:val="0"/>
        <w:rPr>
          <w:rFonts w:ascii="Times New Roman" w:hAnsi="Times New Roman" w:eastAsia="黑体"/>
          <w:snapToGrid w:val="0"/>
          <w:sz w:val="32"/>
          <w:szCs w:val="32"/>
        </w:rPr>
      </w:pPr>
      <w:r>
        <w:rPr>
          <w:rFonts w:ascii="Times New Roman" w:hAnsi="Times New Roman" w:eastAsia="黑体"/>
          <w:snapToGrid w:val="0"/>
          <w:sz w:val="32"/>
          <w:szCs w:val="32"/>
        </w:rPr>
        <w:t>附表</w:t>
      </w:r>
    </w:p>
    <w:p>
      <w:pPr>
        <w:pStyle w:val="40"/>
        <w:adjustRightInd w:val="0"/>
        <w:snapToGrid w:val="0"/>
        <w:spacing w:before="0" w:beforeAutospacing="0" w:after="0" w:afterAutospacing="0"/>
        <w:jc w:val="center"/>
        <w:outlineLvl w:val="0"/>
        <w:rPr>
          <w:rFonts w:ascii="Times New Roman" w:hAnsi="Times New Roman" w:eastAsia="方正小标宋_GBK"/>
          <w:snapToGrid w:val="0"/>
          <w:sz w:val="38"/>
          <w:szCs w:val="38"/>
        </w:rPr>
      </w:pPr>
      <w:r>
        <w:rPr>
          <w:rFonts w:ascii="Times New Roman" w:hAnsi="Times New Roman" w:eastAsia="方正小标宋_GBK"/>
          <w:snapToGrid w:val="0"/>
          <w:sz w:val="38"/>
          <w:szCs w:val="38"/>
        </w:rPr>
        <w:t>建设项目污染物排放量汇总表</w:t>
      </w:r>
    </w:p>
    <w:tbl>
      <w:tblPr>
        <w:tblStyle w:val="4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372"/>
        <w:gridCol w:w="1739"/>
        <w:gridCol w:w="1238"/>
        <w:gridCol w:w="1527"/>
        <w:gridCol w:w="1488"/>
        <w:gridCol w:w="1275"/>
        <w:gridCol w:w="1701"/>
        <w:gridCol w:w="12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1162" w:type="dxa"/>
            <w:tcBorders>
              <w:tl2br w:val="single" w:color="auto" w:sz="4" w:space="0"/>
            </w:tcBorders>
            <w:tcMar>
              <w:left w:w="28" w:type="dxa"/>
              <w:right w:w="28" w:type="dxa"/>
            </w:tcMar>
            <w:vAlign w:val="center"/>
          </w:tcPr>
          <w:p>
            <w:pPr>
              <w:pStyle w:val="98"/>
              <w:spacing w:beforeLines="0" w:afterLines="0" w:line="240" w:lineRule="auto"/>
              <w:ind w:left="0" w:firstLine="390" w:firstLineChars="0"/>
              <w:rPr>
                <w:rFonts w:ascii="Times New Roman"/>
                <w:snapToGrid w:val="0"/>
                <w:spacing w:val="-6"/>
                <w:kern w:val="21"/>
                <w:szCs w:val="21"/>
              </w:rPr>
            </w:pPr>
            <w:r>
              <w:rPr>
                <w:rFonts w:ascii="Times New Roman"/>
                <w:snapToGrid w:val="0"/>
                <w:spacing w:val="-6"/>
                <w:kern w:val="21"/>
                <w:szCs w:val="21"/>
              </w:rPr>
              <w:t>项目</w:t>
            </w:r>
          </w:p>
          <w:p>
            <w:pPr>
              <w:ind w:firstLine="390"/>
            </w:pPr>
          </w:p>
          <w:p>
            <w:pPr>
              <w:pStyle w:val="98"/>
              <w:spacing w:beforeLines="0" w:afterLines="0" w:line="240" w:lineRule="auto"/>
              <w:ind w:left="0" w:firstLine="198" w:firstLineChars="100"/>
              <w:jc w:val="both"/>
              <w:rPr>
                <w:rFonts w:ascii="Times New Roman"/>
                <w:snapToGrid w:val="0"/>
                <w:spacing w:val="-6"/>
                <w:kern w:val="21"/>
                <w:szCs w:val="21"/>
              </w:rPr>
            </w:pPr>
            <w:r>
              <w:rPr>
                <w:rFonts w:ascii="Times New Roman"/>
                <w:snapToGrid w:val="0"/>
                <w:spacing w:val="-6"/>
                <w:kern w:val="21"/>
                <w:szCs w:val="21"/>
              </w:rPr>
              <w:t>分类</w:t>
            </w:r>
          </w:p>
        </w:tc>
        <w:tc>
          <w:tcPr>
            <w:tcW w:w="2372" w:type="dxa"/>
            <w:tcMar>
              <w:left w:w="28" w:type="dxa"/>
              <w:right w:w="28" w:type="dxa"/>
            </w:tcMar>
            <w:vAlign w:val="center"/>
          </w:tcPr>
          <w:p>
            <w:pPr>
              <w:pStyle w:val="98"/>
              <w:spacing w:beforeLines="0" w:afterLines="0" w:line="240" w:lineRule="auto"/>
              <w:ind w:left="396" w:hanging="396"/>
              <w:rPr>
                <w:rFonts w:ascii="Times New Roman"/>
                <w:snapToGrid w:val="0"/>
                <w:spacing w:val="-6"/>
                <w:kern w:val="21"/>
                <w:szCs w:val="21"/>
              </w:rPr>
            </w:pPr>
            <w:r>
              <w:rPr>
                <w:rFonts w:ascii="Times New Roman"/>
                <w:snapToGrid w:val="0"/>
                <w:spacing w:val="-6"/>
                <w:kern w:val="21"/>
                <w:szCs w:val="21"/>
              </w:rPr>
              <w:t>污染物名称</w:t>
            </w:r>
          </w:p>
        </w:tc>
        <w:tc>
          <w:tcPr>
            <w:tcW w:w="1739" w:type="dxa"/>
            <w:tcMar>
              <w:left w:w="28" w:type="dxa"/>
              <w:right w:w="28" w:type="dxa"/>
            </w:tcMar>
            <w:vAlign w:val="center"/>
          </w:tcPr>
          <w:p>
            <w:pPr>
              <w:pStyle w:val="98"/>
              <w:spacing w:beforeLines="0" w:afterLines="0" w:line="240" w:lineRule="auto"/>
              <w:ind w:left="396" w:hanging="396"/>
              <w:rPr>
                <w:rFonts w:ascii="Times New Roman"/>
                <w:snapToGrid w:val="0"/>
                <w:spacing w:val="-6"/>
                <w:kern w:val="21"/>
                <w:szCs w:val="21"/>
              </w:rPr>
            </w:pPr>
            <w:r>
              <w:rPr>
                <w:rFonts w:ascii="Times New Roman"/>
                <w:snapToGrid w:val="0"/>
                <w:spacing w:val="-6"/>
                <w:kern w:val="21"/>
                <w:szCs w:val="21"/>
              </w:rPr>
              <w:t>现有工程</w:t>
            </w:r>
          </w:p>
          <w:p>
            <w:pPr>
              <w:pStyle w:val="98"/>
              <w:spacing w:beforeLines="0" w:afterLines="0" w:line="240" w:lineRule="auto"/>
              <w:ind w:left="396" w:hanging="396"/>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kern w:val="2"/>
                <w:szCs w:val="21"/>
              </w:rPr>
              <w:t>①</w:t>
            </w:r>
            <w:r>
              <w:rPr>
                <w:rFonts w:ascii="Times New Roman"/>
                <w:snapToGrid w:val="0"/>
                <w:spacing w:val="-6"/>
                <w:kern w:val="21"/>
                <w:szCs w:val="21"/>
              </w:rPr>
              <w:fldChar w:fldCharType="end"/>
            </w:r>
          </w:p>
        </w:tc>
        <w:tc>
          <w:tcPr>
            <w:tcW w:w="1238" w:type="dxa"/>
            <w:tcMar>
              <w:left w:w="28" w:type="dxa"/>
              <w:right w:w="28" w:type="dxa"/>
            </w:tcMar>
            <w:vAlign w:val="center"/>
          </w:tcPr>
          <w:p>
            <w:pPr>
              <w:pStyle w:val="98"/>
              <w:spacing w:beforeLines="0" w:afterLines="0" w:line="240" w:lineRule="auto"/>
              <w:ind w:left="0" w:firstLine="0" w:firstLineChars="0"/>
              <w:rPr>
                <w:rFonts w:ascii="Times New Roman"/>
                <w:snapToGrid w:val="0"/>
                <w:spacing w:val="-6"/>
                <w:kern w:val="21"/>
                <w:szCs w:val="21"/>
              </w:rPr>
            </w:pPr>
            <w:r>
              <w:rPr>
                <w:rFonts w:ascii="Times New Roman"/>
                <w:snapToGrid w:val="0"/>
                <w:spacing w:val="-6"/>
                <w:kern w:val="21"/>
                <w:szCs w:val="21"/>
              </w:rPr>
              <w:t>现有工程</w:t>
            </w:r>
          </w:p>
          <w:p>
            <w:pPr>
              <w:pStyle w:val="98"/>
              <w:spacing w:beforeLines="0" w:afterLines="0" w:line="240" w:lineRule="auto"/>
              <w:ind w:left="0" w:firstLine="0" w:firstLineChars="0"/>
              <w:rPr>
                <w:rFonts w:ascii="Times New Roman"/>
                <w:snapToGrid w:val="0"/>
                <w:spacing w:val="-6"/>
                <w:kern w:val="21"/>
                <w:szCs w:val="21"/>
              </w:rPr>
            </w:pPr>
            <w:r>
              <w:rPr>
                <w:rFonts w:ascii="Times New Roman"/>
                <w:snapToGrid w:val="0"/>
                <w:spacing w:val="-6"/>
                <w:kern w:val="21"/>
                <w:szCs w:val="21"/>
              </w:rPr>
              <w:t>许可排放量</w:t>
            </w:r>
          </w:p>
          <w:p>
            <w:pPr>
              <w:pStyle w:val="98"/>
              <w:spacing w:beforeLines="0" w:afterLines="0" w:line="240" w:lineRule="auto"/>
              <w:ind w:left="0" w:firstLine="0" w:firstLineChars="0"/>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Pr>
                <w:rFonts w:hint="eastAsia" w:hAnsi="宋体" w:cs="宋体"/>
                <w:snapToGrid w:val="0"/>
                <w:spacing w:val="-6"/>
                <w:kern w:val="21"/>
                <w:szCs w:val="21"/>
              </w:rPr>
              <w:t>②</w:t>
            </w:r>
            <w:r>
              <w:rPr>
                <w:rFonts w:ascii="Times New Roman"/>
                <w:snapToGrid w:val="0"/>
                <w:spacing w:val="-6"/>
                <w:kern w:val="21"/>
                <w:szCs w:val="21"/>
              </w:rPr>
              <w:fldChar w:fldCharType="end"/>
            </w:r>
          </w:p>
        </w:tc>
        <w:tc>
          <w:tcPr>
            <w:tcW w:w="1527" w:type="dxa"/>
            <w:tcMar>
              <w:left w:w="28" w:type="dxa"/>
              <w:right w:w="28" w:type="dxa"/>
            </w:tcMar>
            <w:vAlign w:val="center"/>
          </w:tcPr>
          <w:p>
            <w:pPr>
              <w:pStyle w:val="98"/>
              <w:spacing w:beforeLines="0" w:afterLines="0" w:line="240" w:lineRule="auto"/>
              <w:ind w:left="0" w:firstLine="0" w:firstLineChars="0"/>
              <w:rPr>
                <w:rFonts w:ascii="Times New Roman"/>
                <w:snapToGrid w:val="0"/>
                <w:spacing w:val="-6"/>
                <w:kern w:val="21"/>
                <w:szCs w:val="21"/>
              </w:rPr>
            </w:pPr>
            <w:r>
              <w:rPr>
                <w:rFonts w:ascii="Times New Roman"/>
                <w:snapToGrid w:val="0"/>
                <w:spacing w:val="-6"/>
                <w:kern w:val="21"/>
                <w:szCs w:val="21"/>
              </w:rPr>
              <w:t>在建工程</w:t>
            </w:r>
          </w:p>
          <w:p>
            <w:pPr>
              <w:pStyle w:val="98"/>
              <w:spacing w:beforeLines="0" w:afterLines="0" w:line="240" w:lineRule="auto"/>
              <w:ind w:left="0" w:firstLine="0" w:firstLineChars="0"/>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kern w:val="2"/>
                <w:szCs w:val="21"/>
              </w:rPr>
              <w:t>③</w:t>
            </w:r>
            <w:r>
              <w:rPr>
                <w:rFonts w:ascii="Times New Roman"/>
                <w:snapToGrid w:val="0"/>
                <w:spacing w:val="-6"/>
                <w:kern w:val="21"/>
                <w:szCs w:val="21"/>
              </w:rPr>
              <w:fldChar w:fldCharType="end"/>
            </w:r>
          </w:p>
        </w:tc>
        <w:tc>
          <w:tcPr>
            <w:tcW w:w="1488" w:type="dxa"/>
            <w:tcMar>
              <w:left w:w="28" w:type="dxa"/>
              <w:right w:w="28" w:type="dxa"/>
            </w:tcMar>
            <w:vAlign w:val="center"/>
          </w:tcPr>
          <w:p>
            <w:pPr>
              <w:pStyle w:val="98"/>
              <w:spacing w:beforeLines="0" w:afterLines="0" w:line="240" w:lineRule="auto"/>
              <w:ind w:left="0" w:firstLine="0" w:firstLineChars="0"/>
              <w:rPr>
                <w:rFonts w:ascii="Times New Roman"/>
                <w:snapToGrid w:val="0"/>
                <w:spacing w:val="-6"/>
                <w:kern w:val="21"/>
                <w:szCs w:val="21"/>
              </w:rPr>
            </w:pPr>
            <w:r>
              <w:rPr>
                <w:rFonts w:ascii="Times New Roman"/>
                <w:snapToGrid w:val="0"/>
                <w:spacing w:val="-6"/>
                <w:kern w:val="21"/>
                <w:szCs w:val="21"/>
              </w:rPr>
              <w:t>本项目</w:t>
            </w:r>
          </w:p>
          <w:p>
            <w:pPr>
              <w:pStyle w:val="98"/>
              <w:spacing w:beforeLines="0" w:afterLines="0" w:line="240" w:lineRule="auto"/>
              <w:ind w:left="0" w:firstLine="0" w:firstLineChars="0"/>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kern w:val="2"/>
                <w:szCs w:val="21"/>
              </w:rPr>
              <w:t>④</w:t>
            </w:r>
            <w:r>
              <w:rPr>
                <w:rFonts w:ascii="Times New Roman"/>
                <w:snapToGrid w:val="0"/>
                <w:spacing w:val="-6"/>
                <w:kern w:val="21"/>
                <w:szCs w:val="21"/>
              </w:rPr>
              <w:fldChar w:fldCharType="end"/>
            </w:r>
          </w:p>
        </w:tc>
        <w:tc>
          <w:tcPr>
            <w:tcW w:w="1275" w:type="dxa"/>
            <w:tcMar>
              <w:left w:w="28" w:type="dxa"/>
              <w:right w:w="28" w:type="dxa"/>
            </w:tcMar>
            <w:vAlign w:val="center"/>
          </w:tcPr>
          <w:p>
            <w:pPr>
              <w:pStyle w:val="98"/>
              <w:spacing w:beforeLines="0" w:afterLines="0" w:line="240" w:lineRule="auto"/>
              <w:ind w:left="0" w:firstLine="0" w:firstLineChars="0"/>
              <w:rPr>
                <w:rFonts w:ascii="Times New Roman"/>
                <w:snapToGrid w:val="0"/>
                <w:spacing w:val="-16"/>
                <w:kern w:val="21"/>
                <w:szCs w:val="21"/>
              </w:rPr>
            </w:pPr>
            <w:r>
              <w:rPr>
                <w:rFonts w:ascii="Times New Roman"/>
                <w:snapToGrid w:val="0"/>
                <w:spacing w:val="-16"/>
                <w:kern w:val="21"/>
                <w:szCs w:val="21"/>
              </w:rPr>
              <w:t>以新带老削减量（新建项目不填）</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kern w:val="2"/>
                <w:szCs w:val="21"/>
              </w:rPr>
              <w:t>⑤</w:t>
            </w:r>
            <w:r>
              <w:rPr>
                <w:rFonts w:ascii="Times New Roman"/>
                <w:snapToGrid w:val="0"/>
                <w:spacing w:val="-16"/>
                <w:kern w:val="21"/>
                <w:szCs w:val="21"/>
              </w:rPr>
              <w:fldChar w:fldCharType="end"/>
            </w:r>
          </w:p>
        </w:tc>
        <w:tc>
          <w:tcPr>
            <w:tcW w:w="1701" w:type="dxa"/>
            <w:tcMar>
              <w:left w:w="28" w:type="dxa"/>
              <w:right w:w="28" w:type="dxa"/>
            </w:tcMar>
            <w:vAlign w:val="center"/>
          </w:tcPr>
          <w:p>
            <w:pPr>
              <w:pStyle w:val="98"/>
              <w:spacing w:beforeLines="0" w:afterLines="0" w:line="240" w:lineRule="auto"/>
              <w:ind w:left="0" w:firstLine="0" w:firstLineChars="0"/>
              <w:rPr>
                <w:rFonts w:ascii="Times New Roman"/>
                <w:snapToGrid w:val="0"/>
                <w:spacing w:val="-16"/>
                <w:kern w:val="21"/>
                <w:szCs w:val="21"/>
              </w:rPr>
            </w:pPr>
            <w:r>
              <w:rPr>
                <w:rFonts w:ascii="Times New Roman"/>
                <w:snapToGrid w:val="0"/>
                <w:spacing w:val="-16"/>
                <w:kern w:val="21"/>
                <w:szCs w:val="21"/>
              </w:rPr>
              <w:t>本项目建成后</w:t>
            </w:r>
          </w:p>
          <w:p>
            <w:pPr>
              <w:pStyle w:val="98"/>
              <w:spacing w:beforeLines="0" w:afterLines="0" w:line="240" w:lineRule="auto"/>
              <w:ind w:left="0" w:firstLine="0" w:firstLineChars="0"/>
              <w:rPr>
                <w:rFonts w:ascii="Times New Roman"/>
                <w:snapToGrid w:val="0"/>
                <w:spacing w:val="-16"/>
                <w:kern w:val="21"/>
                <w:szCs w:val="21"/>
              </w:rPr>
            </w:pPr>
            <w:r>
              <w:rPr>
                <w:rFonts w:ascii="Times New Roman"/>
                <w:snapToGrid w:val="0"/>
                <w:spacing w:val="-16"/>
                <w:kern w:val="21"/>
                <w:szCs w:val="21"/>
              </w:rPr>
              <w:t>全厂排放量（固体废物产生量）</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kern w:val="2"/>
                <w:szCs w:val="21"/>
              </w:rPr>
              <w:t>⑥</w:t>
            </w:r>
            <w:r>
              <w:rPr>
                <w:rFonts w:ascii="Times New Roman"/>
                <w:snapToGrid w:val="0"/>
                <w:spacing w:val="-16"/>
                <w:kern w:val="21"/>
                <w:szCs w:val="21"/>
              </w:rPr>
              <w:fldChar w:fldCharType="end"/>
            </w:r>
          </w:p>
        </w:tc>
        <w:tc>
          <w:tcPr>
            <w:tcW w:w="1286" w:type="dxa"/>
            <w:tcMar>
              <w:left w:w="28" w:type="dxa"/>
              <w:right w:w="28" w:type="dxa"/>
            </w:tcMar>
            <w:vAlign w:val="center"/>
          </w:tcPr>
          <w:p>
            <w:pPr>
              <w:pStyle w:val="98"/>
              <w:spacing w:beforeLines="0" w:afterLines="0" w:line="240" w:lineRule="auto"/>
              <w:ind w:left="396" w:hanging="396"/>
              <w:rPr>
                <w:rFonts w:ascii="Times New Roman"/>
                <w:snapToGrid w:val="0"/>
                <w:spacing w:val="-6"/>
                <w:kern w:val="21"/>
                <w:szCs w:val="21"/>
              </w:rPr>
            </w:pPr>
            <w:r>
              <w:rPr>
                <w:rFonts w:ascii="Times New Roman"/>
                <w:snapToGrid w:val="0"/>
                <w:spacing w:val="-6"/>
                <w:kern w:val="21"/>
                <w:szCs w:val="21"/>
              </w:rPr>
              <w:t>变化量</w:t>
            </w:r>
          </w:p>
          <w:p>
            <w:pPr>
              <w:pStyle w:val="98"/>
              <w:spacing w:beforeLines="0" w:afterLines="0" w:line="240" w:lineRule="auto"/>
              <w:ind w:left="420" w:hanging="420"/>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kern w:val="2"/>
                <w:szCs w:val="21"/>
              </w:rPr>
              <w:t>⑦</w:t>
            </w:r>
            <w:r>
              <w:rPr>
                <w:rFonts w:ascii="Times New Roman"/>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162" w:type="dxa"/>
            <w:vMerge w:val="restart"/>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废气</w:t>
            </w:r>
          </w:p>
        </w:tc>
        <w:tc>
          <w:tcPr>
            <w:tcW w:w="2372" w:type="dxa"/>
            <w:vAlign w:val="center"/>
          </w:tcPr>
          <w:p>
            <w:pPr>
              <w:pStyle w:val="98"/>
              <w:spacing w:beforeLines="0" w:afterLines="0" w:line="240" w:lineRule="auto"/>
              <w:ind w:left="420" w:hanging="420"/>
              <w:rPr>
                <w:rFonts w:ascii="Times New Roman"/>
                <w:snapToGrid w:val="0"/>
                <w:kern w:val="21"/>
                <w:szCs w:val="21"/>
              </w:rPr>
            </w:pPr>
            <w:r>
              <w:rPr>
                <w:rFonts w:ascii="Times New Roman"/>
                <w:szCs w:val="21"/>
              </w:rPr>
              <w:t>SO</w:t>
            </w:r>
            <w:r>
              <w:rPr>
                <w:rFonts w:ascii="Times New Roman"/>
                <w:szCs w:val="21"/>
                <w:vertAlign w:val="subscript"/>
              </w:rPr>
              <w:t>2</w:t>
            </w:r>
          </w:p>
        </w:tc>
        <w:tc>
          <w:tcPr>
            <w:tcW w:w="1739" w:type="dxa"/>
            <w:vAlign w:val="center"/>
          </w:tcPr>
          <w:p>
            <w:pPr>
              <w:pStyle w:val="98"/>
              <w:spacing w:beforeLines="0" w:afterLines="0" w:line="240" w:lineRule="auto"/>
              <w:ind w:left="420" w:hanging="420"/>
              <w:rPr>
                <w:rFonts w:ascii="Times New Roman"/>
                <w:snapToGrid w:val="0"/>
                <w:kern w:val="21"/>
                <w:szCs w:val="21"/>
              </w:rPr>
            </w:pPr>
            <w:r>
              <w:rPr>
                <w:rFonts w:ascii="Times New Roman"/>
                <w:szCs w:val="21"/>
              </w:rPr>
              <w:t>8.4t/a</w:t>
            </w:r>
          </w:p>
        </w:tc>
        <w:tc>
          <w:tcPr>
            <w:tcW w:w="1238"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p>
        </w:tc>
        <w:tc>
          <w:tcPr>
            <w:tcW w:w="1527"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w:t>
            </w:r>
          </w:p>
        </w:tc>
        <w:tc>
          <w:tcPr>
            <w:tcW w:w="1488"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0</w:t>
            </w:r>
            <w:r>
              <w:rPr>
                <w:rFonts w:ascii="Times New Roman"/>
                <w:snapToGrid w:val="0"/>
                <w:kern w:val="21"/>
                <w:szCs w:val="21"/>
              </w:rPr>
              <w:t>.023</w:t>
            </w:r>
            <w:r>
              <w:rPr>
                <w:rFonts w:hint="eastAsia" w:ascii="Times New Roman"/>
                <w:snapToGrid w:val="0"/>
                <w:kern w:val="21"/>
                <w:szCs w:val="21"/>
              </w:rPr>
              <w:t>t/a</w:t>
            </w:r>
          </w:p>
        </w:tc>
        <w:tc>
          <w:tcPr>
            <w:tcW w:w="1275" w:type="dxa"/>
            <w:vAlign w:val="center"/>
          </w:tcPr>
          <w:p>
            <w:pPr>
              <w:pStyle w:val="98"/>
              <w:spacing w:beforeLines="0" w:afterLines="0" w:line="240" w:lineRule="auto"/>
              <w:ind w:left="420" w:hanging="420"/>
              <w:rPr>
                <w:rFonts w:ascii="Times New Roman"/>
                <w:snapToGrid w:val="0"/>
                <w:color w:val="FF0000"/>
                <w:kern w:val="21"/>
                <w:szCs w:val="21"/>
              </w:rPr>
            </w:pPr>
            <w:r>
              <w:rPr>
                <w:rFonts w:ascii="Times New Roman"/>
                <w:color w:val="FF0000"/>
                <w:szCs w:val="21"/>
              </w:rPr>
              <w:t>8.4t/a</w:t>
            </w:r>
          </w:p>
        </w:tc>
        <w:tc>
          <w:tcPr>
            <w:tcW w:w="1701"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0</w:t>
            </w:r>
            <w:r>
              <w:rPr>
                <w:rFonts w:ascii="Times New Roman"/>
                <w:snapToGrid w:val="0"/>
                <w:kern w:val="21"/>
                <w:szCs w:val="21"/>
              </w:rPr>
              <w:t>.023</w:t>
            </w:r>
            <w:r>
              <w:rPr>
                <w:rFonts w:hint="eastAsia" w:ascii="Times New Roman"/>
                <w:snapToGrid w:val="0"/>
                <w:kern w:val="21"/>
                <w:szCs w:val="21"/>
              </w:rPr>
              <w:t>t/a</w:t>
            </w:r>
          </w:p>
        </w:tc>
        <w:tc>
          <w:tcPr>
            <w:tcW w:w="1286"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r>
              <w:rPr>
                <w:rFonts w:ascii="Times New Roman"/>
                <w:snapToGrid w:val="0"/>
                <w:kern w:val="21"/>
                <w:szCs w:val="21"/>
              </w:rPr>
              <w:t>8.377</w:t>
            </w:r>
            <w:r>
              <w:rPr>
                <w:rFonts w:hint="eastAsia" w:ascii="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162" w:type="dxa"/>
            <w:vMerge w:val="continue"/>
            <w:vAlign w:val="center"/>
          </w:tcPr>
          <w:p>
            <w:pPr>
              <w:pStyle w:val="98"/>
              <w:spacing w:beforeLines="0" w:afterLines="0" w:line="240" w:lineRule="auto"/>
              <w:ind w:left="420" w:hanging="420"/>
              <w:rPr>
                <w:rFonts w:ascii="Times New Roman"/>
                <w:snapToGrid w:val="0"/>
                <w:kern w:val="21"/>
                <w:szCs w:val="21"/>
              </w:rPr>
            </w:pPr>
          </w:p>
        </w:tc>
        <w:tc>
          <w:tcPr>
            <w:tcW w:w="2372" w:type="dxa"/>
            <w:vAlign w:val="center"/>
          </w:tcPr>
          <w:p>
            <w:pPr>
              <w:pStyle w:val="98"/>
              <w:spacing w:beforeLines="0" w:afterLines="0" w:line="240" w:lineRule="auto"/>
              <w:ind w:left="420" w:hanging="420"/>
              <w:rPr>
                <w:rFonts w:ascii="Times New Roman"/>
                <w:snapToGrid w:val="0"/>
                <w:kern w:val="21"/>
                <w:szCs w:val="21"/>
              </w:rPr>
            </w:pPr>
            <w:r>
              <w:rPr>
                <w:rFonts w:ascii="Times New Roman"/>
                <w:szCs w:val="21"/>
              </w:rPr>
              <w:t>NOx</w:t>
            </w:r>
          </w:p>
        </w:tc>
        <w:tc>
          <w:tcPr>
            <w:tcW w:w="1739" w:type="dxa"/>
            <w:vAlign w:val="center"/>
          </w:tcPr>
          <w:p>
            <w:pPr>
              <w:pStyle w:val="98"/>
              <w:spacing w:beforeLines="0" w:afterLines="0" w:line="240" w:lineRule="auto"/>
              <w:ind w:left="420" w:hanging="420"/>
              <w:rPr>
                <w:rFonts w:ascii="Times New Roman"/>
                <w:snapToGrid w:val="0"/>
                <w:kern w:val="21"/>
                <w:szCs w:val="21"/>
              </w:rPr>
            </w:pPr>
            <w:r>
              <w:rPr>
                <w:rFonts w:ascii="Times New Roman"/>
                <w:szCs w:val="21"/>
              </w:rPr>
              <w:t>5.88t/a</w:t>
            </w:r>
          </w:p>
        </w:tc>
        <w:tc>
          <w:tcPr>
            <w:tcW w:w="1238"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p>
        </w:tc>
        <w:tc>
          <w:tcPr>
            <w:tcW w:w="1527"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w:t>
            </w:r>
          </w:p>
        </w:tc>
        <w:tc>
          <w:tcPr>
            <w:tcW w:w="1488"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0.615</w:t>
            </w:r>
            <w:r>
              <w:rPr>
                <w:rFonts w:hint="eastAsia" w:ascii="Times New Roman"/>
                <w:snapToGrid w:val="0"/>
                <w:kern w:val="21"/>
                <w:szCs w:val="21"/>
              </w:rPr>
              <w:t>t/a</w:t>
            </w:r>
          </w:p>
        </w:tc>
        <w:tc>
          <w:tcPr>
            <w:tcW w:w="1275" w:type="dxa"/>
            <w:vAlign w:val="center"/>
          </w:tcPr>
          <w:p>
            <w:pPr>
              <w:pStyle w:val="98"/>
              <w:spacing w:beforeLines="0" w:afterLines="0" w:line="240" w:lineRule="auto"/>
              <w:ind w:left="420" w:hanging="420"/>
              <w:rPr>
                <w:rFonts w:ascii="Times New Roman"/>
                <w:snapToGrid w:val="0"/>
                <w:color w:val="FF0000"/>
                <w:kern w:val="21"/>
                <w:szCs w:val="21"/>
              </w:rPr>
            </w:pPr>
            <w:r>
              <w:rPr>
                <w:rFonts w:ascii="Times New Roman"/>
                <w:color w:val="FF0000"/>
                <w:szCs w:val="21"/>
              </w:rPr>
              <w:t>5.88t/a</w:t>
            </w:r>
          </w:p>
        </w:tc>
        <w:tc>
          <w:tcPr>
            <w:tcW w:w="1701"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0.</w:t>
            </w:r>
            <w:r>
              <w:rPr>
                <w:rFonts w:ascii="Times New Roman"/>
                <w:snapToGrid w:val="0"/>
                <w:kern w:val="21"/>
                <w:szCs w:val="21"/>
              </w:rPr>
              <w:t>615</w:t>
            </w:r>
            <w:r>
              <w:rPr>
                <w:rFonts w:hint="eastAsia" w:ascii="Times New Roman"/>
                <w:snapToGrid w:val="0"/>
                <w:kern w:val="21"/>
                <w:szCs w:val="21"/>
              </w:rPr>
              <w:t>t/a</w:t>
            </w:r>
          </w:p>
        </w:tc>
        <w:tc>
          <w:tcPr>
            <w:tcW w:w="1286"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r>
              <w:rPr>
                <w:rFonts w:ascii="Times New Roman"/>
                <w:snapToGrid w:val="0"/>
                <w:kern w:val="21"/>
                <w:szCs w:val="21"/>
              </w:rPr>
              <w:t>5.265</w:t>
            </w:r>
            <w:r>
              <w:rPr>
                <w:rFonts w:hint="eastAsia" w:ascii="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162" w:type="dxa"/>
            <w:vMerge w:val="continue"/>
            <w:vAlign w:val="center"/>
          </w:tcPr>
          <w:p>
            <w:pPr>
              <w:pStyle w:val="98"/>
              <w:spacing w:beforeLines="0" w:afterLines="0" w:line="240" w:lineRule="auto"/>
              <w:ind w:left="420" w:hanging="420"/>
              <w:rPr>
                <w:rFonts w:ascii="Times New Roman"/>
                <w:snapToGrid w:val="0"/>
                <w:kern w:val="21"/>
                <w:szCs w:val="21"/>
              </w:rPr>
            </w:pPr>
          </w:p>
        </w:tc>
        <w:tc>
          <w:tcPr>
            <w:tcW w:w="2372" w:type="dxa"/>
            <w:vAlign w:val="center"/>
          </w:tcPr>
          <w:p>
            <w:pPr>
              <w:pStyle w:val="98"/>
              <w:spacing w:beforeLines="0" w:afterLines="0" w:line="240" w:lineRule="auto"/>
              <w:ind w:left="420" w:hanging="420"/>
              <w:rPr>
                <w:rFonts w:ascii="Times New Roman"/>
                <w:snapToGrid w:val="0"/>
                <w:kern w:val="21"/>
                <w:szCs w:val="21"/>
              </w:rPr>
            </w:pPr>
            <w:r>
              <w:rPr>
                <w:rFonts w:ascii="Times New Roman"/>
                <w:szCs w:val="21"/>
              </w:rPr>
              <w:t>颗粒物</w:t>
            </w:r>
          </w:p>
        </w:tc>
        <w:tc>
          <w:tcPr>
            <w:tcW w:w="1739" w:type="dxa"/>
            <w:vAlign w:val="center"/>
          </w:tcPr>
          <w:p>
            <w:pPr>
              <w:pStyle w:val="98"/>
              <w:spacing w:beforeLines="0" w:afterLines="0" w:line="240" w:lineRule="auto"/>
              <w:ind w:left="420" w:hanging="420"/>
              <w:rPr>
                <w:rFonts w:ascii="Times New Roman"/>
                <w:snapToGrid w:val="0"/>
                <w:kern w:val="21"/>
                <w:szCs w:val="21"/>
              </w:rPr>
            </w:pPr>
            <w:r>
              <w:rPr>
                <w:rFonts w:ascii="Times New Roman"/>
                <w:szCs w:val="21"/>
              </w:rPr>
              <w:t>12.07t/a</w:t>
            </w:r>
          </w:p>
        </w:tc>
        <w:tc>
          <w:tcPr>
            <w:tcW w:w="1238"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p>
        </w:tc>
        <w:tc>
          <w:tcPr>
            <w:tcW w:w="1527"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w:t>
            </w:r>
          </w:p>
        </w:tc>
        <w:tc>
          <w:tcPr>
            <w:tcW w:w="1488"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0.008t/a</w:t>
            </w:r>
          </w:p>
        </w:tc>
        <w:tc>
          <w:tcPr>
            <w:tcW w:w="1275" w:type="dxa"/>
            <w:vAlign w:val="center"/>
          </w:tcPr>
          <w:p>
            <w:pPr>
              <w:pStyle w:val="98"/>
              <w:spacing w:beforeLines="0" w:afterLines="0" w:line="240" w:lineRule="auto"/>
              <w:ind w:left="420" w:hanging="420"/>
              <w:rPr>
                <w:rFonts w:ascii="Times New Roman"/>
                <w:snapToGrid w:val="0"/>
                <w:color w:val="FF0000"/>
                <w:kern w:val="21"/>
                <w:szCs w:val="21"/>
              </w:rPr>
            </w:pPr>
            <w:r>
              <w:rPr>
                <w:rFonts w:ascii="Times New Roman"/>
                <w:color w:val="FF0000"/>
                <w:szCs w:val="21"/>
              </w:rPr>
              <w:t>12.07t/a</w:t>
            </w:r>
          </w:p>
        </w:tc>
        <w:tc>
          <w:tcPr>
            <w:tcW w:w="1701"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0.008t/a</w:t>
            </w:r>
          </w:p>
        </w:tc>
        <w:tc>
          <w:tcPr>
            <w:tcW w:w="1286"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r>
              <w:rPr>
                <w:rFonts w:ascii="Times New Roman"/>
                <w:snapToGrid w:val="0"/>
                <w:kern w:val="21"/>
                <w:szCs w:val="21"/>
              </w:rPr>
              <w:t>12.062</w:t>
            </w:r>
            <w:r>
              <w:rPr>
                <w:rFonts w:hint="eastAsia" w:ascii="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62" w:type="dxa"/>
            <w:vMerge w:val="restart"/>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废水</w:t>
            </w:r>
          </w:p>
        </w:tc>
        <w:tc>
          <w:tcPr>
            <w:tcW w:w="2372" w:type="dxa"/>
            <w:vAlign w:val="center"/>
          </w:tcPr>
          <w:p>
            <w:pPr>
              <w:widowControl/>
              <w:jc w:val="center"/>
              <w:rPr>
                <w:kern w:val="0"/>
                <w:szCs w:val="21"/>
              </w:rPr>
            </w:pPr>
            <w:r>
              <w:t>CODcr</w:t>
            </w:r>
          </w:p>
        </w:tc>
        <w:tc>
          <w:tcPr>
            <w:tcW w:w="1739" w:type="dxa"/>
            <w:vAlign w:val="center"/>
          </w:tcPr>
          <w:p>
            <w:pPr>
              <w:pStyle w:val="98"/>
              <w:spacing w:beforeLines="0" w:afterLines="0" w:line="240" w:lineRule="auto"/>
              <w:ind w:left="420" w:hanging="420"/>
              <w:rPr>
                <w:rFonts w:ascii="Times New Roman"/>
              </w:rPr>
            </w:pPr>
            <w:r>
              <w:rPr>
                <w:rFonts w:ascii="Times New Roman"/>
                <w:szCs w:val="21"/>
              </w:rPr>
              <w:t>2.49</w:t>
            </w:r>
            <w:r>
              <w:rPr>
                <w:rFonts w:hint="eastAsia" w:ascii="Times New Roman"/>
                <w:szCs w:val="21"/>
              </w:rPr>
              <w:t>t/a</w:t>
            </w:r>
          </w:p>
        </w:tc>
        <w:tc>
          <w:tcPr>
            <w:tcW w:w="1238"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w:t>
            </w:r>
          </w:p>
        </w:tc>
        <w:tc>
          <w:tcPr>
            <w:tcW w:w="1527"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w:t>
            </w:r>
          </w:p>
        </w:tc>
        <w:tc>
          <w:tcPr>
            <w:tcW w:w="1488" w:type="dxa"/>
            <w:vAlign w:val="center"/>
          </w:tcPr>
          <w:p>
            <w:pPr>
              <w:pStyle w:val="116"/>
            </w:pPr>
            <w:r>
              <w:t>2.49</w:t>
            </w:r>
            <w:r>
              <w:rPr>
                <w:rFonts w:hint="eastAsia"/>
              </w:rPr>
              <w:t>t/a</w:t>
            </w:r>
          </w:p>
        </w:tc>
        <w:tc>
          <w:tcPr>
            <w:tcW w:w="1275"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2.49</w:t>
            </w:r>
            <w:r>
              <w:rPr>
                <w:rFonts w:hint="eastAsia" w:ascii="Times New Roman"/>
                <w:snapToGrid w:val="0"/>
                <w:kern w:val="21"/>
                <w:szCs w:val="21"/>
              </w:rPr>
              <w:t>t/a</w:t>
            </w:r>
          </w:p>
        </w:tc>
        <w:tc>
          <w:tcPr>
            <w:tcW w:w="1701" w:type="dxa"/>
            <w:vAlign w:val="center"/>
          </w:tcPr>
          <w:p>
            <w:pPr>
              <w:pStyle w:val="116"/>
            </w:pPr>
            <w:r>
              <w:rPr>
                <w:snapToGrid w:val="0"/>
                <w:kern w:val="21"/>
              </w:rPr>
              <w:t>2.49</w:t>
            </w:r>
            <w:r>
              <w:rPr>
                <w:rFonts w:hint="eastAsia"/>
                <w:snapToGrid w:val="0"/>
                <w:kern w:val="21"/>
              </w:rPr>
              <w:t>t/a</w:t>
            </w:r>
          </w:p>
        </w:tc>
        <w:tc>
          <w:tcPr>
            <w:tcW w:w="1286" w:type="dxa"/>
            <w:vAlign w:val="center"/>
          </w:tcPr>
          <w:p>
            <w:pPr>
              <w:pStyle w:val="98"/>
              <w:spacing w:beforeLines="0" w:afterLines="0" w:line="240" w:lineRule="auto"/>
              <w:ind w:left="420" w:hanging="420"/>
              <w:rPr>
                <w:rFonts w:ascii="Times New Roman"/>
              </w:rPr>
            </w:pPr>
            <w:r>
              <w:rPr>
                <w:rFonts w:ascii="Times New Roma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162" w:type="dxa"/>
            <w:vMerge w:val="continue"/>
            <w:vAlign w:val="center"/>
          </w:tcPr>
          <w:p>
            <w:pPr>
              <w:pStyle w:val="98"/>
              <w:spacing w:beforeLines="0" w:afterLines="0" w:line="240" w:lineRule="auto"/>
              <w:ind w:left="420" w:hanging="420"/>
              <w:rPr>
                <w:rFonts w:ascii="Times New Roman"/>
                <w:snapToGrid w:val="0"/>
                <w:kern w:val="21"/>
                <w:szCs w:val="21"/>
              </w:rPr>
            </w:pPr>
          </w:p>
        </w:tc>
        <w:tc>
          <w:tcPr>
            <w:tcW w:w="2372" w:type="dxa"/>
            <w:vAlign w:val="center"/>
          </w:tcPr>
          <w:p>
            <w:pPr>
              <w:widowControl/>
              <w:jc w:val="center"/>
              <w:rPr>
                <w:kern w:val="0"/>
                <w:szCs w:val="21"/>
              </w:rPr>
            </w:pPr>
            <w:r>
              <w:t>NH</w:t>
            </w:r>
            <w:r>
              <w:rPr>
                <w:vertAlign w:val="subscript"/>
              </w:rPr>
              <w:t>3</w:t>
            </w:r>
            <w:r>
              <w:t>-N</w:t>
            </w:r>
          </w:p>
        </w:tc>
        <w:tc>
          <w:tcPr>
            <w:tcW w:w="1739" w:type="dxa"/>
            <w:vAlign w:val="center"/>
          </w:tcPr>
          <w:p>
            <w:pPr>
              <w:pStyle w:val="98"/>
              <w:spacing w:beforeLines="0" w:afterLines="0" w:line="240" w:lineRule="auto"/>
              <w:ind w:left="420" w:hanging="420"/>
              <w:rPr>
                <w:rFonts w:ascii="Times New Roman"/>
                <w:snapToGrid w:val="0"/>
                <w:kern w:val="21"/>
                <w:szCs w:val="21"/>
              </w:rPr>
            </w:pPr>
            <w:r>
              <w:rPr>
                <w:rFonts w:ascii="Times New Roman"/>
                <w:szCs w:val="21"/>
              </w:rPr>
              <w:t>0.447</w:t>
            </w:r>
            <w:r>
              <w:rPr>
                <w:rFonts w:hint="eastAsia" w:ascii="Times New Roman"/>
                <w:szCs w:val="21"/>
              </w:rPr>
              <w:t>t/a</w:t>
            </w:r>
          </w:p>
        </w:tc>
        <w:tc>
          <w:tcPr>
            <w:tcW w:w="1238"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p>
        </w:tc>
        <w:tc>
          <w:tcPr>
            <w:tcW w:w="1527"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p>
        </w:tc>
        <w:tc>
          <w:tcPr>
            <w:tcW w:w="1488" w:type="dxa"/>
            <w:vAlign w:val="center"/>
          </w:tcPr>
          <w:p>
            <w:pPr>
              <w:pStyle w:val="116"/>
            </w:pPr>
            <w:r>
              <w:t>0.447</w:t>
            </w:r>
            <w:r>
              <w:rPr>
                <w:rFonts w:hint="eastAsia"/>
              </w:rPr>
              <w:t>t/a</w:t>
            </w:r>
          </w:p>
        </w:tc>
        <w:tc>
          <w:tcPr>
            <w:tcW w:w="1275" w:type="dxa"/>
            <w:vAlign w:val="center"/>
          </w:tcPr>
          <w:p>
            <w:pPr>
              <w:pStyle w:val="98"/>
              <w:spacing w:beforeLines="0" w:afterLines="0" w:line="240" w:lineRule="auto"/>
              <w:ind w:left="420" w:hanging="420"/>
              <w:rPr>
                <w:rFonts w:ascii="Times New Roman"/>
                <w:snapToGrid w:val="0"/>
                <w:kern w:val="21"/>
                <w:szCs w:val="21"/>
              </w:rPr>
            </w:pPr>
            <w:r>
              <w:rPr>
                <w:rFonts w:ascii="Times New Roman"/>
                <w:szCs w:val="21"/>
              </w:rPr>
              <w:t>0.447</w:t>
            </w:r>
            <w:r>
              <w:rPr>
                <w:rFonts w:hint="eastAsia" w:ascii="Times New Roman"/>
                <w:szCs w:val="21"/>
              </w:rPr>
              <w:t>t/a</w:t>
            </w:r>
          </w:p>
        </w:tc>
        <w:tc>
          <w:tcPr>
            <w:tcW w:w="1701" w:type="dxa"/>
            <w:vAlign w:val="center"/>
          </w:tcPr>
          <w:p>
            <w:pPr>
              <w:pStyle w:val="116"/>
            </w:pPr>
            <w:r>
              <w:t>0.447</w:t>
            </w:r>
            <w:r>
              <w:rPr>
                <w:rFonts w:hint="eastAsia"/>
              </w:rPr>
              <w:t>t/a</w:t>
            </w:r>
          </w:p>
        </w:tc>
        <w:tc>
          <w:tcPr>
            <w:tcW w:w="1286" w:type="dxa"/>
            <w:vAlign w:val="center"/>
          </w:tcPr>
          <w:p>
            <w:pPr>
              <w:pStyle w:val="98"/>
              <w:spacing w:beforeLines="0" w:afterLines="0" w:line="240" w:lineRule="auto"/>
              <w:ind w:left="420" w:hanging="420"/>
              <w:rPr>
                <w:rFonts w:ascii="Times New Roman"/>
              </w:rPr>
            </w:pPr>
            <w:r>
              <w:rPr>
                <w:rFonts w:ascii="Times New Roma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162" w:type="dxa"/>
            <w:vMerge w:val="restart"/>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一般</w:t>
            </w:r>
          </w:p>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工业固</w:t>
            </w:r>
          </w:p>
          <w:p>
            <w:pPr>
              <w:pStyle w:val="98"/>
              <w:spacing w:before="24" w:after="24" w:line="240" w:lineRule="auto"/>
              <w:ind w:left="420" w:hanging="420"/>
              <w:rPr>
                <w:rFonts w:ascii="Times New Roman"/>
                <w:snapToGrid w:val="0"/>
                <w:kern w:val="21"/>
                <w:szCs w:val="21"/>
              </w:rPr>
            </w:pPr>
            <w:r>
              <w:rPr>
                <w:rFonts w:ascii="Times New Roman"/>
                <w:snapToGrid w:val="0"/>
                <w:kern w:val="21"/>
                <w:szCs w:val="21"/>
              </w:rPr>
              <w:t>体废物</w:t>
            </w:r>
          </w:p>
        </w:tc>
        <w:tc>
          <w:tcPr>
            <w:tcW w:w="2372" w:type="dxa"/>
            <w:vAlign w:val="center"/>
          </w:tcPr>
          <w:p>
            <w:pPr>
              <w:widowControl/>
              <w:jc w:val="center"/>
              <w:rPr>
                <w:kern w:val="0"/>
                <w:szCs w:val="21"/>
              </w:rPr>
            </w:pPr>
            <w:r>
              <w:rPr>
                <w:szCs w:val="21"/>
              </w:rPr>
              <w:t>废离子交换树脂</w:t>
            </w:r>
          </w:p>
        </w:tc>
        <w:tc>
          <w:tcPr>
            <w:tcW w:w="1739" w:type="dxa"/>
            <w:vAlign w:val="center"/>
          </w:tcPr>
          <w:p>
            <w:pPr>
              <w:pStyle w:val="98"/>
              <w:spacing w:beforeLines="0" w:afterLines="0" w:line="240" w:lineRule="auto"/>
              <w:ind w:left="420" w:hanging="420"/>
              <w:rPr>
                <w:rFonts w:ascii="Times New Roman"/>
                <w:snapToGrid w:val="0"/>
                <w:kern w:val="21"/>
                <w:szCs w:val="21"/>
              </w:rPr>
            </w:pPr>
            <w:r>
              <w:rPr>
                <w:rFonts w:ascii="Times New Roman"/>
                <w:szCs w:val="21"/>
              </w:rPr>
              <w:t>0.2t/a</w:t>
            </w:r>
          </w:p>
        </w:tc>
        <w:tc>
          <w:tcPr>
            <w:tcW w:w="1238"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w:t>
            </w:r>
          </w:p>
        </w:tc>
        <w:tc>
          <w:tcPr>
            <w:tcW w:w="1527"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w:t>
            </w:r>
          </w:p>
        </w:tc>
        <w:tc>
          <w:tcPr>
            <w:tcW w:w="1488" w:type="dxa"/>
            <w:vAlign w:val="center"/>
          </w:tcPr>
          <w:p>
            <w:pPr>
              <w:pStyle w:val="116"/>
            </w:pPr>
            <w:r>
              <w:rPr>
                <w:snapToGrid w:val="0"/>
                <w:kern w:val="21"/>
              </w:rPr>
              <w:t>/</w:t>
            </w:r>
          </w:p>
        </w:tc>
        <w:tc>
          <w:tcPr>
            <w:tcW w:w="1275"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w:t>
            </w:r>
          </w:p>
        </w:tc>
        <w:tc>
          <w:tcPr>
            <w:tcW w:w="1701" w:type="dxa"/>
            <w:vAlign w:val="center"/>
          </w:tcPr>
          <w:p>
            <w:pPr>
              <w:pStyle w:val="116"/>
            </w:pPr>
            <w:r>
              <w:t>0.2t/a</w:t>
            </w:r>
          </w:p>
        </w:tc>
        <w:tc>
          <w:tcPr>
            <w:tcW w:w="1286"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162" w:type="dxa"/>
            <w:vMerge w:val="continue"/>
            <w:vAlign w:val="center"/>
          </w:tcPr>
          <w:p>
            <w:pPr>
              <w:pStyle w:val="98"/>
              <w:spacing w:beforeLines="0" w:afterLines="0" w:line="240" w:lineRule="auto"/>
              <w:ind w:left="420" w:hanging="420"/>
              <w:rPr>
                <w:rFonts w:ascii="Times New Roman"/>
                <w:snapToGrid w:val="0"/>
                <w:kern w:val="21"/>
                <w:szCs w:val="21"/>
              </w:rPr>
            </w:pPr>
          </w:p>
        </w:tc>
        <w:tc>
          <w:tcPr>
            <w:tcW w:w="2372" w:type="dxa"/>
            <w:vAlign w:val="center"/>
          </w:tcPr>
          <w:p>
            <w:pPr>
              <w:widowControl/>
              <w:jc w:val="center"/>
              <w:rPr>
                <w:szCs w:val="21"/>
              </w:rPr>
            </w:pPr>
            <w:r>
              <w:rPr>
                <w:rFonts w:hint="eastAsia"/>
                <w:szCs w:val="21"/>
              </w:rPr>
              <w:t>锅炉</w:t>
            </w:r>
            <w:r>
              <w:rPr>
                <w:szCs w:val="21"/>
              </w:rPr>
              <w:t>炉渣</w:t>
            </w:r>
          </w:p>
        </w:tc>
        <w:tc>
          <w:tcPr>
            <w:tcW w:w="1739" w:type="dxa"/>
            <w:vAlign w:val="center"/>
          </w:tcPr>
          <w:p>
            <w:pPr>
              <w:pStyle w:val="98"/>
              <w:spacing w:beforeLines="0" w:afterLines="0" w:line="240" w:lineRule="auto"/>
              <w:ind w:left="420" w:hanging="420"/>
              <w:rPr>
                <w:rFonts w:ascii="Times New Roman"/>
                <w:szCs w:val="21"/>
              </w:rPr>
            </w:pPr>
            <w:r>
              <w:rPr>
                <w:rFonts w:ascii="Times New Roman"/>
                <w:szCs w:val="21"/>
              </w:rPr>
              <w:t>277.2t/a</w:t>
            </w:r>
          </w:p>
        </w:tc>
        <w:tc>
          <w:tcPr>
            <w:tcW w:w="1238"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w:t>
            </w:r>
          </w:p>
        </w:tc>
        <w:tc>
          <w:tcPr>
            <w:tcW w:w="1527"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w:t>
            </w:r>
          </w:p>
        </w:tc>
        <w:tc>
          <w:tcPr>
            <w:tcW w:w="1488" w:type="dxa"/>
            <w:vAlign w:val="center"/>
          </w:tcPr>
          <w:p>
            <w:pPr>
              <w:pStyle w:val="116"/>
              <w:rPr>
                <w:snapToGrid w:val="0"/>
                <w:kern w:val="21"/>
              </w:rPr>
            </w:pPr>
            <w:r>
              <w:rPr>
                <w:snapToGrid w:val="0"/>
                <w:kern w:val="21"/>
              </w:rPr>
              <w:t>/</w:t>
            </w:r>
          </w:p>
        </w:tc>
        <w:tc>
          <w:tcPr>
            <w:tcW w:w="1275"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277.2</w:t>
            </w:r>
            <w:r>
              <w:rPr>
                <w:rFonts w:hint="eastAsia" w:ascii="Times New Roman"/>
                <w:snapToGrid w:val="0"/>
                <w:kern w:val="21"/>
                <w:szCs w:val="21"/>
              </w:rPr>
              <w:t>t/a</w:t>
            </w:r>
          </w:p>
        </w:tc>
        <w:tc>
          <w:tcPr>
            <w:tcW w:w="1701" w:type="dxa"/>
            <w:vAlign w:val="center"/>
          </w:tcPr>
          <w:p>
            <w:pPr>
              <w:pStyle w:val="116"/>
            </w:pPr>
            <w:r>
              <w:t>0</w:t>
            </w:r>
            <w:r>
              <w:rPr>
                <w:rFonts w:hint="eastAsia"/>
              </w:rPr>
              <w:t>t/a</w:t>
            </w:r>
          </w:p>
        </w:tc>
        <w:tc>
          <w:tcPr>
            <w:tcW w:w="1286"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-277.2</w:t>
            </w:r>
            <w:r>
              <w:rPr>
                <w:rFonts w:hint="eastAsia" w:ascii="Times New Roman"/>
                <w:snapToGrid w:val="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162" w:type="dxa"/>
            <w:vMerge w:val="continue"/>
            <w:vAlign w:val="center"/>
          </w:tcPr>
          <w:p>
            <w:pPr>
              <w:pStyle w:val="98"/>
              <w:spacing w:beforeLines="0" w:afterLines="0" w:line="240" w:lineRule="auto"/>
              <w:ind w:left="420" w:hanging="420"/>
              <w:rPr>
                <w:rFonts w:ascii="Times New Roman"/>
                <w:snapToGrid w:val="0"/>
                <w:kern w:val="21"/>
                <w:szCs w:val="21"/>
              </w:rPr>
            </w:pPr>
          </w:p>
        </w:tc>
        <w:tc>
          <w:tcPr>
            <w:tcW w:w="2372" w:type="dxa"/>
            <w:vAlign w:val="center"/>
          </w:tcPr>
          <w:p>
            <w:pPr>
              <w:widowControl/>
              <w:jc w:val="center"/>
              <w:rPr>
                <w:szCs w:val="21"/>
              </w:rPr>
            </w:pPr>
            <w:r>
              <w:rPr>
                <w:rFonts w:hint="eastAsia"/>
                <w:szCs w:val="21"/>
              </w:rPr>
              <w:t>污水处理站污泥</w:t>
            </w:r>
          </w:p>
        </w:tc>
        <w:tc>
          <w:tcPr>
            <w:tcW w:w="1739" w:type="dxa"/>
            <w:vAlign w:val="center"/>
          </w:tcPr>
          <w:p>
            <w:pPr>
              <w:pStyle w:val="98"/>
              <w:spacing w:beforeLines="0" w:afterLines="0" w:line="240" w:lineRule="auto"/>
              <w:ind w:left="420" w:hanging="420"/>
              <w:rPr>
                <w:rFonts w:ascii="Times New Roman"/>
                <w:szCs w:val="21"/>
              </w:rPr>
            </w:pPr>
            <w:r>
              <w:rPr>
                <w:rFonts w:ascii="Times New Roman"/>
                <w:szCs w:val="21"/>
              </w:rPr>
              <w:t>0.3</w:t>
            </w:r>
            <w:r>
              <w:rPr>
                <w:rFonts w:hint="eastAsia" w:ascii="Times New Roman"/>
                <w:szCs w:val="21"/>
              </w:rPr>
              <w:t>t/a</w:t>
            </w:r>
          </w:p>
        </w:tc>
        <w:tc>
          <w:tcPr>
            <w:tcW w:w="1238"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p>
        </w:tc>
        <w:tc>
          <w:tcPr>
            <w:tcW w:w="1527"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p>
        </w:tc>
        <w:tc>
          <w:tcPr>
            <w:tcW w:w="1488" w:type="dxa"/>
            <w:vAlign w:val="center"/>
          </w:tcPr>
          <w:p>
            <w:pPr>
              <w:pStyle w:val="116"/>
              <w:rPr>
                <w:snapToGrid w:val="0"/>
                <w:kern w:val="21"/>
              </w:rPr>
            </w:pPr>
            <w:r>
              <w:t>0.3</w:t>
            </w:r>
            <w:r>
              <w:rPr>
                <w:rFonts w:hint="eastAsia"/>
              </w:rPr>
              <w:t>t/a</w:t>
            </w:r>
          </w:p>
        </w:tc>
        <w:tc>
          <w:tcPr>
            <w:tcW w:w="1275" w:type="dxa"/>
            <w:vAlign w:val="center"/>
          </w:tcPr>
          <w:p>
            <w:pPr>
              <w:pStyle w:val="98"/>
              <w:spacing w:beforeLines="0" w:afterLines="0" w:line="240" w:lineRule="auto"/>
              <w:ind w:left="420" w:hanging="420"/>
              <w:rPr>
                <w:rFonts w:ascii="Times New Roman"/>
                <w:snapToGrid w:val="0"/>
                <w:kern w:val="21"/>
                <w:szCs w:val="21"/>
              </w:rPr>
            </w:pPr>
            <w:r>
              <w:rPr>
                <w:rFonts w:ascii="Times New Roman"/>
                <w:szCs w:val="21"/>
              </w:rPr>
              <w:t>0.3</w:t>
            </w:r>
            <w:r>
              <w:rPr>
                <w:rFonts w:hint="eastAsia" w:ascii="Times New Roman"/>
                <w:szCs w:val="21"/>
              </w:rPr>
              <w:t>t/a</w:t>
            </w:r>
          </w:p>
        </w:tc>
        <w:tc>
          <w:tcPr>
            <w:tcW w:w="1701" w:type="dxa"/>
            <w:vAlign w:val="center"/>
          </w:tcPr>
          <w:p>
            <w:pPr>
              <w:pStyle w:val="116"/>
            </w:pPr>
            <w:r>
              <w:t>0.3</w:t>
            </w:r>
            <w:r>
              <w:rPr>
                <w:rFonts w:hint="eastAsia"/>
              </w:rPr>
              <w:t>t/a</w:t>
            </w:r>
          </w:p>
        </w:tc>
        <w:tc>
          <w:tcPr>
            <w:tcW w:w="1286" w:type="dxa"/>
            <w:vAlign w:val="center"/>
          </w:tcPr>
          <w:p>
            <w:pPr>
              <w:pStyle w:val="98"/>
              <w:spacing w:beforeLines="0" w:afterLines="0" w:line="240" w:lineRule="auto"/>
              <w:ind w:left="420" w:hanging="420"/>
              <w:rPr>
                <w:rFonts w:ascii="Times New Roman"/>
                <w:snapToGrid w:val="0"/>
                <w:kern w:val="21"/>
                <w:szCs w:val="21"/>
              </w:rPr>
            </w:pPr>
            <w:r>
              <w:rPr>
                <w:rFonts w:ascii="Times New Roman"/>
                <w:snapToGrid w:val="0"/>
                <w:kern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1162" w:type="dxa"/>
            <w:vMerge w:val="continue"/>
            <w:vAlign w:val="center"/>
          </w:tcPr>
          <w:p>
            <w:pPr>
              <w:pStyle w:val="98"/>
              <w:spacing w:beforeLines="0" w:afterLines="0" w:line="240" w:lineRule="auto"/>
              <w:ind w:left="420" w:hanging="420"/>
              <w:rPr>
                <w:rFonts w:ascii="Times New Roman"/>
                <w:snapToGrid w:val="0"/>
                <w:kern w:val="21"/>
                <w:szCs w:val="21"/>
              </w:rPr>
            </w:pPr>
          </w:p>
        </w:tc>
        <w:tc>
          <w:tcPr>
            <w:tcW w:w="2372" w:type="dxa"/>
            <w:vAlign w:val="center"/>
          </w:tcPr>
          <w:p>
            <w:pPr>
              <w:widowControl/>
              <w:jc w:val="center"/>
              <w:rPr>
                <w:kern w:val="0"/>
                <w:szCs w:val="21"/>
              </w:rPr>
            </w:pPr>
            <w:r>
              <w:rPr>
                <w:rFonts w:hint="eastAsia"/>
                <w:szCs w:val="21"/>
              </w:rPr>
              <w:t>废包装材料</w:t>
            </w:r>
          </w:p>
        </w:tc>
        <w:tc>
          <w:tcPr>
            <w:tcW w:w="1739"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0</w:t>
            </w:r>
            <w:r>
              <w:rPr>
                <w:rFonts w:ascii="Times New Roman"/>
                <w:snapToGrid w:val="0"/>
                <w:kern w:val="21"/>
                <w:szCs w:val="21"/>
              </w:rPr>
              <w:t>.5</w:t>
            </w:r>
            <w:r>
              <w:rPr>
                <w:rFonts w:hint="eastAsia" w:ascii="Times New Roman"/>
                <w:snapToGrid w:val="0"/>
                <w:kern w:val="21"/>
                <w:szCs w:val="21"/>
              </w:rPr>
              <w:t>t/a</w:t>
            </w:r>
          </w:p>
        </w:tc>
        <w:tc>
          <w:tcPr>
            <w:tcW w:w="1238"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p>
        </w:tc>
        <w:tc>
          <w:tcPr>
            <w:tcW w:w="1527"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p>
        </w:tc>
        <w:tc>
          <w:tcPr>
            <w:tcW w:w="1488" w:type="dxa"/>
            <w:vAlign w:val="center"/>
          </w:tcPr>
          <w:p>
            <w:pPr>
              <w:pStyle w:val="116"/>
            </w:pPr>
            <w:r>
              <w:rPr>
                <w:rFonts w:hint="eastAsia"/>
              </w:rPr>
              <w:t>/</w:t>
            </w:r>
          </w:p>
        </w:tc>
        <w:tc>
          <w:tcPr>
            <w:tcW w:w="1275" w:type="dxa"/>
            <w:vAlign w:val="center"/>
          </w:tcPr>
          <w:p>
            <w:pPr>
              <w:pStyle w:val="98"/>
              <w:spacing w:beforeLines="0" w:afterLines="0" w:line="240" w:lineRule="auto"/>
              <w:ind w:left="420" w:hanging="420"/>
              <w:rPr>
                <w:rFonts w:ascii="Times New Roman"/>
                <w:snapToGrid w:val="0"/>
                <w:kern w:val="21"/>
                <w:szCs w:val="21"/>
              </w:rPr>
            </w:pPr>
            <w:r>
              <w:rPr>
                <w:rFonts w:hint="eastAsia" w:ascii="Times New Roman"/>
                <w:snapToGrid w:val="0"/>
                <w:kern w:val="21"/>
                <w:szCs w:val="21"/>
              </w:rPr>
              <w:t>/</w:t>
            </w:r>
          </w:p>
        </w:tc>
        <w:tc>
          <w:tcPr>
            <w:tcW w:w="1701" w:type="dxa"/>
            <w:vAlign w:val="center"/>
          </w:tcPr>
          <w:p>
            <w:pPr>
              <w:pStyle w:val="116"/>
            </w:pPr>
            <w:r>
              <w:t>0.5</w:t>
            </w:r>
            <w:r>
              <w:rPr>
                <w:rFonts w:hint="eastAsia"/>
              </w:rPr>
              <w:t>t/a</w:t>
            </w:r>
          </w:p>
        </w:tc>
        <w:tc>
          <w:tcPr>
            <w:tcW w:w="1286" w:type="dxa"/>
            <w:vAlign w:val="center"/>
          </w:tcPr>
          <w:p>
            <w:pPr>
              <w:pStyle w:val="98"/>
              <w:spacing w:beforeLines="0" w:afterLines="0" w:line="240" w:lineRule="auto"/>
              <w:ind w:left="420" w:hanging="420"/>
              <w:rPr>
                <w:rFonts w:ascii="Times New Roman"/>
              </w:rPr>
            </w:pPr>
            <w:r>
              <w:rPr>
                <w:rFonts w:ascii="Times New Roman"/>
              </w:rPr>
              <w:t>0</w:t>
            </w:r>
          </w:p>
        </w:tc>
      </w:tr>
    </w:tbl>
    <w:p>
      <w:pPr>
        <w:pStyle w:val="98"/>
        <w:spacing w:before="48" w:beforeLines="20" w:after="24" w:line="240" w:lineRule="auto"/>
        <w:ind w:left="420" w:hanging="420"/>
        <w:jc w:val="left"/>
        <w:rPr>
          <w:rFonts w:eastAsia="黑体"/>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p>
    <w:sectPr>
      <w:footerReference r:id="rId4" w:type="default"/>
      <w:pgSz w:w="16838" w:h="11906" w:orient="landscape"/>
      <w:pgMar w:top="1531" w:right="1701" w:bottom="1531" w:left="170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ˎ̥">
    <w:altName w:val="Times New Roman"/>
    <w:panose1 w:val="00000000000000000000"/>
    <w:charset w:val="01"/>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Arial Unicode MS">
    <w:altName w:val="Arial"/>
    <w:panose1 w:val="020B0604020202020204"/>
    <w:charset w:val="00"/>
    <w:family w:val="roman"/>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汉仪大宋简">
    <w:altName w:val="宋体"/>
    <w:panose1 w:val="00000000000000000000"/>
    <w:charset w:val="00"/>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SimSun-ExtB"/>
    <w:panose1 w:val="00000000000000000000"/>
    <w:charset w:val="86"/>
    <w:family w:val="script"/>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435" w:y="-102"/>
      <w:rPr>
        <w:rStyle w:val="51"/>
        <w:rFonts w:ascii="宋体" w:hAnsi="宋体"/>
        <w:sz w:val="28"/>
        <w:szCs w:val="28"/>
      </w:rPr>
    </w:pPr>
    <w:r>
      <w:rPr>
        <w:rStyle w:val="51"/>
        <w:rFonts w:hint="eastAsia" w:ascii="宋体" w:hAnsi="宋体"/>
        <w:sz w:val="28"/>
        <w:szCs w:val="28"/>
      </w:rPr>
      <w:t>—</w:t>
    </w:r>
    <w:r>
      <w:rPr>
        <w:rStyle w:val="51"/>
        <w:rFonts w:hint="eastAsia" w:ascii="宋体" w:hAnsi="宋体"/>
        <w:sz w:val="20"/>
      </w:rPr>
      <w:t xml:space="preserve">  </w:t>
    </w:r>
    <w:r>
      <w:rPr>
        <w:rFonts w:ascii="宋体" w:hAnsi="宋体"/>
        <w:sz w:val="26"/>
        <w:szCs w:val="26"/>
      </w:rPr>
      <w:fldChar w:fldCharType="begin"/>
    </w:r>
    <w:r>
      <w:rPr>
        <w:rStyle w:val="51"/>
        <w:rFonts w:ascii="宋体" w:hAnsi="宋体"/>
        <w:sz w:val="26"/>
        <w:szCs w:val="26"/>
      </w:rPr>
      <w:instrText xml:space="preserve">PAGE  </w:instrText>
    </w:r>
    <w:r>
      <w:rPr>
        <w:rFonts w:ascii="宋体" w:hAnsi="宋体"/>
        <w:sz w:val="26"/>
        <w:szCs w:val="26"/>
      </w:rPr>
      <w:fldChar w:fldCharType="separate"/>
    </w:r>
    <w:r>
      <w:rPr>
        <w:rStyle w:val="51"/>
        <w:rFonts w:ascii="宋体" w:hAnsi="宋体"/>
        <w:sz w:val="26"/>
        <w:szCs w:val="26"/>
      </w:rPr>
      <w:t>32</w:t>
    </w:r>
    <w:r>
      <w:rPr>
        <w:rFonts w:ascii="宋体" w:hAnsi="宋体"/>
        <w:sz w:val="26"/>
        <w:szCs w:val="26"/>
      </w:rPr>
      <w:fldChar w:fldCharType="end"/>
    </w:r>
    <w:r>
      <w:rPr>
        <w:rStyle w:val="51"/>
        <w:rFonts w:hint="eastAsia" w:ascii="宋体" w:hAnsi="宋体"/>
        <w:sz w:val="20"/>
      </w:rPr>
      <w:t xml:space="preserve">  </w:t>
    </w:r>
    <w:r>
      <w:rPr>
        <w:rStyle w:val="51"/>
        <w:rFonts w:hint="eastAsia" w:ascii="宋体" w:hAnsi="宋体"/>
        <w:sz w:val="28"/>
        <w:szCs w:val="28"/>
      </w:rPr>
      <w:t>—</w:t>
    </w:r>
  </w:p>
  <w:p>
    <w:pPr>
      <w:pStyle w:val="2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firstLine="360"/>
      <w:jc w:val="center"/>
    </w:pPr>
    <w:r>
      <mc:AlternateContent>
        <mc:Choice Requires="wps">
          <w:drawing>
            <wp:anchor distT="0" distB="0" distL="114300" distR="114300" simplePos="0" relativeHeight="251658240" behindDoc="0" locked="0" layoutInCell="1" allowOverlap="1">
              <wp:simplePos x="0" y="0"/>
              <wp:positionH relativeFrom="margin">
                <wp:posOffset>3863975</wp:posOffset>
              </wp:positionH>
              <wp:positionV relativeFrom="paragraph">
                <wp:posOffset>-89535</wp:posOffset>
              </wp:positionV>
              <wp:extent cx="1243965" cy="230505"/>
              <wp:effectExtent l="0" t="0" r="13335" b="1714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44009" cy="230505"/>
                      </a:xfrm>
                      <a:prstGeom prst="rect">
                        <a:avLst/>
                      </a:prstGeom>
                      <a:noFill/>
                      <a:ln>
                        <a:noFill/>
                      </a:ln>
                    </wps:spPr>
                    <wps:txbx>
                      <w:txbxContent>
                        <w:p>
                          <w:pPr>
                            <w:pStyle w:val="26"/>
                            <w:jc w:val="center"/>
                            <w:rPr>
                              <w:rStyle w:val="51"/>
                              <w:rFonts w:ascii="宋体" w:hAnsi="宋体"/>
                              <w:sz w:val="28"/>
                              <w:szCs w:val="28"/>
                            </w:rPr>
                          </w:pPr>
                          <w:r>
                            <w:rPr>
                              <w:rStyle w:val="51"/>
                              <w:rFonts w:hint="eastAsia" w:ascii="宋体" w:hAnsi="宋体"/>
                              <w:sz w:val="28"/>
                              <w:szCs w:val="28"/>
                            </w:rPr>
                            <w:t>—</w:t>
                          </w:r>
                          <w:r>
                            <w:rPr>
                              <w:rStyle w:val="51"/>
                              <w:rFonts w:hint="eastAsia" w:ascii="宋体" w:hAnsi="宋体"/>
                              <w:sz w:val="20"/>
                            </w:rPr>
                            <w:t xml:space="preserve">  </w:t>
                          </w:r>
                          <w:r>
                            <w:rPr>
                              <w:rFonts w:ascii="宋体" w:hAnsi="宋体"/>
                              <w:sz w:val="26"/>
                              <w:szCs w:val="26"/>
                            </w:rPr>
                            <w:fldChar w:fldCharType="begin"/>
                          </w:r>
                          <w:r>
                            <w:rPr>
                              <w:rStyle w:val="51"/>
                              <w:rFonts w:ascii="宋体" w:hAnsi="宋体"/>
                              <w:sz w:val="26"/>
                              <w:szCs w:val="26"/>
                            </w:rPr>
                            <w:instrText xml:space="preserve">PAGE  </w:instrText>
                          </w:r>
                          <w:r>
                            <w:rPr>
                              <w:rFonts w:ascii="宋体" w:hAnsi="宋体"/>
                              <w:sz w:val="26"/>
                              <w:szCs w:val="26"/>
                            </w:rPr>
                            <w:fldChar w:fldCharType="separate"/>
                          </w:r>
                          <w:r>
                            <w:rPr>
                              <w:rStyle w:val="51"/>
                              <w:rFonts w:ascii="宋体" w:hAnsi="宋体"/>
                              <w:sz w:val="26"/>
                              <w:szCs w:val="26"/>
                            </w:rPr>
                            <w:t>70</w:t>
                          </w:r>
                          <w:r>
                            <w:rPr>
                              <w:rFonts w:ascii="宋体" w:hAnsi="宋体"/>
                              <w:sz w:val="26"/>
                              <w:szCs w:val="26"/>
                            </w:rPr>
                            <w:fldChar w:fldCharType="end"/>
                          </w:r>
                          <w:r>
                            <w:rPr>
                              <w:rStyle w:val="51"/>
                              <w:rFonts w:hint="eastAsia" w:ascii="宋体" w:hAnsi="宋体"/>
                              <w:sz w:val="20"/>
                            </w:rPr>
                            <w:t xml:space="preserve">  </w:t>
                          </w:r>
                          <w:r>
                            <w:rPr>
                              <w:rStyle w:val="51"/>
                              <w:rFonts w:hint="eastAsia" w:ascii="宋体" w:hAnsi="宋体"/>
                              <w:sz w:val="28"/>
                              <w:szCs w:val="28"/>
                            </w:rPr>
                            <w:t>—</w:t>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left:304.25pt;margin-top:-7.05pt;height:18.15pt;width:97.95pt;mso-position-horizontal-relative:margin;z-index:251658240;mso-width-relative:page;mso-height-relative:page;" filled="f" stroked="f" coordsize="21600,21600" o:gfxdata="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j38ifWAAAACgEAAA8AAAAAAAAAAQAgAAAAIgAAAGRycy9kb3ducmV2LnhtbFBLAQIUABQAAAAI&#10;AIdO4kC47Qze7wEAALcDAAAOAAAAAAAAAAEAIAAAACUBAABkcnMvZTJvRG9jLnhtbFBLBQYAAAAA&#10;BgAGAFkBAACGBQAAAAA=&#10;">
              <v:fill on="f" focussize="0,0"/>
              <v:stroke on="f"/>
              <v:imagedata o:title=""/>
              <o:lock v:ext="edit" aspectratio="f"/>
              <v:textbox inset="0mm,0mm,0mm,0mm" style="mso-fit-shape-to-text:t;">
                <w:txbxContent>
                  <w:p>
                    <w:pPr>
                      <w:pStyle w:val="26"/>
                      <w:jc w:val="center"/>
                      <w:rPr>
                        <w:rStyle w:val="51"/>
                        <w:rFonts w:ascii="宋体" w:hAnsi="宋体"/>
                        <w:sz w:val="28"/>
                        <w:szCs w:val="28"/>
                      </w:rPr>
                    </w:pPr>
                    <w:r>
                      <w:rPr>
                        <w:rStyle w:val="51"/>
                        <w:rFonts w:hint="eastAsia" w:ascii="宋体" w:hAnsi="宋体"/>
                        <w:sz w:val="28"/>
                        <w:szCs w:val="28"/>
                      </w:rPr>
                      <w:t>—</w:t>
                    </w:r>
                    <w:r>
                      <w:rPr>
                        <w:rStyle w:val="51"/>
                        <w:rFonts w:hint="eastAsia" w:ascii="宋体" w:hAnsi="宋体"/>
                        <w:sz w:val="20"/>
                      </w:rPr>
                      <w:t xml:space="preserve">  </w:t>
                    </w:r>
                    <w:r>
                      <w:rPr>
                        <w:rFonts w:ascii="宋体" w:hAnsi="宋体"/>
                        <w:sz w:val="26"/>
                        <w:szCs w:val="26"/>
                      </w:rPr>
                      <w:fldChar w:fldCharType="begin"/>
                    </w:r>
                    <w:r>
                      <w:rPr>
                        <w:rStyle w:val="51"/>
                        <w:rFonts w:ascii="宋体" w:hAnsi="宋体"/>
                        <w:sz w:val="26"/>
                        <w:szCs w:val="26"/>
                      </w:rPr>
                      <w:instrText xml:space="preserve">PAGE  </w:instrText>
                    </w:r>
                    <w:r>
                      <w:rPr>
                        <w:rFonts w:ascii="宋体" w:hAnsi="宋体"/>
                        <w:sz w:val="26"/>
                        <w:szCs w:val="26"/>
                      </w:rPr>
                      <w:fldChar w:fldCharType="separate"/>
                    </w:r>
                    <w:r>
                      <w:rPr>
                        <w:rStyle w:val="51"/>
                        <w:rFonts w:ascii="宋体" w:hAnsi="宋体"/>
                        <w:sz w:val="26"/>
                        <w:szCs w:val="26"/>
                      </w:rPr>
                      <w:t>70</w:t>
                    </w:r>
                    <w:r>
                      <w:rPr>
                        <w:rFonts w:ascii="宋体" w:hAnsi="宋体"/>
                        <w:sz w:val="26"/>
                        <w:szCs w:val="26"/>
                      </w:rPr>
                      <w:fldChar w:fldCharType="end"/>
                    </w:r>
                    <w:r>
                      <w:rPr>
                        <w:rStyle w:val="51"/>
                        <w:rFonts w:hint="eastAsia" w:ascii="宋体" w:hAnsi="宋体"/>
                        <w:sz w:val="20"/>
                      </w:rPr>
                      <w:t xml:space="preserve">  </w:t>
                    </w:r>
                    <w:r>
                      <w:rPr>
                        <w:rStyle w:val="51"/>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C429F"/>
    <w:multiLevelType w:val="singleLevel"/>
    <w:tmpl w:val="60EC42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0B62"/>
    <w:rsid w:val="0000110C"/>
    <w:rsid w:val="00001B36"/>
    <w:rsid w:val="00001F1B"/>
    <w:rsid w:val="000034CD"/>
    <w:rsid w:val="00003B3D"/>
    <w:rsid w:val="00003D3E"/>
    <w:rsid w:val="0000455C"/>
    <w:rsid w:val="00004952"/>
    <w:rsid w:val="00005D15"/>
    <w:rsid w:val="000060B3"/>
    <w:rsid w:val="00010156"/>
    <w:rsid w:val="000102C5"/>
    <w:rsid w:val="0001057A"/>
    <w:rsid w:val="00011100"/>
    <w:rsid w:val="00012358"/>
    <w:rsid w:val="00012490"/>
    <w:rsid w:val="00013022"/>
    <w:rsid w:val="00013141"/>
    <w:rsid w:val="000136DF"/>
    <w:rsid w:val="00014234"/>
    <w:rsid w:val="0001454D"/>
    <w:rsid w:val="0001583C"/>
    <w:rsid w:val="00015EEB"/>
    <w:rsid w:val="0001736A"/>
    <w:rsid w:val="00020E5B"/>
    <w:rsid w:val="00020EAE"/>
    <w:rsid w:val="00020ECA"/>
    <w:rsid w:val="000210E1"/>
    <w:rsid w:val="00021B28"/>
    <w:rsid w:val="00022018"/>
    <w:rsid w:val="0002323C"/>
    <w:rsid w:val="00023C93"/>
    <w:rsid w:val="000247EC"/>
    <w:rsid w:val="00024C38"/>
    <w:rsid w:val="0002681E"/>
    <w:rsid w:val="00026A8E"/>
    <w:rsid w:val="00026B99"/>
    <w:rsid w:val="00027DB6"/>
    <w:rsid w:val="00027DFB"/>
    <w:rsid w:val="00027F69"/>
    <w:rsid w:val="00031E40"/>
    <w:rsid w:val="000326E4"/>
    <w:rsid w:val="00032967"/>
    <w:rsid w:val="000337BA"/>
    <w:rsid w:val="00034562"/>
    <w:rsid w:val="0003488F"/>
    <w:rsid w:val="00035998"/>
    <w:rsid w:val="000372C3"/>
    <w:rsid w:val="000402C6"/>
    <w:rsid w:val="000413B1"/>
    <w:rsid w:val="000420A6"/>
    <w:rsid w:val="0004364B"/>
    <w:rsid w:val="00043BD0"/>
    <w:rsid w:val="00045F41"/>
    <w:rsid w:val="00050B1C"/>
    <w:rsid w:val="00050B74"/>
    <w:rsid w:val="00052514"/>
    <w:rsid w:val="00052B08"/>
    <w:rsid w:val="0005327F"/>
    <w:rsid w:val="00053EA1"/>
    <w:rsid w:val="000542F1"/>
    <w:rsid w:val="00054429"/>
    <w:rsid w:val="00055134"/>
    <w:rsid w:val="000551C0"/>
    <w:rsid w:val="00057234"/>
    <w:rsid w:val="0005735F"/>
    <w:rsid w:val="000578A4"/>
    <w:rsid w:val="000579A3"/>
    <w:rsid w:val="00057ED6"/>
    <w:rsid w:val="00060DDA"/>
    <w:rsid w:val="00061B1F"/>
    <w:rsid w:val="00063C0F"/>
    <w:rsid w:val="00064096"/>
    <w:rsid w:val="000640EB"/>
    <w:rsid w:val="00065DAF"/>
    <w:rsid w:val="0006701F"/>
    <w:rsid w:val="0006708A"/>
    <w:rsid w:val="00067256"/>
    <w:rsid w:val="000673FF"/>
    <w:rsid w:val="00067FAB"/>
    <w:rsid w:val="00073158"/>
    <w:rsid w:val="0007321E"/>
    <w:rsid w:val="000733C4"/>
    <w:rsid w:val="00073429"/>
    <w:rsid w:val="000737EB"/>
    <w:rsid w:val="00074783"/>
    <w:rsid w:val="00076A77"/>
    <w:rsid w:val="00076E52"/>
    <w:rsid w:val="00077D26"/>
    <w:rsid w:val="0008070B"/>
    <w:rsid w:val="000810AC"/>
    <w:rsid w:val="00081871"/>
    <w:rsid w:val="00081A02"/>
    <w:rsid w:val="00081F47"/>
    <w:rsid w:val="00082231"/>
    <w:rsid w:val="000837E8"/>
    <w:rsid w:val="0008407E"/>
    <w:rsid w:val="00084869"/>
    <w:rsid w:val="00084A5A"/>
    <w:rsid w:val="00084F3D"/>
    <w:rsid w:val="000855D6"/>
    <w:rsid w:val="000865E4"/>
    <w:rsid w:val="00086701"/>
    <w:rsid w:val="0008685B"/>
    <w:rsid w:val="00087782"/>
    <w:rsid w:val="00087FEF"/>
    <w:rsid w:val="000908ED"/>
    <w:rsid w:val="000925B9"/>
    <w:rsid w:val="00092919"/>
    <w:rsid w:val="00092D38"/>
    <w:rsid w:val="00092E5B"/>
    <w:rsid w:val="0009377B"/>
    <w:rsid w:val="000943FE"/>
    <w:rsid w:val="00096494"/>
    <w:rsid w:val="00096EF9"/>
    <w:rsid w:val="000974CA"/>
    <w:rsid w:val="000A20C9"/>
    <w:rsid w:val="000A32C6"/>
    <w:rsid w:val="000A3A3A"/>
    <w:rsid w:val="000A4870"/>
    <w:rsid w:val="000A59AC"/>
    <w:rsid w:val="000A5CDA"/>
    <w:rsid w:val="000A6AB4"/>
    <w:rsid w:val="000A6E3C"/>
    <w:rsid w:val="000A6E5A"/>
    <w:rsid w:val="000B058F"/>
    <w:rsid w:val="000B096E"/>
    <w:rsid w:val="000B09F0"/>
    <w:rsid w:val="000B2626"/>
    <w:rsid w:val="000B4467"/>
    <w:rsid w:val="000B46F1"/>
    <w:rsid w:val="000B483C"/>
    <w:rsid w:val="000B4DB9"/>
    <w:rsid w:val="000B5362"/>
    <w:rsid w:val="000B5D89"/>
    <w:rsid w:val="000B633B"/>
    <w:rsid w:val="000B6FDF"/>
    <w:rsid w:val="000B7D52"/>
    <w:rsid w:val="000C0876"/>
    <w:rsid w:val="000C09AC"/>
    <w:rsid w:val="000C1D71"/>
    <w:rsid w:val="000C1EB7"/>
    <w:rsid w:val="000C2783"/>
    <w:rsid w:val="000C41C1"/>
    <w:rsid w:val="000C4765"/>
    <w:rsid w:val="000C4932"/>
    <w:rsid w:val="000C53F2"/>
    <w:rsid w:val="000C61F5"/>
    <w:rsid w:val="000C6637"/>
    <w:rsid w:val="000C6E92"/>
    <w:rsid w:val="000C767F"/>
    <w:rsid w:val="000C7E03"/>
    <w:rsid w:val="000D0B9D"/>
    <w:rsid w:val="000D0DE8"/>
    <w:rsid w:val="000D0E99"/>
    <w:rsid w:val="000D2057"/>
    <w:rsid w:val="000D2200"/>
    <w:rsid w:val="000D28E6"/>
    <w:rsid w:val="000D4091"/>
    <w:rsid w:val="000D4C46"/>
    <w:rsid w:val="000D4E02"/>
    <w:rsid w:val="000D4FFB"/>
    <w:rsid w:val="000D53BC"/>
    <w:rsid w:val="000D5A44"/>
    <w:rsid w:val="000D5A61"/>
    <w:rsid w:val="000D5C15"/>
    <w:rsid w:val="000D71CC"/>
    <w:rsid w:val="000E27EA"/>
    <w:rsid w:val="000E2C2E"/>
    <w:rsid w:val="000E2D45"/>
    <w:rsid w:val="000E3441"/>
    <w:rsid w:val="000E3ED2"/>
    <w:rsid w:val="000E54C3"/>
    <w:rsid w:val="000E6B0E"/>
    <w:rsid w:val="000E6EB1"/>
    <w:rsid w:val="000E7258"/>
    <w:rsid w:val="000F03C2"/>
    <w:rsid w:val="000F19C0"/>
    <w:rsid w:val="000F2AE9"/>
    <w:rsid w:val="000F2E83"/>
    <w:rsid w:val="000F2FC1"/>
    <w:rsid w:val="000F5D9D"/>
    <w:rsid w:val="000F6730"/>
    <w:rsid w:val="000F6B12"/>
    <w:rsid w:val="001006D2"/>
    <w:rsid w:val="00100E9E"/>
    <w:rsid w:val="00100F27"/>
    <w:rsid w:val="00101D23"/>
    <w:rsid w:val="00101F96"/>
    <w:rsid w:val="00102404"/>
    <w:rsid w:val="00104D30"/>
    <w:rsid w:val="00106646"/>
    <w:rsid w:val="0010754B"/>
    <w:rsid w:val="001102C1"/>
    <w:rsid w:val="00110B9B"/>
    <w:rsid w:val="00111480"/>
    <w:rsid w:val="0011219E"/>
    <w:rsid w:val="00112227"/>
    <w:rsid w:val="001132AA"/>
    <w:rsid w:val="001149FD"/>
    <w:rsid w:val="001155B0"/>
    <w:rsid w:val="00116B1C"/>
    <w:rsid w:val="001201A3"/>
    <w:rsid w:val="001205A4"/>
    <w:rsid w:val="00120FA7"/>
    <w:rsid w:val="00121EB4"/>
    <w:rsid w:val="0012404E"/>
    <w:rsid w:val="001249F5"/>
    <w:rsid w:val="00124B4A"/>
    <w:rsid w:val="00125A28"/>
    <w:rsid w:val="00125C4E"/>
    <w:rsid w:val="00127577"/>
    <w:rsid w:val="001278D5"/>
    <w:rsid w:val="00127B56"/>
    <w:rsid w:val="00127BBE"/>
    <w:rsid w:val="00130690"/>
    <w:rsid w:val="00131F42"/>
    <w:rsid w:val="00132F06"/>
    <w:rsid w:val="001332E5"/>
    <w:rsid w:val="0013346B"/>
    <w:rsid w:val="001334D8"/>
    <w:rsid w:val="0013461E"/>
    <w:rsid w:val="001352E2"/>
    <w:rsid w:val="001357F1"/>
    <w:rsid w:val="001377CD"/>
    <w:rsid w:val="00140F02"/>
    <w:rsid w:val="00140FA8"/>
    <w:rsid w:val="00141CD2"/>
    <w:rsid w:val="00141FF4"/>
    <w:rsid w:val="00142FEB"/>
    <w:rsid w:val="00143A2D"/>
    <w:rsid w:val="00145585"/>
    <w:rsid w:val="00145A41"/>
    <w:rsid w:val="001464A5"/>
    <w:rsid w:val="00147242"/>
    <w:rsid w:val="00147A46"/>
    <w:rsid w:val="001511F0"/>
    <w:rsid w:val="00151360"/>
    <w:rsid w:val="00151675"/>
    <w:rsid w:val="00152AAE"/>
    <w:rsid w:val="00155FEB"/>
    <w:rsid w:val="001566B1"/>
    <w:rsid w:val="001573AB"/>
    <w:rsid w:val="00157435"/>
    <w:rsid w:val="0016046B"/>
    <w:rsid w:val="00161896"/>
    <w:rsid w:val="001625B7"/>
    <w:rsid w:val="00163D5F"/>
    <w:rsid w:val="00164453"/>
    <w:rsid w:val="0016498B"/>
    <w:rsid w:val="001665BD"/>
    <w:rsid w:val="001678DD"/>
    <w:rsid w:val="00167A79"/>
    <w:rsid w:val="00170200"/>
    <w:rsid w:val="00170604"/>
    <w:rsid w:val="0017192B"/>
    <w:rsid w:val="00172217"/>
    <w:rsid w:val="00173650"/>
    <w:rsid w:val="00174CB2"/>
    <w:rsid w:val="0017504D"/>
    <w:rsid w:val="001754F4"/>
    <w:rsid w:val="00175536"/>
    <w:rsid w:val="0017671A"/>
    <w:rsid w:val="0017674D"/>
    <w:rsid w:val="00177422"/>
    <w:rsid w:val="0017747C"/>
    <w:rsid w:val="00180E5C"/>
    <w:rsid w:val="00181055"/>
    <w:rsid w:val="001813B0"/>
    <w:rsid w:val="00182902"/>
    <w:rsid w:val="00183184"/>
    <w:rsid w:val="00183FED"/>
    <w:rsid w:val="00184590"/>
    <w:rsid w:val="0018489C"/>
    <w:rsid w:val="00184AB6"/>
    <w:rsid w:val="0018582F"/>
    <w:rsid w:val="00185AFB"/>
    <w:rsid w:val="00185BEC"/>
    <w:rsid w:val="001870D1"/>
    <w:rsid w:val="0018710B"/>
    <w:rsid w:val="0018781E"/>
    <w:rsid w:val="00187C8C"/>
    <w:rsid w:val="00187FD1"/>
    <w:rsid w:val="00191B4A"/>
    <w:rsid w:val="0019262D"/>
    <w:rsid w:val="00192646"/>
    <w:rsid w:val="0019308C"/>
    <w:rsid w:val="001933B4"/>
    <w:rsid w:val="001952EC"/>
    <w:rsid w:val="00195F18"/>
    <w:rsid w:val="001966B2"/>
    <w:rsid w:val="00196747"/>
    <w:rsid w:val="00196A74"/>
    <w:rsid w:val="00196B8D"/>
    <w:rsid w:val="00196F9F"/>
    <w:rsid w:val="001A1B35"/>
    <w:rsid w:val="001A247E"/>
    <w:rsid w:val="001A308C"/>
    <w:rsid w:val="001A48A2"/>
    <w:rsid w:val="001A5141"/>
    <w:rsid w:val="001A5213"/>
    <w:rsid w:val="001A52C7"/>
    <w:rsid w:val="001A52E2"/>
    <w:rsid w:val="001A5342"/>
    <w:rsid w:val="001A5F0A"/>
    <w:rsid w:val="001A656D"/>
    <w:rsid w:val="001A6F61"/>
    <w:rsid w:val="001A7065"/>
    <w:rsid w:val="001B04AE"/>
    <w:rsid w:val="001B1036"/>
    <w:rsid w:val="001B351F"/>
    <w:rsid w:val="001B40CF"/>
    <w:rsid w:val="001B41DB"/>
    <w:rsid w:val="001B58E9"/>
    <w:rsid w:val="001B58FB"/>
    <w:rsid w:val="001B6D54"/>
    <w:rsid w:val="001B7204"/>
    <w:rsid w:val="001B72B8"/>
    <w:rsid w:val="001C068D"/>
    <w:rsid w:val="001C0750"/>
    <w:rsid w:val="001C0DDC"/>
    <w:rsid w:val="001C12CD"/>
    <w:rsid w:val="001C2A0E"/>
    <w:rsid w:val="001C2A9A"/>
    <w:rsid w:val="001C35E2"/>
    <w:rsid w:val="001C3AD6"/>
    <w:rsid w:val="001C3BC5"/>
    <w:rsid w:val="001C533C"/>
    <w:rsid w:val="001C5582"/>
    <w:rsid w:val="001C5C97"/>
    <w:rsid w:val="001C69B3"/>
    <w:rsid w:val="001C6DE7"/>
    <w:rsid w:val="001C7D7E"/>
    <w:rsid w:val="001D00AB"/>
    <w:rsid w:val="001D0377"/>
    <w:rsid w:val="001D0A3C"/>
    <w:rsid w:val="001D0FEA"/>
    <w:rsid w:val="001D17F8"/>
    <w:rsid w:val="001D1F5F"/>
    <w:rsid w:val="001D2A0F"/>
    <w:rsid w:val="001D4F0A"/>
    <w:rsid w:val="001D5595"/>
    <w:rsid w:val="001D55CA"/>
    <w:rsid w:val="001D76DF"/>
    <w:rsid w:val="001D7874"/>
    <w:rsid w:val="001D78E5"/>
    <w:rsid w:val="001D7F22"/>
    <w:rsid w:val="001D7FF2"/>
    <w:rsid w:val="001E17D8"/>
    <w:rsid w:val="001E1943"/>
    <w:rsid w:val="001E37D4"/>
    <w:rsid w:val="001E38D3"/>
    <w:rsid w:val="001E640B"/>
    <w:rsid w:val="001E6517"/>
    <w:rsid w:val="001F0F17"/>
    <w:rsid w:val="001F1996"/>
    <w:rsid w:val="001F1A30"/>
    <w:rsid w:val="001F2E25"/>
    <w:rsid w:val="001F3347"/>
    <w:rsid w:val="001F42FA"/>
    <w:rsid w:val="001F4E87"/>
    <w:rsid w:val="001F5190"/>
    <w:rsid w:val="001F5ECE"/>
    <w:rsid w:val="001F69E4"/>
    <w:rsid w:val="001F6A57"/>
    <w:rsid w:val="001F73ED"/>
    <w:rsid w:val="001F73F3"/>
    <w:rsid w:val="00203A14"/>
    <w:rsid w:val="00204899"/>
    <w:rsid w:val="00204A67"/>
    <w:rsid w:val="002051EA"/>
    <w:rsid w:val="002053B1"/>
    <w:rsid w:val="00207D32"/>
    <w:rsid w:val="00210F7B"/>
    <w:rsid w:val="002110B4"/>
    <w:rsid w:val="00211109"/>
    <w:rsid w:val="002117CA"/>
    <w:rsid w:val="002121B2"/>
    <w:rsid w:val="002125B4"/>
    <w:rsid w:val="00213390"/>
    <w:rsid w:val="00213EC9"/>
    <w:rsid w:val="00214F70"/>
    <w:rsid w:val="002155B8"/>
    <w:rsid w:val="00215E05"/>
    <w:rsid w:val="00216EE2"/>
    <w:rsid w:val="0022050D"/>
    <w:rsid w:val="00221524"/>
    <w:rsid w:val="002215C4"/>
    <w:rsid w:val="00221700"/>
    <w:rsid w:val="00221AE2"/>
    <w:rsid w:val="002232C3"/>
    <w:rsid w:val="00223B09"/>
    <w:rsid w:val="00223D46"/>
    <w:rsid w:val="00224839"/>
    <w:rsid w:val="002249B2"/>
    <w:rsid w:val="00224A42"/>
    <w:rsid w:val="00224E3D"/>
    <w:rsid w:val="00225586"/>
    <w:rsid w:val="00225A80"/>
    <w:rsid w:val="00226574"/>
    <w:rsid w:val="00227829"/>
    <w:rsid w:val="002278EC"/>
    <w:rsid w:val="00227BD4"/>
    <w:rsid w:val="002307D4"/>
    <w:rsid w:val="00230D2B"/>
    <w:rsid w:val="002316A5"/>
    <w:rsid w:val="00231854"/>
    <w:rsid w:val="00231C99"/>
    <w:rsid w:val="00231F98"/>
    <w:rsid w:val="00232271"/>
    <w:rsid w:val="0023280E"/>
    <w:rsid w:val="00232898"/>
    <w:rsid w:val="00233DD1"/>
    <w:rsid w:val="0023445A"/>
    <w:rsid w:val="00234C2A"/>
    <w:rsid w:val="0023601F"/>
    <w:rsid w:val="002362F9"/>
    <w:rsid w:val="002377D1"/>
    <w:rsid w:val="002404C2"/>
    <w:rsid w:val="002415D4"/>
    <w:rsid w:val="002418A3"/>
    <w:rsid w:val="0024279B"/>
    <w:rsid w:val="0024499C"/>
    <w:rsid w:val="00245869"/>
    <w:rsid w:val="00245DCD"/>
    <w:rsid w:val="00246020"/>
    <w:rsid w:val="00247587"/>
    <w:rsid w:val="002506BC"/>
    <w:rsid w:val="00250B79"/>
    <w:rsid w:val="00251917"/>
    <w:rsid w:val="0025261D"/>
    <w:rsid w:val="00254345"/>
    <w:rsid w:val="00254530"/>
    <w:rsid w:val="00254731"/>
    <w:rsid w:val="0025490C"/>
    <w:rsid w:val="00254A22"/>
    <w:rsid w:val="00254FD7"/>
    <w:rsid w:val="002627BD"/>
    <w:rsid w:val="00263E52"/>
    <w:rsid w:val="0026446F"/>
    <w:rsid w:val="00264557"/>
    <w:rsid w:val="002646B1"/>
    <w:rsid w:val="00264D74"/>
    <w:rsid w:val="002653EC"/>
    <w:rsid w:val="00266D60"/>
    <w:rsid w:val="00266FBC"/>
    <w:rsid w:val="00271190"/>
    <w:rsid w:val="00272926"/>
    <w:rsid w:val="00272F2B"/>
    <w:rsid w:val="0027463D"/>
    <w:rsid w:val="002748BA"/>
    <w:rsid w:val="002761E4"/>
    <w:rsid w:val="00276F20"/>
    <w:rsid w:val="00277022"/>
    <w:rsid w:val="00277590"/>
    <w:rsid w:val="00277909"/>
    <w:rsid w:val="00277B08"/>
    <w:rsid w:val="002803AC"/>
    <w:rsid w:val="002805AB"/>
    <w:rsid w:val="0028192D"/>
    <w:rsid w:val="00281D9A"/>
    <w:rsid w:val="002820AB"/>
    <w:rsid w:val="0028276F"/>
    <w:rsid w:val="002829E2"/>
    <w:rsid w:val="00282B36"/>
    <w:rsid w:val="00284204"/>
    <w:rsid w:val="00284447"/>
    <w:rsid w:val="00284688"/>
    <w:rsid w:val="00284B3E"/>
    <w:rsid w:val="00284E83"/>
    <w:rsid w:val="00285C8D"/>
    <w:rsid w:val="00285F28"/>
    <w:rsid w:val="00286EE4"/>
    <w:rsid w:val="00286FF9"/>
    <w:rsid w:val="002870D2"/>
    <w:rsid w:val="0028748D"/>
    <w:rsid w:val="00287807"/>
    <w:rsid w:val="00287DF0"/>
    <w:rsid w:val="0029135F"/>
    <w:rsid w:val="00291773"/>
    <w:rsid w:val="00292444"/>
    <w:rsid w:val="002930FC"/>
    <w:rsid w:val="00293819"/>
    <w:rsid w:val="00294433"/>
    <w:rsid w:val="00295691"/>
    <w:rsid w:val="00295877"/>
    <w:rsid w:val="00295B8F"/>
    <w:rsid w:val="00296B83"/>
    <w:rsid w:val="00296BDA"/>
    <w:rsid w:val="00297379"/>
    <w:rsid w:val="002975C0"/>
    <w:rsid w:val="002A0656"/>
    <w:rsid w:val="002A0B67"/>
    <w:rsid w:val="002A168C"/>
    <w:rsid w:val="002A1837"/>
    <w:rsid w:val="002A2D19"/>
    <w:rsid w:val="002A31F7"/>
    <w:rsid w:val="002A3DC7"/>
    <w:rsid w:val="002A4298"/>
    <w:rsid w:val="002A46F3"/>
    <w:rsid w:val="002A504F"/>
    <w:rsid w:val="002A6339"/>
    <w:rsid w:val="002A71CE"/>
    <w:rsid w:val="002B0705"/>
    <w:rsid w:val="002B272B"/>
    <w:rsid w:val="002B2805"/>
    <w:rsid w:val="002B2E2A"/>
    <w:rsid w:val="002B49E2"/>
    <w:rsid w:val="002B5638"/>
    <w:rsid w:val="002B56F6"/>
    <w:rsid w:val="002B597F"/>
    <w:rsid w:val="002B5DF2"/>
    <w:rsid w:val="002B6988"/>
    <w:rsid w:val="002B7B00"/>
    <w:rsid w:val="002B7C44"/>
    <w:rsid w:val="002C0434"/>
    <w:rsid w:val="002C1070"/>
    <w:rsid w:val="002C14C5"/>
    <w:rsid w:val="002C16D8"/>
    <w:rsid w:val="002C1AC4"/>
    <w:rsid w:val="002C1F2E"/>
    <w:rsid w:val="002C209B"/>
    <w:rsid w:val="002C29E1"/>
    <w:rsid w:val="002C2B17"/>
    <w:rsid w:val="002C2BEE"/>
    <w:rsid w:val="002C2CA5"/>
    <w:rsid w:val="002C34CE"/>
    <w:rsid w:val="002C3E4A"/>
    <w:rsid w:val="002C4232"/>
    <w:rsid w:val="002C46A7"/>
    <w:rsid w:val="002C46F7"/>
    <w:rsid w:val="002C55A3"/>
    <w:rsid w:val="002D045F"/>
    <w:rsid w:val="002D13DB"/>
    <w:rsid w:val="002D2B4A"/>
    <w:rsid w:val="002D3643"/>
    <w:rsid w:val="002D3DD0"/>
    <w:rsid w:val="002D3DDE"/>
    <w:rsid w:val="002D4BAD"/>
    <w:rsid w:val="002D62F2"/>
    <w:rsid w:val="002D639F"/>
    <w:rsid w:val="002D7F42"/>
    <w:rsid w:val="002E122C"/>
    <w:rsid w:val="002E14D3"/>
    <w:rsid w:val="002E1B53"/>
    <w:rsid w:val="002E1F3A"/>
    <w:rsid w:val="002E2143"/>
    <w:rsid w:val="002E24FE"/>
    <w:rsid w:val="002E298A"/>
    <w:rsid w:val="002E2EEB"/>
    <w:rsid w:val="002E37B0"/>
    <w:rsid w:val="002E7842"/>
    <w:rsid w:val="002E7F73"/>
    <w:rsid w:val="002F0004"/>
    <w:rsid w:val="002F05FD"/>
    <w:rsid w:val="002F10E2"/>
    <w:rsid w:val="002F15F8"/>
    <w:rsid w:val="002F2550"/>
    <w:rsid w:val="002F2D64"/>
    <w:rsid w:val="002F3760"/>
    <w:rsid w:val="002F436A"/>
    <w:rsid w:val="002F4B6F"/>
    <w:rsid w:val="002F50A9"/>
    <w:rsid w:val="002F5209"/>
    <w:rsid w:val="002F552A"/>
    <w:rsid w:val="002F5D35"/>
    <w:rsid w:val="002F6448"/>
    <w:rsid w:val="002F6F30"/>
    <w:rsid w:val="0030058B"/>
    <w:rsid w:val="00301978"/>
    <w:rsid w:val="00302273"/>
    <w:rsid w:val="00302383"/>
    <w:rsid w:val="00302885"/>
    <w:rsid w:val="00302A7C"/>
    <w:rsid w:val="00302D91"/>
    <w:rsid w:val="00303103"/>
    <w:rsid w:val="0030332C"/>
    <w:rsid w:val="00303CD2"/>
    <w:rsid w:val="0030494D"/>
    <w:rsid w:val="003051C2"/>
    <w:rsid w:val="003059F2"/>
    <w:rsid w:val="003062F0"/>
    <w:rsid w:val="00310175"/>
    <w:rsid w:val="00310E6C"/>
    <w:rsid w:val="00311B20"/>
    <w:rsid w:val="00312296"/>
    <w:rsid w:val="00312991"/>
    <w:rsid w:val="00313A25"/>
    <w:rsid w:val="00314CBD"/>
    <w:rsid w:val="00314F0E"/>
    <w:rsid w:val="00316519"/>
    <w:rsid w:val="00317995"/>
    <w:rsid w:val="00320D4F"/>
    <w:rsid w:val="00320F23"/>
    <w:rsid w:val="00321D8E"/>
    <w:rsid w:val="00325853"/>
    <w:rsid w:val="00325928"/>
    <w:rsid w:val="00326288"/>
    <w:rsid w:val="00330268"/>
    <w:rsid w:val="003303EF"/>
    <w:rsid w:val="00330A99"/>
    <w:rsid w:val="00331458"/>
    <w:rsid w:val="003314A1"/>
    <w:rsid w:val="00332075"/>
    <w:rsid w:val="00332863"/>
    <w:rsid w:val="00332EA0"/>
    <w:rsid w:val="00333624"/>
    <w:rsid w:val="003336EB"/>
    <w:rsid w:val="00333D6B"/>
    <w:rsid w:val="00334642"/>
    <w:rsid w:val="00334D6A"/>
    <w:rsid w:val="00335005"/>
    <w:rsid w:val="0033558D"/>
    <w:rsid w:val="003358A4"/>
    <w:rsid w:val="00335D90"/>
    <w:rsid w:val="0033684D"/>
    <w:rsid w:val="00337B42"/>
    <w:rsid w:val="00337D4F"/>
    <w:rsid w:val="003418FC"/>
    <w:rsid w:val="00341B42"/>
    <w:rsid w:val="00342E14"/>
    <w:rsid w:val="003430D0"/>
    <w:rsid w:val="0034319C"/>
    <w:rsid w:val="0034348F"/>
    <w:rsid w:val="00344195"/>
    <w:rsid w:val="00344990"/>
    <w:rsid w:val="00344C6E"/>
    <w:rsid w:val="0034640B"/>
    <w:rsid w:val="0034700A"/>
    <w:rsid w:val="003477FA"/>
    <w:rsid w:val="003478D9"/>
    <w:rsid w:val="003509EF"/>
    <w:rsid w:val="00350C58"/>
    <w:rsid w:val="00350EC2"/>
    <w:rsid w:val="00351235"/>
    <w:rsid w:val="00351551"/>
    <w:rsid w:val="003517C7"/>
    <w:rsid w:val="0035258C"/>
    <w:rsid w:val="003543BE"/>
    <w:rsid w:val="003547DD"/>
    <w:rsid w:val="00355AAC"/>
    <w:rsid w:val="00356653"/>
    <w:rsid w:val="00356F17"/>
    <w:rsid w:val="0035743F"/>
    <w:rsid w:val="00357BA6"/>
    <w:rsid w:val="00357BE2"/>
    <w:rsid w:val="0036170C"/>
    <w:rsid w:val="00361C27"/>
    <w:rsid w:val="00361CEC"/>
    <w:rsid w:val="00363F91"/>
    <w:rsid w:val="00364BF1"/>
    <w:rsid w:val="003659C1"/>
    <w:rsid w:val="00366C64"/>
    <w:rsid w:val="00366E0F"/>
    <w:rsid w:val="003674A9"/>
    <w:rsid w:val="00367BB7"/>
    <w:rsid w:val="003713E6"/>
    <w:rsid w:val="003722FE"/>
    <w:rsid w:val="00373821"/>
    <w:rsid w:val="0037388F"/>
    <w:rsid w:val="00373CCC"/>
    <w:rsid w:val="0037406F"/>
    <w:rsid w:val="003744FD"/>
    <w:rsid w:val="00375FFE"/>
    <w:rsid w:val="00376150"/>
    <w:rsid w:val="003765EC"/>
    <w:rsid w:val="003770CC"/>
    <w:rsid w:val="00377C33"/>
    <w:rsid w:val="003800EE"/>
    <w:rsid w:val="0038055F"/>
    <w:rsid w:val="003807CA"/>
    <w:rsid w:val="0038130D"/>
    <w:rsid w:val="00381A72"/>
    <w:rsid w:val="00381C30"/>
    <w:rsid w:val="00381E63"/>
    <w:rsid w:val="00383054"/>
    <w:rsid w:val="00384676"/>
    <w:rsid w:val="00385070"/>
    <w:rsid w:val="003853BC"/>
    <w:rsid w:val="003857C4"/>
    <w:rsid w:val="00385D7C"/>
    <w:rsid w:val="00386D22"/>
    <w:rsid w:val="00387067"/>
    <w:rsid w:val="00387632"/>
    <w:rsid w:val="003906D3"/>
    <w:rsid w:val="00390857"/>
    <w:rsid w:val="003913FD"/>
    <w:rsid w:val="003953C6"/>
    <w:rsid w:val="00397294"/>
    <w:rsid w:val="003A1EDA"/>
    <w:rsid w:val="003A2955"/>
    <w:rsid w:val="003A2BAD"/>
    <w:rsid w:val="003A368E"/>
    <w:rsid w:val="003A41C9"/>
    <w:rsid w:val="003A4BF3"/>
    <w:rsid w:val="003A4DC0"/>
    <w:rsid w:val="003A4E9B"/>
    <w:rsid w:val="003A6058"/>
    <w:rsid w:val="003A6EC8"/>
    <w:rsid w:val="003A703E"/>
    <w:rsid w:val="003A7870"/>
    <w:rsid w:val="003B0A7E"/>
    <w:rsid w:val="003B0AD6"/>
    <w:rsid w:val="003B2DFE"/>
    <w:rsid w:val="003B2FD4"/>
    <w:rsid w:val="003B3466"/>
    <w:rsid w:val="003B420D"/>
    <w:rsid w:val="003B4A74"/>
    <w:rsid w:val="003B4EBE"/>
    <w:rsid w:val="003B72A6"/>
    <w:rsid w:val="003B774C"/>
    <w:rsid w:val="003C12CE"/>
    <w:rsid w:val="003C2B0A"/>
    <w:rsid w:val="003C2FA5"/>
    <w:rsid w:val="003C4295"/>
    <w:rsid w:val="003C4E29"/>
    <w:rsid w:val="003C6570"/>
    <w:rsid w:val="003C6C16"/>
    <w:rsid w:val="003D0CA6"/>
    <w:rsid w:val="003D23F3"/>
    <w:rsid w:val="003D311F"/>
    <w:rsid w:val="003D4060"/>
    <w:rsid w:val="003D44D5"/>
    <w:rsid w:val="003D5B10"/>
    <w:rsid w:val="003D673A"/>
    <w:rsid w:val="003D6FB3"/>
    <w:rsid w:val="003D7246"/>
    <w:rsid w:val="003D794D"/>
    <w:rsid w:val="003E0B54"/>
    <w:rsid w:val="003E3058"/>
    <w:rsid w:val="003E5DAC"/>
    <w:rsid w:val="003E60FD"/>
    <w:rsid w:val="003E67A9"/>
    <w:rsid w:val="003E7319"/>
    <w:rsid w:val="003E76A9"/>
    <w:rsid w:val="003F0347"/>
    <w:rsid w:val="003F0809"/>
    <w:rsid w:val="003F147A"/>
    <w:rsid w:val="003F2409"/>
    <w:rsid w:val="003F2E70"/>
    <w:rsid w:val="003F6176"/>
    <w:rsid w:val="003F6A8C"/>
    <w:rsid w:val="003F755C"/>
    <w:rsid w:val="004006B4"/>
    <w:rsid w:val="004010C2"/>
    <w:rsid w:val="00401263"/>
    <w:rsid w:val="0040183D"/>
    <w:rsid w:val="00403615"/>
    <w:rsid w:val="004043C7"/>
    <w:rsid w:val="004049FA"/>
    <w:rsid w:val="004057A7"/>
    <w:rsid w:val="00406783"/>
    <w:rsid w:val="00406C16"/>
    <w:rsid w:val="00406F01"/>
    <w:rsid w:val="00407328"/>
    <w:rsid w:val="00407CF7"/>
    <w:rsid w:val="0041020E"/>
    <w:rsid w:val="004117D2"/>
    <w:rsid w:val="00412DA8"/>
    <w:rsid w:val="00412E20"/>
    <w:rsid w:val="00412EED"/>
    <w:rsid w:val="00413FDC"/>
    <w:rsid w:val="00415A20"/>
    <w:rsid w:val="00415D94"/>
    <w:rsid w:val="0041698F"/>
    <w:rsid w:val="00416D50"/>
    <w:rsid w:val="00416FD5"/>
    <w:rsid w:val="0041741B"/>
    <w:rsid w:val="00417772"/>
    <w:rsid w:val="00417E23"/>
    <w:rsid w:val="00420805"/>
    <w:rsid w:val="00420E6A"/>
    <w:rsid w:val="00421067"/>
    <w:rsid w:val="00421415"/>
    <w:rsid w:val="004219E9"/>
    <w:rsid w:val="0042200A"/>
    <w:rsid w:val="004229C1"/>
    <w:rsid w:val="00422EA0"/>
    <w:rsid w:val="00425766"/>
    <w:rsid w:val="004258B6"/>
    <w:rsid w:val="00425A9E"/>
    <w:rsid w:val="004265A8"/>
    <w:rsid w:val="0042695E"/>
    <w:rsid w:val="00426970"/>
    <w:rsid w:val="00426D6B"/>
    <w:rsid w:val="00431346"/>
    <w:rsid w:val="00431528"/>
    <w:rsid w:val="00431A23"/>
    <w:rsid w:val="00431E6C"/>
    <w:rsid w:val="004333F9"/>
    <w:rsid w:val="00433562"/>
    <w:rsid w:val="00433CE7"/>
    <w:rsid w:val="00433F3B"/>
    <w:rsid w:val="00435DCC"/>
    <w:rsid w:val="00436E88"/>
    <w:rsid w:val="00437456"/>
    <w:rsid w:val="0043760B"/>
    <w:rsid w:val="00440539"/>
    <w:rsid w:val="00440C0C"/>
    <w:rsid w:val="00442015"/>
    <w:rsid w:val="00442E4E"/>
    <w:rsid w:val="00443E5E"/>
    <w:rsid w:val="00444CD4"/>
    <w:rsid w:val="0044688A"/>
    <w:rsid w:val="004473F6"/>
    <w:rsid w:val="00452147"/>
    <w:rsid w:val="00452738"/>
    <w:rsid w:val="00455C49"/>
    <w:rsid w:val="00455CFD"/>
    <w:rsid w:val="00456021"/>
    <w:rsid w:val="00456091"/>
    <w:rsid w:val="0045683F"/>
    <w:rsid w:val="004600A5"/>
    <w:rsid w:val="00460AB8"/>
    <w:rsid w:val="00461AF1"/>
    <w:rsid w:val="0046249D"/>
    <w:rsid w:val="00462916"/>
    <w:rsid w:val="00466321"/>
    <w:rsid w:val="0046687C"/>
    <w:rsid w:val="00466BD3"/>
    <w:rsid w:val="00467A12"/>
    <w:rsid w:val="00467AE0"/>
    <w:rsid w:val="00470D07"/>
    <w:rsid w:val="0047153E"/>
    <w:rsid w:val="00471D00"/>
    <w:rsid w:val="00473001"/>
    <w:rsid w:val="00474804"/>
    <w:rsid w:val="00474E9C"/>
    <w:rsid w:val="004754C4"/>
    <w:rsid w:val="00475712"/>
    <w:rsid w:val="0047633D"/>
    <w:rsid w:val="0047667A"/>
    <w:rsid w:val="00477B5C"/>
    <w:rsid w:val="0048029C"/>
    <w:rsid w:val="00480373"/>
    <w:rsid w:val="004807F3"/>
    <w:rsid w:val="004808C9"/>
    <w:rsid w:val="00480C55"/>
    <w:rsid w:val="00480D45"/>
    <w:rsid w:val="00480E27"/>
    <w:rsid w:val="004818F9"/>
    <w:rsid w:val="004834B4"/>
    <w:rsid w:val="00483916"/>
    <w:rsid w:val="00483E2D"/>
    <w:rsid w:val="00484260"/>
    <w:rsid w:val="00484B9B"/>
    <w:rsid w:val="00484DC2"/>
    <w:rsid w:val="00484FDD"/>
    <w:rsid w:val="004855F6"/>
    <w:rsid w:val="0048604A"/>
    <w:rsid w:val="0048661E"/>
    <w:rsid w:val="0049034D"/>
    <w:rsid w:val="00490706"/>
    <w:rsid w:val="0049088A"/>
    <w:rsid w:val="00490FEC"/>
    <w:rsid w:val="0049327C"/>
    <w:rsid w:val="00494670"/>
    <w:rsid w:val="0049669B"/>
    <w:rsid w:val="00497361"/>
    <w:rsid w:val="00497718"/>
    <w:rsid w:val="00497F13"/>
    <w:rsid w:val="004A0D3E"/>
    <w:rsid w:val="004A0D77"/>
    <w:rsid w:val="004A1610"/>
    <w:rsid w:val="004A337F"/>
    <w:rsid w:val="004A3823"/>
    <w:rsid w:val="004A3B84"/>
    <w:rsid w:val="004A3FA5"/>
    <w:rsid w:val="004A4F02"/>
    <w:rsid w:val="004A5B29"/>
    <w:rsid w:val="004A64DA"/>
    <w:rsid w:val="004A73C0"/>
    <w:rsid w:val="004A7CE5"/>
    <w:rsid w:val="004B0D76"/>
    <w:rsid w:val="004B0DB3"/>
    <w:rsid w:val="004B1AB6"/>
    <w:rsid w:val="004B1ADE"/>
    <w:rsid w:val="004B249E"/>
    <w:rsid w:val="004B3467"/>
    <w:rsid w:val="004B53E6"/>
    <w:rsid w:val="004B5C9A"/>
    <w:rsid w:val="004B5CC3"/>
    <w:rsid w:val="004B780B"/>
    <w:rsid w:val="004C038B"/>
    <w:rsid w:val="004C0674"/>
    <w:rsid w:val="004C0ACE"/>
    <w:rsid w:val="004C0ED5"/>
    <w:rsid w:val="004C20B8"/>
    <w:rsid w:val="004C2335"/>
    <w:rsid w:val="004C5CE0"/>
    <w:rsid w:val="004C5D31"/>
    <w:rsid w:val="004C65A2"/>
    <w:rsid w:val="004C712B"/>
    <w:rsid w:val="004C7217"/>
    <w:rsid w:val="004C732F"/>
    <w:rsid w:val="004D01BD"/>
    <w:rsid w:val="004D189B"/>
    <w:rsid w:val="004D1EFD"/>
    <w:rsid w:val="004D247A"/>
    <w:rsid w:val="004D25AD"/>
    <w:rsid w:val="004D26B9"/>
    <w:rsid w:val="004D2EF7"/>
    <w:rsid w:val="004D37FA"/>
    <w:rsid w:val="004D386B"/>
    <w:rsid w:val="004D3893"/>
    <w:rsid w:val="004D4D0F"/>
    <w:rsid w:val="004D4F0F"/>
    <w:rsid w:val="004D5038"/>
    <w:rsid w:val="004D5451"/>
    <w:rsid w:val="004D5BDF"/>
    <w:rsid w:val="004D6029"/>
    <w:rsid w:val="004D7C31"/>
    <w:rsid w:val="004E09B8"/>
    <w:rsid w:val="004E1C95"/>
    <w:rsid w:val="004E381C"/>
    <w:rsid w:val="004E3D69"/>
    <w:rsid w:val="004E473A"/>
    <w:rsid w:val="004E4DA1"/>
    <w:rsid w:val="004E5484"/>
    <w:rsid w:val="004E6946"/>
    <w:rsid w:val="004E780B"/>
    <w:rsid w:val="004F0D90"/>
    <w:rsid w:val="004F0EAB"/>
    <w:rsid w:val="004F1444"/>
    <w:rsid w:val="004F1AD8"/>
    <w:rsid w:val="004F3EC1"/>
    <w:rsid w:val="004F5144"/>
    <w:rsid w:val="004F6267"/>
    <w:rsid w:val="004F71B6"/>
    <w:rsid w:val="004F777F"/>
    <w:rsid w:val="004F7D02"/>
    <w:rsid w:val="005013CB"/>
    <w:rsid w:val="0050257D"/>
    <w:rsid w:val="005039CB"/>
    <w:rsid w:val="00504570"/>
    <w:rsid w:val="00504F1E"/>
    <w:rsid w:val="0050558F"/>
    <w:rsid w:val="0050611B"/>
    <w:rsid w:val="00506286"/>
    <w:rsid w:val="005078DA"/>
    <w:rsid w:val="00507A7F"/>
    <w:rsid w:val="00507F13"/>
    <w:rsid w:val="005100DD"/>
    <w:rsid w:val="00510658"/>
    <w:rsid w:val="00510813"/>
    <w:rsid w:val="00511990"/>
    <w:rsid w:val="00511DE0"/>
    <w:rsid w:val="0051265A"/>
    <w:rsid w:val="00513690"/>
    <w:rsid w:val="0051375B"/>
    <w:rsid w:val="00513D99"/>
    <w:rsid w:val="00514870"/>
    <w:rsid w:val="00514B9B"/>
    <w:rsid w:val="00515838"/>
    <w:rsid w:val="00515844"/>
    <w:rsid w:val="0051598E"/>
    <w:rsid w:val="00517032"/>
    <w:rsid w:val="00517243"/>
    <w:rsid w:val="00517F02"/>
    <w:rsid w:val="0052033D"/>
    <w:rsid w:val="00520463"/>
    <w:rsid w:val="0052112E"/>
    <w:rsid w:val="00523A83"/>
    <w:rsid w:val="00524303"/>
    <w:rsid w:val="00524328"/>
    <w:rsid w:val="00524611"/>
    <w:rsid w:val="005248E8"/>
    <w:rsid w:val="0052587D"/>
    <w:rsid w:val="005258A2"/>
    <w:rsid w:val="0052678A"/>
    <w:rsid w:val="005315DB"/>
    <w:rsid w:val="00532489"/>
    <w:rsid w:val="00532C2C"/>
    <w:rsid w:val="00534716"/>
    <w:rsid w:val="0053548B"/>
    <w:rsid w:val="00535E58"/>
    <w:rsid w:val="00536163"/>
    <w:rsid w:val="005368E1"/>
    <w:rsid w:val="005373EB"/>
    <w:rsid w:val="0053742B"/>
    <w:rsid w:val="00540149"/>
    <w:rsid w:val="005401AE"/>
    <w:rsid w:val="00540432"/>
    <w:rsid w:val="005412CB"/>
    <w:rsid w:val="005416A8"/>
    <w:rsid w:val="00542420"/>
    <w:rsid w:val="00542E07"/>
    <w:rsid w:val="005434D0"/>
    <w:rsid w:val="00544C67"/>
    <w:rsid w:val="005450D6"/>
    <w:rsid w:val="00545170"/>
    <w:rsid w:val="005452F7"/>
    <w:rsid w:val="00545424"/>
    <w:rsid w:val="0054683C"/>
    <w:rsid w:val="00547DF0"/>
    <w:rsid w:val="00550659"/>
    <w:rsid w:val="00550AF2"/>
    <w:rsid w:val="00550FC8"/>
    <w:rsid w:val="005511A8"/>
    <w:rsid w:val="0055481E"/>
    <w:rsid w:val="00554A7B"/>
    <w:rsid w:val="00554FC9"/>
    <w:rsid w:val="00555515"/>
    <w:rsid w:val="0055572C"/>
    <w:rsid w:val="005559DB"/>
    <w:rsid w:val="0055641B"/>
    <w:rsid w:val="00556782"/>
    <w:rsid w:val="005600A6"/>
    <w:rsid w:val="005602DA"/>
    <w:rsid w:val="00560B45"/>
    <w:rsid w:val="0056106A"/>
    <w:rsid w:val="00561243"/>
    <w:rsid w:val="00561A86"/>
    <w:rsid w:val="00562960"/>
    <w:rsid w:val="0056354C"/>
    <w:rsid w:val="00563D91"/>
    <w:rsid w:val="00563DD9"/>
    <w:rsid w:val="00564396"/>
    <w:rsid w:val="005660B5"/>
    <w:rsid w:val="00567510"/>
    <w:rsid w:val="0057028C"/>
    <w:rsid w:val="005704F9"/>
    <w:rsid w:val="005720AE"/>
    <w:rsid w:val="00573198"/>
    <w:rsid w:val="0057421E"/>
    <w:rsid w:val="00574B0A"/>
    <w:rsid w:val="0057526D"/>
    <w:rsid w:val="00575F2C"/>
    <w:rsid w:val="0057708A"/>
    <w:rsid w:val="0057732B"/>
    <w:rsid w:val="005801D8"/>
    <w:rsid w:val="00580282"/>
    <w:rsid w:val="005804DD"/>
    <w:rsid w:val="0058251D"/>
    <w:rsid w:val="005833BB"/>
    <w:rsid w:val="00583718"/>
    <w:rsid w:val="005846E3"/>
    <w:rsid w:val="00585279"/>
    <w:rsid w:val="0058548B"/>
    <w:rsid w:val="0058629E"/>
    <w:rsid w:val="005866F4"/>
    <w:rsid w:val="00586751"/>
    <w:rsid w:val="00586C3E"/>
    <w:rsid w:val="00586DE8"/>
    <w:rsid w:val="0058724D"/>
    <w:rsid w:val="00590EF4"/>
    <w:rsid w:val="0059108E"/>
    <w:rsid w:val="00591596"/>
    <w:rsid w:val="00592BF4"/>
    <w:rsid w:val="00592D2F"/>
    <w:rsid w:val="0059403B"/>
    <w:rsid w:val="00594388"/>
    <w:rsid w:val="0059488C"/>
    <w:rsid w:val="00594D77"/>
    <w:rsid w:val="005969E4"/>
    <w:rsid w:val="005A06B7"/>
    <w:rsid w:val="005A0BB3"/>
    <w:rsid w:val="005A0C68"/>
    <w:rsid w:val="005A0E88"/>
    <w:rsid w:val="005A140E"/>
    <w:rsid w:val="005A1759"/>
    <w:rsid w:val="005A3EEE"/>
    <w:rsid w:val="005A592F"/>
    <w:rsid w:val="005A68A7"/>
    <w:rsid w:val="005A7E55"/>
    <w:rsid w:val="005B054C"/>
    <w:rsid w:val="005B1006"/>
    <w:rsid w:val="005B1C04"/>
    <w:rsid w:val="005B256D"/>
    <w:rsid w:val="005B2B6D"/>
    <w:rsid w:val="005B3008"/>
    <w:rsid w:val="005B3844"/>
    <w:rsid w:val="005B393E"/>
    <w:rsid w:val="005B5410"/>
    <w:rsid w:val="005B789C"/>
    <w:rsid w:val="005B7912"/>
    <w:rsid w:val="005C2840"/>
    <w:rsid w:val="005C3595"/>
    <w:rsid w:val="005C5E18"/>
    <w:rsid w:val="005C61D6"/>
    <w:rsid w:val="005C6711"/>
    <w:rsid w:val="005C6DA0"/>
    <w:rsid w:val="005C7AE9"/>
    <w:rsid w:val="005C7ECA"/>
    <w:rsid w:val="005D173E"/>
    <w:rsid w:val="005D2FDC"/>
    <w:rsid w:val="005D36AB"/>
    <w:rsid w:val="005D4A8B"/>
    <w:rsid w:val="005D5447"/>
    <w:rsid w:val="005D5978"/>
    <w:rsid w:val="005D67F9"/>
    <w:rsid w:val="005E0FA4"/>
    <w:rsid w:val="005E1450"/>
    <w:rsid w:val="005E18D4"/>
    <w:rsid w:val="005E379C"/>
    <w:rsid w:val="005E3C05"/>
    <w:rsid w:val="005E491E"/>
    <w:rsid w:val="005E7BC3"/>
    <w:rsid w:val="005F022D"/>
    <w:rsid w:val="005F10BA"/>
    <w:rsid w:val="005F11BB"/>
    <w:rsid w:val="005F1A08"/>
    <w:rsid w:val="005F2412"/>
    <w:rsid w:val="005F286B"/>
    <w:rsid w:val="005F35E5"/>
    <w:rsid w:val="005F3B1C"/>
    <w:rsid w:val="005F3DBA"/>
    <w:rsid w:val="005F496A"/>
    <w:rsid w:val="005F5228"/>
    <w:rsid w:val="005F5B68"/>
    <w:rsid w:val="005F6345"/>
    <w:rsid w:val="005F6872"/>
    <w:rsid w:val="005F6C42"/>
    <w:rsid w:val="005F7C76"/>
    <w:rsid w:val="005F7DA6"/>
    <w:rsid w:val="006012FE"/>
    <w:rsid w:val="006017FF"/>
    <w:rsid w:val="00601C82"/>
    <w:rsid w:val="006029EC"/>
    <w:rsid w:val="00604991"/>
    <w:rsid w:val="00604F7B"/>
    <w:rsid w:val="00605760"/>
    <w:rsid w:val="0060683A"/>
    <w:rsid w:val="00606B4F"/>
    <w:rsid w:val="00606CA9"/>
    <w:rsid w:val="0060719B"/>
    <w:rsid w:val="00607779"/>
    <w:rsid w:val="0060793C"/>
    <w:rsid w:val="00607993"/>
    <w:rsid w:val="00611FA7"/>
    <w:rsid w:val="00612A6D"/>
    <w:rsid w:val="00612C61"/>
    <w:rsid w:val="00612CCF"/>
    <w:rsid w:val="00614479"/>
    <w:rsid w:val="00614730"/>
    <w:rsid w:val="00616BF6"/>
    <w:rsid w:val="00617CC3"/>
    <w:rsid w:val="006200DF"/>
    <w:rsid w:val="006211F2"/>
    <w:rsid w:val="00624459"/>
    <w:rsid w:val="00624CEE"/>
    <w:rsid w:val="00624DBE"/>
    <w:rsid w:val="0062635A"/>
    <w:rsid w:val="006263F1"/>
    <w:rsid w:val="0062677E"/>
    <w:rsid w:val="00626E38"/>
    <w:rsid w:val="00627418"/>
    <w:rsid w:val="0063075A"/>
    <w:rsid w:val="00632778"/>
    <w:rsid w:val="00632CC7"/>
    <w:rsid w:val="0063419C"/>
    <w:rsid w:val="0063445A"/>
    <w:rsid w:val="00634E21"/>
    <w:rsid w:val="0063523A"/>
    <w:rsid w:val="006357A7"/>
    <w:rsid w:val="00635895"/>
    <w:rsid w:val="00636E6E"/>
    <w:rsid w:val="006377A6"/>
    <w:rsid w:val="00637A3D"/>
    <w:rsid w:val="00637AAC"/>
    <w:rsid w:val="006401F5"/>
    <w:rsid w:val="006411EF"/>
    <w:rsid w:val="0064244D"/>
    <w:rsid w:val="00642B77"/>
    <w:rsid w:val="006430A5"/>
    <w:rsid w:val="006432DB"/>
    <w:rsid w:val="0064361C"/>
    <w:rsid w:val="00644165"/>
    <w:rsid w:val="0064455D"/>
    <w:rsid w:val="00644B29"/>
    <w:rsid w:val="00644D6D"/>
    <w:rsid w:val="00645551"/>
    <w:rsid w:val="006456AE"/>
    <w:rsid w:val="006502ED"/>
    <w:rsid w:val="006506F3"/>
    <w:rsid w:val="00651C33"/>
    <w:rsid w:val="00652239"/>
    <w:rsid w:val="0065390E"/>
    <w:rsid w:val="0065404F"/>
    <w:rsid w:val="00654239"/>
    <w:rsid w:val="00654F85"/>
    <w:rsid w:val="006557A9"/>
    <w:rsid w:val="00655BC6"/>
    <w:rsid w:val="00657386"/>
    <w:rsid w:val="0066078C"/>
    <w:rsid w:val="0066111D"/>
    <w:rsid w:val="006617E4"/>
    <w:rsid w:val="00661C00"/>
    <w:rsid w:val="00662DE6"/>
    <w:rsid w:val="0066310D"/>
    <w:rsid w:val="00663BB4"/>
    <w:rsid w:val="00663FE1"/>
    <w:rsid w:val="00664A80"/>
    <w:rsid w:val="006656D6"/>
    <w:rsid w:val="00665ACB"/>
    <w:rsid w:val="00665FA5"/>
    <w:rsid w:val="006662E7"/>
    <w:rsid w:val="00667921"/>
    <w:rsid w:val="00667C1C"/>
    <w:rsid w:val="00670077"/>
    <w:rsid w:val="00670B5D"/>
    <w:rsid w:val="00670D34"/>
    <w:rsid w:val="00670DD5"/>
    <w:rsid w:val="006717C0"/>
    <w:rsid w:val="00672061"/>
    <w:rsid w:val="006724A9"/>
    <w:rsid w:val="006725B3"/>
    <w:rsid w:val="00672F8D"/>
    <w:rsid w:val="0067399D"/>
    <w:rsid w:val="006748B8"/>
    <w:rsid w:val="006759D5"/>
    <w:rsid w:val="006771C3"/>
    <w:rsid w:val="006772B9"/>
    <w:rsid w:val="006775C3"/>
    <w:rsid w:val="00681529"/>
    <w:rsid w:val="00681830"/>
    <w:rsid w:val="00683276"/>
    <w:rsid w:val="0068339F"/>
    <w:rsid w:val="00684160"/>
    <w:rsid w:val="00685494"/>
    <w:rsid w:val="00686135"/>
    <w:rsid w:val="0068663A"/>
    <w:rsid w:val="00686B9A"/>
    <w:rsid w:val="00687041"/>
    <w:rsid w:val="00687454"/>
    <w:rsid w:val="0069290A"/>
    <w:rsid w:val="00693DA9"/>
    <w:rsid w:val="0069474C"/>
    <w:rsid w:val="00695AE7"/>
    <w:rsid w:val="00695C4B"/>
    <w:rsid w:val="00695CF8"/>
    <w:rsid w:val="00696483"/>
    <w:rsid w:val="0069775A"/>
    <w:rsid w:val="00697813"/>
    <w:rsid w:val="006A1261"/>
    <w:rsid w:val="006A203C"/>
    <w:rsid w:val="006A2CE8"/>
    <w:rsid w:val="006A2D02"/>
    <w:rsid w:val="006A2DF9"/>
    <w:rsid w:val="006A2F1C"/>
    <w:rsid w:val="006A3230"/>
    <w:rsid w:val="006A3571"/>
    <w:rsid w:val="006A3873"/>
    <w:rsid w:val="006A3B05"/>
    <w:rsid w:val="006A3BC5"/>
    <w:rsid w:val="006A3D1A"/>
    <w:rsid w:val="006A3EE8"/>
    <w:rsid w:val="006A6FB8"/>
    <w:rsid w:val="006A72BF"/>
    <w:rsid w:val="006B03F2"/>
    <w:rsid w:val="006B1456"/>
    <w:rsid w:val="006B17EE"/>
    <w:rsid w:val="006B37DC"/>
    <w:rsid w:val="006B4F68"/>
    <w:rsid w:val="006B6F25"/>
    <w:rsid w:val="006B76CF"/>
    <w:rsid w:val="006B7CD6"/>
    <w:rsid w:val="006C0592"/>
    <w:rsid w:val="006C1863"/>
    <w:rsid w:val="006C272E"/>
    <w:rsid w:val="006C3A94"/>
    <w:rsid w:val="006C4503"/>
    <w:rsid w:val="006C5479"/>
    <w:rsid w:val="006C66F7"/>
    <w:rsid w:val="006C6B93"/>
    <w:rsid w:val="006C7CBA"/>
    <w:rsid w:val="006D012E"/>
    <w:rsid w:val="006D01CB"/>
    <w:rsid w:val="006D02DB"/>
    <w:rsid w:val="006D13B5"/>
    <w:rsid w:val="006D2839"/>
    <w:rsid w:val="006D2BF0"/>
    <w:rsid w:val="006D4F6C"/>
    <w:rsid w:val="006D5409"/>
    <w:rsid w:val="006D6860"/>
    <w:rsid w:val="006D69E8"/>
    <w:rsid w:val="006D6A46"/>
    <w:rsid w:val="006D711F"/>
    <w:rsid w:val="006E0C64"/>
    <w:rsid w:val="006E0F9E"/>
    <w:rsid w:val="006E12FF"/>
    <w:rsid w:val="006E3442"/>
    <w:rsid w:val="006E4761"/>
    <w:rsid w:val="006E4CE9"/>
    <w:rsid w:val="006E4DC0"/>
    <w:rsid w:val="006E56EE"/>
    <w:rsid w:val="006E5DC7"/>
    <w:rsid w:val="006E607E"/>
    <w:rsid w:val="006F0650"/>
    <w:rsid w:val="006F0894"/>
    <w:rsid w:val="006F136A"/>
    <w:rsid w:val="006F1B72"/>
    <w:rsid w:val="006F222C"/>
    <w:rsid w:val="006F264F"/>
    <w:rsid w:val="006F2BF2"/>
    <w:rsid w:val="006F3323"/>
    <w:rsid w:val="006F42A8"/>
    <w:rsid w:val="006F4CD2"/>
    <w:rsid w:val="006F5645"/>
    <w:rsid w:val="006F5728"/>
    <w:rsid w:val="006F6517"/>
    <w:rsid w:val="006F6564"/>
    <w:rsid w:val="006F67E0"/>
    <w:rsid w:val="0070038C"/>
    <w:rsid w:val="00701418"/>
    <w:rsid w:val="00703F29"/>
    <w:rsid w:val="00704DD5"/>
    <w:rsid w:val="007054D6"/>
    <w:rsid w:val="00705B6B"/>
    <w:rsid w:val="00706C5D"/>
    <w:rsid w:val="00707846"/>
    <w:rsid w:val="00707E95"/>
    <w:rsid w:val="00711852"/>
    <w:rsid w:val="0071229C"/>
    <w:rsid w:val="007126E4"/>
    <w:rsid w:val="00713BDE"/>
    <w:rsid w:val="00716719"/>
    <w:rsid w:val="007169C3"/>
    <w:rsid w:val="00716DA7"/>
    <w:rsid w:val="00717B49"/>
    <w:rsid w:val="00717FA6"/>
    <w:rsid w:val="00720112"/>
    <w:rsid w:val="00722636"/>
    <w:rsid w:val="007229F7"/>
    <w:rsid w:val="00722C0F"/>
    <w:rsid w:val="00722C4C"/>
    <w:rsid w:val="00723309"/>
    <w:rsid w:val="007243C2"/>
    <w:rsid w:val="00725EF2"/>
    <w:rsid w:val="00726515"/>
    <w:rsid w:val="00732922"/>
    <w:rsid w:val="00732963"/>
    <w:rsid w:val="00733AE6"/>
    <w:rsid w:val="007341BF"/>
    <w:rsid w:val="0073504C"/>
    <w:rsid w:val="00735522"/>
    <w:rsid w:val="00735D62"/>
    <w:rsid w:val="007365D5"/>
    <w:rsid w:val="00736621"/>
    <w:rsid w:val="007376B8"/>
    <w:rsid w:val="0073773A"/>
    <w:rsid w:val="00737AAC"/>
    <w:rsid w:val="00740491"/>
    <w:rsid w:val="00740DDC"/>
    <w:rsid w:val="007411D2"/>
    <w:rsid w:val="00741A04"/>
    <w:rsid w:val="007427FC"/>
    <w:rsid w:val="0074342B"/>
    <w:rsid w:val="007435F6"/>
    <w:rsid w:val="00743818"/>
    <w:rsid w:val="0074536B"/>
    <w:rsid w:val="0074549A"/>
    <w:rsid w:val="00745ACA"/>
    <w:rsid w:val="0074690B"/>
    <w:rsid w:val="007469DD"/>
    <w:rsid w:val="00746D0E"/>
    <w:rsid w:val="00747848"/>
    <w:rsid w:val="00750470"/>
    <w:rsid w:val="0075136D"/>
    <w:rsid w:val="0075162E"/>
    <w:rsid w:val="0075207F"/>
    <w:rsid w:val="00753A56"/>
    <w:rsid w:val="00753C5A"/>
    <w:rsid w:val="00753EE2"/>
    <w:rsid w:val="00754034"/>
    <w:rsid w:val="00756556"/>
    <w:rsid w:val="00756613"/>
    <w:rsid w:val="007579E2"/>
    <w:rsid w:val="007600DC"/>
    <w:rsid w:val="00761868"/>
    <w:rsid w:val="007618C4"/>
    <w:rsid w:val="00761FE0"/>
    <w:rsid w:val="00762104"/>
    <w:rsid w:val="00762979"/>
    <w:rsid w:val="007639A9"/>
    <w:rsid w:val="00763D41"/>
    <w:rsid w:val="00764828"/>
    <w:rsid w:val="0076575B"/>
    <w:rsid w:val="00765B54"/>
    <w:rsid w:val="00767980"/>
    <w:rsid w:val="00767B81"/>
    <w:rsid w:val="00770885"/>
    <w:rsid w:val="007709E2"/>
    <w:rsid w:val="00770B19"/>
    <w:rsid w:val="00770D39"/>
    <w:rsid w:val="007711D4"/>
    <w:rsid w:val="0077150E"/>
    <w:rsid w:val="00771ACC"/>
    <w:rsid w:val="0077219D"/>
    <w:rsid w:val="0077311F"/>
    <w:rsid w:val="0077463F"/>
    <w:rsid w:val="00775528"/>
    <w:rsid w:val="00780F4D"/>
    <w:rsid w:val="0078239F"/>
    <w:rsid w:val="007835D4"/>
    <w:rsid w:val="007836EA"/>
    <w:rsid w:val="0078470B"/>
    <w:rsid w:val="00784CDA"/>
    <w:rsid w:val="0078571B"/>
    <w:rsid w:val="00785B49"/>
    <w:rsid w:val="00785F9F"/>
    <w:rsid w:val="00786C5A"/>
    <w:rsid w:val="00787435"/>
    <w:rsid w:val="00787489"/>
    <w:rsid w:val="007879C0"/>
    <w:rsid w:val="00787DED"/>
    <w:rsid w:val="007904C9"/>
    <w:rsid w:val="007906C4"/>
    <w:rsid w:val="00790BED"/>
    <w:rsid w:val="00790D61"/>
    <w:rsid w:val="007911E9"/>
    <w:rsid w:val="00792BAA"/>
    <w:rsid w:val="00793554"/>
    <w:rsid w:val="00793E20"/>
    <w:rsid w:val="007940EA"/>
    <w:rsid w:val="007948F6"/>
    <w:rsid w:val="00794C8B"/>
    <w:rsid w:val="00795193"/>
    <w:rsid w:val="00795306"/>
    <w:rsid w:val="007954FC"/>
    <w:rsid w:val="0079571C"/>
    <w:rsid w:val="00795A4A"/>
    <w:rsid w:val="00796085"/>
    <w:rsid w:val="007967E8"/>
    <w:rsid w:val="007970BE"/>
    <w:rsid w:val="00797BE0"/>
    <w:rsid w:val="00797FCD"/>
    <w:rsid w:val="007A0A95"/>
    <w:rsid w:val="007A0EE0"/>
    <w:rsid w:val="007A2170"/>
    <w:rsid w:val="007A22BF"/>
    <w:rsid w:val="007A304E"/>
    <w:rsid w:val="007A3323"/>
    <w:rsid w:val="007A4BEB"/>
    <w:rsid w:val="007A5674"/>
    <w:rsid w:val="007A626C"/>
    <w:rsid w:val="007A64FB"/>
    <w:rsid w:val="007A6996"/>
    <w:rsid w:val="007A6A24"/>
    <w:rsid w:val="007A6CBD"/>
    <w:rsid w:val="007A6F9B"/>
    <w:rsid w:val="007A7552"/>
    <w:rsid w:val="007B082E"/>
    <w:rsid w:val="007B15D7"/>
    <w:rsid w:val="007B2924"/>
    <w:rsid w:val="007B33FA"/>
    <w:rsid w:val="007B38BB"/>
    <w:rsid w:val="007B3B1A"/>
    <w:rsid w:val="007B3FE9"/>
    <w:rsid w:val="007B501F"/>
    <w:rsid w:val="007B52CC"/>
    <w:rsid w:val="007B5F85"/>
    <w:rsid w:val="007B6205"/>
    <w:rsid w:val="007B6CB7"/>
    <w:rsid w:val="007B6E29"/>
    <w:rsid w:val="007B6E7B"/>
    <w:rsid w:val="007B72B8"/>
    <w:rsid w:val="007B76AD"/>
    <w:rsid w:val="007B7A58"/>
    <w:rsid w:val="007C0290"/>
    <w:rsid w:val="007C0313"/>
    <w:rsid w:val="007C080F"/>
    <w:rsid w:val="007C0C38"/>
    <w:rsid w:val="007C1BD5"/>
    <w:rsid w:val="007C1CF9"/>
    <w:rsid w:val="007C1F37"/>
    <w:rsid w:val="007C21B5"/>
    <w:rsid w:val="007C276F"/>
    <w:rsid w:val="007C29A7"/>
    <w:rsid w:val="007C3D2C"/>
    <w:rsid w:val="007C3FF3"/>
    <w:rsid w:val="007C4898"/>
    <w:rsid w:val="007C4A34"/>
    <w:rsid w:val="007C4BAA"/>
    <w:rsid w:val="007C4CFE"/>
    <w:rsid w:val="007C51FA"/>
    <w:rsid w:val="007C611C"/>
    <w:rsid w:val="007C77CA"/>
    <w:rsid w:val="007D052C"/>
    <w:rsid w:val="007D07B6"/>
    <w:rsid w:val="007D08EB"/>
    <w:rsid w:val="007D1291"/>
    <w:rsid w:val="007D1EC1"/>
    <w:rsid w:val="007D3B97"/>
    <w:rsid w:val="007D4E79"/>
    <w:rsid w:val="007D5B7D"/>
    <w:rsid w:val="007D660A"/>
    <w:rsid w:val="007D67C2"/>
    <w:rsid w:val="007E1C81"/>
    <w:rsid w:val="007E4235"/>
    <w:rsid w:val="007E4BD2"/>
    <w:rsid w:val="007E5711"/>
    <w:rsid w:val="007E575B"/>
    <w:rsid w:val="007E7A21"/>
    <w:rsid w:val="007F0DBA"/>
    <w:rsid w:val="007F117A"/>
    <w:rsid w:val="007F13CB"/>
    <w:rsid w:val="007F2347"/>
    <w:rsid w:val="007F255A"/>
    <w:rsid w:val="007F2BAD"/>
    <w:rsid w:val="007F3121"/>
    <w:rsid w:val="007F371F"/>
    <w:rsid w:val="007F3DB1"/>
    <w:rsid w:val="007F4797"/>
    <w:rsid w:val="007F597E"/>
    <w:rsid w:val="00800669"/>
    <w:rsid w:val="00801393"/>
    <w:rsid w:val="00802433"/>
    <w:rsid w:val="00802F88"/>
    <w:rsid w:val="00803B51"/>
    <w:rsid w:val="00803E85"/>
    <w:rsid w:val="008052FC"/>
    <w:rsid w:val="008056BE"/>
    <w:rsid w:val="00805E51"/>
    <w:rsid w:val="00805EF7"/>
    <w:rsid w:val="00805F4C"/>
    <w:rsid w:val="008064D4"/>
    <w:rsid w:val="008066DD"/>
    <w:rsid w:val="008069FA"/>
    <w:rsid w:val="00806F68"/>
    <w:rsid w:val="008071CE"/>
    <w:rsid w:val="0081149A"/>
    <w:rsid w:val="00812246"/>
    <w:rsid w:val="0081293E"/>
    <w:rsid w:val="00813464"/>
    <w:rsid w:val="00813E43"/>
    <w:rsid w:val="00815465"/>
    <w:rsid w:val="008156DF"/>
    <w:rsid w:val="008158F7"/>
    <w:rsid w:val="008163CE"/>
    <w:rsid w:val="0081679C"/>
    <w:rsid w:val="008174FE"/>
    <w:rsid w:val="00817E9A"/>
    <w:rsid w:val="00821106"/>
    <w:rsid w:val="0082139D"/>
    <w:rsid w:val="00822715"/>
    <w:rsid w:val="00822C40"/>
    <w:rsid w:val="00823DAA"/>
    <w:rsid w:val="00824407"/>
    <w:rsid w:val="00824EB1"/>
    <w:rsid w:val="00826DC5"/>
    <w:rsid w:val="008306BD"/>
    <w:rsid w:val="00831A80"/>
    <w:rsid w:val="00831C27"/>
    <w:rsid w:val="00831D65"/>
    <w:rsid w:val="008330FB"/>
    <w:rsid w:val="0083340F"/>
    <w:rsid w:val="00833743"/>
    <w:rsid w:val="008338F5"/>
    <w:rsid w:val="008340A4"/>
    <w:rsid w:val="00834590"/>
    <w:rsid w:val="00834905"/>
    <w:rsid w:val="0083689B"/>
    <w:rsid w:val="00836CC0"/>
    <w:rsid w:val="00836F2E"/>
    <w:rsid w:val="008374B5"/>
    <w:rsid w:val="00840940"/>
    <w:rsid w:val="00841555"/>
    <w:rsid w:val="008430F6"/>
    <w:rsid w:val="00843E89"/>
    <w:rsid w:val="008446A0"/>
    <w:rsid w:val="00844FB6"/>
    <w:rsid w:val="0084508B"/>
    <w:rsid w:val="00845AE6"/>
    <w:rsid w:val="00845C2A"/>
    <w:rsid w:val="00845FAC"/>
    <w:rsid w:val="00846603"/>
    <w:rsid w:val="0085157D"/>
    <w:rsid w:val="00851A71"/>
    <w:rsid w:val="00852463"/>
    <w:rsid w:val="008529BD"/>
    <w:rsid w:val="00852A0F"/>
    <w:rsid w:val="00852BF8"/>
    <w:rsid w:val="0085322E"/>
    <w:rsid w:val="008532A9"/>
    <w:rsid w:val="00853422"/>
    <w:rsid w:val="00853D21"/>
    <w:rsid w:val="008544CD"/>
    <w:rsid w:val="008548D6"/>
    <w:rsid w:val="00854F6C"/>
    <w:rsid w:val="00856604"/>
    <w:rsid w:val="00856E81"/>
    <w:rsid w:val="00857079"/>
    <w:rsid w:val="0086092E"/>
    <w:rsid w:val="00860BA2"/>
    <w:rsid w:val="0086129E"/>
    <w:rsid w:val="00861877"/>
    <w:rsid w:val="00862637"/>
    <w:rsid w:val="00862992"/>
    <w:rsid w:val="0086350C"/>
    <w:rsid w:val="00863829"/>
    <w:rsid w:val="0086409B"/>
    <w:rsid w:val="0086434C"/>
    <w:rsid w:val="00864B4F"/>
    <w:rsid w:val="0086673A"/>
    <w:rsid w:val="00866A9C"/>
    <w:rsid w:val="00867DB4"/>
    <w:rsid w:val="00870149"/>
    <w:rsid w:val="008701CA"/>
    <w:rsid w:val="008707DE"/>
    <w:rsid w:val="0087135F"/>
    <w:rsid w:val="00871946"/>
    <w:rsid w:val="00872924"/>
    <w:rsid w:val="00872D94"/>
    <w:rsid w:val="00872FDC"/>
    <w:rsid w:val="00874367"/>
    <w:rsid w:val="00874EDA"/>
    <w:rsid w:val="00875553"/>
    <w:rsid w:val="00875756"/>
    <w:rsid w:val="0087609F"/>
    <w:rsid w:val="008769B7"/>
    <w:rsid w:val="00877AA2"/>
    <w:rsid w:val="00880364"/>
    <w:rsid w:val="0088041B"/>
    <w:rsid w:val="0088150C"/>
    <w:rsid w:val="008818C1"/>
    <w:rsid w:val="00882823"/>
    <w:rsid w:val="00883123"/>
    <w:rsid w:val="008845AE"/>
    <w:rsid w:val="00885583"/>
    <w:rsid w:val="008864DD"/>
    <w:rsid w:val="00887D80"/>
    <w:rsid w:val="00891592"/>
    <w:rsid w:val="00891881"/>
    <w:rsid w:val="00891E9E"/>
    <w:rsid w:val="00892A60"/>
    <w:rsid w:val="00892E0D"/>
    <w:rsid w:val="00893521"/>
    <w:rsid w:val="008942C8"/>
    <w:rsid w:val="00895F7A"/>
    <w:rsid w:val="008976DB"/>
    <w:rsid w:val="00897B2F"/>
    <w:rsid w:val="008A1133"/>
    <w:rsid w:val="008A23AB"/>
    <w:rsid w:val="008A24F6"/>
    <w:rsid w:val="008A2F68"/>
    <w:rsid w:val="008A3200"/>
    <w:rsid w:val="008A4A12"/>
    <w:rsid w:val="008A549F"/>
    <w:rsid w:val="008A6BFE"/>
    <w:rsid w:val="008A6C77"/>
    <w:rsid w:val="008A6D04"/>
    <w:rsid w:val="008B03AE"/>
    <w:rsid w:val="008B19EF"/>
    <w:rsid w:val="008B20D9"/>
    <w:rsid w:val="008B2218"/>
    <w:rsid w:val="008B25E0"/>
    <w:rsid w:val="008B27DF"/>
    <w:rsid w:val="008B27E4"/>
    <w:rsid w:val="008B476A"/>
    <w:rsid w:val="008B4FA6"/>
    <w:rsid w:val="008B5282"/>
    <w:rsid w:val="008B5CC0"/>
    <w:rsid w:val="008B6D48"/>
    <w:rsid w:val="008B7B2B"/>
    <w:rsid w:val="008B7C17"/>
    <w:rsid w:val="008B7DD1"/>
    <w:rsid w:val="008C0F46"/>
    <w:rsid w:val="008C1572"/>
    <w:rsid w:val="008C1D58"/>
    <w:rsid w:val="008C28D0"/>
    <w:rsid w:val="008C2D01"/>
    <w:rsid w:val="008C3244"/>
    <w:rsid w:val="008C40E6"/>
    <w:rsid w:val="008C4397"/>
    <w:rsid w:val="008C5CE9"/>
    <w:rsid w:val="008C5D87"/>
    <w:rsid w:val="008C6485"/>
    <w:rsid w:val="008C7BE1"/>
    <w:rsid w:val="008D0347"/>
    <w:rsid w:val="008D06C6"/>
    <w:rsid w:val="008D0936"/>
    <w:rsid w:val="008D0F7A"/>
    <w:rsid w:val="008D10B2"/>
    <w:rsid w:val="008D1386"/>
    <w:rsid w:val="008D1840"/>
    <w:rsid w:val="008D2057"/>
    <w:rsid w:val="008D2BA5"/>
    <w:rsid w:val="008D2EAD"/>
    <w:rsid w:val="008D38E8"/>
    <w:rsid w:val="008D3D38"/>
    <w:rsid w:val="008D4105"/>
    <w:rsid w:val="008D46E7"/>
    <w:rsid w:val="008D47BF"/>
    <w:rsid w:val="008D5ABD"/>
    <w:rsid w:val="008D68E4"/>
    <w:rsid w:val="008D7233"/>
    <w:rsid w:val="008E0506"/>
    <w:rsid w:val="008E0877"/>
    <w:rsid w:val="008E0CFF"/>
    <w:rsid w:val="008E1F7E"/>
    <w:rsid w:val="008E2318"/>
    <w:rsid w:val="008E2F91"/>
    <w:rsid w:val="008E373F"/>
    <w:rsid w:val="008E38E3"/>
    <w:rsid w:val="008E47ED"/>
    <w:rsid w:val="008E4AD1"/>
    <w:rsid w:val="008E4E57"/>
    <w:rsid w:val="008E5D6B"/>
    <w:rsid w:val="008E63D4"/>
    <w:rsid w:val="008E6A0E"/>
    <w:rsid w:val="008E76F0"/>
    <w:rsid w:val="008E7A0C"/>
    <w:rsid w:val="008E7CF3"/>
    <w:rsid w:val="008F1200"/>
    <w:rsid w:val="008F15FE"/>
    <w:rsid w:val="008F1CD4"/>
    <w:rsid w:val="008F228E"/>
    <w:rsid w:val="008F245C"/>
    <w:rsid w:val="008F27F4"/>
    <w:rsid w:val="008F2D29"/>
    <w:rsid w:val="008F461E"/>
    <w:rsid w:val="008F5187"/>
    <w:rsid w:val="008F60D8"/>
    <w:rsid w:val="008F6C1A"/>
    <w:rsid w:val="008F79E3"/>
    <w:rsid w:val="00902727"/>
    <w:rsid w:val="009029FB"/>
    <w:rsid w:val="00902A38"/>
    <w:rsid w:val="0090312B"/>
    <w:rsid w:val="009040B6"/>
    <w:rsid w:val="00904109"/>
    <w:rsid w:val="0090418B"/>
    <w:rsid w:val="00905C3E"/>
    <w:rsid w:val="00906490"/>
    <w:rsid w:val="009068E7"/>
    <w:rsid w:val="00906D8F"/>
    <w:rsid w:val="00907197"/>
    <w:rsid w:val="00907339"/>
    <w:rsid w:val="009104A5"/>
    <w:rsid w:val="00910BC2"/>
    <w:rsid w:val="009125B4"/>
    <w:rsid w:val="00914008"/>
    <w:rsid w:val="0091443F"/>
    <w:rsid w:val="00914587"/>
    <w:rsid w:val="009155C3"/>
    <w:rsid w:val="009163C8"/>
    <w:rsid w:val="00916936"/>
    <w:rsid w:val="0091736D"/>
    <w:rsid w:val="00920DEE"/>
    <w:rsid w:val="00921303"/>
    <w:rsid w:val="0092186D"/>
    <w:rsid w:val="00921B86"/>
    <w:rsid w:val="009231EB"/>
    <w:rsid w:val="00924E87"/>
    <w:rsid w:val="00925441"/>
    <w:rsid w:val="00925F0B"/>
    <w:rsid w:val="00926816"/>
    <w:rsid w:val="00926917"/>
    <w:rsid w:val="0093037A"/>
    <w:rsid w:val="009312ED"/>
    <w:rsid w:val="009321D4"/>
    <w:rsid w:val="00933357"/>
    <w:rsid w:val="00933474"/>
    <w:rsid w:val="00933D38"/>
    <w:rsid w:val="009349B2"/>
    <w:rsid w:val="00936F5C"/>
    <w:rsid w:val="00937521"/>
    <w:rsid w:val="0094154D"/>
    <w:rsid w:val="00941B1C"/>
    <w:rsid w:val="009430AD"/>
    <w:rsid w:val="00943263"/>
    <w:rsid w:val="009438EC"/>
    <w:rsid w:val="00943DFA"/>
    <w:rsid w:val="00944240"/>
    <w:rsid w:val="00944E87"/>
    <w:rsid w:val="00945171"/>
    <w:rsid w:val="0094570B"/>
    <w:rsid w:val="00945EC9"/>
    <w:rsid w:val="009461C3"/>
    <w:rsid w:val="009469F2"/>
    <w:rsid w:val="00946A27"/>
    <w:rsid w:val="00946AA6"/>
    <w:rsid w:val="00950AE1"/>
    <w:rsid w:val="00951069"/>
    <w:rsid w:val="0095155F"/>
    <w:rsid w:val="00951BBE"/>
    <w:rsid w:val="009536ED"/>
    <w:rsid w:val="0095425C"/>
    <w:rsid w:val="00954376"/>
    <w:rsid w:val="00954429"/>
    <w:rsid w:val="00955120"/>
    <w:rsid w:val="00955B3D"/>
    <w:rsid w:val="009562E0"/>
    <w:rsid w:val="009563CE"/>
    <w:rsid w:val="009574AD"/>
    <w:rsid w:val="0095796E"/>
    <w:rsid w:val="00960909"/>
    <w:rsid w:val="00960D5E"/>
    <w:rsid w:val="009662DF"/>
    <w:rsid w:val="00966A06"/>
    <w:rsid w:val="009670F7"/>
    <w:rsid w:val="009671FF"/>
    <w:rsid w:val="009674CD"/>
    <w:rsid w:val="00970135"/>
    <w:rsid w:val="00970148"/>
    <w:rsid w:val="00970823"/>
    <w:rsid w:val="009709EF"/>
    <w:rsid w:val="00970D50"/>
    <w:rsid w:val="009753A6"/>
    <w:rsid w:val="00976328"/>
    <w:rsid w:val="0097680D"/>
    <w:rsid w:val="00976856"/>
    <w:rsid w:val="00976D47"/>
    <w:rsid w:val="009772F7"/>
    <w:rsid w:val="00977C2D"/>
    <w:rsid w:val="00977E43"/>
    <w:rsid w:val="00981835"/>
    <w:rsid w:val="00981D36"/>
    <w:rsid w:val="00982438"/>
    <w:rsid w:val="00982898"/>
    <w:rsid w:val="00982DE8"/>
    <w:rsid w:val="00983399"/>
    <w:rsid w:val="00983AB2"/>
    <w:rsid w:val="00983E56"/>
    <w:rsid w:val="0098404C"/>
    <w:rsid w:val="009843BA"/>
    <w:rsid w:val="0098459D"/>
    <w:rsid w:val="009848B9"/>
    <w:rsid w:val="009849E7"/>
    <w:rsid w:val="00984D08"/>
    <w:rsid w:val="0098503E"/>
    <w:rsid w:val="00985283"/>
    <w:rsid w:val="00985892"/>
    <w:rsid w:val="009859C6"/>
    <w:rsid w:val="00985C7E"/>
    <w:rsid w:val="00987F7B"/>
    <w:rsid w:val="00990BF8"/>
    <w:rsid w:val="0099109C"/>
    <w:rsid w:val="0099130E"/>
    <w:rsid w:val="0099209E"/>
    <w:rsid w:val="00993277"/>
    <w:rsid w:val="00995134"/>
    <w:rsid w:val="00995992"/>
    <w:rsid w:val="00996217"/>
    <w:rsid w:val="00996652"/>
    <w:rsid w:val="009A0158"/>
    <w:rsid w:val="009A03E5"/>
    <w:rsid w:val="009A0F3B"/>
    <w:rsid w:val="009A1625"/>
    <w:rsid w:val="009A199B"/>
    <w:rsid w:val="009A1BB4"/>
    <w:rsid w:val="009A2628"/>
    <w:rsid w:val="009A3200"/>
    <w:rsid w:val="009A484F"/>
    <w:rsid w:val="009A5110"/>
    <w:rsid w:val="009A5443"/>
    <w:rsid w:val="009A5979"/>
    <w:rsid w:val="009A5BD7"/>
    <w:rsid w:val="009A6B57"/>
    <w:rsid w:val="009A7227"/>
    <w:rsid w:val="009A76FA"/>
    <w:rsid w:val="009B0897"/>
    <w:rsid w:val="009B2615"/>
    <w:rsid w:val="009B2C8C"/>
    <w:rsid w:val="009B347D"/>
    <w:rsid w:val="009B3482"/>
    <w:rsid w:val="009B44E3"/>
    <w:rsid w:val="009B4B0A"/>
    <w:rsid w:val="009B5E17"/>
    <w:rsid w:val="009B77A2"/>
    <w:rsid w:val="009B7BD9"/>
    <w:rsid w:val="009C00D3"/>
    <w:rsid w:val="009C08E3"/>
    <w:rsid w:val="009C0DC5"/>
    <w:rsid w:val="009C1833"/>
    <w:rsid w:val="009C1D2F"/>
    <w:rsid w:val="009C1F81"/>
    <w:rsid w:val="009C2456"/>
    <w:rsid w:val="009C3280"/>
    <w:rsid w:val="009C3C5F"/>
    <w:rsid w:val="009C666E"/>
    <w:rsid w:val="009C7574"/>
    <w:rsid w:val="009C7DD5"/>
    <w:rsid w:val="009D058C"/>
    <w:rsid w:val="009D0A76"/>
    <w:rsid w:val="009D10C6"/>
    <w:rsid w:val="009D16D6"/>
    <w:rsid w:val="009D1DD0"/>
    <w:rsid w:val="009D2F81"/>
    <w:rsid w:val="009D4141"/>
    <w:rsid w:val="009D53BA"/>
    <w:rsid w:val="009D6130"/>
    <w:rsid w:val="009D616C"/>
    <w:rsid w:val="009D7204"/>
    <w:rsid w:val="009D76FE"/>
    <w:rsid w:val="009E032B"/>
    <w:rsid w:val="009E15FE"/>
    <w:rsid w:val="009E1EDE"/>
    <w:rsid w:val="009E204F"/>
    <w:rsid w:val="009E227D"/>
    <w:rsid w:val="009E2CF7"/>
    <w:rsid w:val="009E345C"/>
    <w:rsid w:val="009E3DC0"/>
    <w:rsid w:val="009E5019"/>
    <w:rsid w:val="009E6D9C"/>
    <w:rsid w:val="009E6DAF"/>
    <w:rsid w:val="009E7EBB"/>
    <w:rsid w:val="009F060C"/>
    <w:rsid w:val="009F0776"/>
    <w:rsid w:val="009F1191"/>
    <w:rsid w:val="009F185D"/>
    <w:rsid w:val="009F22BC"/>
    <w:rsid w:val="009F3388"/>
    <w:rsid w:val="009F3AD0"/>
    <w:rsid w:val="009F3C8E"/>
    <w:rsid w:val="009F5220"/>
    <w:rsid w:val="009F5C3F"/>
    <w:rsid w:val="009F5E6D"/>
    <w:rsid w:val="009F64F6"/>
    <w:rsid w:val="00A00E84"/>
    <w:rsid w:val="00A01BFF"/>
    <w:rsid w:val="00A03937"/>
    <w:rsid w:val="00A041F6"/>
    <w:rsid w:val="00A042DA"/>
    <w:rsid w:val="00A04C4A"/>
    <w:rsid w:val="00A04F1B"/>
    <w:rsid w:val="00A0501B"/>
    <w:rsid w:val="00A06C7D"/>
    <w:rsid w:val="00A071D5"/>
    <w:rsid w:val="00A07CEE"/>
    <w:rsid w:val="00A108D9"/>
    <w:rsid w:val="00A11621"/>
    <w:rsid w:val="00A11F7F"/>
    <w:rsid w:val="00A133B1"/>
    <w:rsid w:val="00A1363A"/>
    <w:rsid w:val="00A13F77"/>
    <w:rsid w:val="00A145DB"/>
    <w:rsid w:val="00A14947"/>
    <w:rsid w:val="00A15D22"/>
    <w:rsid w:val="00A15F97"/>
    <w:rsid w:val="00A167FA"/>
    <w:rsid w:val="00A16AD6"/>
    <w:rsid w:val="00A20335"/>
    <w:rsid w:val="00A20390"/>
    <w:rsid w:val="00A22383"/>
    <w:rsid w:val="00A2305D"/>
    <w:rsid w:val="00A23159"/>
    <w:rsid w:val="00A232A4"/>
    <w:rsid w:val="00A24B66"/>
    <w:rsid w:val="00A25569"/>
    <w:rsid w:val="00A261DE"/>
    <w:rsid w:val="00A26311"/>
    <w:rsid w:val="00A26585"/>
    <w:rsid w:val="00A310EA"/>
    <w:rsid w:val="00A31372"/>
    <w:rsid w:val="00A31EBE"/>
    <w:rsid w:val="00A32283"/>
    <w:rsid w:val="00A328E1"/>
    <w:rsid w:val="00A32A83"/>
    <w:rsid w:val="00A34648"/>
    <w:rsid w:val="00A3536E"/>
    <w:rsid w:val="00A36237"/>
    <w:rsid w:val="00A368DB"/>
    <w:rsid w:val="00A3751A"/>
    <w:rsid w:val="00A37587"/>
    <w:rsid w:val="00A379B2"/>
    <w:rsid w:val="00A37BF5"/>
    <w:rsid w:val="00A37E55"/>
    <w:rsid w:val="00A402EC"/>
    <w:rsid w:val="00A4049A"/>
    <w:rsid w:val="00A419E9"/>
    <w:rsid w:val="00A42085"/>
    <w:rsid w:val="00A420EC"/>
    <w:rsid w:val="00A423AA"/>
    <w:rsid w:val="00A42644"/>
    <w:rsid w:val="00A43731"/>
    <w:rsid w:val="00A4377E"/>
    <w:rsid w:val="00A448A0"/>
    <w:rsid w:val="00A44F61"/>
    <w:rsid w:val="00A4554D"/>
    <w:rsid w:val="00A4602C"/>
    <w:rsid w:val="00A50497"/>
    <w:rsid w:val="00A51747"/>
    <w:rsid w:val="00A518A6"/>
    <w:rsid w:val="00A5282F"/>
    <w:rsid w:val="00A53EC6"/>
    <w:rsid w:val="00A5403E"/>
    <w:rsid w:val="00A54C91"/>
    <w:rsid w:val="00A54D18"/>
    <w:rsid w:val="00A55C0F"/>
    <w:rsid w:val="00A57446"/>
    <w:rsid w:val="00A60525"/>
    <w:rsid w:val="00A62A38"/>
    <w:rsid w:val="00A63690"/>
    <w:rsid w:val="00A63FB7"/>
    <w:rsid w:val="00A6424E"/>
    <w:rsid w:val="00A64678"/>
    <w:rsid w:val="00A64BF5"/>
    <w:rsid w:val="00A663CA"/>
    <w:rsid w:val="00A66AE7"/>
    <w:rsid w:val="00A66BED"/>
    <w:rsid w:val="00A66F90"/>
    <w:rsid w:val="00A739D2"/>
    <w:rsid w:val="00A73C05"/>
    <w:rsid w:val="00A742ED"/>
    <w:rsid w:val="00A76A6E"/>
    <w:rsid w:val="00A77934"/>
    <w:rsid w:val="00A779F2"/>
    <w:rsid w:val="00A80472"/>
    <w:rsid w:val="00A8181B"/>
    <w:rsid w:val="00A81D2F"/>
    <w:rsid w:val="00A82DC7"/>
    <w:rsid w:val="00A85342"/>
    <w:rsid w:val="00A85781"/>
    <w:rsid w:val="00A86B7E"/>
    <w:rsid w:val="00A8713F"/>
    <w:rsid w:val="00A90493"/>
    <w:rsid w:val="00A90BA1"/>
    <w:rsid w:val="00A9111D"/>
    <w:rsid w:val="00A91C9E"/>
    <w:rsid w:val="00A91CB9"/>
    <w:rsid w:val="00A91D73"/>
    <w:rsid w:val="00A92885"/>
    <w:rsid w:val="00A939B8"/>
    <w:rsid w:val="00A939D8"/>
    <w:rsid w:val="00A97A9A"/>
    <w:rsid w:val="00AA0671"/>
    <w:rsid w:val="00AA0B5E"/>
    <w:rsid w:val="00AA0E12"/>
    <w:rsid w:val="00AA0FF2"/>
    <w:rsid w:val="00AA174A"/>
    <w:rsid w:val="00AA2531"/>
    <w:rsid w:val="00AA2671"/>
    <w:rsid w:val="00AA495C"/>
    <w:rsid w:val="00AA4A4E"/>
    <w:rsid w:val="00AA4ECF"/>
    <w:rsid w:val="00AA5C66"/>
    <w:rsid w:val="00AA74A5"/>
    <w:rsid w:val="00AA74C4"/>
    <w:rsid w:val="00AA74F0"/>
    <w:rsid w:val="00AA7981"/>
    <w:rsid w:val="00AB144E"/>
    <w:rsid w:val="00AB1839"/>
    <w:rsid w:val="00AB1E09"/>
    <w:rsid w:val="00AB1F4E"/>
    <w:rsid w:val="00AB2946"/>
    <w:rsid w:val="00AB3307"/>
    <w:rsid w:val="00AB45D8"/>
    <w:rsid w:val="00AB4AE1"/>
    <w:rsid w:val="00AB5330"/>
    <w:rsid w:val="00AB574C"/>
    <w:rsid w:val="00AB7747"/>
    <w:rsid w:val="00AB7F38"/>
    <w:rsid w:val="00AC1162"/>
    <w:rsid w:val="00AC1210"/>
    <w:rsid w:val="00AC14CE"/>
    <w:rsid w:val="00AC1D4F"/>
    <w:rsid w:val="00AC2709"/>
    <w:rsid w:val="00AC2A56"/>
    <w:rsid w:val="00AC39F3"/>
    <w:rsid w:val="00AC5A93"/>
    <w:rsid w:val="00AC5F8C"/>
    <w:rsid w:val="00AC7982"/>
    <w:rsid w:val="00AD055E"/>
    <w:rsid w:val="00AD05DC"/>
    <w:rsid w:val="00AD0BE2"/>
    <w:rsid w:val="00AD0C7C"/>
    <w:rsid w:val="00AD0EDA"/>
    <w:rsid w:val="00AD0FD3"/>
    <w:rsid w:val="00AD252E"/>
    <w:rsid w:val="00AD2721"/>
    <w:rsid w:val="00AD3F8E"/>
    <w:rsid w:val="00AD47A7"/>
    <w:rsid w:val="00AD5A7E"/>
    <w:rsid w:val="00AD652C"/>
    <w:rsid w:val="00AD67C5"/>
    <w:rsid w:val="00AD786C"/>
    <w:rsid w:val="00AD79C0"/>
    <w:rsid w:val="00AD7A71"/>
    <w:rsid w:val="00AE07D1"/>
    <w:rsid w:val="00AE0C49"/>
    <w:rsid w:val="00AE162B"/>
    <w:rsid w:val="00AE1F05"/>
    <w:rsid w:val="00AE2793"/>
    <w:rsid w:val="00AE2F36"/>
    <w:rsid w:val="00AE30A3"/>
    <w:rsid w:val="00AE46DE"/>
    <w:rsid w:val="00AE64DD"/>
    <w:rsid w:val="00AE6B06"/>
    <w:rsid w:val="00AE6D1F"/>
    <w:rsid w:val="00AE73C5"/>
    <w:rsid w:val="00AE7F33"/>
    <w:rsid w:val="00AF0CBF"/>
    <w:rsid w:val="00AF12A8"/>
    <w:rsid w:val="00AF1F65"/>
    <w:rsid w:val="00AF257F"/>
    <w:rsid w:val="00AF288E"/>
    <w:rsid w:val="00AF2946"/>
    <w:rsid w:val="00AF33CF"/>
    <w:rsid w:val="00AF3AD6"/>
    <w:rsid w:val="00AF3F33"/>
    <w:rsid w:val="00AF4D3B"/>
    <w:rsid w:val="00AF4D50"/>
    <w:rsid w:val="00AF6179"/>
    <w:rsid w:val="00AF7459"/>
    <w:rsid w:val="00AF7D13"/>
    <w:rsid w:val="00B00242"/>
    <w:rsid w:val="00B01884"/>
    <w:rsid w:val="00B02AF4"/>
    <w:rsid w:val="00B04039"/>
    <w:rsid w:val="00B04BEE"/>
    <w:rsid w:val="00B05210"/>
    <w:rsid w:val="00B0606C"/>
    <w:rsid w:val="00B072C0"/>
    <w:rsid w:val="00B079A8"/>
    <w:rsid w:val="00B11756"/>
    <w:rsid w:val="00B11B96"/>
    <w:rsid w:val="00B1295A"/>
    <w:rsid w:val="00B12AD6"/>
    <w:rsid w:val="00B1352A"/>
    <w:rsid w:val="00B13D8E"/>
    <w:rsid w:val="00B14936"/>
    <w:rsid w:val="00B14EC5"/>
    <w:rsid w:val="00B16CE1"/>
    <w:rsid w:val="00B17D77"/>
    <w:rsid w:val="00B20A45"/>
    <w:rsid w:val="00B21275"/>
    <w:rsid w:val="00B22C5C"/>
    <w:rsid w:val="00B24F30"/>
    <w:rsid w:val="00B25A66"/>
    <w:rsid w:val="00B25C11"/>
    <w:rsid w:val="00B30A9F"/>
    <w:rsid w:val="00B30DDC"/>
    <w:rsid w:val="00B30EEF"/>
    <w:rsid w:val="00B31ABF"/>
    <w:rsid w:val="00B33854"/>
    <w:rsid w:val="00B33A60"/>
    <w:rsid w:val="00B33BE3"/>
    <w:rsid w:val="00B345CB"/>
    <w:rsid w:val="00B3468D"/>
    <w:rsid w:val="00B348B2"/>
    <w:rsid w:val="00B36872"/>
    <w:rsid w:val="00B370B6"/>
    <w:rsid w:val="00B377E2"/>
    <w:rsid w:val="00B40119"/>
    <w:rsid w:val="00B41F53"/>
    <w:rsid w:val="00B42145"/>
    <w:rsid w:val="00B42791"/>
    <w:rsid w:val="00B42E65"/>
    <w:rsid w:val="00B4562A"/>
    <w:rsid w:val="00B45F03"/>
    <w:rsid w:val="00B50A46"/>
    <w:rsid w:val="00B50CE1"/>
    <w:rsid w:val="00B50F0A"/>
    <w:rsid w:val="00B5136C"/>
    <w:rsid w:val="00B51FE0"/>
    <w:rsid w:val="00B5202A"/>
    <w:rsid w:val="00B531A2"/>
    <w:rsid w:val="00B53201"/>
    <w:rsid w:val="00B53B5D"/>
    <w:rsid w:val="00B54213"/>
    <w:rsid w:val="00B564CA"/>
    <w:rsid w:val="00B568FE"/>
    <w:rsid w:val="00B6055E"/>
    <w:rsid w:val="00B60E2C"/>
    <w:rsid w:val="00B6317D"/>
    <w:rsid w:val="00B638CB"/>
    <w:rsid w:val="00B6438A"/>
    <w:rsid w:val="00B6462C"/>
    <w:rsid w:val="00B6496C"/>
    <w:rsid w:val="00B65AE5"/>
    <w:rsid w:val="00B670B2"/>
    <w:rsid w:val="00B70826"/>
    <w:rsid w:val="00B70B69"/>
    <w:rsid w:val="00B71D6C"/>
    <w:rsid w:val="00B73544"/>
    <w:rsid w:val="00B73904"/>
    <w:rsid w:val="00B7418A"/>
    <w:rsid w:val="00B746A9"/>
    <w:rsid w:val="00B75FBE"/>
    <w:rsid w:val="00B76BC0"/>
    <w:rsid w:val="00B7723F"/>
    <w:rsid w:val="00B8011F"/>
    <w:rsid w:val="00B80534"/>
    <w:rsid w:val="00B819AE"/>
    <w:rsid w:val="00B8347B"/>
    <w:rsid w:val="00B83892"/>
    <w:rsid w:val="00B83BFB"/>
    <w:rsid w:val="00B8433C"/>
    <w:rsid w:val="00B85169"/>
    <w:rsid w:val="00B855E6"/>
    <w:rsid w:val="00B85B28"/>
    <w:rsid w:val="00B87491"/>
    <w:rsid w:val="00B910AE"/>
    <w:rsid w:val="00B93360"/>
    <w:rsid w:val="00B93B6D"/>
    <w:rsid w:val="00B93DBB"/>
    <w:rsid w:val="00BA0353"/>
    <w:rsid w:val="00BA060A"/>
    <w:rsid w:val="00BA11F8"/>
    <w:rsid w:val="00BA1419"/>
    <w:rsid w:val="00BA29E9"/>
    <w:rsid w:val="00BA2FA1"/>
    <w:rsid w:val="00BA30C8"/>
    <w:rsid w:val="00BA34C6"/>
    <w:rsid w:val="00BA5323"/>
    <w:rsid w:val="00BA582E"/>
    <w:rsid w:val="00BA6689"/>
    <w:rsid w:val="00BA6796"/>
    <w:rsid w:val="00BA7142"/>
    <w:rsid w:val="00BB0E63"/>
    <w:rsid w:val="00BB0F41"/>
    <w:rsid w:val="00BB1EC6"/>
    <w:rsid w:val="00BB1F10"/>
    <w:rsid w:val="00BB237C"/>
    <w:rsid w:val="00BB31F0"/>
    <w:rsid w:val="00BB353A"/>
    <w:rsid w:val="00BB368A"/>
    <w:rsid w:val="00BB3871"/>
    <w:rsid w:val="00BB3A31"/>
    <w:rsid w:val="00BB3D41"/>
    <w:rsid w:val="00BB41A3"/>
    <w:rsid w:val="00BB4FD3"/>
    <w:rsid w:val="00BB5E60"/>
    <w:rsid w:val="00BB752C"/>
    <w:rsid w:val="00BB7923"/>
    <w:rsid w:val="00BC00C5"/>
    <w:rsid w:val="00BC05D4"/>
    <w:rsid w:val="00BC0AE4"/>
    <w:rsid w:val="00BC14AC"/>
    <w:rsid w:val="00BC17C6"/>
    <w:rsid w:val="00BC18AF"/>
    <w:rsid w:val="00BC32DC"/>
    <w:rsid w:val="00BC35B6"/>
    <w:rsid w:val="00BC4DB8"/>
    <w:rsid w:val="00BC4E17"/>
    <w:rsid w:val="00BC4FF7"/>
    <w:rsid w:val="00BC573A"/>
    <w:rsid w:val="00BC63D1"/>
    <w:rsid w:val="00BC728F"/>
    <w:rsid w:val="00BC7511"/>
    <w:rsid w:val="00BC7EB6"/>
    <w:rsid w:val="00BD0F63"/>
    <w:rsid w:val="00BD10E3"/>
    <w:rsid w:val="00BD1626"/>
    <w:rsid w:val="00BD1B51"/>
    <w:rsid w:val="00BD262D"/>
    <w:rsid w:val="00BD2633"/>
    <w:rsid w:val="00BD2FFB"/>
    <w:rsid w:val="00BD3D65"/>
    <w:rsid w:val="00BD4045"/>
    <w:rsid w:val="00BD4596"/>
    <w:rsid w:val="00BD5F1D"/>
    <w:rsid w:val="00BD63FB"/>
    <w:rsid w:val="00BD7712"/>
    <w:rsid w:val="00BD7FF2"/>
    <w:rsid w:val="00BE1405"/>
    <w:rsid w:val="00BE1A98"/>
    <w:rsid w:val="00BE1B3D"/>
    <w:rsid w:val="00BE2205"/>
    <w:rsid w:val="00BE312D"/>
    <w:rsid w:val="00BE5014"/>
    <w:rsid w:val="00BE7E0A"/>
    <w:rsid w:val="00BF1C20"/>
    <w:rsid w:val="00BF3328"/>
    <w:rsid w:val="00BF662C"/>
    <w:rsid w:val="00BF7817"/>
    <w:rsid w:val="00BF7DE2"/>
    <w:rsid w:val="00C00022"/>
    <w:rsid w:val="00C001D4"/>
    <w:rsid w:val="00C01263"/>
    <w:rsid w:val="00C01744"/>
    <w:rsid w:val="00C02498"/>
    <w:rsid w:val="00C02512"/>
    <w:rsid w:val="00C02608"/>
    <w:rsid w:val="00C039DA"/>
    <w:rsid w:val="00C03F8B"/>
    <w:rsid w:val="00C05170"/>
    <w:rsid w:val="00C060BD"/>
    <w:rsid w:val="00C06609"/>
    <w:rsid w:val="00C07012"/>
    <w:rsid w:val="00C07D7F"/>
    <w:rsid w:val="00C10578"/>
    <w:rsid w:val="00C1070E"/>
    <w:rsid w:val="00C11151"/>
    <w:rsid w:val="00C12AF2"/>
    <w:rsid w:val="00C135BC"/>
    <w:rsid w:val="00C14001"/>
    <w:rsid w:val="00C14019"/>
    <w:rsid w:val="00C14830"/>
    <w:rsid w:val="00C153D2"/>
    <w:rsid w:val="00C15C95"/>
    <w:rsid w:val="00C16193"/>
    <w:rsid w:val="00C17370"/>
    <w:rsid w:val="00C17537"/>
    <w:rsid w:val="00C178F0"/>
    <w:rsid w:val="00C17D9F"/>
    <w:rsid w:val="00C2097B"/>
    <w:rsid w:val="00C20B88"/>
    <w:rsid w:val="00C21343"/>
    <w:rsid w:val="00C23FE1"/>
    <w:rsid w:val="00C24EC8"/>
    <w:rsid w:val="00C25579"/>
    <w:rsid w:val="00C2596A"/>
    <w:rsid w:val="00C25A0D"/>
    <w:rsid w:val="00C26416"/>
    <w:rsid w:val="00C27537"/>
    <w:rsid w:val="00C30B46"/>
    <w:rsid w:val="00C31DF3"/>
    <w:rsid w:val="00C31F16"/>
    <w:rsid w:val="00C328FE"/>
    <w:rsid w:val="00C32AB6"/>
    <w:rsid w:val="00C3340D"/>
    <w:rsid w:val="00C33507"/>
    <w:rsid w:val="00C34957"/>
    <w:rsid w:val="00C34C47"/>
    <w:rsid w:val="00C351F7"/>
    <w:rsid w:val="00C368F9"/>
    <w:rsid w:val="00C3787C"/>
    <w:rsid w:val="00C40498"/>
    <w:rsid w:val="00C4095A"/>
    <w:rsid w:val="00C41FC9"/>
    <w:rsid w:val="00C43D70"/>
    <w:rsid w:val="00C43E45"/>
    <w:rsid w:val="00C4409D"/>
    <w:rsid w:val="00C443C0"/>
    <w:rsid w:val="00C44E72"/>
    <w:rsid w:val="00C45040"/>
    <w:rsid w:val="00C45A06"/>
    <w:rsid w:val="00C45C60"/>
    <w:rsid w:val="00C463E5"/>
    <w:rsid w:val="00C46E74"/>
    <w:rsid w:val="00C47E5B"/>
    <w:rsid w:val="00C500C7"/>
    <w:rsid w:val="00C5020A"/>
    <w:rsid w:val="00C50BEC"/>
    <w:rsid w:val="00C5192B"/>
    <w:rsid w:val="00C519A4"/>
    <w:rsid w:val="00C51A18"/>
    <w:rsid w:val="00C52367"/>
    <w:rsid w:val="00C526E3"/>
    <w:rsid w:val="00C52E46"/>
    <w:rsid w:val="00C539E8"/>
    <w:rsid w:val="00C54479"/>
    <w:rsid w:val="00C55279"/>
    <w:rsid w:val="00C552C4"/>
    <w:rsid w:val="00C555FD"/>
    <w:rsid w:val="00C5563D"/>
    <w:rsid w:val="00C55AD5"/>
    <w:rsid w:val="00C55AF6"/>
    <w:rsid w:val="00C56A4F"/>
    <w:rsid w:val="00C56C7D"/>
    <w:rsid w:val="00C57509"/>
    <w:rsid w:val="00C61E4B"/>
    <w:rsid w:val="00C62BDF"/>
    <w:rsid w:val="00C630E7"/>
    <w:rsid w:val="00C63C0D"/>
    <w:rsid w:val="00C63CDA"/>
    <w:rsid w:val="00C64BFF"/>
    <w:rsid w:val="00C64F6A"/>
    <w:rsid w:val="00C65432"/>
    <w:rsid w:val="00C669E5"/>
    <w:rsid w:val="00C66BB0"/>
    <w:rsid w:val="00C67088"/>
    <w:rsid w:val="00C678DD"/>
    <w:rsid w:val="00C67D26"/>
    <w:rsid w:val="00C704E9"/>
    <w:rsid w:val="00C718DF"/>
    <w:rsid w:val="00C73BFE"/>
    <w:rsid w:val="00C73C0C"/>
    <w:rsid w:val="00C741E8"/>
    <w:rsid w:val="00C74ECF"/>
    <w:rsid w:val="00C74EF1"/>
    <w:rsid w:val="00C75730"/>
    <w:rsid w:val="00C75888"/>
    <w:rsid w:val="00C75F34"/>
    <w:rsid w:val="00C763C9"/>
    <w:rsid w:val="00C7644C"/>
    <w:rsid w:val="00C7670F"/>
    <w:rsid w:val="00C77342"/>
    <w:rsid w:val="00C80057"/>
    <w:rsid w:val="00C80156"/>
    <w:rsid w:val="00C8046D"/>
    <w:rsid w:val="00C805C9"/>
    <w:rsid w:val="00C80DB8"/>
    <w:rsid w:val="00C813A9"/>
    <w:rsid w:val="00C82232"/>
    <w:rsid w:val="00C82913"/>
    <w:rsid w:val="00C84ABF"/>
    <w:rsid w:val="00C8503C"/>
    <w:rsid w:val="00C8524B"/>
    <w:rsid w:val="00C86165"/>
    <w:rsid w:val="00C865C0"/>
    <w:rsid w:val="00C86D1B"/>
    <w:rsid w:val="00C86E42"/>
    <w:rsid w:val="00C86F93"/>
    <w:rsid w:val="00C87190"/>
    <w:rsid w:val="00C87647"/>
    <w:rsid w:val="00C93C57"/>
    <w:rsid w:val="00C9593D"/>
    <w:rsid w:val="00C97045"/>
    <w:rsid w:val="00C972B1"/>
    <w:rsid w:val="00C9791D"/>
    <w:rsid w:val="00CA072D"/>
    <w:rsid w:val="00CA0999"/>
    <w:rsid w:val="00CA11FB"/>
    <w:rsid w:val="00CA1875"/>
    <w:rsid w:val="00CA1DBE"/>
    <w:rsid w:val="00CA230B"/>
    <w:rsid w:val="00CA24B5"/>
    <w:rsid w:val="00CA2CCE"/>
    <w:rsid w:val="00CA31A1"/>
    <w:rsid w:val="00CA43FD"/>
    <w:rsid w:val="00CA5552"/>
    <w:rsid w:val="00CA5B0B"/>
    <w:rsid w:val="00CA6F49"/>
    <w:rsid w:val="00CA7EF8"/>
    <w:rsid w:val="00CB1FA3"/>
    <w:rsid w:val="00CB24B4"/>
    <w:rsid w:val="00CB2A21"/>
    <w:rsid w:val="00CB4BB0"/>
    <w:rsid w:val="00CB5B51"/>
    <w:rsid w:val="00CB5D97"/>
    <w:rsid w:val="00CB6F4E"/>
    <w:rsid w:val="00CC0142"/>
    <w:rsid w:val="00CC07A0"/>
    <w:rsid w:val="00CC0EE5"/>
    <w:rsid w:val="00CC1E2E"/>
    <w:rsid w:val="00CC1F96"/>
    <w:rsid w:val="00CC2161"/>
    <w:rsid w:val="00CC2E15"/>
    <w:rsid w:val="00CC47AB"/>
    <w:rsid w:val="00CC489B"/>
    <w:rsid w:val="00CC4A7F"/>
    <w:rsid w:val="00CC56CC"/>
    <w:rsid w:val="00CC6494"/>
    <w:rsid w:val="00CC754E"/>
    <w:rsid w:val="00CD13CF"/>
    <w:rsid w:val="00CD180C"/>
    <w:rsid w:val="00CD1A0A"/>
    <w:rsid w:val="00CD2BCD"/>
    <w:rsid w:val="00CD3441"/>
    <w:rsid w:val="00CD3A4C"/>
    <w:rsid w:val="00CD491F"/>
    <w:rsid w:val="00CD5F27"/>
    <w:rsid w:val="00CD61A3"/>
    <w:rsid w:val="00CD72EA"/>
    <w:rsid w:val="00CD7F0D"/>
    <w:rsid w:val="00CD7FB0"/>
    <w:rsid w:val="00CE0A2C"/>
    <w:rsid w:val="00CE10E9"/>
    <w:rsid w:val="00CE26DA"/>
    <w:rsid w:val="00CE2810"/>
    <w:rsid w:val="00CE2910"/>
    <w:rsid w:val="00CE508A"/>
    <w:rsid w:val="00CE5393"/>
    <w:rsid w:val="00CE6400"/>
    <w:rsid w:val="00CE700A"/>
    <w:rsid w:val="00CE7ADA"/>
    <w:rsid w:val="00CF181F"/>
    <w:rsid w:val="00CF27FC"/>
    <w:rsid w:val="00CF31FB"/>
    <w:rsid w:val="00CF36BE"/>
    <w:rsid w:val="00CF388F"/>
    <w:rsid w:val="00CF3BC0"/>
    <w:rsid w:val="00CF4287"/>
    <w:rsid w:val="00CF5B23"/>
    <w:rsid w:val="00CF6000"/>
    <w:rsid w:val="00CF6F70"/>
    <w:rsid w:val="00D003F3"/>
    <w:rsid w:val="00D00738"/>
    <w:rsid w:val="00D00865"/>
    <w:rsid w:val="00D02A48"/>
    <w:rsid w:val="00D02B52"/>
    <w:rsid w:val="00D02E59"/>
    <w:rsid w:val="00D0364F"/>
    <w:rsid w:val="00D050A3"/>
    <w:rsid w:val="00D05991"/>
    <w:rsid w:val="00D05B56"/>
    <w:rsid w:val="00D05CBB"/>
    <w:rsid w:val="00D06261"/>
    <w:rsid w:val="00D06834"/>
    <w:rsid w:val="00D06D3E"/>
    <w:rsid w:val="00D0728C"/>
    <w:rsid w:val="00D07B4B"/>
    <w:rsid w:val="00D1080B"/>
    <w:rsid w:val="00D10E65"/>
    <w:rsid w:val="00D113C7"/>
    <w:rsid w:val="00D12BEA"/>
    <w:rsid w:val="00D13E25"/>
    <w:rsid w:val="00D149DD"/>
    <w:rsid w:val="00D16A2D"/>
    <w:rsid w:val="00D16AF9"/>
    <w:rsid w:val="00D17F7F"/>
    <w:rsid w:val="00D244C3"/>
    <w:rsid w:val="00D24E4A"/>
    <w:rsid w:val="00D24E67"/>
    <w:rsid w:val="00D25CAC"/>
    <w:rsid w:val="00D25DFC"/>
    <w:rsid w:val="00D2777D"/>
    <w:rsid w:val="00D308ED"/>
    <w:rsid w:val="00D30ACF"/>
    <w:rsid w:val="00D318A3"/>
    <w:rsid w:val="00D3241A"/>
    <w:rsid w:val="00D3250A"/>
    <w:rsid w:val="00D327B9"/>
    <w:rsid w:val="00D347E7"/>
    <w:rsid w:val="00D3510A"/>
    <w:rsid w:val="00D35394"/>
    <w:rsid w:val="00D359C2"/>
    <w:rsid w:val="00D36156"/>
    <w:rsid w:val="00D36D86"/>
    <w:rsid w:val="00D374DF"/>
    <w:rsid w:val="00D4023B"/>
    <w:rsid w:val="00D4030B"/>
    <w:rsid w:val="00D41038"/>
    <w:rsid w:val="00D41CAB"/>
    <w:rsid w:val="00D428AA"/>
    <w:rsid w:val="00D43824"/>
    <w:rsid w:val="00D43E4B"/>
    <w:rsid w:val="00D44D24"/>
    <w:rsid w:val="00D452BF"/>
    <w:rsid w:val="00D45B45"/>
    <w:rsid w:val="00D50740"/>
    <w:rsid w:val="00D50A34"/>
    <w:rsid w:val="00D50C4D"/>
    <w:rsid w:val="00D51500"/>
    <w:rsid w:val="00D52143"/>
    <w:rsid w:val="00D5263F"/>
    <w:rsid w:val="00D52E07"/>
    <w:rsid w:val="00D53450"/>
    <w:rsid w:val="00D53EFA"/>
    <w:rsid w:val="00D54EF0"/>
    <w:rsid w:val="00D55F07"/>
    <w:rsid w:val="00D562F5"/>
    <w:rsid w:val="00D56801"/>
    <w:rsid w:val="00D573A2"/>
    <w:rsid w:val="00D5780F"/>
    <w:rsid w:val="00D61069"/>
    <w:rsid w:val="00D61A61"/>
    <w:rsid w:val="00D61BEC"/>
    <w:rsid w:val="00D63079"/>
    <w:rsid w:val="00D633BA"/>
    <w:rsid w:val="00D636ED"/>
    <w:rsid w:val="00D640AE"/>
    <w:rsid w:val="00D64AA8"/>
    <w:rsid w:val="00D6512B"/>
    <w:rsid w:val="00D6536A"/>
    <w:rsid w:val="00D65BEC"/>
    <w:rsid w:val="00D65EA6"/>
    <w:rsid w:val="00D66484"/>
    <w:rsid w:val="00D66555"/>
    <w:rsid w:val="00D70055"/>
    <w:rsid w:val="00D7079F"/>
    <w:rsid w:val="00D71A1F"/>
    <w:rsid w:val="00D71A60"/>
    <w:rsid w:val="00D721C6"/>
    <w:rsid w:val="00D72233"/>
    <w:rsid w:val="00D7426D"/>
    <w:rsid w:val="00D743F6"/>
    <w:rsid w:val="00D7443D"/>
    <w:rsid w:val="00D764CE"/>
    <w:rsid w:val="00D76774"/>
    <w:rsid w:val="00D767D4"/>
    <w:rsid w:val="00D7740F"/>
    <w:rsid w:val="00D77A4C"/>
    <w:rsid w:val="00D81F3F"/>
    <w:rsid w:val="00D84E01"/>
    <w:rsid w:val="00D85007"/>
    <w:rsid w:val="00D85840"/>
    <w:rsid w:val="00D859C2"/>
    <w:rsid w:val="00D869FD"/>
    <w:rsid w:val="00D87EC1"/>
    <w:rsid w:val="00D9016A"/>
    <w:rsid w:val="00D9079C"/>
    <w:rsid w:val="00D9082C"/>
    <w:rsid w:val="00D90CFE"/>
    <w:rsid w:val="00D929C5"/>
    <w:rsid w:val="00D93660"/>
    <w:rsid w:val="00D9388B"/>
    <w:rsid w:val="00D94A7C"/>
    <w:rsid w:val="00D94E27"/>
    <w:rsid w:val="00D95896"/>
    <w:rsid w:val="00D9646F"/>
    <w:rsid w:val="00D975C1"/>
    <w:rsid w:val="00DA1125"/>
    <w:rsid w:val="00DA2814"/>
    <w:rsid w:val="00DA2D1B"/>
    <w:rsid w:val="00DA4799"/>
    <w:rsid w:val="00DA58D4"/>
    <w:rsid w:val="00DA688C"/>
    <w:rsid w:val="00DA7B79"/>
    <w:rsid w:val="00DA7E60"/>
    <w:rsid w:val="00DB01D4"/>
    <w:rsid w:val="00DB2389"/>
    <w:rsid w:val="00DB2983"/>
    <w:rsid w:val="00DB40F3"/>
    <w:rsid w:val="00DB4943"/>
    <w:rsid w:val="00DB49B3"/>
    <w:rsid w:val="00DB4D03"/>
    <w:rsid w:val="00DB5125"/>
    <w:rsid w:val="00DB627E"/>
    <w:rsid w:val="00DB6666"/>
    <w:rsid w:val="00DB6C6F"/>
    <w:rsid w:val="00DB756E"/>
    <w:rsid w:val="00DB7B97"/>
    <w:rsid w:val="00DC1257"/>
    <w:rsid w:val="00DC1618"/>
    <w:rsid w:val="00DC1E3B"/>
    <w:rsid w:val="00DC2AE2"/>
    <w:rsid w:val="00DC3410"/>
    <w:rsid w:val="00DC3654"/>
    <w:rsid w:val="00DC3DC0"/>
    <w:rsid w:val="00DC3E1F"/>
    <w:rsid w:val="00DC45B5"/>
    <w:rsid w:val="00DC4E06"/>
    <w:rsid w:val="00DC559F"/>
    <w:rsid w:val="00DC5765"/>
    <w:rsid w:val="00DC5B2B"/>
    <w:rsid w:val="00DC63E0"/>
    <w:rsid w:val="00DC786C"/>
    <w:rsid w:val="00DC7BED"/>
    <w:rsid w:val="00DD226F"/>
    <w:rsid w:val="00DD30C7"/>
    <w:rsid w:val="00DD318D"/>
    <w:rsid w:val="00DD4196"/>
    <w:rsid w:val="00DD6602"/>
    <w:rsid w:val="00DD6B32"/>
    <w:rsid w:val="00DD6E29"/>
    <w:rsid w:val="00DD7476"/>
    <w:rsid w:val="00DD75C6"/>
    <w:rsid w:val="00DD773E"/>
    <w:rsid w:val="00DD7944"/>
    <w:rsid w:val="00DE025F"/>
    <w:rsid w:val="00DE0A3C"/>
    <w:rsid w:val="00DE0E81"/>
    <w:rsid w:val="00DE1944"/>
    <w:rsid w:val="00DE2276"/>
    <w:rsid w:val="00DE3189"/>
    <w:rsid w:val="00DE35B8"/>
    <w:rsid w:val="00DE397B"/>
    <w:rsid w:val="00DE3DC2"/>
    <w:rsid w:val="00DE50DE"/>
    <w:rsid w:val="00DE59A9"/>
    <w:rsid w:val="00DE5CD4"/>
    <w:rsid w:val="00DF088C"/>
    <w:rsid w:val="00DF1329"/>
    <w:rsid w:val="00DF1738"/>
    <w:rsid w:val="00DF25C1"/>
    <w:rsid w:val="00DF2E12"/>
    <w:rsid w:val="00DF514A"/>
    <w:rsid w:val="00DF5BA1"/>
    <w:rsid w:val="00DF5DCF"/>
    <w:rsid w:val="00DF6690"/>
    <w:rsid w:val="00DF6804"/>
    <w:rsid w:val="00DF6E01"/>
    <w:rsid w:val="00DF7D12"/>
    <w:rsid w:val="00DF7D3F"/>
    <w:rsid w:val="00E017E3"/>
    <w:rsid w:val="00E02699"/>
    <w:rsid w:val="00E02D96"/>
    <w:rsid w:val="00E02FF7"/>
    <w:rsid w:val="00E03222"/>
    <w:rsid w:val="00E0358D"/>
    <w:rsid w:val="00E041BE"/>
    <w:rsid w:val="00E04323"/>
    <w:rsid w:val="00E0588E"/>
    <w:rsid w:val="00E05C2A"/>
    <w:rsid w:val="00E06B99"/>
    <w:rsid w:val="00E06D2B"/>
    <w:rsid w:val="00E070A2"/>
    <w:rsid w:val="00E12B1C"/>
    <w:rsid w:val="00E13144"/>
    <w:rsid w:val="00E132C0"/>
    <w:rsid w:val="00E14A5A"/>
    <w:rsid w:val="00E14E5B"/>
    <w:rsid w:val="00E17E9C"/>
    <w:rsid w:val="00E205F3"/>
    <w:rsid w:val="00E2384B"/>
    <w:rsid w:val="00E24BD5"/>
    <w:rsid w:val="00E2509C"/>
    <w:rsid w:val="00E250A9"/>
    <w:rsid w:val="00E2580C"/>
    <w:rsid w:val="00E2656A"/>
    <w:rsid w:val="00E265C0"/>
    <w:rsid w:val="00E26829"/>
    <w:rsid w:val="00E26972"/>
    <w:rsid w:val="00E27C6E"/>
    <w:rsid w:val="00E27DB1"/>
    <w:rsid w:val="00E30036"/>
    <w:rsid w:val="00E31208"/>
    <w:rsid w:val="00E32B4D"/>
    <w:rsid w:val="00E33A13"/>
    <w:rsid w:val="00E33B30"/>
    <w:rsid w:val="00E33BEF"/>
    <w:rsid w:val="00E34C9A"/>
    <w:rsid w:val="00E34E92"/>
    <w:rsid w:val="00E36AA5"/>
    <w:rsid w:val="00E36CFC"/>
    <w:rsid w:val="00E370F8"/>
    <w:rsid w:val="00E373E2"/>
    <w:rsid w:val="00E412D0"/>
    <w:rsid w:val="00E41FD8"/>
    <w:rsid w:val="00E423A9"/>
    <w:rsid w:val="00E425DA"/>
    <w:rsid w:val="00E427CC"/>
    <w:rsid w:val="00E42C45"/>
    <w:rsid w:val="00E43887"/>
    <w:rsid w:val="00E43C2E"/>
    <w:rsid w:val="00E4443D"/>
    <w:rsid w:val="00E47B7B"/>
    <w:rsid w:val="00E50337"/>
    <w:rsid w:val="00E50DCB"/>
    <w:rsid w:val="00E50EF1"/>
    <w:rsid w:val="00E50EF7"/>
    <w:rsid w:val="00E5135A"/>
    <w:rsid w:val="00E5143C"/>
    <w:rsid w:val="00E51442"/>
    <w:rsid w:val="00E5246E"/>
    <w:rsid w:val="00E52676"/>
    <w:rsid w:val="00E52C46"/>
    <w:rsid w:val="00E556FA"/>
    <w:rsid w:val="00E5627B"/>
    <w:rsid w:val="00E56322"/>
    <w:rsid w:val="00E57273"/>
    <w:rsid w:val="00E574C2"/>
    <w:rsid w:val="00E60069"/>
    <w:rsid w:val="00E6035D"/>
    <w:rsid w:val="00E603BE"/>
    <w:rsid w:val="00E60982"/>
    <w:rsid w:val="00E60AEA"/>
    <w:rsid w:val="00E60B37"/>
    <w:rsid w:val="00E624CE"/>
    <w:rsid w:val="00E62C62"/>
    <w:rsid w:val="00E62CC3"/>
    <w:rsid w:val="00E62E14"/>
    <w:rsid w:val="00E6332F"/>
    <w:rsid w:val="00E64B35"/>
    <w:rsid w:val="00E654C1"/>
    <w:rsid w:val="00E65988"/>
    <w:rsid w:val="00E65C45"/>
    <w:rsid w:val="00E65D97"/>
    <w:rsid w:val="00E664B2"/>
    <w:rsid w:val="00E66F32"/>
    <w:rsid w:val="00E67743"/>
    <w:rsid w:val="00E704BC"/>
    <w:rsid w:val="00E72A5A"/>
    <w:rsid w:val="00E72DE8"/>
    <w:rsid w:val="00E73354"/>
    <w:rsid w:val="00E74908"/>
    <w:rsid w:val="00E76405"/>
    <w:rsid w:val="00E7786F"/>
    <w:rsid w:val="00E80C6A"/>
    <w:rsid w:val="00E83670"/>
    <w:rsid w:val="00E847DD"/>
    <w:rsid w:val="00E851BF"/>
    <w:rsid w:val="00E857EF"/>
    <w:rsid w:val="00E9050D"/>
    <w:rsid w:val="00E9085F"/>
    <w:rsid w:val="00E92237"/>
    <w:rsid w:val="00E9242D"/>
    <w:rsid w:val="00E92476"/>
    <w:rsid w:val="00E92D60"/>
    <w:rsid w:val="00E93009"/>
    <w:rsid w:val="00E9306B"/>
    <w:rsid w:val="00E957E2"/>
    <w:rsid w:val="00E95E61"/>
    <w:rsid w:val="00E96004"/>
    <w:rsid w:val="00E964E1"/>
    <w:rsid w:val="00E96556"/>
    <w:rsid w:val="00E969F8"/>
    <w:rsid w:val="00E97095"/>
    <w:rsid w:val="00EA022F"/>
    <w:rsid w:val="00EA0E82"/>
    <w:rsid w:val="00EA1151"/>
    <w:rsid w:val="00EA12C8"/>
    <w:rsid w:val="00EA13B1"/>
    <w:rsid w:val="00EA1511"/>
    <w:rsid w:val="00EA2E51"/>
    <w:rsid w:val="00EA3DEE"/>
    <w:rsid w:val="00EA4801"/>
    <w:rsid w:val="00EA4B8A"/>
    <w:rsid w:val="00EA4D3D"/>
    <w:rsid w:val="00EA66EA"/>
    <w:rsid w:val="00EA79F8"/>
    <w:rsid w:val="00EB031F"/>
    <w:rsid w:val="00EB0BC6"/>
    <w:rsid w:val="00EB0FCB"/>
    <w:rsid w:val="00EB413A"/>
    <w:rsid w:val="00EB4E7C"/>
    <w:rsid w:val="00EB5255"/>
    <w:rsid w:val="00EB552D"/>
    <w:rsid w:val="00EB555B"/>
    <w:rsid w:val="00EB5C47"/>
    <w:rsid w:val="00EB5FFC"/>
    <w:rsid w:val="00EB64A2"/>
    <w:rsid w:val="00EC03B4"/>
    <w:rsid w:val="00EC08DF"/>
    <w:rsid w:val="00EC1012"/>
    <w:rsid w:val="00EC12BE"/>
    <w:rsid w:val="00EC13D1"/>
    <w:rsid w:val="00EC1613"/>
    <w:rsid w:val="00EC1A23"/>
    <w:rsid w:val="00EC20B8"/>
    <w:rsid w:val="00EC2599"/>
    <w:rsid w:val="00EC30D4"/>
    <w:rsid w:val="00EC3AA6"/>
    <w:rsid w:val="00EC3D5C"/>
    <w:rsid w:val="00EC543B"/>
    <w:rsid w:val="00EC5CDC"/>
    <w:rsid w:val="00EC5F8E"/>
    <w:rsid w:val="00EC705E"/>
    <w:rsid w:val="00EC74C4"/>
    <w:rsid w:val="00ED008B"/>
    <w:rsid w:val="00ED0639"/>
    <w:rsid w:val="00ED0CFE"/>
    <w:rsid w:val="00ED1C9B"/>
    <w:rsid w:val="00ED2521"/>
    <w:rsid w:val="00ED28DD"/>
    <w:rsid w:val="00ED3989"/>
    <w:rsid w:val="00ED3DCE"/>
    <w:rsid w:val="00ED5BF4"/>
    <w:rsid w:val="00ED630A"/>
    <w:rsid w:val="00EE0A28"/>
    <w:rsid w:val="00EE0E60"/>
    <w:rsid w:val="00EE1B77"/>
    <w:rsid w:val="00EE2693"/>
    <w:rsid w:val="00EE42ED"/>
    <w:rsid w:val="00EE539A"/>
    <w:rsid w:val="00EE5411"/>
    <w:rsid w:val="00EE5E29"/>
    <w:rsid w:val="00EE7677"/>
    <w:rsid w:val="00EF13B0"/>
    <w:rsid w:val="00EF2554"/>
    <w:rsid w:val="00EF2BB6"/>
    <w:rsid w:val="00EF310F"/>
    <w:rsid w:val="00EF4755"/>
    <w:rsid w:val="00EF4811"/>
    <w:rsid w:val="00EF5139"/>
    <w:rsid w:val="00EF5930"/>
    <w:rsid w:val="00EF5E02"/>
    <w:rsid w:val="00EF602A"/>
    <w:rsid w:val="00EF648D"/>
    <w:rsid w:val="00EF6697"/>
    <w:rsid w:val="00EF6870"/>
    <w:rsid w:val="00EF687F"/>
    <w:rsid w:val="00EF7135"/>
    <w:rsid w:val="00EF78D8"/>
    <w:rsid w:val="00EF79BC"/>
    <w:rsid w:val="00EF7C47"/>
    <w:rsid w:val="00F00438"/>
    <w:rsid w:val="00F0081F"/>
    <w:rsid w:val="00F0086A"/>
    <w:rsid w:val="00F0108D"/>
    <w:rsid w:val="00F011CD"/>
    <w:rsid w:val="00F027DB"/>
    <w:rsid w:val="00F02F82"/>
    <w:rsid w:val="00F03284"/>
    <w:rsid w:val="00F03EBB"/>
    <w:rsid w:val="00F043E7"/>
    <w:rsid w:val="00F05131"/>
    <w:rsid w:val="00F05E69"/>
    <w:rsid w:val="00F05F99"/>
    <w:rsid w:val="00F07063"/>
    <w:rsid w:val="00F07BA2"/>
    <w:rsid w:val="00F10AD1"/>
    <w:rsid w:val="00F10B5C"/>
    <w:rsid w:val="00F10DD4"/>
    <w:rsid w:val="00F10FB1"/>
    <w:rsid w:val="00F116A0"/>
    <w:rsid w:val="00F11D99"/>
    <w:rsid w:val="00F12A30"/>
    <w:rsid w:val="00F13494"/>
    <w:rsid w:val="00F13911"/>
    <w:rsid w:val="00F13B50"/>
    <w:rsid w:val="00F14A7A"/>
    <w:rsid w:val="00F152AF"/>
    <w:rsid w:val="00F15FC7"/>
    <w:rsid w:val="00F16148"/>
    <w:rsid w:val="00F17CEA"/>
    <w:rsid w:val="00F205E0"/>
    <w:rsid w:val="00F20D39"/>
    <w:rsid w:val="00F21C4B"/>
    <w:rsid w:val="00F21FD0"/>
    <w:rsid w:val="00F22192"/>
    <w:rsid w:val="00F22985"/>
    <w:rsid w:val="00F23C5D"/>
    <w:rsid w:val="00F23F10"/>
    <w:rsid w:val="00F24234"/>
    <w:rsid w:val="00F24759"/>
    <w:rsid w:val="00F24B50"/>
    <w:rsid w:val="00F2715E"/>
    <w:rsid w:val="00F27B92"/>
    <w:rsid w:val="00F31C4B"/>
    <w:rsid w:val="00F324A7"/>
    <w:rsid w:val="00F3346F"/>
    <w:rsid w:val="00F3383E"/>
    <w:rsid w:val="00F33D3A"/>
    <w:rsid w:val="00F34C73"/>
    <w:rsid w:val="00F352FC"/>
    <w:rsid w:val="00F35B3A"/>
    <w:rsid w:val="00F35C3B"/>
    <w:rsid w:val="00F35F37"/>
    <w:rsid w:val="00F3641C"/>
    <w:rsid w:val="00F36FAE"/>
    <w:rsid w:val="00F40695"/>
    <w:rsid w:val="00F406EB"/>
    <w:rsid w:val="00F430C5"/>
    <w:rsid w:val="00F43499"/>
    <w:rsid w:val="00F43BCA"/>
    <w:rsid w:val="00F44534"/>
    <w:rsid w:val="00F4487A"/>
    <w:rsid w:val="00F45220"/>
    <w:rsid w:val="00F465A7"/>
    <w:rsid w:val="00F479B3"/>
    <w:rsid w:val="00F503A0"/>
    <w:rsid w:val="00F50469"/>
    <w:rsid w:val="00F50B7C"/>
    <w:rsid w:val="00F51A43"/>
    <w:rsid w:val="00F52B19"/>
    <w:rsid w:val="00F54971"/>
    <w:rsid w:val="00F550E6"/>
    <w:rsid w:val="00F55371"/>
    <w:rsid w:val="00F5573D"/>
    <w:rsid w:val="00F55761"/>
    <w:rsid w:val="00F55A3E"/>
    <w:rsid w:val="00F5739F"/>
    <w:rsid w:val="00F57B40"/>
    <w:rsid w:val="00F6075B"/>
    <w:rsid w:val="00F646A0"/>
    <w:rsid w:val="00F65FEE"/>
    <w:rsid w:val="00F66F71"/>
    <w:rsid w:val="00F67A70"/>
    <w:rsid w:val="00F700EC"/>
    <w:rsid w:val="00F70325"/>
    <w:rsid w:val="00F715C7"/>
    <w:rsid w:val="00F719B3"/>
    <w:rsid w:val="00F7222C"/>
    <w:rsid w:val="00F72674"/>
    <w:rsid w:val="00F72734"/>
    <w:rsid w:val="00F72B19"/>
    <w:rsid w:val="00F72D32"/>
    <w:rsid w:val="00F735F8"/>
    <w:rsid w:val="00F74345"/>
    <w:rsid w:val="00F74CBF"/>
    <w:rsid w:val="00F77F54"/>
    <w:rsid w:val="00F80A0A"/>
    <w:rsid w:val="00F82303"/>
    <w:rsid w:val="00F82B19"/>
    <w:rsid w:val="00F82E17"/>
    <w:rsid w:val="00F8363A"/>
    <w:rsid w:val="00F84576"/>
    <w:rsid w:val="00F84F5E"/>
    <w:rsid w:val="00F85DA6"/>
    <w:rsid w:val="00F861E5"/>
    <w:rsid w:val="00F87AAD"/>
    <w:rsid w:val="00F90441"/>
    <w:rsid w:val="00F90D6E"/>
    <w:rsid w:val="00F915D5"/>
    <w:rsid w:val="00F9212D"/>
    <w:rsid w:val="00F938C1"/>
    <w:rsid w:val="00F93BE1"/>
    <w:rsid w:val="00F942E4"/>
    <w:rsid w:val="00F94DDB"/>
    <w:rsid w:val="00F954FE"/>
    <w:rsid w:val="00F95791"/>
    <w:rsid w:val="00F965DA"/>
    <w:rsid w:val="00F96C69"/>
    <w:rsid w:val="00F97B4E"/>
    <w:rsid w:val="00FA1430"/>
    <w:rsid w:val="00FA29F8"/>
    <w:rsid w:val="00FA3E3E"/>
    <w:rsid w:val="00FA406A"/>
    <w:rsid w:val="00FA4CFE"/>
    <w:rsid w:val="00FA4D7B"/>
    <w:rsid w:val="00FB14D7"/>
    <w:rsid w:val="00FB1752"/>
    <w:rsid w:val="00FB2AD2"/>
    <w:rsid w:val="00FB2DBF"/>
    <w:rsid w:val="00FB3370"/>
    <w:rsid w:val="00FB39D5"/>
    <w:rsid w:val="00FB3B63"/>
    <w:rsid w:val="00FB3E42"/>
    <w:rsid w:val="00FB3F06"/>
    <w:rsid w:val="00FB5027"/>
    <w:rsid w:val="00FB503A"/>
    <w:rsid w:val="00FB516C"/>
    <w:rsid w:val="00FB51BE"/>
    <w:rsid w:val="00FB6192"/>
    <w:rsid w:val="00FB628A"/>
    <w:rsid w:val="00FB6355"/>
    <w:rsid w:val="00FB6B41"/>
    <w:rsid w:val="00FB7256"/>
    <w:rsid w:val="00FB73D5"/>
    <w:rsid w:val="00FB7D4B"/>
    <w:rsid w:val="00FC024F"/>
    <w:rsid w:val="00FC1CCF"/>
    <w:rsid w:val="00FC2174"/>
    <w:rsid w:val="00FC22AB"/>
    <w:rsid w:val="00FC27EA"/>
    <w:rsid w:val="00FC2FFA"/>
    <w:rsid w:val="00FC38CC"/>
    <w:rsid w:val="00FC3928"/>
    <w:rsid w:val="00FC3E86"/>
    <w:rsid w:val="00FC3F14"/>
    <w:rsid w:val="00FC4FCF"/>
    <w:rsid w:val="00FC5DE6"/>
    <w:rsid w:val="00FD0236"/>
    <w:rsid w:val="00FD0709"/>
    <w:rsid w:val="00FD0B84"/>
    <w:rsid w:val="00FD11E5"/>
    <w:rsid w:val="00FD1207"/>
    <w:rsid w:val="00FD18F4"/>
    <w:rsid w:val="00FD1B4D"/>
    <w:rsid w:val="00FD2AA7"/>
    <w:rsid w:val="00FD2FDE"/>
    <w:rsid w:val="00FD32C3"/>
    <w:rsid w:val="00FD54DB"/>
    <w:rsid w:val="00FD619F"/>
    <w:rsid w:val="00FD68E5"/>
    <w:rsid w:val="00FD6BFB"/>
    <w:rsid w:val="00FD7249"/>
    <w:rsid w:val="00FD7B3A"/>
    <w:rsid w:val="00FE0C14"/>
    <w:rsid w:val="00FE2529"/>
    <w:rsid w:val="00FE25F5"/>
    <w:rsid w:val="00FE27F6"/>
    <w:rsid w:val="00FE2E92"/>
    <w:rsid w:val="00FE2F50"/>
    <w:rsid w:val="00FE33B7"/>
    <w:rsid w:val="00FE357C"/>
    <w:rsid w:val="00FE4ECE"/>
    <w:rsid w:val="00FE6D22"/>
    <w:rsid w:val="00FE7FC8"/>
    <w:rsid w:val="00FF03B6"/>
    <w:rsid w:val="00FF092A"/>
    <w:rsid w:val="00FF0BF5"/>
    <w:rsid w:val="00FF148F"/>
    <w:rsid w:val="00FF1501"/>
    <w:rsid w:val="00FF162C"/>
    <w:rsid w:val="00FF3494"/>
    <w:rsid w:val="00FF3B2A"/>
    <w:rsid w:val="00FF562C"/>
    <w:rsid w:val="00FF5775"/>
    <w:rsid w:val="00FF632D"/>
    <w:rsid w:val="01290F7E"/>
    <w:rsid w:val="015D1E09"/>
    <w:rsid w:val="023213DA"/>
    <w:rsid w:val="02697903"/>
    <w:rsid w:val="02F96569"/>
    <w:rsid w:val="03902B11"/>
    <w:rsid w:val="03C7492C"/>
    <w:rsid w:val="03EA7B21"/>
    <w:rsid w:val="0423092D"/>
    <w:rsid w:val="048A456A"/>
    <w:rsid w:val="04933D82"/>
    <w:rsid w:val="0545487D"/>
    <w:rsid w:val="05B936DA"/>
    <w:rsid w:val="05F83EAE"/>
    <w:rsid w:val="063E7D85"/>
    <w:rsid w:val="07293586"/>
    <w:rsid w:val="07295285"/>
    <w:rsid w:val="07636392"/>
    <w:rsid w:val="07770C56"/>
    <w:rsid w:val="08FA6FDF"/>
    <w:rsid w:val="092217DD"/>
    <w:rsid w:val="093A7294"/>
    <w:rsid w:val="0A263993"/>
    <w:rsid w:val="0A2D3AC2"/>
    <w:rsid w:val="0AA755DF"/>
    <w:rsid w:val="0B120D44"/>
    <w:rsid w:val="0BD27BF6"/>
    <w:rsid w:val="0C3B3C7D"/>
    <w:rsid w:val="0C876F75"/>
    <w:rsid w:val="0CAB2EAE"/>
    <w:rsid w:val="0CBC2E32"/>
    <w:rsid w:val="0D2256F4"/>
    <w:rsid w:val="0D621C7D"/>
    <w:rsid w:val="0DC25C5F"/>
    <w:rsid w:val="0E73034D"/>
    <w:rsid w:val="0F13775A"/>
    <w:rsid w:val="0F5F45FE"/>
    <w:rsid w:val="0F9A112B"/>
    <w:rsid w:val="106D2F64"/>
    <w:rsid w:val="10B63710"/>
    <w:rsid w:val="10F10820"/>
    <w:rsid w:val="111C2F7A"/>
    <w:rsid w:val="11665CA1"/>
    <w:rsid w:val="116E5C20"/>
    <w:rsid w:val="13951726"/>
    <w:rsid w:val="14396509"/>
    <w:rsid w:val="14DD2C3C"/>
    <w:rsid w:val="15440DE2"/>
    <w:rsid w:val="16087E1D"/>
    <w:rsid w:val="17701D14"/>
    <w:rsid w:val="17735226"/>
    <w:rsid w:val="179B5047"/>
    <w:rsid w:val="189F624C"/>
    <w:rsid w:val="193503B4"/>
    <w:rsid w:val="1A1C66C0"/>
    <w:rsid w:val="1A42393B"/>
    <w:rsid w:val="1AAD45DE"/>
    <w:rsid w:val="1AEA1BCA"/>
    <w:rsid w:val="1B046F80"/>
    <w:rsid w:val="1B3267B5"/>
    <w:rsid w:val="1B40161D"/>
    <w:rsid w:val="1B441859"/>
    <w:rsid w:val="1B6606B1"/>
    <w:rsid w:val="1C5E7925"/>
    <w:rsid w:val="1CD765D6"/>
    <w:rsid w:val="1CFD070F"/>
    <w:rsid w:val="1D5F6196"/>
    <w:rsid w:val="1D6132A5"/>
    <w:rsid w:val="1D6379AF"/>
    <w:rsid w:val="1D8E56D5"/>
    <w:rsid w:val="1E7A43DA"/>
    <w:rsid w:val="1FE7539E"/>
    <w:rsid w:val="20671BE0"/>
    <w:rsid w:val="20963CB8"/>
    <w:rsid w:val="20A81A1B"/>
    <w:rsid w:val="20B07FB6"/>
    <w:rsid w:val="20B646FB"/>
    <w:rsid w:val="213B74B1"/>
    <w:rsid w:val="215A2310"/>
    <w:rsid w:val="21DE318A"/>
    <w:rsid w:val="21EF5B80"/>
    <w:rsid w:val="22576990"/>
    <w:rsid w:val="225E3FEE"/>
    <w:rsid w:val="22F47480"/>
    <w:rsid w:val="23DE1C48"/>
    <w:rsid w:val="240210CD"/>
    <w:rsid w:val="241026F4"/>
    <w:rsid w:val="24BF09F7"/>
    <w:rsid w:val="252D53FE"/>
    <w:rsid w:val="25EC2D81"/>
    <w:rsid w:val="26556A23"/>
    <w:rsid w:val="277057A2"/>
    <w:rsid w:val="29206EB8"/>
    <w:rsid w:val="29595666"/>
    <w:rsid w:val="29874881"/>
    <w:rsid w:val="29E325E0"/>
    <w:rsid w:val="2A452503"/>
    <w:rsid w:val="2BA936A8"/>
    <w:rsid w:val="2BAB2955"/>
    <w:rsid w:val="2C315A5A"/>
    <w:rsid w:val="2C4B1C25"/>
    <w:rsid w:val="2CCC5123"/>
    <w:rsid w:val="2CE05170"/>
    <w:rsid w:val="2D5D4F67"/>
    <w:rsid w:val="2D7F17A6"/>
    <w:rsid w:val="2D9E56F5"/>
    <w:rsid w:val="2DF83CF8"/>
    <w:rsid w:val="2E667F96"/>
    <w:rsid w:val="2E8226AB"/>
    <w:rsid w:val="2EA75274"/>
    <w:rsid w:val="2FD065E6"/>
    <w:rsid w:val="2FD96870"/>
    <w:rsid w:val="30580BC9"/>
    <w:rsid w:val="311A2195"/>
    <w:rsid w:val="311E2ED7"/>
    <w:rsid w:val="315619EE"/>
    <w:rsid w:val="315C449C"/>
    <w:rsid w:val="31B82709"/>
    <w:rsid w:val="31D05482"/>
    <w:rsid w:val="31ED6F7E"/>
    <w:rsid w:val="32400B34"/>
    <w:rsid w:val="329E6876"/>
    <w:rsid w:val="32BE33A3"/>
    <w:rsid w:val="333015F2"/>
    <w:rsid w:val="334B6320"/>
    <w:rsid w:val="33D934D4"/>
    <w:rsid w:val="33FE2F6A"/>
    <w:rsid w:val="340E07E5"/>
    <w:rsid w:val="34235BF7"/>
    <w:rsid w:val="3500662A"/>
    <w:rsid w:val="358C5FA8"/>
    <w:rsid w:val="35C15DF1"/>
    <w:rsid w:val="36074A7F"/>
    <w:rsid w:val="3658024E"/>
    <w:rsid w:val="365E79C9"/>
    <w:rsid w:val="36923549"/>
    <w:rsid w:val="36B75FBF"/>
    <w:rsid w:val="36BD0C45"/>
    <w:rsid w:val="37324B3E"/>
    <w:rsid w:val="37E00298"/>
    <w:rsid w:val="38B302F9"/>
    <w:rsid w:val="38F12CD3"/>
    <w:rsid w:val="38F94775"/>
    <w:rsid w:val="392971ED"/>
    <w:rsid w:val="39325651"/>
    <w:rsid w:val="3A312689"/>
    <w:rsid w:val="3A872856"/>
    <w:rsid w:val="3B3763D1"/>
    <w:rsid w:val="3B7E6C18"/>
    <w:rsid w:val="3BF100B0"/>
    <w:rsid w:val="3C2F6E1E"/>
    <w:rsid w:val="3C4F64BA"/>
    <w:rsid w:val="3C94084C"/>
    <w:rsid w:val="3CDA245A"/>
    <w:rsid w:val="3D1E06B7"/>
    <w:rsid w:val="3EDA0523"/>
    <w:rsid w:val="3EF7540E"/>
    <w:rsid w:val="407A6407"/>
    <w:rsid w:val="41566AD1"/>
    <w:rsid w:val="41BD41B2"/>
    <w:rsid w:val="4200449D"/>
    <w:rsid w:val="423A3BCC"/>
    <w:rsid w:val="424E57D2"/>
    <w:rsid w:val="42B26C49"/>
    <w:rsid w:val="42B67D57"/>
    <w:rsid w:val="433A6FE6"/>
    <w:rsid w:val="43480868"/>
    <w:rsid w:val="4350713C"/>
    <w:rsid w:val="436653E0"/>
    <w:rsid w:val="43C4431A"/>
    <w:rsid w:val="44B951CC"/>
    <w:rsid w:val="44CD14E0"/>
    <w:rsid w:val="44F20B0B"/>
    <w:rsid w:val="452E5F4C"/>
    <w:rsid w:val="45612018"/>
    <w:rsid w:val="458946E9"/>
    <w:rsid w:val="45A47C0E"/>
    <w:rsid w:val="45F3225E"/>
    <w:rsid w:val="46577FD6"/>
    <w:rsid w:val="46D955A7"/>
    <w:rsid w:val="47133957"/>
    <w:rsid w:val="47A07E0C"/>
    <w:rsid w:val="4870272E"/>
    <w:rsid w:val="49DC7715"/>
    <w:rsid w:val="4A023139"/>
    <w:rsid w:val="4A7B576F"/>
    <w:rsid w:val="4AF561A9"/>
    <w:rsid w:val="4C4A0649"/>
    <w:rsid w:val="4C7E5ECA"/>
    <w:rsid w:val="4C876AA5"/>
    <w:rsid w:val="4C8A2101"/>
    <w:rsid w:val="4D0E00FB"/>
    <w:rsid w:val="4D176606"/>
    <w:rsid w:val="4DEC4FB0"/>
    <w:rsid w:val="4E001425"/>
    <w:rsid w:val="4E075D8A"/>
    <w:rsid w:val="4EC00FAD"/>
    <w:rsid w:val="4F3868F4"/>
    <w:rsid w:val="4F9843DC"/>
    <w:rsid w:val="4FC62A8C"/>
    <w:rsid w:val="4FE20F0D"/>
    <w:rsid w:val="4FE51552"/>
    <w:rsid w:val="50504C4B"/>
    <w:rsid w:val="509C6E7C"/>
    <w:rsid w:val="5162104E"/>
    <w:rsid w:val="52C714D6"/>
    <w:rsid w:val="53A039CC"/>
    <w:rsid w:val="53A1505A"/>
    <w:rsid w:val="54063E08"/>
    <w:rsid w:val="543437E8"/>
    <w:rsid w:val="54F73313"/>
    <w:rsid w:val="54F80955"/>
    <w:rsid w:val="555170A7"/>
    <w:rsid w:val="5587536D"/>
    <w:rsid w:val="559B174B"/>
    <w:rsid w:val="55CE0CF4"/>
    <w:rsid w:val="56B22A9C"/>
    <w:rsid w:val="574D3C43"/>
    <w:rsid w:val="57B72A76"/>
    <w:rsid w:val="57C3426C"/>
    <w:rsid w:val="57CE1F93"/>
    <w:rsid w:val="588743D1"/>
    <w:rsid w:val="5887701A"/>
    <w:rsid w:val="59343D92"/>
    <w:rsid w:val="594E2368"/>
    <w:rsid w:val="597E6296"/>
    <w:rsid w:val="59C0439F"/>
    <w:rsid w:val="5A294803"/>
    <w:rsid w:val="5ABE2233"/>
    <w:rsid w:val="5BDF5D95"/>
    <w:rsid w:val="5BFD5FF8"/>
    <w:rsid w:val="5BFE7528"/>
    <w:rsid w:val="5E2467F1"/>
    <w:rsid w:val="5F1A2B43"/>
    <w:rsid w:val="5FB837BB"/>
    <w:rsid w:val="60CC405A"/>
    <w:rsid w:val="61731FE4"/>
    <w:rsid w:val="61E215D8"/>
    <w:rsid w:val="621B3775"/>
    <w:rsid w:val="62364782"/>
    <w:rsid w:val="637F21DD"/>
    <w:rsid w:val="6394356A"/>
    <w:rsid w:val="63C61B2C"/>
    <w:rsid w:val="63D40BE9"/>
    <w:rsid w:val="64102431"/>
    <w:rsid w:val="64A5243A"/>
    <w:rsid w:val="64F531DE"/>
    <w:rsid w:val="65373578"/>
    <w:rsid w:val="671F124A"/>
    <w:rsid w:val="677A33C6"/>
    <w:rsid w:val="681F6961"/>
    <w:rsid w:val="68610A2F"/>
    <w:rsid w:val="68805514"/>
    <w:rsid w:val="69316E2F"/>
    <w:rsid w:val="694E2071"/>
    <w:rsid w:val="69766163"/>
    <w:rsid w:val="697A3B33"/>
    <w:rsid w:val="69D44760"/>
    <w:rsid w:val="6A520EC7"/>
    <w:rsid w:val="6A6E0B8C"/>
    <w:rsid w:val="6AF87E20"/>
    <w:rsid w:val="6B322639"/>
    <w:rsid w:val="6C31489A"/>
    <w:rsid w:val="6C636C38"/>
    <w:rsid w:val="6C970442"/>
    <w:rsid w:val="6D796699"/>
    <w:rsid w:val="6DB34098"/>
    <w:rsid w:val="6DB545B6"/>
    <w:rsid w:val="6DE02FB4"/>
    <w:rsid w:val="6E514CED"/>
    <w:rsid w:val="6E8D683F"/>
    <w:rsid w:val="6EB563D5"/>
    <w:rsid w:val="6ED92677"/>
    <w:rsid w:val="6F225983"/>
    <w:rsid w:val="6FFC5590"/>
    <w:rsid w:val="70620F56"/>
    <w:rsid w:val="706D1DD0"/>
    <w:rsid w:val="70856B87"/>
    <w:rsid w:val="70D527EE"/>
    <w:rsid w:val="715B5300"/>
    <w:rsid w:val="71D27F8A"/>
    <w:rsid w:val="72553024"/>
    <w:rsid w:val="73122968"/>
    <w:rsid w:val="731F5D5E"/>
    <w:rsid w:val="73C51AD5"/>
    <w:rsid w:val="7407243A"/>
    <w:rsid w:val="741E793C"/>
    <w:rsid w:val="745E3944"/>
    <w:rsid w:val="748C76C8"/>
    <w:rsid w:val="751212C0"/>
    <w:rsid w:val="7635099D"/>
    <w:rsid w:val="77762421"/>
    <w:rsid w:val="77B56B1F"/>
    <w:rsid w:val="780F09F4"/>
    <w:rsid w:val="78A90480"/>
    <w:rsid w:val="7A364017"/>
    <w:rsid w:val="7A8265E1"/>
    <w:rsid w:val="7B686D42"/>
    <w:rsid w:val="7B841746"/>
    <w:rsid w:val="7C6C5AC7"/>
    <w:rsid w:val="7C846FA2"/>
    <w:rsid w:val="7CC6544B"/>
    <w:rsid w:val="7D0239FF"/>
    <w:rsid w:val="7D3F6EC1"/>
    <w:rsid w:val="7D5E40CD"/>
    <w:rsid w:val="7DCD56F2"/>
    <w:rsid w:val="7E21080E"/>
    <w:rsid w:val="7F001CE7"/>
    <w:rsid w:val="7FB577F9"/>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semiHidden="0" w:name="heading 2" w:locked="1"/>
    <w:lsdException w:qFormat="1" w:uiPriority="99" w:semiHidden="0" w:name="heading 3" w:locked="1"/>
    <w:lsdException w:qFormat="1" w:uiPriority="9" w:semiHidden="0" w:name="heading 4" w:locked="1"/>
    <w:lsdException w:qFormat="1"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qFormat="1"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iPriority="0" w:semiHidden="0" w:name="toc 5" w:locked="1"/>
    <w:lsdException w:qFormat="1" w:uiPriority="0" w:semiHidden="0" w:name="toc 6" w:locked="1"/>
    <w:lsdException w:qFormat="1" w:uiPriority="0" w:semiHidden="0" w:name="toc 7" w:locked="1"/>
    <w:lsdException w:qFormat="1" w:uiPriority="0" w:semiHidden="0" w:name="toc 8" w:locked="1"/>
    <w:lsdException w:qFormat="1" w:uiPriority="0" w:semiHidden="0" w:name="toc 9" w:locked="1"/>
    <w:lsdException w:qFormat="1" w:uiPriority="0" w:semiHidden="0" w:name="Normal Indent" w:locked="1"/>
    <w:lsdException w:qFormat="1" w:uiPriority="0" w:semiHidden="0" w:name="footnote text" w:locked="1"/>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99"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unhideWhenUsed="0" w:uiPriority="0" w:semiHidden="0" w:name="Body Text First Indent 2" w:locked="1"/>
    <w:lsdException w:unhideWhenUsed="0" w:uiPriority="0" w:semiHidden="0" w:name="Note Heading" w:locked="1"/>
    <w:lsdException w:qFormat="1" w:unhideWhenUsed="0" w:uiPriority="99" w:semiHidden="0" w:name="Body Text 2" w:locked="1"/>
    <w:lsdException w:unhideWhenUsed="0" w:uiPriority="0" w:semiHidden="0" w:name="Body Text 3" w:locked="1"/>
    <w:lsdException w:qFormat="1" w:uiPriority="0" w:semiHidden="0" w:name="Body Text Indent 2" w:locked="1"/>
    <w:lsdException w:qFormat="1"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iPriority="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sdException w:uiPriority="0"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locked/>
    <w:uiPriority w:val="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57"/>
    <w:unhideWhenUsed/>
    <w:qFormat/>
    <w:locked/>
    <w:uiPriority w:val="9"/>
    <w:pPr>
      <w:keepNext/>
      <w:keepLines/>
      <w:spacing w:before="260" w:after="260" w:line="415" w:lineRule="auto"/>
      <w:outlineLvl w:val="1"/>
    </w:pPr>
    <w:rPr>
      <w:rFonts w:ascii="Cambria" w:hAnsi="Cambria" w:cs="宋体"/>
      <w:b/>
      <w:bCs/>
      <w:sz w:val="32"/>
      <w:szCs w:val="32"/>
    </w:rPr>
  </w:style>
  <w:style w:type="paragraph" w:styleId="5">
    <w:name w:val="heading 3"/>
    <w:basedOn w:val="1"/>
    <w:next w:val="1"/>
    <w:link w:val="58"/>
    <w:unhideWhenUsed/>
    <w:qFormat/>
    <w:locked/>
    <w:uiPriority w:val="99"/>
    <w:pPr>
      <w:keepNext/>
      <w:keepLines/>
      <w:spacing w:before="260" w:after="260" w:line="415" w:lineRule="auto"/>
      <w:outlineLvl w:val="2"/>
    </w:pPr>
    <w:rPr>
      <w:b/>
      <w:bCs/>
      <w:sz w:val="32"/>
      <w:szCs w:val="32"/>
    </w:rPr>
  </w:style>
  <w:style w:type="paragraph" w:styleId="2">
    <w:name w:val="heading 4"/>
    <w:basedOn w:val="1"/>
    <w:next w:val="1"/>
    <w:link w:val="55"/>
    <w:unhideWhenUsed/>
    <w:qFormat/>
    <w:locked/>
    <w:uiPriority w:val="9"/>
    <w:pPr>
      <w:keepNext/>
      <w:keepLines/>
      <w:widowControl/>
      <w:spacing w:line="360" w:lineRule="auto"/>
      <w:ind w:firstLine="640" w:firstLineChars="200"/>
      <w:outlineLvl w:val="3"/>
    </w:pPr>
    <w:rPr>
      <w:b/>
      <w:bCs/>
      <w:color w:val="000000"/>
      <w:sz w:val="28"/>
      <w:szCs w:val="28"/>
    </w:rPr>
  </w:style>
  <w:style w:type="paragraph" w:styleId="6">
    <w:name w:val="heading 5"/>
    <w:basedOn w:val="1"/>
    <w:next w:val="1"/>
    <w:link w:val="59"/>
    <w:unhideWhenUsed/>
    <w:qFormat/>
    <w:locked/>
    <w:uiPriority w:val="9"/>
    <w:pPr>
      <w:keepNext/>
      <w:keepLines/>
      <w:spacing w:before="280" w:after="290" w:line="376" w:lineRule="auto"/>
      <w:outlineLvl w:val="4"/>
    </w:pPr>
    <w:rPr>
      <w:b/>
      <w:bCs/>
      <w:sz w:val="28"/>
      <w:szCs w:val="28"/>
    </w:rPr>
  </w:style>
  <w:style w:type="paragraph" w:styleId="7">
    <w:name w:val="heading 6"/>
    <w:basedOn w:val="8"/>
    <w:next w:val="9"/>
    <w:link w:val="218"/>
    <w:qFormat/>
    <w:locked/>
    <w:uiPriority w:val="9"/>
    <w:pPr>
      <w:keepNext/>
      <w:keepLines/>
      <w:adjustRightInd w:val="0"/>
      <w:snapToGrid w:val="0"/>
      <w:spacing w:line="360" w:lineRule="auto"/>
      <w:ind w:left="1152" w:hanging="1152"/>
      <w:outlineLvl w:val="5"/>
    </w:pPr>
    <w:rPr>
      <w:rFonts w:ascii="Calibri Light" w:hAnsi="Calibri Light"/>
      <w:b/>
      <w:bCs/>
      <w:sz w:val="24"/>
    </w:rPr>
  </w:style>
  <w:style w:type="paragraph" w:styleId="10">
    <w:name w:val="heading 7"/>
    <w:basedOn w:val="1"/>
    <w:next w:val="1"/>
    <w:link w:val="219"/>
    <w:qFormat/>
    <w:locked/>
    <w:uiPriority w:val="9"/>
    <w:pPr>
      <w:keepNext/>
      <w:keepLines/>
      <w:spacing w:before="240" w:after="64" w:line="320" w:lineRule="auto"/>
      <w:ind w:left="1296" w:hanging="1296"/>
      <w:outlineLvl w:val="6"/>
    </w:pPr>
    <w:rPr>
      <w:rFonts w:ascii="ˎ̥" w:hAnsi="ˎ̥" w:cs="ˎ̥"/>
      <w:b/>
      <w:bCs/>
      <w:sz w:val="24"/>
    </w:rPr>
  </w:style>
  <w:style w:type="paragraph" w:styleId="11">
    <w:name w:val="heading 8"/>
    <w:basedOn w:val="1"/>
    <w:next w:val="1"/>
    <w:link w:val="220"/>
    <w:qFormat/>
    <w:locked/>
    <w:uiPriority w:val="9"/>
    <w:pPr>
      <w:keepNext/>
      <w:keepLines/>
      <w:spacing w:before="240" w:after="64" w:line="320" w:lineRule="auto"/>
      <w:ind w:left="1440" w:hanging="1440"/>
      <w:outlineLvl w:val="7"/>
    </w:pPr>
    <w:rPr>
      <w:rFonts w:ascii="Calibri Light" w:hAnsi="Calibri Light"/>
      <w:sz w:val="24"/>
    </w:rPr>
  </w:style>
  <w:style w:type="paragraph" w:styleId="12">
    <w:name w:val="heading 9"/>
    <w:basedOn w:val="1"/>
    <w:next w:val="1"/>
    <w:link w:val="221"/>
    <w:qFormat/>
    <w:locked/>
    <w:uiPriority w:val="9"/>
    <w:pPr>
      <w:keepNext/>
      <w:keepLines/>
      <w:spacing w:before="240" w:after="64" w:line="320" w:lineRule="auto"/>
      <w:ind w:left="1584" w:hanging="1584"/>
      <w:outlineLvl w:val="8"/>
    </w:pPr>
    <w:rPr>
      <w:rFonts w:ascii="Calibri Light" w:hAnsi="Calibri Light"/>
      <w:szCs w:val="21"/>
    </w:rPr>
  </w:style>
  <w:style w:type="character" w:default="1" w:styleId="50">
    <w:name w:val="Default Paragraph Font"/>
    <w:unhideWhenUsed/>
    <w:qFormat/>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styleId="8">
    <w:name w:val="Plain Text"/>
    <w:basedOn w:val="1"/>
    <w:link w:val="65"/>
    <w:unhideWhenUsed/>
    <w:qFormat/>
    <w:locked/>
    <w:uiPriority w:val="0"/>
    <w:rPr>
      <w:rFonts w:ascii="宋体" w:hAnsi="Courier New"/>
    </w:rPr>
  </w:style>
  <w:style w:type="paragraph" w:customStyle="1" w:styleId="9">
    <w:name w:val="zw"/>
    <w:basedOn w:val="8"/>
    <w:link w:val="253"/>
    <w:qFormat/>
    <w:uiPriority w:val="0"/>
    <w:pPr>
      <w:spacing w:line="360" w:lineRule="auto"/>
      <w:ind w:firstLine="480" w:firstLineChars="200"/>
    </w:pPr>
    <w:rPr>
      <w:rFonts w:ascii="Times New Roman" w:hAnsi="Times New Roman"/>
      <w:sz w:val="24"/>
      <w:szCs w:val="20"/>
    </w:rPr>
  </w:style>
  <w:style w:type="paragraph" w:styleId="13">
    <w:name w:val="toc 7"/>
    <w:basedOn w:val="1"/>
    <w:next w:val="1"/>
    <w:unhideWhenUsed/>
    <w:qFormat/>
    <w:locked/>
    <w:uiPriority w:val="0"/>
    <w:pPr>
      <w:spacing w:line="360" w:lineRule="auto"/>
      <w:ind w:left="2520" w:leftChars="1200"/>
    </w:pPr>
    <w:rPr>
      <w:rFonts w:ascii="Calibri" w:hAnsi="Calibri"/>
      <w:sz w:val="24"/>
      <w:szCs w:val="22"/>
    </w:rPr>
  </w:style>
  <w:style w:type="paragraph" w:styleId="14">
    <w:name w:val="Normal Indent"/>
    <w:basedOn w:val="1"/>
    <w:link w:val="60"/>
    <w:unhideWhenUsed/>
    <w:qFormat/>
    <w:locked/>
    <w:uiPriority w:val="0"/>
    <w:pPr>
      <w:ind w:firstLine="420" w:firstLineChars="200"/>
    </w:pPr>
  </w:style>
  <w:style w:type="paragraph" w:styleId="15">
    <w:name w:val="caption"/>
    <w:basedOn w:val="1"/>
    <w:next w:val="1"/>
    <w:link w:val="229"/>
    <w:qFormat/>
    <w:locked/>
    <w:uiPriority w:val="35"/>
    <w:rPr>
      <w:rFonts w:ascii="Tahoma" w:hAnsi="Tahoma" w:eastAsia="仿宋" w:cs="Tahoma"/>
      <w:sz w:val="20"/>
      <w:szCs w:val="20"/>
    </w:rPr>
  </w:style>
  <w:style w:type="paragraph" w:styleId="16">
    <w:name w:val="Document Map"/>
    <w:basedOn w:val="1"/>
    <w:link w:val="61"/>
    <w:qFormat/>
    <w:locked/>
    <w:uiPriority w:val="0"/>
    <w:rPr>
      <w:rFonts w:ascii="宋体"/>
      <w:sz w:val="18"/>
      <w:szCs w:val="18"/>
    </w:rPr>
  </w:style>
  <w:style w:type="paragraph" w:styleId="17">
    <w:name w:val="annotation text"/>
    <w:basedOn w:val="1"/>
    <w:link w:val="62"/>
    <w:qFormat/>
    <w:uiPriority w:val="99"/>
    <w:pPr>
      <w:jc w:val="left"/>
    </w:pPr>
    <w:rPr>
      <w:kern w:val="0"/>
      <w:sz w:val="24"/>
      <w:szCs w:val="20"/>
    </w:rPr>
  </w:style>
  <w:style w:type="paragraph" w:styleId="18">
    <w:name w:val="Body Text"/>
    <w:basedOn w:val="1"/>
    <w:link w:val="63"/>
    <w:qFormat/>
    <w:uiPriority w:val="0"/>
    <w:pPr>
      <w:widowControl/>
      <w:snapToGrid w:val="0"/>
      <w:spacing w:before="60" w:after="160" w:line="259" w:lineRule="auto"/>
      <w:ind w:right="113"/>
    </w:pPr>
    <w:rPr>
      <w:kern w:val="0"/>
      <w:sz w:val="18"/>
      <w:szCs w:val="20"/>
    </w:rPr>
  </w:style>
  <w:style w:type="paragraph" w:styleId="19">
    <w:name w:val="Body Text Indent"/>
    <w:basedOn w:val="1"/>
    <w:link w:val="64"/>
    <w:qFormat/>
    <w:uiPriority w:val="99"/>
    <w:pPr>
      <w:spacing w:after="120"/>
      <w:ind w:left="420" w:leftChars="200"/>
    </w:pPr>
    <w:rPr>
      <w:kern w:val="0"/>
      <w:sz w:val="24"/>
      <w:szCs w:val="20"/>
    </w:rPr>
  </w:style>
  <w:style w:type="paragraph" w:styleId="20">
    <w:name w:val="toc 5"/>
    <w:basedOn w:val="1"/>
    <w:next w:val="1"/>
    <w:unhideWhenUsed/>
    <w:qFormat/>
    <w:locked/>
    <w:uiPriority w:val="0"/>
    <w:pPr>
      <w:spacing w:line="360" w:lineRule="auto"/>
      <w:ind w:left="1680" w:leftChars="800"/>
    </w:pPr>
    <w:rPr>
      <w:rFonts w:ascii="Calibri" w:hAnsi="Calibri"/>
      <w:sz w:val="24"/>
      <w:szCs w:val="22"/>
    </w:rPr>
  </w:style>
  <w:style w:type="paragraph" w:styleId="21">
    <w:name w:val="toc 3"/>
    <w:basedOn w:val="1"/>
    <w:next w:val="1"/>
    <w:qFormat/>
    <w:locked/>
    <w:uiPriority w:val="39"/>
    <w:pPr>
      <w:spacing w:line="360" w:lineRule="auto"/>
      <w:ind w:left="840" w:leftChars="400"/>
    </w:pPr>
    <w:rPr>
      <w:sz w:val="24"/>
    </w:rPr>
  </w:style>
  <w:style w:type="paragraph" w:styleId="22">
    <w:name w:val="toc 8"/>
    <w:basedOn w:val="1"/>
    <w:next w:val="1"/>
    <w:unhideWhenUsed/>
    <w:qFormat/>
    <w:locked/>
    <w:uiPriority w:val="0"/>
    <w:pPr>
      <w:spacing w:line="360" w:lineRule="auto"/>
      <w:ind w:left="2940" w:leftChars="1400"/>
    </w:pPr>
    <w:rPr>
      <w:rFonts w:ascii="Calibri" w:hAnsi="Calibri"/>
      <w:sz w:val="24"/>
      <w:szCs w:val="22"/>
    </w:rPr>
  </w:style>
  <w:style w:type="paragraph" w:styleId="23">
    <w:name w:val="Date"/>
    <w:basedOn w:val="1"/>
    <w:next w:val="1"/>
    <w:link w:val="66"/>
    <w:qFormat/>
    <w:uiPriority w:val="0"/>
    <w:pPr>
      <w:ind w:left="100" w:leftChars="2500"/>
    </w:pPr>
    <w:rPr>
      <w:kern w:val="0"/>
      <w:sz w:val="24"/>
      <w:szCs w:val="20"/>
    </w:rPr>
  </w:style>
  <w:style w:type="paragraph" w:styleId="24">
    <w:name w:val="Body Text Indent 2"/>
    <w:basedOn w:val="1"/>
    <w:link w:val="67"/>
    <w:unhideWhenUsed/>
    <w:qFormat/>
    <w:locked/>
    <w:uiPriority w:val="0"/>
    <w:pPr>
      <w:spacing w:after="120" w:line="480" w:lineRule="auto"/>
      <w:ind w:left="420" w:leftChars="200"/>
    </w:pPr>
    <w:rPr>
      <w:rFonts w:ascii="Tahoma" w:hAnsi="Tahoma"/>
    </w:rPr>
  </w:style>
  <w:style w:type="paragraph" w:styleId="25">
    <w:name w:val="Balloon Text"/>
    <w:basedOn w:val="1"/>
    <w:link w:val="68"/>
    <w:qFormat/>
    <w:uiPriority w:val="0"/>
    <w:rPr>
      <w:kern w:val="0"/>
      <w:sz w:val="18"/>
      <w:szCs w:val="20"/>
    </w:rPr>
  </w:style>
  <w:style w:type="paragraph" w:styleId="26">
    <w:name w:val="footer"/>
    <w:basedOn w:val="1"/>
    <w:link w:val="69"/>
    <w:qFormat/>
    <w:uiPriority w:val="0"/>
    <w:pPr>
      <w:tabs>
        <w:tab w:val="center" w:pos="4153"/>
        <w:tab w:val="right" w:pos="8306"/>
      </w:tabs>
      <w:snapToGrid w:val="0"/>
      <w:jc w:val="left"/>
    </w:pPr>
    <w:rPr>
      <w:kern w:val="0"/>
      <w:sz w:val="18"/>
      <w:szCs w:val="20"/>
    </w:rPr>
  </w:style>
  <w:style w:type="paragraph" w:styleId="27">
    <w:name w:val="header"/>
    <w:basedOn w:val="1"/>
    <w:next w:val="28"/>
    <w:link w:val="71"/>
    <w:qFormat/>
    <w:uiPriority w:val="99"/>
    <w:pPr>
      <w:pBdr>
        <w:bottom w:val="single" w:color="auto" w:sz="6" w:space="1"/>
      </w:pBdr>
      <w:tabs>
        <w:tab w:val="center" w:pos="4153"/>
        <w:tab w:val="right" w:pos="8306"/>
      </w:tabs>
      <w:snapToGrid w:val="0"/>
      <w:jc w:val="center"/>
    </w:pPr>
    <w:rPr>
      <w:kern w:val="0"/>
      <w:sz w:val="18"/>
      <w:szCs w:val="20"/>
    </w:rPr>
  </w:style>
  <w:style w:type="paragraph" w:customStyle="1" w:styleId="28">
    <w:name w:val="样式5"/>
    <w:basedOn w:val="29"/>
    <w:qFormat/>
    <w:uiPriority w:val="0"/>
    <w:pPr>
      <w:spacing w:line="360" w:lineRule="auto"/>
    </w:pPr>
    <w:rPr>
      <w:rFonts w:ascii="Times New Roman" w:hAnsi="Times New Roman"/>
      <w:szCs w:val="22"/>
    </w:rPr>
  </w:style>
  <w:style w:type="paragraph" w:customStyle="1" w:styleId="29">
    <w:name w:val="正文1"/>
    <w:basedOn w:val="1"/>
    <w:next w:val="1"/>
    <w:link w:val="70"/>
    <w:qFormat/>
    <w:uiPriority w:val="0"/>
    <w:pPr>
      <w:widowControl/>
      <w:spacing w:line="460" w:lineRule="exact"/>
      <w:ind w:firstLine="480" w:firstLineChars="200"/>
    </w:pPr>
    <w:rPr>
      <w:rFonts w:ascii="宋体" w:hAnsi="宋体" w:cs="宋体"/>
      <w:color w:val="000000"/>
      <w:kern w:val="0"/>
      <w:sz w:val="24"/>
      <w:szCs w:val="26"/>
    </w:rPr>
  </w:style>
  <w:style w:type="paragraph" w:styleId="30">
    <w:name w:val="toc 1"/>
    <w:basedOn w:val="1"/>
    <w:next w:val="1"/>
    <w:qFormat/>
    <w:locked/>
    <w:uiPriority w:val="39"/>
    <w:pPr>
      <w:tabs>
        <w:tab w:val="left" w:pos="420"/>
        <w:tab w:val="right" w:leader="dot" w:pos="8494"/>
      </w:tabs>
      <w:spacing w:line="360" w:lineRule="auto"/>
    </w:pPr>
    <w:rPr>
      <w:sz w:val="24"/>
    </w:rPr>
  </w:style>
  <w:style w:type="paragraph" w:styleId="31">
    <w:name w:val="toc 4"/>
    <w:basedOn w:val="1"/>
    <w:next w:val="1"/>
    <w:qFormat/>
    <w:locked/>
    <w:uiPriority w:val="0"/>
    <w:pPr>
      <w:spacing w:line="360" w:lineRule="auto"/>
      <w:ind w:left="1260" w:leftChars="600"/>
    </w:pPr>
    <w:rPr>
      <w:sz w:val="24"/>
    </w:rPr>
  </w:style>
  <w:style w:type="paragraph" w:styleId="32">
    <w:name w:val="Subtitle"/>
    <w:basedOn w:val="1"/>
    <w:next w:val="1"/>
    <w:link w:val="144"/>
    <w:qFormat/>
    <w:locked/>
    <w:uiPriority w:val="0"/>
    <w:pPr>
      <w:spacing w:before="240" w:after="60" w:line="312" w:lineRule="auto"/>
      <w:jc w:val="left"/>
      <w:outlineLvl w:val="1"/>
    </w:pPr>
    <w:rPr>
      <w:rFonts w:ascii="Cambria" w:hAnsi="Cambria"/>
      <w:b/>
      <w:bCs/>
      <w:kern w:val="28"/>
      <w:sz w:val="24"/>
      <w:szCs w:val="32"/>
    </w:rPr>
  </w:style>
  <w:style w:type="paragraph" w:styleId="33">
    <w:name w:val="List"/>
    <w:basedOn w:val="1"/>
    <w:next w:val="1"/>
    <w:qFormat/>
    <w:locked/>
    <w:uiPriority w:val="0"/>
    <w:pPr>
      <w:ind w:left="200" w:hanging="200" w:hangingChars="200"/>
    </w:pPr>
  </w:style>
  <w:style w:type="paragraph" w:styleId="34">
    <w:name w:val="footnote text"/>
    <w:basedOn w:val="1"/>
    <w:link w:val="145"/>
    <w:unhideWhenUsed/>
    <w:qFormat/>
    <w:locked/>
    <w:uiPriority w:val="0"/>
    <w:pPr>
      <w:widowControl/>
      <w:jc w:val="left"/>
    </w:pPr>
    <w:rPr>
      <w:rFonts w:asciiTheme="minorHAnsi" w:hAnsiTheme="minorHAnsi" w:eastAsiaTheme="minorEastAsia"/>
      <w:kern w:val="0"/>
      <w:sz w:val="20"/>
      <w:szCs w:val="20"/>
    </w:rPr>
  </w:style>
  <w:style w:type="paragraph" w:styleId="35">
    <w:name w:val="toc 6"/>
    <w:basedOn w:val="1"/>
    <w:next w:val="1"/>
    <w:unhideWhenUsed/>
    <w:qFormat/>
    <w:locked/>
    <w:uiPriority w:val="0"/>
    <w:pPr>
      <w:spacing w:line="360" w:lineRule="auto"/>
      <w:ind w:left="2100" w:leftChars="1000"/>
    </w:pPr>
    <w:rPr>
      <w:rFonts w:ascii="Calibri" w:hAnsi="Calibri"/>
      <w:sz w:val="24"/>
      <w:szCs w:val="22"/>
    </w:rPr>
  </w:style>
  <w:style w:type="paragraph" w:styleId="36">
    <w:name w:val="Body Text Indent 3"/>
    <w:basedOn w:val="1"/>
    <w:link w:val="72"/>
    <w:unhideWhenUsed/>
    <w:qFormat/>
    <w:locked/>
    <w:uiPriority w:val="0"/>
    <w:pPr>
      <w:spacing w:after="120"/>
      <w:ind w:left="420" w:leftChars="200"/>
    </w:pPr>
    <w:rPr>
      <w:sz w:val="16"/>
      <w:szCs w:val="16"/>
    </w:rPr>
  </w:style>
  <w:style w:type="paragraph" w:styleId="37">
    <w:name w:val="toc 2"/>
    <w:basedOn w:val="1"/>
    <w:next w:val="1"/>
    <w:qFormat/>
    <w:locked/>
    <w:uiPriority w:val="39"/>
    <w:pPr>
      <w:spacing w:line="360" w:lineRule="auto"/>
      <w:ind w:left="420" w:leftChars="200"/>
    </w:pPr>
    <w:rPr>
      <w:sz w:val="24"/>
    </w:rPr>
  </w:style>
  <w:style w:type="paragraph" w:styleId="38">
    <w:name w:val="toc 9"/>
    <w:basedOn w:val="1"/>
    <w:next w:val="1"/>
    <w:unhideWhenUsed/>
    <w:qFormat/>
    <w:locked/>
    <w:uiPriority w:val="0"/>
    <w:pPr>
      <w:spacing w:line="360" w:lineRule="auto"/>
      <w:ind w:left="3360" w:leftChars="1600"/>
    </w:pPr>
    <w:rPr>
      <w:rFonts w:ascii="Calibri" w:hAnsi="Calibri"/>
      <w:sz w:val="24"/>
      <w:szCs w:val="22"/>
    </w:rPr>
  </w:style>
  <w:style w:type="paragraph" w:styleId="39">
    <w:name w:val="Body Text 2"/>
    <w:basedOn w:val="1"/>
    <w:link w:val="139"/>
    <w:qFormat/>
    <w:locked/>
    <w:uiPriority w:val="99"/>
    <w:pPr>
      <w:spacing w:after="120" w:line="480" w:lineRule="auto"/>
    </w:pPr>
    <w:rPr>
      <w:rFonts w:ascii="Calibri" w:hAnsi="Calibri"/>
    </w:rPr>
  </w:style>
  <w:style w:type="paragraph" w:styleId="40">
    <w:name w:val="Normal (Web)"/>
    <w:basedOn w:val="1"/>
    <w:link w:val="73"/>
    <w:qFormat/>
    <w:uiPriority w:val="0"/>
    <w:pPr>
      <w:widowControl/>
      <w:spacing w:before="100" w:beforeAutospacing="1" w:after="100" w:afterAutospacing="1"/>
      <w:jc w:val="left"/>
    </w:pPr>
    <w:rPr>
      <w:rFonts w:ascii="宋体" w:hAnsi="宋体"/>
      <w:kern w:val="0"/>
      <w:sz w:val="24"/>
      <w:szCs w:val="20"/>
    </w:rPr>
  </w:style>
  <w:style w:type="paragraph" w:styleId="41">
    <w:name w:val="index 1"/>
    <w:basedOn w:val="1"/>
    <w:next w:val="1"/>
    <w:unhideWhenUsed/>
    <w:qFormat/>
    <w:locked/>
    <w:uiPriority w:val="0"/>
    <w:pPr>
      <w:adjustRightInd w:val="0"/>
      <w:snapToGrid w:val="0"/>
      <w:spacing w:line="440" w:lineRule="atLeast"/>
      <w:ind w:left="240" w:hanging="240"/>
      <w:jc w:val="left"/>
    </w:pPr>
    <w:rPr>
      <w:rFonts w:hint="eastAsia" w:ascii="宋体"/>
      <w:sz w:val="18"/>
      <w:szCs w:val="18"/>
    </w:rPr>
  </w:style>
  <w:style w:type="paragraph" w:styleId="42">
    <w:name w:val="Title"/>
    <w:basedOn w:val="1"/>
    <w:next w:val="1"/>
    <w:link w:val="146"/>
    <w:qFormat/>
    <w:locked/>
    <w:uiPriority w:val="10"/>
    <w:pPr>
      <w:spacing w:before="240" w:after="60" w:line="360" w:lineRule="auto"/>
      <w:jc w:val="center"/>
      <w:outlineLvl w:val="0"/>
    </w:pPr>
    <w:rPr>
      <w:rFonts w:asciiTheme="majorHAnsi" w:hAnsiTheme="majorHAnsi" w:eastAsiaTheme="majorEastAsia" w:cstheme="majorBidi"/>
      <w:b/>
      <w:bCs/>
      <w:sz w:val="32"/>
      <w:szCs w:val="32"/>
    </w:rPr>
  </w:style>
  <w:style w:type="paragraph" w:styleId="43">
    <w:name w:val="annotation subject"/>
    <w:basedOn w:val="17"/>
    <w:next w:val="17"/>
    <w:link w:val="74"/>
    <w:qFormat/>
    <w:uiPriority w:val="0"/>
    <w:rPr>
      <w:b/>
      <w:kern w:val="2"/>
    </w:rPr>
  </w:style>
  <w:style w:type="paragraph" w:styleId="44">
    <w:name w:val="Body Text First Indent"/>
    <w:basedOn w:val="18"/>
    <w:link w:val="75"/>
    <w:unhideWhenUsed/>
    <w:qFormat/>
    <w:locked/>
    <w:uiPriority w:val="99"/>
    <w:pPr>
      <w:widowControl w:val="0"/>
      <w:snapToGrid/>
      <w:spacing w:before="0" w:after="120" w:line="240" w:lineRule="auto"/>
      <w:ind w:right="0" w:firstLine="420" w:firstLineChars="100"/>
    </w:pPr>
    <w:rPr>
      <w:rFonts w:ascii="仿宋" w:hAnsi="仿宋" w:eastAsia="仿宋"/>
      <w:kern w:val="2"/>
      <w:sz w:val="21"/>
      <w:szCs w:val="24"/>
      <w:lang w:eastAsia="en-US"/>
    </w:rPr>
  </w:style>
  <w:style w:type="paragraph" w:styleId="45">
    <w:name w:val="Body Text First Indent 2"/>
    <w:basedOn w:val="19"/>
    <w:link w:val="143"/>
    <w:locked/>
    <w:uiPriority w:val="0"/>
    <w:pPr>
      <w:ind w:firstLine="420" w:firstLineChars="200"/>
    </w:pPr>
    <w:rPr>
      <w:kern w:val="2"/>
      <w:sz w:val="21"/>
      <w:szCs w:val="24"/>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8">
    <w:name w:val="Light List Accent 3"/>
    <w:basedOn w:val="46"/>
    <w:qFormat/>
    <w:uiPriority w:val="61"/>
    <w:rPr>
      <w:rFonts w:asciiTheme="minorHAnsi" w:hAnsiTheme="minorHAnsi" w:eastAsiaTheme="minorEastAsia" w:cstheme="minorBidi"/>
      <w:sz w:val="22"/>
      <w:szCs w:val="22"/>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9BBB59" w:themeFill="accent3"/>
      </w:tcPr>
    </w:tblStylePr>
    <w:tblStylePr w:type="lastRow">
      <w:pPr>
        <w:spacing w:before="0" w:after="0" w:line="240" w:lineRule="auto"/>
      </w:pPr>
      <w:rPr>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Medium Shading 2 Accent 5"/>
    <w:basedOn w:val="46"/>
    <w:qFormat/>
    <w:uiPriority w:val="64"/>
    <w:rPr>
      <w:rFonts w:asciiTheme="minorHAnsi" w:hAnsiTheme="minorHAnsi" w:eastAsiaTheme="minorEastAsia" w:cstheme="minorBidi"/>
      <w:sz w:val="22"/>
      <w:szCs w:val="22"/>
    </w:rPr>
    <w:tblPr>
      <w:tblBorders>
        <w:top w:val="single" w:color="auto" w:sz="18" w:space="0"/>
        <w:bottom w:val="single" w:color="auto" w:sz="18" w:space="0"/>
      </w:tblBorders>
      <w:tblLayout w:type="fixed"/>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BACC6" w:themeFill="accent5"/>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character" w:styleId="51">
    <w:name w:val="page number"/>
    <w:basedOn w:val="50"/>
    <w:qFormat/>
    <w:locked/>
    <w:uiPriority w:val="0"/>
  </w:style>
  <w:style w:type="character" w:styleId="52">
    <w:name w:val="FollowedHyperlink"/>
    <w:qFormat/>
    <w:locked/>
    <w:uiPriority w:val="0"/>
    <w:rPr>
      <w:color w:val="800080"/>
      <w:u w:val="single"/>
    </w:rPr>
  </w:style>
  <w:style w:type="character" w:styleId="53">
    <w:name w:val="Hyperlink"/>
    <w:qFormat/>
    <w:locked/>
    <w:uiPriority w:val="0"/>
    <w:rPr>
      <w:color w:val="0000FF"/>
      <w:u w:val="single"/>
    </w:rPr>
  </w:style>
  <w:style w:type="character" w:styleId="54">
    <w:name w:val="annotation reference"/>
    <w:qFormat/>
    <w:uiPriority w:val="99"/>
    <w:rPr>
      <w:sz w:val="21"/>
    </w:rPr>
  </w:style>
  <w:style w:type="character" w:customStyle="1" w:styleId="55">
    <w:name w:val="标题 4 字符"/>
    <w:basedOn w:val="50"/>
    <w:link w:val="2"/>
    <w:qFormat/>
    <w:uiPriority w:val="9"/>
    <w:rPr>
      <w:b/>
      <w:bCs/>
      <w:color w:val="000000"/>
      <w:kern w:val="2"/>
      <w:sz w:val="28"/>
      <w:szCs w:val="28"/>
    </w:rPr>
  </w:style>
  <w:style w:type="character" w:customStyle="1" w:styleId="56">
    <w:name w:val="标题 1 字符"/>
    <w:basedOn w:val="50"/>
    <w:link w:val="3"/>
    <w:qFormat/>
    <w:uiPriority w:val="9"/>
    <w:rPr>
      <w:rFonts w:eastAsia="黑体"/>
      <w:b/>
      <w:bCs/>
      <w:color w:val="000000"/>
      <w:kern w:val="44"/>
      <w:sz w:val="30"/>
      <w:szCs w:val="30"/>
    </w:rPr>
  </w:style>
  <w:style w:type="character" w:customStyle="1" w:styleId="57">
    <w:name w:val="标题 2 字符"/>
    <w:basedOn w:val="50"/>
    <w:link w:val="4"/>
    <w:qFormat/>
    <w:uiPriority w:val="9"/>
    <w:rPr>
      <w:rFonts w:ascii="Cambria" w:hAnsi="Cambria" w:cs="宋体"/>
      <w:b/>
      <w:bCs/>
      <w:kern w:val="2"/>
      <w:sz w:val="32"/>
      <w:szCs w:val="32"/>
    </w:rPr>
  </w:style>
  <w:style w:type="character" w:customStyle="1" w:styleId="58">
    <w:name w:val="标题 3 字符"/>
    <w:basedOn w:val="50"/>
    <w:link w:val="5"/>
    <w:qFormat/>
    <w:uiPriority w:val="0"/>
    <w:rPr>
      <w:b/>
      <w:bCs/>
      <w:kern w:val="2"/>
      <w:sz w:val="32"/>
      <w:szCs w:val="32"/>
    </w:rPr>
  </w:style>
  <w:style w:type="character" w:customStyle="1" w:styleId="59">
    <w:name w:val="标题 5 字符"/>
    <w:basedOn w:val="50"/>
    <w:link w:val="6"/>
    <w:qFormat/>
    <w:uiPriority w:val="9"/>
    <w:rPr>
      <w:b/>
      <w:bCs/>
      <w:kern w:val="2"/>
      <w:sz w:val="28"/>
      <w:szCs w:val="28"/>
    </w:rPr>
  </w:style>
  <w:style w:type="character" w:customStyle="1" w:styleId="60">
    <w:name w:val="正文缩进 字符"/>
    <w:link w:val="14"/>
    <w:qFormat/>
    <w:locked/>
    <w:uiPriority w:val="0"/>
    <w:rPr>
      <w:kern w:val="2"/>
      <w:sz w:val="21"/>
      <w:szCs w:val="24"/>
    </w:rPr>
  </w:style>
  <w:style w:type="character" w:customStyle="1" w:styleId="61">
    <w:name w:val="文档结构图 字符"/>
    <w:basedOn w:val="50"/>
    <w:link w:val="16"/>
    <w:qFormat/>
    <w:uiPriority w:val="0"/>
    <w:rPr>
      <w:rFonts w:ascii="宋体"/>
      <w:kern w:val="2"/>
      <w:sz w:val="18"/>
      <w:szCs w:val="18"/>
    </w:rPr>
  </w:style>
  <w:style w:type="character" w:customStyle="1" w:styleId="62">
    <w:name w:val="批注文字 字符"/>
    <w:link w:val="17"/>
    <w:qFormat/>
    <w:locked/>
    <w:uiPriority w:val="99"/>
    <w:rPr>
      <w:rFonts w:ascii="Times New Roman" w:hAnsi="Times New Roman" w:eastAsia="宋体"/>
      <w:sz w:val="24"/>
    </w:rPr>
  </w:style>
  <w:style w:type="character" w:customStyle="1" w:styleId="63">
    <w:name w:val="正文文本 字符"/>
    <w:link w:val="18"/>
    <w:qFormat/>
    <w:locked/>
    <w:uiPriority w:val="0"/>
    <w:rPr>
      <w:sz w:val="18"/>
    </w:rPr>
  </w:style>
  <w:style w:type="character" w:customStyle="1" w:styleId="64">
    <w:name w:val="正文文本缩进 字符"/>
    <w:link w:val="19"/>
    <w:semiHidden/>
    <w:qFormat/>
    <w:locked/>
    <w:uiPriority w:val="99"/>
    <w:rPr>
      <w:rFonts w:ascii="Times New Roman" w:hAnsi="Times New Roman" w:eastAsia="宋体"/>
      <w:sz w:val="24"/>
    </w:rPr>
  </w:style>
  <w:style w:type="character" w:customStyle="1" w:styleId="65">
    <w:name w:val="纯文本 字符"/>
    <w:basedOn w:val="50"/>
    <w:link w:val="8"/>
    <w:qFormat/>
    <w:uiPriority w:val="0"/>
    <w:rPr>
      <w:rFonts w:ascii="宋体" w:hAnsi="Courier New" w:cs="Courier New"/>
      <w:kern w:val="2"/>
      <w:sz w:val="21"/>
      <w:szCs w:val="21"/>
    </w:rPr>
  </w:style>
  <w:style w:type="character" w:customStyle="1" w:styleId="66">
    <w:name w:val="日期 字符1"/>
    <w:link w:val="23"/>
    <w:qFormat/>
    <w:locked/>
    <w:uiPriority w:val="99"/>
    <w:rPr>
      <w:rFonts w:ascii="Times New Roman" w:hAnsi="Times New Roman" w:eastAsia="宋体"/>
      <w:sz w:val="24"/>
    </w:rPr>
  </w:style>
  <w:style w:type="character" w:customStyle="1" w:styleId="67">
    <w:name w:val="正文文本缩进 2 字符"/>
    <w:basedOn w:val="50"/>
    <w:link w:val="24"/>
    <w:qFormat/>
    <w:uiPriority w:val="0"/>
    <w:rPr>
      <w:kern w:val="2"/>
      <w:sz w:val="21"/>
      <w:szCs w:val="24"/>
    </w:rPr>
  </w:style>
  <w:style w:type="character" w:customStyle="1" w:styleId="68">
    <w:name w:val="批注框文本 字符"/>
    <w:link w:val="25"/>
    <w:qFormat/>
    <w:locked/>
    <w:uiPriority w:val="0"/>
    <w:rPr>
      <w:rFonts w:ascii="Times New Roman" w:hAnsi="Times New Roman" w:eastAsia="宋体"/>
      <w:sz w:val="18"/>
    </w:rPr>
  </w:style>
  <w:style w:type="character" w:customStyle="1" w:styleId="69">
    <w:name w:val="页脚 字符1"/>
    <w:link w:val="26"/>
    <w:qFormat/>
    <w:locked/>
    <w:uiPriority w:val="99"/>
    <w:rPr>
      <w:sz w:val="18"/>
    </w:rPr>
  </w:style>
  <w:style w:type="character" w:customStyle="1" w:styleId="70">
    <w:name w:val="正文1 字符"/>
    <w:basedOn w:val="50"/>
    <w:link w:val="29"/>
    <w:qFormat/>
    <w:locked/>
    <w:uiPriority w:val="0"/>
    <w:rPr>
      <w:rFonts w:ascii="宋体" w:hAnsi="宋体" w:cs="宋体"/>
      <w:color w:val="000000"/>
      <w:sz w:val="24"/>
      <w:szCs w:val="26"/>
    </w:rPr>
  </w:style>
  <w:style w:type="character" w:customStyle="1" w:styleId="71">
    <w:name w:val="页眉 字符"/>
    <w:link w:val="27"/>
    <w:qFormat/>
    <w:locked/>
    <w:uiPriority w:val="99"/>
    <w:rPr>
      <w:sz w:val="18"/>
    </w:rPr>
  </w:style>
  <w:style w:type="character" w:customStyle="1" w:styleId="72">
    <w:name w:val="正文文本缩进 3 字符"/>
    <w:basedOn w:val="50"/>
    <w:link w:val="36"/>
    <w:qFormat/>
    <w:uiPriority w:val="0"/>
    <w:rPr>
      <w:kern w:val="2"/>
      <w:sz w:val="16"/>
      <w:szCs w:val="16"/>
    </w:rPr>
  </w:style>
  <w:style w:type="character" w:customStyle="1" w:styleId="73">
    <w:name w:val="普通(网站) 字符"/>
    <w:link w:val="40"/>
    <w:qFormat/>
    <w:locked/>
    <w:uiPriority w:val="0"/>
    <w:rPr>
      <w:rFonts w:ascii="宋体" w:hAnsi="宋体" w:eastAsia="宋体"/>
      <w:sz w:val="24"/>
    </w:rPr>
  </w:style>
  <w:style w:type="character" w:customStyle="1" w:styleId="74">
    <w:name w:val="批注主题 字符"/>
    <w:link w:val="43"/>
    <w:qFormat/>
    <w:locked/>
    <w:uiPriority w:val="0"/>
    <w:rPr>
      <w:rFonts w:ascii="Times New Roman" w:hAnsi="Times New Roman" w:eastAsia="宋体"/>
      <w:b/>
      <w:kern w:val="2"/>
      <w:sz w:val="24"/>
    </w:rPr>
  </w:style>
  <w:style w:type="character" w:customStyle="1" w:styleId="75">
    <w:name w:val="正文文本首行缩进 字符"/>
    <w:basedOn w:val="63"/>
    <w:link w:val="44"/>
    <w:qFormat/>
    <w:uiPriority w:val="99"/>
    <w:rPr>
      <w:kern w:val="2"/>
      <w:sz w:val="21"/>
      <w:szCs w:val="24"/>
    </w:rPr>
  </w:style>
  <w:style w:type="character" w:customStyle="1" w:styleId="76">
    <w:name w:val="！正文 Char"/>
    <w:link w:val="77"/>
    <w:qFormat/>
    <w:locked/>
    <w:uiPriority w:val="0"/>
    <w:rPr>
      <w:sz w:val="24"/>
      <w:szCs w:val="24"/>
    </w:rPr>
  </w:style>
  <w:style w:type="paragraph" w:customStyle="1" w:styleId="77">
    <w:name w:val="！正文"/>
    <w:basedOn w:val="1"/>
    <w:link w:val="76"/>
    <w:qFormat/>
    <w:uiPriority w:val="0"/>
    <w:pPr>
      <w:spacing w:line="480" w:lineRule="exact"/>
      <w:ind w:firstLine="200" w:firstLineChars="200"/>
    </w:pPr>
    <w:rPr>
      <w:kern w:val="0"/>
      <w:sz w:val="24"/>
    </w:rPr>
  </w:style>
  <w:style w:type="character" w:customStyle="1" w:styleId="78">
    <w:name w:val="日期 字符"/>
    <w:qFormat/>
    <w:uiPriority w:val="0"/>
    <w:rPr>
      <w:rFonts w:ascii="Times New Roman" w:hAnsi="Times New Roman" w:eastAsia="宋体"/>
      <w:sz w:val="24"/>
    </w:rPr>
  </w:style>
  <w:style w:type="character" w:customStyle="1" w:styleId="79">
    <w:name w:val="正文文本缩进 3 Char1"/>
    <w:basedOn w:val="50"/>
    <w:qFormat/>
    <w:locked/>
    <w:uiPriority w:val="0"/>
    <w:rPr>
      <w:kern w:val="2"/>
      <w:sz w:val="16"/>
      <w:szCs w:val="16"/>
    </w:rPr>
  </w:style>
  <w:style w:type="character" w:customStyle="1" w:styleId="80">
    <w:name w:val="表格内容1 字符"/>
    <w:link w:val="81"/>
    <w:qFormat/>
    <w:locked/>
    <w:uiPriority w:val="0"/>
    <w:rPr>
      <w:color w:val="000000"/>
      <w:sz w:val="21"/>
      <w:szCs w:val="21"/>
    </w:rPr>
  </w:style>
  <w:style w:type="paragraph" w:customStyle="1" w:styleId="81">
    <w:name w:val="表格内容1"/>
    <w:basedOn w:val="1"/>
    <w:link w:val="80"/>
    <w:qFormat/>
    <w:uiPriority w:val="0"/>
    <w:pPr>
      <w:widowControl/>
      <w:jc w:val="center"/>
    </w:pPr>
    <w:rPr>
      <w:color w:val="000000"/>
      <w:kern w:val="0"/>
      <w:szCs w:val="21"/>
    </w:rPr>
  </w:style>
  <w:style w:type="character" w:customStyle="1" w:styleId="82">
    <w:name w:val="表格文字 Char Char"/>
    <w:link w:val="83"/>
    <w:qFormat/>
    <w:locked/>
    <w:uiPriority w:val="0"/>
    <w:rPr>
      <w:kern w:val="2"/>
      <w:sz w:val="21"/>
      <w:szCs w:val="18"/>
    </w:rPr>
  </w:style>
  <w:style w:type="paragraph" w:customStyle="1" w:styleId="83">
    <w:name w:val="表格文字"/>
    <w:basedOn w:val="18"/>
    <w:link w:val="82"/>
    <w:qFormat/>
    <w:uiPriority w:val="0"/>
    <w:pPr>
      <w:overflowPunct w:val="0"/>
      <w:autoSpaceDE w:val="0"/>
      <w:autoSpaceDN w:val="0"/>
      <w:adjustRightInd w:val="0"/>
      <w:spacing w:line="360" w:lineRule="auto"/>
      <w:ind w:firstLine="539"/>
      <w:jc w:val="center"/>
    </w:pPr>
    <w:rPr>
      <w:szCs w:val="18"/>
    </w:rPr>
  </w:style>
  <w:style w:type="character" w:customStyle="1" w:styleId="84">
    <w:name w:val="1正文段落 Char"/>
    <w:link w:val="85"/>
    <w:qFormat/>
    <w:locked/>
    <w:uiPriority w:val="0"/>
    <w:rPr>
      <w:rFonts w:ascii="宋体" w:hAnsi="宋体"/>
      <w:snapToGrid w:val="0"/>
      <w:sz w:val="24"/>
      <w:szCs w:val="24"/>
    </w:rPr>
  </w:style>
  <w:style w:type="paragraph" w:customStyle="1" w:styleId="85">
    <w:name w:val="1正文段落"/>
    <w:basedOn w:val="1"/>
    <w:link w:val="84"/>
    <w:qFormat/>
    <w:uiPriority w:val="0"/>
    <w:pPr>
      <w:snapToGrid w:val="0"/>
      <w:spacing w:line="360" w:lineRule="auto"/>
      <w:ind w:firstLine="480" w:firstLineChars="200"/>
      <w:jc w:val="left"/>
    </w:pPr>
    <w:rPr>
      <w:rFonts w:ascii="宋体" w:hAnsi="宋体"/>
      <w:snapToGrid w:val="0"/>
      <w:kern w:val="0"/>
      <w:sz w:val="24"/>
    </w:rPr>
  </w:style>
  <w:style w:type="character" w:customStyle="1" w:styleId="86">
    <w:name w:val="-表格 Char"/>
    <w:link w:val="87"/>
    <w:qFormat/>
    <w:locked/>
    <w:uiPriority w:val="0"/>
    <w:rPr>
      <w:kern w:val="2"/>
      <w:sz w:val="21"/>
      <w:szCs w:val="24"/>
    </w:rPr>
  </w:style>
  <w:style w:type="paragraph" w:customStyle="1" w:styleId="87">
    <w:name w:val="-表格"/>
    <w:basedOn w:val="1"/>
    <w:link w:val="86"/>
    <w:qFormat/>
    <w:uiPriority w:val="0"/>
  </w:style>
  <w:style w:type="character" w:customStyle="1" w:styleId="88">
    <w:name w:val="表格题目新 字符"/>
    <w:link w:val="89"/>
    <w:qFormat/>
    <w:locked/>
    <w:uiPriority w:val="0"/>
    <w:rPr>
      <w:rFonts w:ascii="黑体" w:hAnsi="黑体" w:eastAsia="黑体"/>
      <w:kern w:val="2"/>
      <w:sz w:val="21"/>
      <w:szCs w:val="24"/>
    </w:rPr>
  </w:style>
  <w:style w:type="paragraph" w:customStyle="1" w:styleId="89">
    <w:name w:val="表格题目新"/>
    <w:basedOn w:val="1"/>
    <w:link w:val="88"/>
    <w:qFormat/>
    <w:uiPriority w:val="0"/>
    <w:pPr>
      <w:autoSpaceDE w:val="0"/>
      <w:autoSpaceDN w:val="0"/>
      <w:spacing w:line="360" w:lineRule="exact"/>
      <w:ind w:firstLine="200" w:firstLineChars="200"/>
      <w:jc w:val="left"/>
    </w:pPr>
    <w:rPr>
      <w:rFonts w:ascii="黑体" w:hAnsi="黑体" w:eastAsia="黑体"/>
    </w:rPr>
  </w:style>
  <w:style w:type="character" w:customStyle="1" w:styleId="90">
    <w:name w:val="正文文本 Char1"/>
    <w:basedOn w:val="50"/>
    <w:semiHidden/>
    <w:qFormat/>
    <w:locked/>
    <w:uiPriority w:val="1"/>
    <w:rPr>
      <w:rFonts w:ascii="仿宋" w:hAnsi="仿宋" w:eastAsia="仿宋"/>
      <w:sz w:val="32"/>
      <w:szCs w:val="32"/>
      <w:lang w:eastAsia="en-US"/>
    </w:rPr>
  </w:style>
  <w:style w:type="character" w:customStyle="1" w:styleId="91">
    <w:name w:val="正文文本 字符1"/>
    <w:semiHidden/>
    <w:qFormat/>
    <w:uiPriority w:val="0"/>
    <w:rPr>
      <w:rFonts w:ascii="Times New Roman" w:hAnsi="Times New Roman" w:eastAsia="宋体"/>
      <w:sz w:val="24"/>
    </w:rPr>
  </w:style>
  <w:style w:type="character" w:customStyle="1" w:styleId="92">
    <w:name w:val="纯文本 Char1"/>
    <w:basedOn w:val="50"/>
    <w:qFormat/>
    <w:locked/>
    <w:uiPriority w:val="0"/>
    <w:rPr>
      <w:rFonts w:ascii="宋体" w:hAnsi="Courier New"/>
      <w:kern w:val="2"/>
      <w:sz w:val="21"/>
      <w:szCs w:val="24"/>
    </w:rPr>
  </w:style>
  <w:style w:type="character" w:customStyle="1" w:styleId="93">
    <w:name w:val="表体 Char"/>
    <w:basedOn w:val="50"/>
    <w:link w:val="94"/>
    <w:qFormat/>
    <w:locked/>
    <w:uiPriority w:val="0"/>
    <w:rPr>
      <w:rFonts w:ascii="宋体" w:hAnsi="宋体" w:cs="宋体"/>
      <w:color w:val="000080"/>
      <w:sz w:val="24"/>
      <w:szCs w:val="24"/>
    </w:rPr>
  </w:style>
  <w:style w:type="paragraph" w:customStyle="1" w:styleId="94">
    <w:name w:val="表体"/>
    <w:link w:val="93"/>
    <w:qFormat/>
    <w:uiPriority w:val="0"/>
    <w:pPr>
      <w:spacing w:before="40" w:after="40"/>
      <w:jc w:val="center"/>
    </w:pPr>
    <w:rPr>
      <w:rFonts w:ascii="宋体" w:hAnsi="宋体" w:eastAsia="宋体" w:cs="宋体"/>
      <w:color w:val="000080"/>
      <w:sz w:val="24"/>
      <w:szCs w:val="24"/>
      <w:lang w:val="en-US" w:eastAsia="zh-CN" w:bidi="ar-SA"/>
    </w:rPr>
  </w:style>
  <w:style w:type="character" w:customStyle="1" w:styleId="95">
    <w:name w:val="表题 Char"/>
    <w:link w:val="96"/>
    <w:qFormat/>
    <w:locked/>
    <w:uiPriority w:val="0"/>
    <w:rPr>
      <w:rFonts w:ascii="宋体" w:hAnsi="宋体"/>
      <w:b/>
      <w:kern w:val="2"/>
      <w:sz w:val="21"/>
      <w:szCs w:val="24"/>
    </w:rPr>
  </w:style>
  <w:style w:type="paragraph" w:customStyle="1" w:styleId="96">
    <w:name w:val="表题"/>
    <w:link w:val="95"/>
    <w:qFormat/>
    <w:uiPriority w:val="0"/>
    <w:pPr>
      <w:spacing w:line="480" w:lineRule="exact"/>
      <w:jc w:val="center"/>
    </w:pPr>
    <w:rPr>
      <w:rFonts w:ascii="宋体" w:hAnsi="宋体" w:eastAsia="宋体" w:cs="Times New Roman"/>
      <w:b/>
      <w:kern w:val="2"/>
      <w:sz w:val="21"/>
      <w:szCs w:val="24"/>
      <w:lang w:val="en-US" w:eastAsia="zh-CN" w:bidi="ar-SA"/>
    </w:rPr>
  </w:style>
  <w:style w:type="character" w:customStyle="1" w:styleId="97">
    <w:name w:val="表格 Char"/>
    <w:link w:val="98"/>
    <w:qFormat/>
    <w:locked/>
    <w:uiPriority w:val="0"/>
    <w:rPr>
      <w:rFonts w:ascii="宋体"/>
      <w:sz w:val="21"/>
    </w:rPr>
  </w:style>
  <w:style w:type="paragraph" w:customStyle="1" w:styleId="98">
    <w:name w:val="表格"/>
    <w:basedOn w:val="33"/>
    <w:next w:val="1"/>
    <w:link w:val="97"/>
    <w:qFormat/>
    <w:uiPriority w:val="0"/>
    <w:pPr>
      <w:adjustRightInd w:val="0"/>
      <w:snapToGrid w:val="0"/>
      <w:spacing w:beforeLines="10" w:afterLines="10" w:line="259" w:lineRule="auto"/>
      <w:jc w:val="center"/>
    </w:pPr>
    <w:rPr>
      <w:rFonts w:ascii="宋体"/>
      <w:kern w:val="0"/>
      <w:szCs w:val="20"/>
    </w:rPr>
  </w:style>
  <w:style w:type="character" w:customStyle="1" w:styleId="99">
    <w:name w:val="Default Char"/>
    <w:link w:val="100"/>
    <w:qFormat/>
    <w:locked/>
    <w:uiPriority w:val="0"/>
    <w:rPr>
      <w:rFonts w:ascii="宋体" w:cs="宋体"/>
      <w:color w:val="000000"/>
      <w:sz w:val="24"/>
      <w:szCs w:val="24"/>
    </w:rPr>
  </w:style>
  <w:style w:type="paragraph" w:customStyle="1" w:styleId="100">
    <w:name w:val="Default"/>
    <w:link w:val="9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1">
    <w:name w:val="正文文本缩进 2 Char1"/>
    <w:basedOn w:val="50"/>
    <w:qFormat/>
    <w:locked/>
    <w:uiPriority w:val="0"/>
    <w:rPr>
      <w:rFonts w:ascii="Tahoma" w:hAnsi="Tahoma"/>
      <w:kern w:val="2"/>
      <w:sz w:val="21"/>
      <w:szCs w:val="24"/>
    </w:rPr>
  </w:style>
  <w:style w:type="character" w:customStyle="1" w:styleId="102">
    <w:name w:val="表头1 字符"/>
    <w:link w:val="103"/>
    <w:qFormat/>
    <w:locked/>
    <w:uiPriority w:val="0"/>
    <w:rPr>
      <w:kern w:val="2"/>
      <w:sz w:val="21"/>
      <w:szCs w:val="24"/>
    </w:rPr>
  </w:style>
  <w:style w:type="paragraph" w:customStyle="1" w:styleId="103">
    <w:name w:val="表头1"/>
    <w:basedOn w:val="1"/>
    <w:link w:val="102"/>
    <w:qFormat/>
    <w:uiPriority w:val="0"/>
  </w:style>
  <w:style w:type="character" w:customStyle="1" w:styleId="104">
    <w:name w:val="正文首行缩进 Char1"/>
    <w:basedOn w:val="90"/>
    <w:qFormat/>
    <w:locked/>
    <w:uiPriority w:val="99"/>
    <w:rPr>
      <w:rFonts w:ascii="仿宋" w:hAnsi="仿宋" w:eastAsia="仿宋"/>
      <w:kern w:val="2"/>
      <w:sz w:val="21"/>
      <w:szCs w:val="24"/>
      <w:lang w:eastAsia="en-US"/>
    </w:rPr>
  </w:style>
  <w:style w:type="character" w:customStyle="1" w:styleId="105">
    <w:name w:val="表格题目1 字符"/>
    <w:basedOn w:val="50"/>
    <w:link w:val="106"/>
    <w:qFormat/>
    <w:locked/>
    <w:uiPriority w:val="0"/>
    <w:rPr>
      <w:rFonts w:ascii="黑体" w:hAnsi="黑体" w:eastAsia="黑体"/>
      <w:color w:val="000000"/>
      <w:kern w:val="2"/>
      <w:sz w:val="21"/>
      <w:szCs w:val="24"/>
    </w:rPr>
  </w:style>
  <w:style w:type="paragraph" w:customStyle="1" w:styleId="106">
    <w:name w:val="表格题目1"/>
    <w:basedOn w:val="1"/>
    <w:link w:val="105"/>
    <w:qFormat/>
    <w:uiPriority w:val="0"/>
    <w:pPr>
      <w:ind w:firstLine="525" w:firstLineChars="250"/>
      <w:jc w:val="left"/>
    </w:pPr>
    <w:rPr>
      <w:rFonts w:ascii="黑体" w:hAnsi="黑体" w:eastAsia="黑体"/>
      <w:color w:val="000000"/>
    </w:rPr>
  </w:style>
  <w:style w:type="character" w:customStyle="1" w:styleId="107">
    <w:name w:val="页脚 字符"/>
    <w:basedOn w:val="50"/>
    <w:qFormat/>
    <w:uiPriority w:val="0"/>
  </w:style>
  <w:style w:type="character" w:customStyle="1" w:styleId="108">
    <w:name w:val="批注文字 字符1"/>
    <w:semiHidden/>
    <w:qFormat/>
    <w:uiPriority w:val="99"/>
    <w:rPr>
      <w:rFonts w:ascii="Times New Roman" w:hAnsi="Times New Roman" w:eastAsia="宋体"/>
      <w:sz w:val="24"/>
    </w:rPr>
  </w:style>
  <w:style w:type="character" w:customStyle="1" w:styleId="109">
    <w:name w:val="正文-1 Char"/>
    <w:link w:val="110"/>
    <w:qFormat/>
    <w:locked/>
    <w:uiPriority w:val="0"/>
    <w:rPr>
      <w:rFonts w:ascii="宋体" w:hAnsi="宋体" w:cs="宋体"/>
      <w:kern w:val="2"/>
      <w:sz w:val="24"/>
      <w:lang w:val="en-US" w:eastAsia="zh-CN" w:bidi="ar-SA"/>
    </w:rPr>
  </w:style>
  <w:style w:type="paragraph" w:customStyle="1" w:styleId="110">
    <w:name w:val="正文-1"/>
    <w:link w:val="109"/>
    <w:qFormat/>
    <w:uiPriority w:val="0"/>
    <w:pPr>
      <w:spacing w:line="480" w:lineRule="exact"/>
      <w:ind w:firstLine="200" w:firstLineChars="200"/>
      <w:jc w:val="both"/>
    </w:pPr>
    <w:rPr>
      <w:rFonts w:ascii="宋体" w:hAnsi="宋体" w:eastAsia="宋体" w:cs="宋体"/>
      <w:kern w:val="2"/>
      <w:sz w:val="24"/>
      <w:lang w:val="en-US" w:eastAsia="zh-CN" w:bidi="ar-SA"/>
    </w:rPr>
  </w:style>
  <w:style w:type="character" w:customStyle="1" w:styleId="111">
    <w:name w:val="正文新 字符"/>
    <w:link w:val="112"/>
    <w:qFormat/>
    <w:locked/>
    <w:uiPriority w:val="0"/>
    <w:rPr>
      <w:kern w:val="2"/>
      <w:sz w:val="24"/>
      <w:szCs w:val="24"/>
    </w:rPr>
  </w:style>
  <w:style w:type="paragraph" w:customStyle="1" w:styleId="112">
    <w:name w:val="正文新"/>
    <w:basedOn w:val="1"/>
    <w:link w:val="111"/>
    <w:qFormat/>
    <w:uiPriority w:val="0"/>
    <w:pPr>
      <w:spacing w:line="460" w:lineRule="exact"/>
      <w:ind w:firstLine="480" w:firstLineChars="200"/>
    </w:pPr>
    <w:rPr>
      <w:sz w:val="24"/>
    </w:rPr>
  </w:style>
  <w:style w:type="character" w:customStyle="1" w:styleId="113">
    <w:name w:val="表格内容 字符"/>
    <w:basedOn w:val="50"/>
    <w:link w:val="114"/>
    <w:qFormat/>
    <w:locked/>
    <w:uiPriority w:val="0"/>
    <w:rPr>
      <w:sz w:val="21"/>
      <w:szCs w:val="21"/>
      <w:lang w:eastAsia="en-US" w:bidi="en-US"/>
    </w:rPr>
  </w:style>
  <w:style w:type="paragraph" w:customStyle="1" w:styleId="114">
    <w:name w:val="表格内容"/>
    <w:basedOn w:val="1"/>
    <w:link w:val="113"/>
    <w:qFormat/>
    <w:uiPriority w:val="0"/>
    <w:pPr>
      <w:widowControl/>
      <w:spacing w:line="300" w:lineRule="exact"/>
      <w:jc w:val="center"/>
    </w:pPr>
    <w:rPr>
      <w:kern w:val="0"/>
      <w:szCs w:val="21"/>
      <w:lang w:eastAsia="en-US" w:bidi="en-US"/>
    </w:rPr>
  </w:style>
  <w:style w:type="character" w:customStyle="1" w:styleId="115">
    <w:name w:val="表格新 字符"/>
    <w:link w:val="116"/>
    <w:qFormat/>
    <w:locked/>
    <w:uiPriority w:val="0"/>
    <w:rPr>
      <w:bCs/>
      <w:kern w:val="2"/>
      <w:sz w:val="21"/>
      <w:szCs w:val="21"/>
    </w:rPr>
  </w:style>
  <w:style w:type="paragraph" w:customStyle="1" w:styleId="116">
    <w:name w:val="表格新"/>
    <w:basedOn w:val="1"/>
    <w:link w:val="115"/>
    <w:qFormat/>
    <w:uiPriority w:val="0"/>
    <w:pPr>
      <w:jc w:val="center"/>
    </w:pPr>
    <w:rPr>
      <w:bCs/>
      <w:szCs w:val="21"/>
    </w:rPr>
  </w:style>
  <w:style w:type="paragraph" w:customStyle="1" w:styleId="117">
    <w:name w:val="表格式"/>
    <w:basedOn w:val="33"/>
    <w:qFormat/>
    <w:uiPriority w:val="0"/>
    <w:pPr>
      <w:spacing w:before="156" w:beforeLines="50" w:after="156" w:afterLines="50" w:line="200" w:lineRule="exact"/>
      <w:ind w:left="0" w:firstLine="0" w:firstLineChars="0"/>
      <w:jc w:val="center"/>
    </w:pPr>
    <w:rPr>
      <w:szCs w:val="20"/>
    </w:rPr>
  </w:style>
  <w:style w:type="paragraph" w:customStyle="1" w:styleId="118">
    <w:name w:val="。。表头"/>
    <w:basedOn w:val="1"/>
    <w:qFormat/>
    <w:uiPriority w:val="0"/>
    <w:pPr>
      <w:spacing w:line="360" w:lineRule="auto"/>
      <w:ind w:firstLine="602" w:firstLineChars="200"/>
      <w:jc w:val="center"/>
    </w:pPr>
    <w:rPr>
      <w:b/>
      <w:bCs/>
      <w:sz w:val="24"/>
    </w:rPr>
  </w:style>
  <w:style w:type="paragraph" w:customStyle="1" w:styleId="119">
    <w:name w:val="正文(首行缩进)"/>
    <w:basedOn w:val="1"/>
    <w:qFormat/>
    <w:uiPriority w:val="0"/>
    <w:pPr>
      <w:adjustRightInd w:val="0"/>
      <w:snapToGrid w:val="0"/>
      <w:spacing w:line="360" w:lineRule="auto"/>
      <w:ind w:firstLine="482" w:firstLineChars="200"/>
    </w:pPr>
    <w:rPr>
      <w:rFonts w:hAnsi="宋体"/>
      <w:b/>
      <w:bCs/>
      <w:color w:val="000000"/>
      <w:sz w:val="24"/>
      <w:szCs w:val="28"/>
    </w:rPr>
  </w:style>
  <w:style w:type="paragraph" w:customStyle="1" w:styleId="120">
    <w:name w:val="列出段落1"/>
    <w:basedOn w:val="1"/>
    <w:qFormat/>
    <w:uiPriority w:val="99"/>
    <w:pPr>
      <w:ind w:firstLine="420" w:firstLineChars="200"/>
    </w:pPr>
  </w:style>
  <w:style w:type="paragraph" w:customStyle="1" w:styleId="121">
    <w:name w:val="_正文格式"/>
    <w:basedOn w:val="1"/>
    <w:qFormat/>
    <w:uiPriority w:val="0"/>
    <w:pPr>
      <w:spacing w:line="500" w:lineRule="exact"/>
      <w:ind w:firstLine="567"/>
      <w:jc w:val="left"/>
    </w:pPr>
    <w:rPr>
      <w:sz w:val="24"/>
    </w:rPr>
  </w:style>
  <w:style w:type="paragraph" w:customStyle="1" w:styleId="122">
    <w:name w:val="样式 1正文段落 + 黑色1"/>
    <w:basedOn w:val="1"/>
    <w:qFormat/>
    <w:uiPriority w:val="0"/>
    <w:pPr>
      <w:spacing w:line="540" w:lineRule="exact"/>
      <w:ind w:firstLine="200" w:firstLineChars="200"/>
      <w:jc w:val="left"/>
    </w:pPr>
    <w:rPr>
      <w:rFonts w:ascii="宋体" w:hAnsi="宋体"/>
      <w:snapToGrid w:val="0"/>
      <w:color w:val="000000"/>
      <w:spacing w:val="2"/>
      <w:kern w:val="0"/>
      <w:sz w:val="24"/>
      <w:szCs w:val="21"/>
    </w:rPr>
  </w:style>
  <w:style w:type="paragraph" w:customStyle="1" w:styleId="123">
    <w:name w:val="样式2"/>
    <w:basedOn w:val="1"/>
    <w:qFormat/>
    <w:uiPriority w:val="0"/>
    <w:pPr>
      <w:adjustRightInd w:val="0"/>
      <w:ind w:left="170"/>
      <w:jc w:val="left"/>
      <w:textAlignment w:val="baseline"/>
    </w:pPr>
    <w:rPr>
      <w:b/>
      <w:kern w:val="0"/>
      <w:sz w:val="24"/>
      <w:szCs w:val="20"/>
    </w:rPr>
  </w:style>
  <w:style w:type="paragraph" w:customStyle="1" w:styleId="124">
    <w:name w:val="正文!!!!!!!!!!!"/>
    <w:basedOn w:val="125"/>
    <w:qFormat/>
    <w:uiPriority w:val="0"/>
    <w:pPr>
      <w:ind w:firstLine="480"/>
      <w:jc w:val="both"/>
    </w:pPr>
  </w:style>
  <w:style w:type="paragraph" w:customStyle="1" w:styleId="125">
    <w:name w:val="正文 楷体"/>
    <w:basedOn w:val="1"/>
    <w:qFormat/>
    <w:uiPriority w:val="0"/>
    <w:pPr>
      <w:spacing w:line="500" w:lineRule="exact"/>
      <w:ind w:firstLine="200" w:firstLineChars="200"/>
      <w:jc w:val="left"/>
    </w:pPr>
    <w:rPr>
      <w:rFonts w:ascii="华文仿宋" w:hAnsi="华文仿宋" w:eastAsia="华文仿宋" w:cs="宋体"/>
      <w:sz w:val="24"/>
    </w:rPr>
  </w:style>
  <w:style w:type="paragraph" w:customStyle="1" w:styleId="126">
    <w:name w:val="正文A"/>
    <w:basedOn w:val="124"/>
    <w:qFormat/>
    <w:uiPriority w:val="0"/>
  </w:style>
  <w:style w:type="paragraph" w:customStyle="1" w:styleId="127">
    <w:name w:val="Char"/>
    <w:basedOn w:val="1"/>
    <w:qFormat/>
    <w:uiPriority w:val="0"/>
    <w:pPr>
      <w:spacing w:line="360" w:lineRule="auto"/>
      <w:ind w:firstLine="200" w:firstLineChars="200"/>
    </w:pPr>
    <w:rPr>
      <w:szCs w:val="20"/>
    </w:rPr>
  </w:style>
  <w:style w:type="paragraph" w:customStyle="1" w:styleId="12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报告表正文"/>
    <w:basedOn w:val="1"/>
    <w:link w:val="257"/>
    <w:qFormat/>
    <w:uiPriority w:val="0"/>
    <w:pPr>
      <w:adjustRightInd w:val="0"/>
      <w:spacing w:line="312" w:lineRule="auto"/>
      <w:ind w:left="113" w:right="113" w:firstLine="482"/>
      <w:jc w:val="left"/>
      <w:textAlignment w:val="baseline"/>
    </w:pPr>
    <w:rPr>
      <w:kern w:val="0"/>
      <w:sz w:val="24"/>
      <w:szCs w:val="20"/>
    </w:rPr>
  </w:style>
  <w:style w:type="paragraph" w:customStyle="1" w:styleId="130">
    <w:name w:val="表格2"/>
    <w:qFormat/>
    <w:uiPriority w:val="0"/>
    <w:pPr>
      <w:spacing w:line="400" w:lineRule="exact"/>
      <w:jc w:val="center"/>
    </w:pPr>
    <w:rPr>
      <w:rFonts w:ascii="Calibri" w:hAnsi="Calibri" w:eastAsia="宋体" w:cs="Times New Roman"/>
      <w:sz w:val="21"/>
      <w:szCs w:val="22"/>
      <w:lang w:val="en-US" w:eastAsia="zh-CN" w:bidi="ar-SA"/>
    </w:rPr>
  </w:style>
  <w:style w:type="paragraph" w:customStyle="1" w:styleId="131">
    <w:name w:val="表头，alt+D"/>
    <w:basedOn w:val="1"/>
    <w:qFormat/>
    <w:uiPriority w:val="0"/>
    <w:pPr>
      <w:spacing w:before="60" w:after="60" w:line="240" w:lineRule="atLeast"/>
      <w:ind w:left="-113" w:right="-113"/>
      <w:jc w:val="center"/>
    </w:pPr>
    <w:rPr>
      <w:color w:val="808000"/>
      <w:sz w:val="24"/>
      <w:szCs w:val="20"/>
    </w:rPr>
  </w:style>
  <w:style w:type="paragraph" w:customStyle="1" w:styleId="13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133">
    <w:name w:val="正文2"/>
    <w:qFormat/>
    <w:uiPriority w:val="0"/>
    <w:pPr>
      <w:widowControl w:val="0"/>
      <w:suppressAutoHyphens/>
      <w:adjustRightInd w:val="0"/>
      <w:snapToGrid w:val="0"/>
      <w:spacing w:line="300" w:lineRule="exact"/>
      <w:jc w:val="center"/>
    </w:pPr>
    <w:rPr>
      <w:rFonts w:ascii="Times New Roman" w:hAnsi="Times New Roman" w:eastAsia="宋体" w:cs="Times New Roman"/>
      <w:snapToGrid w:val="0"/>
      <w:sz w:val="21"/>
      <w:szCs w:val="22"/>
      <w:lang w:val="en-US" w:eastAsia="zh-CN" w:bidi="ar-SA"/>
    </w:rPr>
  </w:style>
  <w:style w:type="paragraph" w:customStyle="1" w:styleId="134">
    <w:name w:val="正文文本缩进1"/>
    <w:basedOn w:val="1"/>
    <w:qFormat/>
    <w:uiPriority w:val="99"/>
    <w:pPr>
      <w:spacing w:line="320" w:lineRule="exact"/>
      <w:ind w:firstLine="113"/>
      <w:jc w:val="center"/>
    </w:pPr>
    <w:rPr>
      <w:rFonts w:ascii="宋体" w:hAnsi="宋体"/>
      <w:bCs/>
      <w:color w:val="000000"/>
      <w:sz w:val="24"/>
      <w:szCs w:val="28"/>
    </w:rPr>
  </w:style>
  <w:style w:type="paragraph" w:customStyle="1" w:styleId="135">
    <w:name w:val="Table Paragraph"/>
    <w:basedOn w:val="1"/>
    <w:qFormat/>
    <w:uiPriority w:val="1"/>
    <w:pPr>
      <w:jc w:val="left"/>
    </w:pPr>
    <w:rPr>
      <w:rFonts w:ascii="Calibri" w:hAnsi="Calibri"/>
      <w:kern w:val="0"/>
      <w:sz w:val="22"/>
      <w:szCs w:val="22"/>
      <w:lang w:eastAsia="en-US"/>
    </w:rPr>
  </w:style>
  <w:style w:type="table" w:customStyle="1" w:styleId="136">
    <w:name w:val="网格型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7">
    <w:name w:val="表头"/>
    <w:basedOn w:val="14"/>
    <w:next w:val="1"/>
    <w:qFormat/>
    <w:uiPriority w:val="0"/>
    <w:pPr>
      <w:ind w:firstLine="0" w:firstLineChars="0"/>
      <w:jc w:val="center"/>
    </w:pPr>
    <w:rPr>
      <w:b/>
      <w:bCs/>
      <w:szCs w:val="21"/>
    </w:rPr>
  </w:style>
  <w:style w:type="paragraph" w:styleId="138">
    <w:name w:val="List Paragraph"/>
    <w:basedOn w:val="1"/>
    <w:qFormat/>
    <w:uiPriority w:val="34"/>
    <w:pPr>
      <w:ind w:firstLine="420" w:firstLineChars="200"/>
    </w:pPr>
  </w:style>
  <w:style w:type="character" w:customStyle="1" w:styleId="139">
    <w:name w:val="正文文本 2 字符"/>
    <w:basedOn w:val="50"/>
    <w:link w:val="39"/>
    <w:qFormat/>
    <w:uiPriority w:val="99"/>
    <w:rPr>
      <w:rFonts w:ascii="Calibri" w:hAnsi="Calibri"/>
      <w:kern w:val="2"/>
      <w:sz w:val="21"/>
      <w:szCs w:val="24"/>
    </w:rPr>
  </w:style>
  <w:style w:type="paragraph" w:customStyle="1" w:styleId="140">
    <w:name w:val="表格标题"/>
    <w:basedOn w:val="1"/>
    <w:qFormat/>
    <w:uiPriority w:val="0"/>
    <w:pPr>
      <w:spacing w:line="360" w:lineRule="auto"/>
      <w:jc w:val="center"/>
    </w:pPr>
    <w:rPr>
      <w:rFonts w:eastAsia="黑体"/>
      <w:b/>
    </w:rPr>
  </w:style>
  <w:style w:type="paragraph" w:customStyle="1" w:styleId="141">
    <w:name w:val="样式1"/>
    <w:basedOn w:val="131"/>
    <w:link w:val="142"/>
    <w:qFormat/>
    <w:uiPriority w:val="0"/>
    <w:pPr>
      <w:adjustRightInd w:val="0"/>
      <w:snapToGrid w:val="0"/>
      <w:spacing w:before="0" w:after="0" w:line="240" w:lineRule="auto"/>
      <w:ind w:left="0" w:right="0"/>
    </w:pPr>
    <w:rPr>
      <w:color w:val="auto"/>
      <w:sz w:val="21"/>
      <w:szCs w:val="21"/>
    </w:rPr>
  </w:style>
  <w:style w:type="character" w:customStyle="1" w:styleId="142">
    <w:name w:val="样式1 Char"/>
    <w:basedOn w:val="50"/>
    <w:link w:val="141"/>
    <w:qFormat/>
    <w:uiPriority w:val="0"/>
    <w:rPr>
      <w:kern w:val="2"/>
      <w:sz w:val="21"/>
      <w:szCs w:val="21"/>
    </w:rPr>
  </w:style>
  <w:style w:type="character" w:customStyle="1" w:styleId="143">
    <w:name w:val="正文文本首行缩进 2 字符"/>
    <w:basedOn w:val="64"/>
    <w:link w:val="45"/>
    <w:uiPriority w:val="0"/>
    <w:rPr>
      <w:rFonts w:ascii="Times New Roman" w:hAnsi="Times New Roman" w:eastAsia="宋体"/>
      <w:kern w:val="2"/>
      <w:sz w:val="21"/>
      <w:szCs w:val="24"/>
    </w:rPr>
  </w:style>
  <w:style w:type="character" w:customStyle="1" w:styleId="144">
    <w:name w:val="副标题 字符"/>
    <w:basedOn w:val="50"/>
    <w:link w:val="32"/>
    <w:qFormat/>
    <w:uiPriority w:val="0"/>
    <w:rPr>
      <w:rFonts w:ascii="Cambria" w:hAnsi="Cambria"/>
      <w:b/>
      <w:bCs/>
      <w:kern w:val="28"/>
      <w:sz w:val="24"/>
      <w:szCs w:val="32"/>
    </w:rPr>
  </w:style>
  <w:style w:type="character" w:customStyle="1" w:styleId="145">
    <w:name w:val="脚注文本 字符"/>
    <w:basedOn w:val="50"/>
    <w:link w:val="34"/>
    <w:qFormat/>
    <w:uiPriority w:val="0"/>
    <w:rPr>
      <w:rFonts w:asciiTheme="minorHAnsi" w:hAnsiTheme="minorHAnsi" w:eastAsiaTheme="minorEastAsia"/>
    </w:rPr>
  </w:style>
  <w:style w:type="character" w:customStyle="1" w:styleId="146">
    <w:name w:val="标题 字符"/>
    <w:basedOn w:val="50"/>
    <w:link w:val="42"/>
    <w:qFormat/>
    <w:uiPriority w:val="10"/>
    <w:rPr>
      <w:rFonts w:asciiTheme="majorHAnsi" w:hAnsiTheme="majorHAnsi" w:eastAsiaTheme="majorEastAsia" w:cstheme="majorBidi"/>
      <w:b/>
      <w:bCs/>
      <w:kern w:val="2"/>
      <w:sz w:val="32"/>
      <w:szCs w:val="32"/>
    </w:rPr>
  </w:style>
  <w:style w:type="character" w:customStyle="1" w:styleId="147">
    <w:name w:val="05二级正文 Char Char"/>
    <w:link w:val="148"/>
    <w:qFormat/>
    <w:uiPriority w:val="0"/>
    <w:rPr>
      <w:rFonts w:cs="宋体"/>
      <w:kern w:val="2"/>
      <w:sz w:val="24"/>
    </w:rPr>
  </w:style>
  <w:style w:type="paragraph" w:customStyle="1" w:styleId="148">
    <w:name w:val="05二级正文"/>
    <w:link w:val="147"/>
    <w:qFormat/>
    <w:uiPriority w:val="0"/>
    <w:pPr>
      <w:widowControl w:val="0"/>
      <w:spacing w:line="480" w:lineRule="exact"/>
      <w:ind w:left="601"/>
      <w:jc w:val="both"/>
      <w:textAlignment w:val="baseline"/>
    </w:pPr>
    <w:rPr>
      <w:rFonts w:ascii="Times New Roman" w:hAnsi="Times New Roman" w:eastAsia="宋体" w:cs="宋体"/>
      <w:kern w:val="2"/>
      <w:sz w:val="24"/>
      <w:lang w:val="en-US" w:eastAsia="zh-CN" w:bidi="ar-SA"/>
    </w:rPr>
  </w:style>
  <w:style w:type="paragraph" w:customStyle="1" w:styleId="149">
    <w:name w:val="a"/>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50">
    <w:name w:val="xl51"/>
    <w:basedOn w:val="1"/>
    <w:qFormat/>
    <w:uiPriority w:val="0"/>
    <w:pPr>
      <w:widowControl/>
      <w:pBdr>
        <w:bottom w:val="single" w:color="auto" w:sz="4" w:space="0"/>
        <w:right w:val="single" w:color="auto" w:sz="4" w:space="0"/>
      </w:pBdr>
      <w:spacing w:before="100" w:beforeAutospacing="1" w:after="100" w:afterAutospacing="1" w:line="360" w:lineRule="auto"/>
      <w:jc w:val="center"/>
    </w:pPr>
    <w:rPr>
      <w:rFonts w:eastAsia="Arial Unicode MS"/>
      <w:color w:val="000000"/>
      <w:kern w:val="0"/>
      <w:sz w:val="20"/>
      <w:szCs w:val="20"/>
    </w:rPr>
  </w:style>
  <w:style w:type="paragraph" w:customStyle="1" w:styleId="151">
    <w:name w:val="默认段落字体 Para Char Char Char Char"/>
    <w:basedOn w:val="1"/>
    <w:qFormat/>
    <w:uiPriority w:val="0"/>
    <w:pPr>
      <w:spacing w:line="360" w:lineRule="auto"/>
    </w:pPr>
    <w:rPr>
      <w:sz w:val="24"/>
    </w:rPr>
  </w:style>
  <w:style w:type="paragraph" w:customStyle="1" w:styleId="152">
    <w:name w:val="+正文"/>
    <w:basedOn w:val="1"/>
    <w:qFormat/>
    <w:uiPriority w:val="0"/>
    <w:pPr>
      <w:spacing w:line="360" w:lineRule="auto"/>
      <w:ind w:firstLine="200" w:firstLineChars="200"/>
    </w:pPr>
    <w:rPr>
      <w:sz w:val="28"/>
    </w:rPr>
  </w:style>
  <w:style w:type="table" w:customStyle="1" w:styleId="153">
    <w:name w:val="网格型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4">
    <w:name w:val="TOC 标题1"/>
    <w:basedOn w:val="3"/>
    <w:next w:val="1"/>
    <w:unhideWhenUsed/>
    <w:qFormat/>
    <w:uiPriority w:val="39"/>
    <w:pPr>
      <w:keepLines/>
      <w:widowControl/>
      <w:overflowPunct/>
      <w:snapToGrid/>
      <w:spacing w:before="240" w:after="0"/>
      <w:ind w:left="0" w:firstLine="0"/>
      <w:jc w:val="left"/>
      <w:outlineLvl w:val="9"/>
    </w:pPr>
    <w:rPr>
      <w:rFonts w:ascii="等线 Light" w:hAnsi="等线 Light" w:eastAsia="等线 Light"/>
      <w:b w:val="0"/>
      <w:bCs w:val="0"/>
      <w:color w:val="2F5496"/>
      <w:kern w:val="0"/>
      <w:sz w:val="32"/>
      <w:szCs w:val="32"/>
    </w:rPr>
  </w:style>
  <w:style w:type="character" w:customStyle="1" w:styleId="155">
    <w:name w:val="标题 2 Char"/>
    <w:qFormat/>
    <w:uiPriority w:val="99"/>
    <w:rPr>
      <w:rFonts w:ascii="Tahoma" w:hAnsi="Tahoma" w:eastAsia="微软雅黑"/>
      <w:b/>
      <w:kern w:val="2"/>
      <w:sz w:val="32"/>
      <w:lang w:val="en-US" w:eastAsia="zh-CN"/>
    </w:rPr>
  </w:style>
  <w:style w:type="character" w:customStyle="1" w:styleId="156">
    <w:name w:val="页眉 Char1"/>
    <w:basedOn w:val="50"/>
    <w:qFormat/>
    <w:uiPriority w:val="99"/>
    <w:rPr>
      <w:sz w:val="18"/>
      <w:szCs w:val="18"/>
    </w:rPr>
  </w:style>
  <w:style w:type="paragraph" w:customStyle="1" w:styleId="157">
    <w:name w:val="TOC 标题2"/>
    <w:basedOn w:val="3"/>
    <w:next w:val="1"/>
    <w:unhideWhenUsed/>
    <w:qFormat/>
    <w:uiPriority w:val="39"/>
    <w:pPr>
      <w:keepLines/>
      <w:widowControl/>
      <w:overflowPunct/>
      <w:snapToGrid/>
      <w:spacing w:before="240" w:after="0"/>
      <w:ind w:left="0" w:firstLine="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58">
    <w:name w:val="Decimal Aligned"/>
    <w:basedOn w:val="1"/>
    <w:qFormat/>
    <w:uiPriority w:val="40"/>
    <w:pPr>
      <w:widowControl/>
      <w:tabs>
        <w:tab w:val="decimal" w:pos="360"/>
      </w:tabs>
      <w:spacing w:after="200" w:line="276" w:lineRule="auto"/>
      <w:jc w:val="left"/>
    </w:pPr>
    <w:rPr>
      <w:rFonts w:asciiTheme="minorHAnsi" w:hAnsiTheme="minorHAnsi" w:eastAsiaTheme="minorEastAsia"/>
      <w:kern w:val="0"/>
      <w:sz w:val="22"/>
      <w:szCs w:val="22"/>
    </w:rPr>
  </w:style>
  <w:style w:type="character" w:customStyle="1" w:styleId="159">
    <w:name w:val="不明显强调1"/>
    <w:basedOn w:val="50"/>
    <w:qFormat/>
    <w:uiPriority w:val="19"/>
    <w:rPr>
      <w:i/>
      <w:iCs/>
    </w:rPr>
  </w:style>
  <w:style w:type="table" w:customStyle="1" w:styleId="160">
    <w:name w:val="三线格"/>
    <w:basedOn w:val="46"/>
    <w:qFormat/>
    <w:uiPriority w:val="99"/>
    <w:pPr>
      <w:jc w:val="both"/>
    </w:pPr>
    <w:rPr>
      <w:rFonts w:asciiTheme="minorHAnsi" w:hAnsiTheme="minorHAnsi" w:eastAsiaTheme="minorEastAsia" w:cstheme="minorBidi"/>
      <w:kern w:val="2"/>
      <w:sz w:val="21"/>
      <w:szCs w:val="22"/>
    </w:rPr>
    <w:tblStylePr w:type="firstRow">
      <w:tcPr>
        <w:tcBorders>
          <w:top w:val="single" w:color="auto" w:sz="4" w:space="0"/>
          <w:left w:val="nil"/>
          <w:bottom w:val="single" w:color="auto" w:sz="4" w:space="0"/>
          <w:right w:val="nil"/>
          <w:insideH w:val="nil"/>
          <w:insideV w:val="nil"/>
          <w:tl2br w:val="nil"/>
          <w:tr2bl w:val="nil"/>
        </w:tcBorders>
        <w:shd w:val="clear" w:color="auto" w:fill="FFFFFF" w:themeFill="background1"/>
      </w:tcPr>
    </w:tblStylePr>
    <w:tblStylePr w:type="lastRow">
      <w:tcPr>
        <w:tcBorders>
          <w:top w:val="nil"/>
          <w:left w:val="nil"/>
          <w:bottom w:val="single" w:color="auto" w:sz="4" w:space="0"/>
          <w:right w:val="nil"/>
          <w:insideH w:val="nil"/>
          <w:insideV w:val="nil"/>
          <w:tl2br w:val="nil"/>
          <w:tr2bl w:val="nil"/>
        </w:tcBorders>
      </w:tcPr>
    </w:tblStylePr>
  </w:style>
  <w:style w:type="character" w:customStyle="1" w:styleId="161">
    <w:name w:val="纯文本 字符1"/>
    <w:qFormat/>
    <w:uiPriority w:val="0"/>
    <w:rPr>
      <w:rFonts w:ascii="宋体" w:hAnsi="Courier New" w:eastAsia="宋体" w:cs="Courier New"/>
      <w:szCs w:val="21"/>
    </w:rPr>
  </w:style>
  <w:style w:type="table" w:customStyle="1" w:styleId="162">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table" w:customStyle="1" w:styleId="163">
    <w:name w:val="三线格1"/>
    <w:basedOn w:val="46"/>
    <w:qFormat/>
    <w:uiPriority w:val="99"/>
    <w:pPr>
      <w:jc w:val="both"/>
    </w:pPr>
    <w:rPr>
      <w:rFonts w:asciiTheme="minorHAnsi" w:hAnsiTheme="minorHAnsi" w:eastAsiaTheme="minorEastAsia" w:cstheme="minorBidi"/>
      <w:kern w:val="2"/>
      <w:sz w:val="21"/>
      <w:szCs w:val="22"/>
    </w:rPr>
    <w:tblStylePr w:type="firstRow">
      <w:tcPr>
        <w:tcBorders>
          <w:top w:val="single" w:color="auto" w:sz="4" w:space="0"/>
          <w:left w:val="nil"/>
          <w:bottom w:val="single" w:color="auto" w:sz="4" w:space="0"/>
          <w:right w:val="nil"/>
          <w:insideH w:val="nil"/>
          <w:insideV w:val="nil"/>
          <w:tl2br w:val="nil"/>
          <w:tr2bl w:val="nil"/>
        </w:tcBorders>
        <w:shd w:val="clear" w:color="auto" w:fill="FFFFFF" w:themeFill="background1"/>
      </w:tcPr>
    </w:tblStylePr>
    <w:tblStylePr w:type="lastRow">
      <w:tcPr>
        <w:tcBorders>
          <w:top w:val="nil"/>
          <w:left w:val="nil"/>
          <w:bottom w:val="single" w:color="auto" w:sz="4" w:space="0"/>
          <w:right w:val="nil"/>
          <w:insideH w:val="nil"/>
          <w:insideV w:val="nil"/>
          <w:tl2br w:val="nil"/>
          <w:tr2bl w:val="nil"/>
        </w:tcBorders>
      </w:tcPr>
    </w:tblStylePr>
  </w:style>
  <w:style w:type="character" w:customStyle="1" w:styleId="164">
    <w:name w:val="页眉 Char"/>
    <w:qFormat/>
    <w:uiPriority w:val="99"/>
    <w:rPr>
      <w:kern w:val="2"/>
      <w:sz w:val="18"/>
      <w:szCs w:val="18"/>
    </w:rPr>
  </w:style>
  <w:style w:type="table" w:customStyle="1" w:styleId="165">
    <w:name w:val="网格型3"/>
    <w:basedOn w:val="46"/>
    <w:qFormat/>
    <w:uiPriority w:val="39"/>
    <w:rPr>
      <w:rFonts w:eastAsia="Times New Roman" w:asciiTheme="minorHAnsi" w:hAnsiTheme="minorHAnsi" w:cstheme="minorBidi"/>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
    <w:name w:val="网格型4"/>
    <w:basedOn w:val="46"/>
    <w:qFormat/>
    <w:uiPriority w:val="39"/>
    <w:rPr>
      <w:rFonts w:eastAsia="Times New Roman" w:asciiTheme="minorHAnsi" w:hAnsiTheme="minorHAnsi" w:cstheme="minorBidi"/>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7">
    <w:name w:val="页眉 字符1"/>
    <w:qFormat/>
    <w:uiPriority w:val="0"/>
    <w:rPr>
      <w:rFonts w:eastAsia="宋体"/>
      <w:kern w:val="2"/>
      <w:sz w:val="18"/>
      <w:szCs w:val="18"/>
      <w:lang w:val="en-US" w:eastAsia="zh-CN" w:bidi="ar-SA"/>
    </w:rPr>
  </w:style>
  <w:style w:type="character" w:styleId="168">
    <w:name w:val="Placeholder Text"/>
    <w:basedOn w:val="50"/>
    <w:semiHidden/>
    <w:qFormat/>
    <w:uiPriority w:val="99"/>
    <w:rPr>
      <w:color w:val="808080"/>
    </w:rPr>
  </w:style>
  <w:style w:type="character" w:customStyle="1" w:styleId="169">
    <w:name w:val="批注主题 字符1"/>
    <w:basedOn w:val="108"/>
    <w:semiHidden/>
    <w:qFormat/>
    <w:uiPriority w:val="99"/>
    <w:rPr>
      <w:rFonts w:ascii="Times New Roman" w:hAnsi="Times New Roman" w:eastAsia="宋体" w:cs="Times New Roman"/>
      <w:b/>
      <w:bCs/>
      <w:sz w:val="24"/>
      <w:szCs w:val="24"/>
    </w:rPr>
  </w:style>
  <w:style w:type="character" w:customStyle="1" w:styleId="170">
    <w:name w:val="font22"/>
    <w:basedOn w:val="50"/>
    <w:qFormat/>
    <w:uiPriority w:val="0"/>
    <w:rPr>
      <w:rFonts w:hint="default" w:ascii="Times New Roman" w:hAnsi="Times New Roman" w:cs="Times New Roman"/>
      <w:b/>
      <w:bCs/>
      <w:color w:val="000000"/>
      <w:sz w:val="24"/>
      <w:szCs w:val="24"/>
      <w:u w:val="none"/>
    </w:rPr>
  </w:style>
  <w:style w:type="character" w:customStyle="1" w:styleId="171">
    <w:name w:val="font271"/>
    <w:basedOn w:val="50"/>
    <w:qFormat/>
    <w:uiPriority w:val="0"/>
    <w:rPr>
      <w:rFonts w:hint="default" w:ascii="Times New Roman" w:hAnsi="Times New Roman" w:cs="Times New Roman"/>
      <w:b/>
      <w:bCs/>
      <w:color w:val="000000"/>
      <w:sz w:val="24"/>
      <w:szCs w:val="24"/>
      <w:u w:val="none"/>
      <w:vertAlign w:val="superscript"/>
    </w:rPr>
  </w:style>
  <w:style w:type="character" w:customStyle="1" w:styleId="172">
    <w:name w:val="font41"/>
    <w:basedOn w:val="50"/>
    <w:qFormat/>
    <w:uiPriority w:val="0"/>
    <w:rPr>
      <w:rFonts w:hint="eastAsia" w:ascii="宋体" w:hAnsi="宋体" w:eastAsia="宋体" w:cs="宋体"/>
      <w:b/>
      <w:bCs/>
      <w:color w:val="000000"/>
      <w:sz w:val="24"/>
      <w:szCs w:val="24"/>
      <w:u w:val="none"/>
    </w:rPr>
  </w:style>
  <w:style w:type="character" w:customStyle="1" w:styleId="173">
    <w:name w:val="font281"/>
    <w:basedOn w:val="50"/>
    <w:qFormat/>
    <w:uiPriority w:val="0"/>
    <w:rPr>
      <w:rFonts w:hint="eastAsia" w:ascii="宋体" w:hAnsi="宋体" w:eastAsia="宋体" w:cs="宋体"/>
      <w:b/>
      <w:bCs/>
      <w:color w:val="000000"/>
      <w:sz w:val="20"/>
      <w:szCs w:val="20"/>
      <w:u w:val="none"/>
    </w:rPr>
  </w:style>
  <w:style w:type="character" w:customStyle="1" w:styleId="174">
    <w:name w:val="font291"/>
    <w:basedOn w:val="50"/>
    <w:qFormat/>
    <w:uiPriority w:val="0"/>
    <w:rPr>
      <w:rFonts w:hint="eastAsia" w:ascii="宋体" w:hAnsi="宋体" w:eastAsia="宋体" w:cs="宋体"/>
      <w:color w:val="000000"/>
      <w:sz w:val="20"/>
      <w:szCs w:val="20"/>
      <w:u w:val="none"/>
    </w:rPr>
  </w:style>
  <w:style w:type="character" w:customStyle="1" w:styleId="175">
    <w:name w:val="font91"/>
    <w:basedOn w:val="50"/>
    <w:qFormat/>
    <w:uiPriority w:val="0"/>
    <w:rPr>
      <w:rFonts w:hint="default" w:ascii="Times New Roman" w:hAnsi="Times New Roman" w:cs="Times New Roman"/>
      <w:color w:val="000000"/>
      <w:sz w:val="20"/>
      <w:szCs w:val="20"/>
      <w:u w:val="none"/>
    </w:rPr>
  </w:style>
  <w:style w:type="character" w:customStyle="1" w:styleId="176">
    <w:name w:val="font301"/>
    <w:basedOn w:val="50"/>
    <w:qFormat/>
    <w:uiPriority w:val="0"/>
    <w:rPr>
      <w:rFonts w:hint="default" w:ascii="Times New Roman" w:hAnsi="Times New Roman" w:cs="Times New Roman"/>
      <w:color w:val="000000"/>
      <w:sz w:val="20"/>
      <w:szCs w:val="20"/>
      <w:u w:val="none"/>
      <w:vertAlign w:val="superscript"/>
    </w:rPr>
  </w:style>
  <w:style w:type="character" w:customStyle="1" w:styleId="177">
    <w:name w:val="font32"/>
    <w:basedOn w:val="50"/>
    <w:qFormat/>
    <w:uiPriority w:val="0"/>
    <w:rPr>
      <w:rFonts w:hint="default" w:ascii="Times New Roman" w:hAnsi="Times New Roman" w:cs="Times New Roman"/>
      <w:color w:val="000000"/>
      <w:sz w:val="20"/>
      <w:szCs w:val="20"/>
      <w:u w:val="none"/>
    </w:rPr>
  </w:style>
  <w:style w:type="character" w:customStyle="1" w:styleId="178">
    <w:name w:val="font311"/>
    <w:basedOn w:val="50"/>
    <w:qFormat/>
    <w:uiPriority w:val="0"/>
    <w:rPr>
      <w:rFonts w:hint="eastAsia" w:ascii="宋体" w:hAnsi="宋体" w:eastAsia="宋体" w:cs="宋体"/>
      <w:b/>
      <w:bCs/>
      <w:color w:val="000000"/>
      <w:sz w:val="20"/>
      <w:szCs w:val="20"/>
      <w:u w:val="none"/>
    </w:rPr>
  </w:style>
  <w:style w:type="character" w:customStyle="1" w:styleId="179">
    <w:name w:val="font101"/>
    <w:basedOn w:val="50"/>
    <w:qFormat/>
    <w:uiPriority w:val="0"/>
    <w:rPr>
      <w:rFonts w:hint="default" w:ascii="Times New Roman" w:hAnsi="Times New Roman" w:cs="Times New Roman"/>
      <w:b/>
      <w:bCs/>
      <w:color w:val="000000"/>
      <w:sz w:val="20"/>
      <w:szCs w:val="20"/>
      <w:u w:val="none"/>
    </w:rPr>
  </w:style>
  <w:style w:type="character" w:customStyle="1" w:styleId="180">
    <w:name w:val="font322"/>
    <w:basedOn w:val="50"/>
    <w:qFormat/>
    <w:uiPriority w:val="0"/>
    <w:rPr>
      <w:rFonts w:hint="default" w:ascii="Times New Roman" w:hAnsi="Times New Roman" w:cs="Times New Roman"/>
      <w:b/>
      <w:bCs/>
      <w:color w:val="000000"/>
      <w:sz w:val="20"/>
      <w:szCs w:val="20"/>
      <w:u w:val="none"/>
      <w:vertAlign w:val="superscript"/>
    </w:rPr>
  </w:style>
  <w:style w:type="character" w:customStyle="1" w:styleId="181">
    <w:name w:val="font151"/>
    <w:basedOn w:val="50"/>
    <w:qFormat/>
    <w:uiPriority w:val="0"/>
    <w:rPr>
      <w:rFonts w:hint="eastAsia" w:ascii="宋体" w:hAnsi="宋体" w:eastAsia="宋体" w:cs="宋体"/>
      <w:color w:val="000000"/>
      <w:sz w:val="20"/>
      <w:szCs w:val="20"/>
      <w:u w:val="none"/>
    </w:rPr>
  </w:style>
  <w:style w:type="character" w:customStyle="1" w:styleId="182">
    <w:name w:val="font331"/>
    <w:basedOn w:val="50"/>
    <w:qFormat/>
    <w:uiPriority w:val="0"/>
    <w:rPr>
      <w:rFonts w:hint="default" w:ascii="Times New Roman" w:hAnsi="Times New Roman" w:cs="Times New Roman"/>
      <w:color w:val="000000"/>
      <w:sz w:val="20"/>
      <w:szCs w:val="20"/>
      <w:u w:val="none"/>
      <w:vertAlign w:val="superscript"/>
    </w:rPr>
  </w:style>
  <w:style w:type="character" w:customStyle="1" w:styleId="183">
    <w:name w:val="font121"/>
    <w:basedOn w:val="50"/>
    <w:qFormat/>
    <w:uiPriority w:val="0"/>
    <w:rPr>
      <w:rFonts w:hint="default" w:ascii="Times New Roman" w:hAnsi="Times New Roman" w:cs="Times New Roman"/>
      <w:color w:val="000000"/>
      <w:sz w:val="20"/>
      <w:szCs w:val="20"/>
      <w:u w:val="none"/>
    </w:rPr>
  </w:style>
  <w:style w:type="character" w:customStyle="1" w:styleId="184">
    <w:name w:val="font81"/>
    <w:basedOn w:val="50"/>
    <w:qFormat/>
    <w:uiPriority w:val="0"/>
    <w:rPr>
      <w:rFonts w:hint="default" w:ascii="Times New Roman" w:hAnsi="Times New Roman" w:cs="Times New Roman"/>
      <w:color w:val="FF0000"/>
      <w:sz w:val="20"/>
      <w:szCs w:val="20"/>
      <w:u w:val="none"/>
    </w:rPr>
  </w:style>
  <w:style w:type="character" w:customStyle="1" w:styleId="185">
    <w:name w:val="font112"/>
    <w:basedOn w:val="50"/>
    <w:qFormat/>
    <w:uiPriority w:val="0"/>
    <w:rPr>
      <w:rFonts w:hint="eastAsia" w:ascii="宋体" w:hAnsi="宋体" w:eastAsia="宋体" w:cs="宋体"/>
      <w:color w:val="FF0000"/>
      <w:sz w:val="20"/>
      <w:szCs w:val="20"/>
      <w:u w:val="none"/>
    </w:rPr>
  </w:style>
  <w:style w:type="character" w:customStyle="1" w:styleId="186">
    <w:name w:val="font191"/>
    <w:basedOn w:val="50"/>
    <w:qFormat/>
    <w:uiPriority w:val="0"/>
    <w:rPr>
      <w:rFonts w:hint="eastAsia" w:ascii="宋体" w:hAnsi="宋体" w:eastAsia="宋体" w:cs="宋体"/>
      <w:color w:val="000000"/>
      <w:sz w:val="20"/>
      <w:szCs w:val="20"/>
      <w:u w:val="none"/>
    </w:rPr>
  </w:style>
  <w:style w:type="character" w:customStyle="1" w:styleId="187">
    <w:name w:val="font211"/>
    <w:basedOn w:val="50"/>
    <w:qFormat/>
    <w:uiPriority w:val="0"/>
    <w:rPr>
      <w:rFonts w:hint="eastAsia" w:ascii="宋体" w:hAnsi="宋体" w:eastAsia="宋体" w:cs="宋体"/>
      <w:color w:val="000000"/>
      <w:sz w:val="20"/>
      <w:szCs w:val="20"/>
      <w:u w:val="none"/>
    </w:rPr>
  </w:style>
  <w:style w:type="character" w:customStyle="1" w:styleId="188">
    <w:name w:val="font51"/>
    <w:basedOn w:val="50"/>
    <w:qFormat/>
    <w:uiPriority w:val="0"/>
    <w:rPr>
      <w:rFonts w:hint="eastAsia" w:ascii="宋体" w:hAnsi="宋体" w:eastAsia="宋体" w:cs="宋体"/>
      <w:color w:val="000000"/>
      <w:sz w:val="20"/>
      <w:szCs w:val="20"/>
      <w:u w:val="none"/>
      <w:vertAlign w:val="superscript"/>
    </w:rPr>
  </w:style>
  <w:style w:type="character" w:customStyle="1" w:styleId="189">
    <w:name w:val="font71"/>
    <w:basedOn w:val="50"/>
    <w:qFormat/>
    <w:uiPriority w:val="0"/>
    <w:rPr>
      <w:rFonts w:hint="default" w:ascii="Times New Roman" w:hAnsi="Times New Roman" w:cs="Times New Roman"/>
      <w:b/>
      <w:bCs/>
      <w:color w:val="000000"/>
      <w:sz w:val="20"/>
      <w:szCs w:val="20"/>
      <w:u w:val="none"/>
    </w:rPr>
  </w:style>
  <w:style w:type="character" w:customStyle="1" w:styleId="190">
    <w:name w:val="font222"/>
    <w:basedOn w:val="50"/>
    <w:qFormat/>
    <w:uiPriority w:val="0"/>
    <w:rPr>
      <w:rFonts w:hint="eastAsia" w:ascii="宋体" w:hAnsi="宋体" w:eastAsia="宋体" w:cs="宋体"/>
      <w:b/>
      <w:bCs/>
      <w:color w:val="000000"/>
      <w:sz w:val="20"/>
      <w:szCs w:val="20"/>
      <w:u w:val="none"/>
    </w:rPr>
  </w:style>
  <w:style w:type="character" w:customStyle="1" w:styleId="191">
    <w:name w:val="font351"/>
    <w:basedOn w:val="50"/>
    <w:qFormat/>
    <w:uiPriority w:val="0"/>
    <w:rPr>
      <w:rFonts w:hint="eastAsia" w:ascii="宋体" w:hAnsi="宋体" w:eastAsia="宋体" w:cs="宋体"/>
      <w:color w:val="FF0000"/>
      <w:sz w:val="28"/>
      <w:szCs w:val="28"/>
      <w:u w:val="none"/>
    </w:rPr>
  </w:style>
  <w:style w:type="character" w:customStyle="1" w:styleId="192">
    <w:name w:val="font171"/>
    <w:basedOn w:val="50"/>
    <w:qFormat/>
    <w:uiPriority w:val="0"/>
    <w:rPr>
      <w:rFonts w:hint="eastAsia" w:ascii="宋体" w:hAnsi="宋体" w:eastAsia="宋体" w:cs="宋体"/>
      <w:color w:val="000000"/>
      <w:sz w:val="28"/>
      <w:szCs w:val="28"/>
      <w:u w:val="none"/>
    </w:rPr>
  </w:style>
  <w:style w:type="character" w:customStyle="1" w:styleId="193">
    <w:name w:val="font231"/>
    <w:basedOn w:val="50"/>
    <w:qFormat/>
    <w:uiPriority w:val="0"/>
    <w:rPr>
      <w:rFonts w:hint="eastAsia" w:ascii="宋体" w:hAnsi="宋体" w:eastAsia="宋体" w:cs="宋体"/>
      <w:color w:val="000000"/>
      <w:sz w:val="24"/>
      <w:szCs w:val="24"/>
      <w:u w:val="none"/>
    </w:rPr>
  </w:style>
  <w:style w:type="character" w:customStyle="1" w:styleId="194">
    <w:name w:val="font01"/>
    <w:basedOn w:val="50"/>
    <w:qFormat/>
    <w:uiPriority w:val="0"/>
    <w:rPr>
      <w:rFonts w:hint="eastAsia" w:ascii="宋体" w:hAnsi="宋体" w:eastAsia="宋体" w:cs="宋体"/>
      <w:color w:val="000000"/>
      <w:sz w:val="22"/>
      <w:szCs w:val="22"/>
      <w:u w:val="none"/>
    </w:rPr>
  </w:style>
  <w:style w:type="character" w:customStyle="1" w:styleId="195">
    <w:name w:val="font181"/>
    <w:basedOn w:val="50"/>
    <w:qFormat/>
    <w:uiPriority w:val="0"/>
    <w:rPr>
      <w:rFonts w:hint="default" w:ascii="Times New Roman" w:hAnsi="Times New Roman" w:cs="Times New Roman"/>
      <w:b/>
      <w:bCs/>
      <w:color w:val="000000"/>
      <w:sz w:val="20"/>
      <w:szCs w:val="20"/>
      <w:u w:val="none"/>
    </w:rPr>
  </w:style>
  <w:style w:type="character" w:customStyle="1" w:styleId="196">
    <w:name w:val="font361"/>
    <w:basedOn w:val="50"/>
    <w:qFormat/>
    <w:uiPriority w:val="0"/>
    <w:rPr>
      <w:rFonts w:hint="default" w:ascii="Times New Roman" w:hAnsi="Times New Roman" w:cs="Times New Roman"/>
      <w:color w:val="000000"/>
      <w:sz w:val="20"/>
      <w:szCs w:val="20"/>
      <w:u w:val="none"/>
      <w:vertAlign w:val="subscript"/>
    </w:rPr>
  </w:style>
  <w:style w:type="character" w:customStyle="1" w:styleId="197">
    <w:name w:val="font221"/>
    <w:basedOn w:val="50"/>
    <w:qFormat/>
    <w:uiPriority w:val="0"/>
    <w:rPr>
      <w:rFonts w:hint="eastAsia" w:ascii="宋体" w:hAnsi="宋体" w:eastAsia="宋体" w:cs="宋体"/>
      <w:b/>
      <w:bCs/>
      <w:color w:val="000000"/>
      <w:sz w:val="20"/>
      <w:szCs w:val="20"/>
      <w:u w:val="none"/>
    </w:rPr>
  </w:style>
  <w:style w:type="character" w:customStyle="1" w:styleId="198">
    <w:name w:val="font21"/>
    <w:basedOn w:val="50"/>
    <w:qFormat/>
    <w:uiPriority w:val="0"/>
    <w:rPr>
      <w:rFonts w:hint="default" w:ascii="Times New Roman" w:hAnsi="Times New Roman" w:cs="Times New Roman"/>
      <w:color w:val="000000"/>
      <w:sz w:val="20"/>
      <w:szCs w:val="20"/>
      <w:u w:val="none"/>
    </w:rPr>
  </w:style>
  <w:style w:type="character" w:customStyle="1" w:styleId="199">
    <w:name w:val="font61"/>
    <w:basedOn w:val="50"/>
    <w:qFormat/>
    <w:uiPriority w:val="0"/>
    <w:rPr>
      <w:rFonts w:hint="default" w:ascii="Times New Roman" w:hAnsi="Times New Roman" w:cs="Times New Roman"/>
      <w:color w:val="000000"/>
      <w:sz w:val="20"/>
      <w:szCs w:val="20"/>
      <w:u w:val="none"/>
    </w:rPr>
  </w:style>
  <w:style w:type="character" w:customStyle="1" w:styleId="200">
    <w:name w:val="font131"/>
    <w:basedOn w:val="50"/>
    <w:qFormat/>
    <w:uiPriority w:val="0"/>
    <w:rPr>
      <w:rFonts w:hint="default" w:ascii="Times New Roman" w:hAnsi="Times New Roman" w:cs="Times New Roman"/>
      <w:color w:val="FF0000"/>
      <w:sz w:val="20"/>
      <w:szCs w:val="20"/>
      <w:u w:val="none"/>
    </w:rPr>
  </w:style>
  <w:style w:type="character" w:customStyle="1" w:styleId="201">
    <w:name w:val="font241"/>
    <w:basedOn w:val="50"/>
    <w:qFormat/>
    <w:uiPriority w:val="0"/>
    <w:rPr>
      <w:rFonts w:hint="eastAsia" w:ascii="宋体" w:hAnsi="宋体" w:eastAsia="宋体" w:cs="宋体"/>
      <w:b/>
      <w:bCs/>
      <w:color w:val="000000"/>
      <w:sz w:val="20"/>
      <w:szCs w:val="20"/>
      <w:u w:val="none"/>
    </w:rPr>
  </w:style>
  <w:style w:type="character" w:customStyle="1" w:styleId="202">
    <w:name w:val="font11"/>
    <w:basedOn w:val="50"/>
    <w:qFormat/>
    <w:uiPriority w:val="0"/>
    <w:rPr>
      <w:rFonts w:hint="eastAsia" w:ascii="宋体" w:hAnsi="宋体" w:eastAsia="宋体" w:cs="宋体"/>
      <w:color w:val="FF0000"/>
      <w:sz w:val="28"/>
      <w:szCs w:val="28"/>
      <w:u w:val="none"/>
    </w:rPr>
  </w:style>
  <w:style w:type="character" w:customStyle="1" w:styleId="203">
    <w:name w:val="font201"/>
    <w:basedOn w:val="50"/>
    <w:qFormat/>
    <w:uiPriority w:val="0"/>
    <w:rPr>
      <w:rFonts w:hint="eastAsia" w:ascii="宋体" w:hAnsi="宋体" w:eastAsia="宋体" w:cs="宋体"/>
      <w:color w:val="000000"/>
      <w:sz w:val="24"/>
      <w:szCs w:val="24"/>
      <w:u w:val="none"/>
    </w:rPr>
  </w:style>
  <w:style w:type="character" w:customStyle="1" w:styleId="204">
    <w:name w:val="font212"/>
    <w:basedOn w:val="50"/>
    <w:qFormat/>
    <w:uiPriority w:val="0"/>
    <w:rPr>
      <w:rFonts w:hint="default" w:ascii="Times New Roman" w:hAnsi="Times New Roman" w:cs="Times New Roman"/>
      <w:b/>
      <w:bCs/>
      <w:color w:val="000000"/>
      <w:sz w:val="20"/>
      <w:szCs w:val="20"/>
      <w:u w:val="none"/>
    </w:rPr>
  </w:style>
  <w:style w:type="character" w:customStyle="1" w:styleId="205">
    <w:name w:val="font31"/>
    <w:basedOn w:val="50"/>
    <w:qFormat/>
    <w:uiPriority w:val="0"/>
    <w:rPr>
      <w:rFonts w:hint="default" w:ascii="Times New Roman" w:hAnsi="Times New Roman" w:cs="Times New Roman"/>
      <w:b/>
      <w:bCs/>
      <w:color w:val="000000"/>
      <w:sz w:val="21"/>
      <w:szCs w:val="21"/>
      <w:u w:val="none"/>
    </w:rPr>
  </w:style>
  <w:style w:type="table" w:customStyle="1" w:styleId="206">
    <w:name w:val="无格式表格 21"/>
    <w:basedOn w:val="46"/>
    <w:qFormat/>
    <w:uiPriority w:val="42"/>
    <w:rPr>
      <w:rFonts w:ascii="Calibri" w:hAnsi="Calibri"/>
    </w:rPr>
    <w:tblPr>
      <w:tblBorders>
        <w:top w:val="single" w:color="7E7E7E" w:themeColor="text1" w:themeTint="80" w:sz="4" w:space="0"/>
        <w:bottom w:val="single" w:color="7E7E7E" w:themeColor="text1" w:themeTint="80" w:sz="4" w:space="0"/>
      </w:tblBorders>
      <w:tblLayout w:type="fixed"/>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207">
    <w:name w:val="font111"/>
    <w:basedOn w:val="50"/>
    <w:qFormat/>
    <w:uiPriority w:val="0"/>
    <w:rPr>
      <w:rFonts w:hint="default" w:ascii="Times New Roman" w:hAnsi="Times New Roman" w:cs="Times New Roman"/>
      <w:color w:val="000000"/>
      <w:sz w:val="21"/>
      <w:szCs w:val="21"/>
      <w:u w:val="none"/>
      <w:vertAlign w:val="superscript"/>
    </w:rPr>
  </w:style>
  <w:style w:type="character" w:customStyle="1" w:styleId="208">
    <w:name w:val="font13"/>
    <w:basedOn w:val="50"/>
    <w:qFormat/>
    <w:uiPriority w:val="0"/>
    <w:rPr>
      <w:rFonts w:hint="default" w:ascii="Times New Roman" w:hAnsi="Times New Roman" w:cs="Times New Roman"/>
      <w:b/>
      <w:bCs/>
      <w:color w:val="000000"/>
      <w:sz w:val="21"/>
      <w:szCs w:val="21"/>
      <w:u w:val="none"/>
    </w:rPr>
  </w:style>
  <w:style w:type="character" w:customStyle="1" w:styleId="209">
    <w:name w:val="样式 题注 + 黑体 小四 加粗 Char"/>
    <w:basedOn w:val="50"/>
    <w:link w:val="210"/>
    <w:uiPriority w:val="0"/>
    <w:rPr>
      <w:rFonts w:ascii="黑体" w:hAnsi="黑体" w:eastAsia="黑体" w:cs="宋体"/>
      <w:b/>
      <w:bCs/>
      <w:sz w:val="24"/>
      <w:szCs w:val="26"/>
    </w:rPr>
  </w:style>
  <w:style w:type="paragraph" w:customStyle="1" w:styleId="210">
    <w:name w:val="样式 题注 + 黑体 小四 加粗"/>
    <w:basedOn w:val="15"/>
    <w:link w:val="209"/>
    <w:uiPriority w:val="0"/>
    <w:pPr>
      <w:jc w:val="center"/>
    </w:pPr>
    <w:rPr>
      <w:rFonts w:ascii="黑体" w:hAnsi="黑体" w:eastAsia="黑体" w:cs="宋体"/>
      <w:b/>
      <w:bCs/>
      <w:kern w:val="0"/>
      <w:sz w:val="24"/>
      <w:szCs w:val="26"/>
    </w:rPr>
  </w:style>
  <w:style w:type="paragraph" w:customStyle="1" w:styleId="211">
    <w:name w:val="报告书表头"/>
    <w:basedOn w:val="1"/>
    <w:next w:val="1"/>
    <w:link w:val="212"/>
    <w:qFormat/>
    <w:uiPriority w:val="0"/>
    <w:pPr>
      <w:tabs>
        <w:tab w:val="left" w:pos="6840"/>
      </w:tabs>
      <w:topLinePunct/>
      <w:snapToGrid w:val="0"/>
      <w:ind w:firstLine="200" w:firstLineChars="200"/>
    </w:pPr>
    <w:rPr>
      <w:rFonts w:eastAsia="黑体" w:cstheme="minorBidi"/>
      <w:bCs/>
      <w:kern w:val="24"/>
      <w:szCs w:val="28"/>
    </w:rPr>
  </w:style>
  <w:style w:type="character" w:customStyle="1" w:styleId="212">
    <w:name w:val="报告书表头 字符"/>
    <w:link w:val="211"/>
    <w:qFormat/>
    <w:uiPriority w:val="0"/>
    <w:rPr>
      <w:rFonts w:eastAsia="黑体" w:cstheme="minorBidi"/>
      <w:bCs/>
      <w:kern w:val="24"/>
      <w:sz w:val="21"/>
      <w:szCs w:val="28"/>
    </w:rPr>
  </w:style>
  <w:style w:type="character" w:customStyle="1" w:styleId="213">
    <w:name w:val="报告书文本 字符"/>
    <w:link w:val="214"/>
    <w:uiPriority w:val="0"/>
    <w:rPr>
      <w:sz w:val="24"/>
      <w:szCs w:val="24"/>
    </w:rPr>
  </w:style>
  <w:style w:type="paragraph" w:customStyle="1" w:styleId="214">
    <w:name w:val="报告书文本"/>
    <w:basedOn w:val="1"/>
    <w:link w:val="213"/>
    <w:qFormat/>
    <w:uiPriority w:val="0"/>
    <w:pPr>
      <w:spacing w:line="480" w:lineRule="exact"/>
      <w:ind w:firstLine="200" w:firstLineChars="200"/>
    </w:pPr>
    <w:rPr>
      <w:kern w:val="0"/>
      <w:sz w:val="24"/>
    </w:rPr>
  </w:style>
  <w:style w:type="paragraph" w:customStyle="1" w:styleId="215">
    <w:name w:val="报告书表格内容"/>
    <w:basedOn w:val="81"/>
    <w:link w:val="216"/>
    <w:qFormat/>
    <w:uiPriority w:val="0"/>
    <w:rPr>
      <w:lang w:eastAsia="en-US" w:bidi="en-US"/>
    </w:rPr>
  </w:style>
  <w:style w:type="character" w:customStyle="1" w:styleId="216">
    <w:name w:val="报告书表格内容 字符"/>
    <w:basedOn w:val="80"/>
    <w:link w:val="215"/>
    <w:uiPriority w:val="0"/>
    <w:rPr>
      <w:color w:val="000000"/>
      <w:sz w:val="21"/>
      <w:szCs w:val="21"/>
      <w:lang w:eastAsia="en-US" w:bidi="en-US"/>
    </w:rPr>
  </w:style>
  <w:style w:type="paragraph" w:customStyle="1" w:styleId="217">
    <w:name w:val="表中文字"/>
    <w:qFormat/>
    <w:uiPriority w:val="0"/>
    <w:pPr>
      <w:spacing w:line="360" w:lineRule="exact"/>
      <w:jc w:val="center"/>
      <w:textAlignment w:val="center"/>
    </w:pPr>
    <w:rPr>
      <w:rFonts w:ascii="Times New Roman" w:hAnsi="宋体" w:eastAsia="宋体" w:cs="Times New Roman"/>
      <w:spacing w:val="-16"/>
      <w:sz w:val="21"/>
      <w:szCs w:val="21"/>
      <w:lang w:val="en-US" w:eastAsia="zh-CN" w:bidi="ar-SA"/>
    </w:rPr>
  </w:style>
  <w:style w:type="character" w:customStyle="1" w:styleId="218">
    <w:name w:val="标题 6 字符"/>
    <w:basedOn w:val="50"/>
    <w:link w:val="7"/>
    <w:qFormat/>
    <w:uiPriority w:val="9"/>
    <w:rPr>
      <w:rFonts w:ascii="Calibri Light" w:hAnsi="Calibri Light"/>
      <w:b/>
      <w:bCs/>
      <w:kern w:val="2"/>
      <w:sz w:val="24"/>
      <w:szCs w:val="24"/>
    </w:rPr>
  </w:style>
  <w:style w:type="character" w:customStyle="1" w:styleId="219">
    <w:name w:val="标题 7 字符"/>
    <w:basedOn w:val="50"/>
    <w:link w:val="10"/>
    <w:qFormat/>
    <w:uiPriority w:val="9"/>
    <w:rPr>
      <w:rFonts w:ascii="ˎ̥" w:hAnsi="ˎ̥" w:cs="ˎ̥"/>
      <w:b/>
      <w:bCs/>
      <w:kern w:val="2"/>
      <w:sz w:val="24"/>
      <w:szCs w:val="24"/>
    </w:rPr>
  </w:style>
  <w:style w:type="character" w:customStyle="1" w:styleId="220">
    <w:name w:val="标题 8 字符"/>
    <w:basedOn w:val="50"/>
    <w:link w:val="11"/>
    <w:qFormat/>
    <w:uiPriority w:val="9"/>
    <w:rPr>
      <w:rFonts w:ascii="Calibri Light" w:hAnsi="Calibri Light"/>
      <w:kern w:val="2"/>
      <w:sz w:val="24"/>
      <w:szCs w:val="24"/>
    </w:rPr>
  </w:style>
  <w:style w:type="character" w:customStyle="1" w:styleId="221">
    <w:name w:val="标题 9 字符"/>
    <w:basedOn w:val="50"/>
    <w:link w:val="12"/>
    <w:qFormat/>
    <w:uiPriority w:val="9"/>
    <w:rPr>
      <w:rFonts w:ascii="Calibri Light" w:hAnsi="Calibri Light"/>
      <w:kern w:val="2"/>
      <w:sz w:val="21"/>
      <w:szCs w:val="21"/>
    </w:rPr>
  </w:style>
  <w:style w:type="character" w:customStyle="1" w:styleId="222">
    <w:name w:val="zw Char"/>
    <w:qFormat/>
    <w:uiPriority w:val="0"/>
    <w:rPr>
      <w:snapToGrid w:val="0"/>
      <w:color w:val="51585D"/>
      <w:sz w:val="24"/>
      <w:szCs w:val="24"/>
      <w:shd w:val="clear" w:color="auto" w:fill="FFFFFF"/>
    </w:rPr>
  </w:style>
  <w:style w:type="character" w:customStyle="1" w:styleId="223">
    <w:name w:val="黑体三号"/>
    <w:qFormat/>
    <w:uiPriority w:val="0"/>
    <w:rPr>
      <w:rFonts w:eastAsia="黑体"/>
      <w:sz w:val="32"/>
    </w:rPr>
  </w:style>
  <w:style w:type="character" w:customStyle="1" w:styleId="224">
    <w:name w:val="表格文字 Char"/>
    <w:qFormat/>
    <w:uiPriority w:val="0"/>
    <w:rPr>
      <w:rFonts w:cs="幼圆"/>
      <w:sz w:val="21"/>
    </w:rPr>
  </w:style>
  <w:style w:type="character" w:customStyle="1" w:styleId="225">
    <w:name w:val="评价单位 Char"/>
    <w:link w:val="226"/>
    <w:qFormat/>
    <w:uiPriority w:val="0"/>
    <w:rPr>
      <w:rFonts w:ascii="ˎ̥" w:hAnsi="ˎ̥" w:eastAsia="黑体" w:cs="宋体"/>
      <w:color w:val="51585D"/>
      <w:kern w:val="2"/>
      <w:sz w:val="30"/>
      <w:szCs w:val="22"/>
    </w:rPr>
  </w:style>
  <w:style w:type="paragraph" w:customStyle="1" w:styleId="226">
    <w:name w:val="评价单位"/>
    <w:basedOn w:val="1"/>
    <w:link w:val="225"/>
    <w:qFormat/>
    <w:uiPriority w:val="0"/>
    <w:pPr>
      <w:adjustRightInd w:val="0"/>
      <w:snapToGrid w:val="0"/>
      <w:ind w:firstLine="600" w:firstLineChars="200"/>
    </w:pPr>
    <w:rPr>
      <w:rFonts w:ascii="ˎ̥" w:hAnsi="ˎ̥" w:eastAsia="黑体" w:cs="宋体"/>
      <w:color w:val="51585D"/>
      <w:sz w:val="30"/>
      <w:szCs w:val="22"/>
    </w:rPr>
  </w:style>
  <w:style w:type="character" w:customStyle="1" w:styleId="227">
    <w:name w:val="项目名称2 Char"/>
    <w:link w:val="228"/>
    <w:qFormat/>
    <w:uiPriority w:val="0"/>
    <w:rPr>
      <w:rFonts w:ascii="Arial" w:hAnsi="Arial" w:eastAsia="黑体" w:cs="宋体"/>
      <w:color w:val="51585D"/>
      <w:sz w:val="30"/>
      <w:szCs w:val="30"/>
      <w:u w:val="single"/>
    </w:rPr>
  </w:style>
  <w:style w:type="paragraph" w:customStyle="1" w:styleId="228">
    <w:name w:val="项目名称2"/>
    <w:basedOn w:val="1"/>
    <w:link w:val="227"/>
    <w:qFormat/>
    <w:uiPriority w:val="0"/>
    <w:pPr>
      <w:adjustRightInd w:val="0"/>
      <w:snapToGrid w:val="0"/>
      <w:spacing w:line="480" w:lineRule="auto"/>
      <w:ind w:firstLine="2400" w:firstLineChars="800"/>
    </w:pPr>
    <w:rPr>
      <w:rFonts w:ascii="Arial" w:hAnsi="Arial" w:eastAsia="黑体" w:cs="宋体"/>
      <w:color w:val="51585D"/>
      <w:kern w:val="0"/>
      <w:sz w:val="30"/>
      <w:szCs w:val="30"/>
      <w:u w:val="single"/>
    </w:rPr>
  </w:style>
  <w:style w:type="character" w:customStyle="1" w:styleId="229">
    <w:name w:val="题注 字符"/>
    <w:link w:val="15"/>
    <w:qFormat/>
    <w:uiPriority w:val="35"/>
    <w:rPr>
      <w:rFonts w:ascii="Tahoma" w:hAnsi="Tahoma" w:eastAsia="仿宋" w:cs="Tahoma"/>
      <w:kern w:val="2"/>
    </w:rPr>
  </w:style>
  <w:style w:type="character" w:customStyle="1" w:styleId="230">
    <w:name w:val="项目编号 Char"/>
    <w:link w:val="231"/>
    <w:qFormat/>
    <w:uiPriority w:val="0"/>
    <w:rPr>
      <w:b/>
      <w:bCs/>
      <w:kern w:val="2"/>
      <w:sz w:val="28"/>
      <w:szCs w:val="28"/>
    </w:rPr>
  </w:style>
  <w:style w:type="paragraph" w:customStyle="1" w:styleId="231">
    <w:name w:val="项目编号"/>
    <w:basedOn w:val="8"/>
    <w:next w:val="9"/>
    <w:link w:val="230"/>
    <w:qFormat/>
    <w:uiPriority w:val="0"/>
    <w:rPr>
      <w:rFonts w:ascii="Times New Roman" w:hAnsi="Times New Roman"/>
      <w:b/>
      <w:bCs/>
      <w:sz w:val="28"/>
      <w:szCs w:val="28"/>
    </w:rPr>
  </w:style>
  <w:style w:type="character" w:customStyle="1" w:styleId="232">
    <w:name w:val="黑体 八号"/>
    <w:qFormat/>
    <w:uiPriority w:val="0"/>
    <w:rPr>
      <w:rFonts w:ascii="ˎ̥" w:hAnsi="ˎ̥" w:eastAsia="黑体" w:cs="宋体"/>
      <w:bCs/>
      <w:color w:val="51585D"/>
      <w:sz w:val="10"/>
      <w:szCs w:val="18"/>
      <w:lang w:val="en-US" w:eastAsia="zh-CN" w:bidi="ar-SA"/>
    </w:rPr>
  </w:style>
  <w:style w:type="character" w:customStyle="1" w:styleId="233">
    <w:name w:val="评价单位2 Char"/>
    <w:link w:val="234"/>
    <w:qFormat/>
    <w:uiPriority w:val="0"/>
    <w:rPr>
      <w:rFonts w:ascii="ˎ̥" w:hAnsi="ˎ̥" w:eastAsia="仿宋_GB2312" w:cs="宋体"/>
      <w:color w:val="51585D"/>
      <w:kern w:val="2"/>
      <w:sz w:val="30"/>
      <w:szCs w:val="22"/>
    </w:rPr>
  </w:style>
  <w:style w:type="paragraph" w:customStyle="1" w:styleId="234">
    <w:name w:val="评价单位2"/>
    <w:basedOn w:val="1"/>
    <w:next w:val="226"/>
    <w:link w:val="233"/>
    <w:qFormat/>
    <w:uiPriority w:val="0"/>
    <w:rPr>
      <w:rFonts w:ascii="ˎ̥" w:hAnsi="ˎ̥" w:eastAsia="仿宋_GB2312" w:cs="宋体"/>
      <w:color w:val="51585D"/>
      <w:sz w:val="30"/>
      <w:szCs w:val="22"/>
    </w:rPr>
  </w:style>
  <w:style w:type="character" w:customStyle="1" w:styleId="235">
    <w:name w:val="zw居中 Char"/>
    <w:link w:val="236"/>
    <w:qFormat/>
    <w:uiPriority w:val="0"/>
    <w:rPr>
      <w:rFonts w:cs="幼圆"/>
      <w:kern w:val="2"/>
      <w:sz w:val="24"/>
      <w:szCs w:val="21"/>
    </w:rPr>
  </w:style>
  <w:style w:type="paragraph" w:customStyle="1" w:styleId="236">
    <w:name w:val="zw居中"/>
    <w:basedOn w:val="8"/>
    <w:link w:val="235"/>
    <w:qFormat/>
    <w:uiPriority w:val="0"/>
    <w:pPr>
      <w:adjustRightInd w:val="0"/>
      <w:snapToGrid w:val="0"/>
      <w:jc w:val="center"/>
    </w:pPr>
    <w:rPr>
      <w:rFonts w:ascii="Times New Roman" w:hAnsi="Times New Roman" w:cs="幼圆"/>
      <w:sz w:val="24"/>
      <w:szCs w:val="21"/>
    </w:rPr>
  </w:style>
  <w:style w:type="paragraph" w:customStyle="1" w:styleId="237">
    <w:name w:val="zw（两端对齐）"/>
    <w:basedOn w:val="1"/>
    <w:next w:val="1"/>
    <w:qFormat/>
    <w:uiPriority w:val="0"/>
    <w:pPr>
      <w:jc w:val="center"/>
    </w:pPr>
    <w:rPr>
      <w:rFonts w:ascii="Arial Unicode MS" w:hAnsi="Arial Unicode MS" w:cs="Arial Unicode MS"/>
      <w:sz w:val="24"/>
      <w:szCs w:val="21"/>
    </w:rPr>
  </w:style>
  <w:style w:type="paragraph" w:customStyle="1" w:styleId="238">
    <w:name w:val="楷体三号"/>
    <w:basedOn w:val="8"/>
    <w:qFormat/>
    <w:uiPriority w:val="0"/>
    <w:pPr>
      <w:shd w:val="clear" w:color="auto" w:fill="FFFFFF"/>
      <w:adjustRightInd w:val="0"/>
      <w:snapToGrid w:val="0"/>
      <w:spacing w:line="300" w:lineRule="auto"/>
      <w:outlineLvl w:val="1"/>
    </w:pPr>
    <w:rPr>
      <w:rFonts w:ascii="楷体_GB2312" w:hAnsi="宋体" w:eastAsia="楷体_GB2312"/>
      <w:b/>
      <w:sz w:val="32"/>
      <w:szCs w:val="28"/>
    </w:rPr>
  </w:style>
  <w:style w:type="paragraph" w:customStyle="1" w:styleId="239">
    <w:name w:val="二级"/>
    <w:basedOn w:val="1"/>
    <w:next w:val="9"/>
    <w:qFormat/>
    <w:uiPriority w:val="0"/>
    <w:pPr>
      <w:shd w:val="clear" w:color="auto" w:fill="FFFFFF"/>
      <w:spacing w:line="300" w:lineRule="auto"/>
    </w:pPr>
    <w:rPr>
      <w:rFonts w:ascii="楷体_GB2312" w:hAnsi="宋体" w:eastAsia="楷体_GB2312" w:cs="ˎ̥"/>
      <w:b/>
      <w:bCs/>
      <w:sz w:val="30"/>
    </w:rPr>
  </w:style>
  <w:style w:type="paragraph" w:customStyle="1" w:styleId="240">
    <w:name w:val="三级"/>
    <w:basedOn w:val="8"/>
    <w:next w:val="9"/>
    <w:qFormat/>
    <w:uiPriority w:val="0"/>
    <w:pPr>
      <w:shd w:val="clear" w:color="auto" w:fill="FFFFFF"/>
      <w:adjustRightInd w:val="0"/>
      <w:snapToGrid w:val="0"/>
      <w:spacing w:line="300" w:lineRule="auto"/>
      <w:jc w:val="left"/>
    </w:pPr>
    <w:rPr>
      <w:rFonts w:ascii="Times New Roman" w:hAnsi="Times New Roman"/>
      <w:b/>
      <w:bCs/>
      <w:snapToGrid w:val="0"/>
      <w:kern w:val="0"/>
      <w:sz w:val="24"/>
      <w:szCs w:val="28"/>
    </w:rPr>
  </w:style>
  <w:style w:type="paragraph" w:customStyle="1" w:styleId="241">
    <w:name w:val="表格文字+右对齐"/>
    <w:basedOn w:val="1"/>
    <w:qFormat/>
    <w:uiPriority w:val="0"/>
    <w:pPr>
      <w:shd w:val="clear" w:color="auto" w:fill="FFFFFF"/>
      <w:jc w:val="right"/>
    </w:pPr>
    <w:rPr>
      <w:rFonts w:ascii="ˎ̥" w:hAnsi="ˎ̥" w:cs="ˎ̥"/>
      <w:szCs w:val="21"/>
    </w:rPr>
  </w:style>
  <w:style w:type="paragraph" w:customStyle="1" w:styleId="242">
    <w:name w:val="报告表"/>
    <w:basedOn w:val="1"/>
    <w:next w:val="9"/>
    <w:qFormat/>
    <w:uiPriority w:val="0"/>
    <w:pPr>
      <w:adjustRightInd w:val="0"/>
      <w:snapToGrid w:val="0"/>
      <w:jc w:val="center"/>
    </w:pPr>
    <w:rPr>
      <w:rFonts w:eastAsia="仿宋_GB2312"/>
      <w:b/>
      <w:sz w:val="72"/>
      <w:szCs w:val="22"/>
    </w:rPr>
  </w:style>
  <w:style w:type="paragraph" w:customStyle="1" w:styleId="243">
    <w:name w:val="证书编号"/>
    <w:basedOn w:val="1"/>
    <w:qFormat/>
    <w:uiPriority w:val="0"/>
    <w:pPr>
      <w:adjustRightInd w:val="0"/>
      <w:snapToGrid w:val="0"/>
    </w:pPr>
    <w:rPr>
      <w:rFonts w:ascii="黑体" w:hAnsi="宋体" w:eastAsia="黑体"/>
      <w:szCs w:val="21"/>
    </w:rPr>
  </w:style>
  <w:style w:type="paragraph" w:customStyle="1" w:styleId="244">
    <w:name w:val="项目名称1"/>
    <w:basedOn w:val="1"/>
    <w:qFormat/>
    <w:uiPriority w:val="0"/>
    <w:pPr>
      <w:adjustRightInd w:val="0"/>
      <w:snapToGrid w:val="0"/>
      <w:spacing w:line="480" w:lineRule="auto"/>
      <w:jc w:val="right"/>
    </w:pPr>
    <w:rPr>
      <w:rFonts w:ascii="楷体_GB2312" w:eastAsia="楷体_GB2312"/>
      <w:b/>
      <w:szCs w:val="22"/>
    </w:rPr>
  </w:style>
  <w:style w:type="paragraph" w:customStyle="1" w:styleId="245">
    <w:name w:val="编制说明"/>
    <w:basedOn w:val="1"/>
    <w:next w:val="9"/>
    <w:qFormat/>
    <w:uiPriority w:val="0"/>
    <w:pPr>
      <w:spacing w:before="120"/>
      <w:jc w:val="center"/>
    </w:pPr>
    <w:rPr>
      <w:rFonts w:ascii="宋体" w:hAnsi="宋体" w:eastAsia="仿宋_GB2312"/>
      <w:b/>
      <w:sz w:val="32"/>
      <w:szCs w:val="22"/>
    </w:rPr>
  </w:style>
  <w:style w:type="paragraph" w:customStyle="1" w:styleId="246">
    <w:name w:val="编制日期"/>
    <w:basedOn w:val="1"/>
    <w:next w:val="9"/>
    <w:qFormat/>
    <w:uiPriority w:val="0"/>
    <w:pPr>
      <w:jc w:val="center"/>
    </w:pPr>
    <w:rPr>
      <w:rFonts w:eastAsia="仿宋_GB2312"/>
      <w:sz w:val="32"/>
      <w:szCs w:val="22"/>
    </w:rPr>
  </w:style>
  <w:style w:type="paragraph" w:customStyle="1" w:styleId="247">
    <w:name w:val="基本情况表"/>
    <w:basedOn w:val="8"/>
    <w:qFormat/>
    <w:uiPriority w:val="0"/>
    <w:pPr>
      <w:adjustRightInd w:val="0"/>
      <w:snapToGrid w:val="0"/>
      <w:spacing w:line="288" w:lineRule="auto"/>
      <w:jc w:val="center"/>
    </w:pPr>
    <w:rPr>
      <w:rFonts w:ascii="Times New Roman" w:hAnsi="Times New Roman"/>
      <w:sz w:val="24"/>
      <w:szCs w:val="21"/>
    </w:rPr>
  </w:style>
  <w:style w:type="paragraph" w:customStyle="1" w:styleId="248">
    <w:name w:val="基本情况表  居中"/>
    <w:basedOn w:val="247"/>
    <w:qFormat/>
    <w:uiPriority w:val="0"/>
  </w:style>
  <w:style w:type="paragraph" w:customStyle="1" w:styleId="249">
    <w:name w:val="表格文字+左对齐"/>
    <w:basedOn w:val="1"/>
    <w:qFormat/>
    <w:uiPriority w:val="0"/>
    <w:pPr>
      <w:shd w:val="clear" w:color="auto" w:fill="FFFFFF"/>
      <w:adjustRightInd w:val="0"/>
      <w:snapToGrid w:val="0"/>
      <w:jc w:val="left"/>
    </w:pPr>
    <w:rPr>
      <w:rFonts w:ascii="ˎ̥" w:hAnsi="ˎ̥" w:cs="ˎ̥"/>
      <w:szCs w:val="21"/>
    </w:rPr>
  </w:style>
  <w:style w:type="paragraph" w:customStyle="1" w:styleId="250">
    <w:name w:val="四级"/>
    <w:basedOn w:val="1"/>
    <w:next w:val="9"/>
    <w:qFormat/>
    <w:uiPriority w:val="0"/>
    <w:rPr>
      <w:rFonts w:eastAsia="楷体_GB2312"/>
      <w:b/>
      <w:sz w:val="24"/>
      <w:szCs w:val="22"/>
    </w:rPr>
  </w:style>
  <w:style w:type="paragraph" w:customStyle="1" w:styleId="251">
    <w:name w:val="修订1"/>
    <w:hidden/>
    <w:unhideWhenUsed/>
    <w:qFormat/>
    <w:uiPriority w:val="99"/>
    <w:rPr>
      <w:rFonts w:ascii="Times New Roman" w:hAnsi="Times New Roman" w:eastAsia="宋体" w:cs="Times New Roman"/>
      <w:kern w:val="2"/>
      <w:sz w:val="24"/>
      <w:lang w:val="en-US" w:eastAsia="zh-CN" w:bidi="ar-SA"/>
    </w:rPr>
  </w:style>
  <w:style w:type="character" w:customStyle="1" w:styleId="252">
    <w:name w:val="标题 Char1"/>
    <w:basedOn w:val="50"/>
    <w:qFormat/>
    <w:uiPriority w:val="10"/>
    <w:rPr>
      <w:rFonts w:asciiTheme="majorHAnsi" w:hAnsiTheme="majorHAnsi" w:cstheme="majorBidi"/>
      <w:b/>
      <w:bCs/>
      <w:kern w:val="2"/>
      <w:sz w:val="32"/>
      <w:szCs w:val="32"/>
    </w:rPr>
  </w:style>
  <w:style w:type="character" w:customStyle="1" w:styleId="253">
    <w:name w:val="zw Char Char"/>
    <w:link w:val="9"/>
    <w:qFormat/>
    <w:uiPriority w:val="0"/>
    <w:rPr>
      <w:kern w:val="2"/>
      <w:sz w:val="24"/>
    </w:rPr>
  </w:style>
  <w:style w:type="paragraph" w:customStyle="1" w:styleId="254">
    <w:name w:val="zw（居中）"/>
    <w:basedOn w:val="1"/>
    <w:next w:val="9"/>
    <w:qFormat/>
    <w:uiPriority w:val="0"/>
    <w:pPr>
      <w:adjustRightInd w:val="0"/>
      <w:spacing w:line="360" w:lineRule="auto"/>
      <w:jc w:val="center"/>
    </w:pPr>
    <w:rPr>
      <w:rFonts w:ascii="汉仪大宋简" w:hAnsi="汉仪大宋简" w:eastAsia="Arial Unicode MS" w:cs="幼圆"/>
      <w:sz w:val="24"/>
      <w:szCs w:val="22"/>
    </w:rPr>
  </w:style>
  <w:style w:type="paragraph" w:customStyle="1" w:styleId="255">
    <w:name w:val="zw2"/>
    <w:basedOn w:val="1"/>
    <w:qFormat/>
    <w:uiPriority w:val="0"/>
    <w:pPr>
      <w:shd w:val="clear" w:color="auto" w:fill="FFFFFF"/>
      <w:adjustRightInd w:val="0"/>
      <w:snapToGrid w:val="0"/>
      <w:jc w:val="center"/>
    </w:pPr>
    <w:rPr>
      <w:sz w:val="24"/>
      <w:szCs w:val="22"/>
    </w:rPr>
  </w:style>
  <w:style w:type="paragraph" w:customStyle="1" w:styleId="256">
    <w:name w:val="zw左对齐"/>
    <w:basedOn w:val="1"/>
    <w:next w:val="9"/>
    <w:qFormat/>
    <w:uiPriority w:val="0"/>
    <w:pPr>
      <w:adjustRightInd w:val="0"/>
      <w:snapToGrid w:val="0"/>
      <w:jc w:val="left"/>
    </w:pPr>
    <w:rPr>
      <w:rFonts w:ascii="Arial Unicode MS" w:hAnsi="Arial Unicode MS" w:eastAsia="Arial Unicode MS" w:cs="Arial Unicode MS"/>
      <w:sz w:val="24"/>
      <w:szCs w:val="22"/>
    </w:rPr>
  </w:style>
  <w:style w:type="character" w:customStyle="1" w:styleId="257">
    <w:name w:val="报告表正文 Char Char"/>
    <w:link w:val="129"/>
    <w:qFormat/>
    <w:uiPriority w:val="0"/>
    <w:rPr>
      <w:sz w:val="24"/>
    </w:rPr>
  </w:style>
  <w:style w:type="paragraph" w:customStyle="1" w:styleId="258">
    <w:name w:val="表格文字   居中"/>
    <w:basedOn w:val="1"/>
    <w:link w:val="259"/>
    <w:qFormat/>
    <w:uiPriority w:val="0"/>
    <w:pPr>
      <w:shd w:val="clear" w:color="auto" w:fill="FFFFFF"/>
      <w:adjustRightInd w:val="0"/>
      <w:snapToGrid w:val="0"/>
      <w:jc w:val="center"/>
    </w:pPr>
    <w:rPr>
      <w:rFonts w:ascii="ˎ̥" w:hAnsi="ˎ̥" w:cs="宋体"/>
      <w:color w:val="51585D"/>
      <w:kern w:val="0"/>
      <w:szCs w:val="21"/>
    </w:rPr>
  </w:style>
  <w:style w:type="character" w:customStyle="1" w:styleId="259">
    <w:name w:val="表格文字   居中 Char Char"/>
    <w:link w:val="258"/>
    <w:qFormat/>
    <w:uiPriority w:val="0"/>
    <w:rPr>
      <w:rFonts w:ascii="ˎ̥" w:hAnsi="ˎ̥" w:cs="宋体"/>
      <w:color w:val="51585D"/>
      <w:sz w:val="21"/>
      <w:szCs w:val="21"/>
      <w:shd w:val="clear" w:color="auto" w:fill="FFFFFF"/>
    </w:rPr>
  </w:style>
  <w:style w:type="paragraph" w:customStyle="1" w:styleId="260">
    <w:name w:val="表格文字  两端对齐"/>
    <w:basedOn w:val="1"/>
    <w:qFormat/>
    <w:uiPriority w:val="0"/>
    <w:pPr>
      <w:shd w:val="clear" w:color="auto" w:fill="FFFFFF"/>
      <w:adjustRightInd w:val="0"/>
      <w:snapToGrid w:val="0"/>
    </w:pPr>
    <w:rPr>
      <w:szCs w:val="22"/>
    </w:rPr>
  </w:style>
  <w:style w:type="paragraph" w:customStyle="1" w:styleId="261">
    <w:name w:val="二级标题"/>
    <w:basedOn w:val="42"/>
    <w:next w:val="1"/>
    <w:qFormat/>
    <w:uiPriority w:val="0"/>
    <w:pPr>
      <w:spacing w:line="240" w:lineRule="auto"/>
    </w:pPr>
    <w:rPr>
      <w:rFonts w:ascii="Calibri Light" w:hAnsi="Calibri Light" w:eastAsia="五" w:cs="Times New Roman"/>
    </w:rPr>
  </w:style>
  <w:style w:type="paragraph" w:customStyle="1" w:styleId="262">
    <w:name w:val="公示标题"/>
    <w:basedOn w:val="8"/>
    <w:qFormat/>
    <w:uiPriority w:val="0"/>
    <w:pPr>
      <w:adjustRightInd w:val="0"/>
      <w:snapToGrid w:val="0"/>
      <w:spacing w:line="360" w:lineRule="exact"/>
      <w:jc w:val="center"/>
    </w:pPr>
    <w:rPr>
      <w:rFonts w:ascii="Arial Unicode MS" w:hAnsi="幼圆" w:eastAsia="Arial Unicode MS" w:cs="幼圆"/>
      <w:b/>
      <w:sz w:val="36"/>
      <w:szCs w:val="21"/>
    </w:rPr>
  </w:style>
  <w:style w:type="paragraph" w:customStyle="1" w:styleId="263">
    <w:name w:val="公示内容"/>
    <w:basedOn w:val="8"/>
    <w:qFormat/>
    <w:uiPriority w:val="0"/>
    <w:pPr>
      <w:adjustRightInd w:val="0"/>
      <w:snapToGrid w:val="0"/>
      <w:ind w:firstLine="200" w:firstLineChars="200"/>
    </w:pPr>
    <w:rPr>
      <w:rFonts w:ascii="Arial Unicode MS" w:hAnsi="幼圆" w:eastAsia="Arial Unicode MS" w:cs="幼圆"/>
      <w:szCs w:val="21"/>
    </w:rPr>
  </w:style>
  <w:style w:type="paragraph" w:customStyle="1" w:styleId="264">
    <w:name w:val="评价人员情况"/>
    <w:basedOn w:val="1"/>
    <w:qFormat/>
    <w:uiPriority w:val="0"/>
    <w:pPr>
      <w:jc w:val="center"/>
    </w:pPr>
    <w:rPr>
      <w:rFonts w:eastAsia="仿宋_GB2312"/>
      <w:b/>
      <w:szCs w:val="22"/>
    </w:rPr>
  </w:style>
  <w:style w:type="paragraph" w:customStyle="1" w:styleId="265">
    <w:name w:val="宋体小三"/>
    <w:basedOn w:val="1"/>
    <w:qFormat/>
    <w:uiPriority w:val="0"/>
    <w:pPr>
      <w:spacing w:line="240" w:lineRule="atLeast"/>
      <w:ind w:firstLine="560"/>
    </w:pPr>
    <w:rPr>
      <w:rFonts w:ascii="宋体" w:hAnsi="宋体"/>
      <w:sz w:val="30"/>
      <w:szCs w:val="22"/>
    </w:rPr>
  </w:style>
  <w:style w:type="paragraph" w:customStyle="1" w:styleId="266">
    <w:name w:val="题注（居中）"/>
    <w:basedOn w:val="15"/>
    <w:next w:val="9"/>
    <w:qFormat/>
    <w:uiPriority w:val="0"/>
    <w:pPr>
      <w:adjustRightInd w:val="0"/>
      <w:snapToGrid w:val="0"/>
      <w:jc w:val="center"/>
    </w:pPr>
    <w:rPr>
      <w:rFonts w:ascii="Calibri Light" w:hAnsi="Calibri Light" w:eastAsia="黑体" w:cs="Times New Roman"/>
      <w:sz w:val="21"/>
      <w:szCs w:val="24"/>
    </w:rPr>
  </w:style>
  <w:style w:type="paragraph" w:customStyle="1" w:styleId="267">
    <w:name w:val="一级标题"/>
    <w:basedOn w:val="3"/>
    <w:qFormat/>
    <w:uiPriority w:val="0"/>
    <w:pPr>
      <w:keepNext w:val="0"/>
      <w:tabs>
        <w:tab w:val="left" w:pos="432"/>
      </w:tabs>
      <w:overflowPunct/>
      <w:topLinePunct/>
      <w:snapToGrid/>
      <w:spacing w:before="0" w:after="0" w:line="360" w:lineRule="auto"/>
      <w:ind w:left="0" w:firstLine="0"/>
    </w:pPr>
    <w:rPr>
      <w:rFonts w:eastAsia="宋体" w:cs="幼圆"/>
      <w:color w:val="auto"/>
      <w:szCs w:val="44"/>
    </w:rPr>
  </w:style>
  <w:style w:type="paragraph" w:customStyle="1" w:styleId="268">
    <w:name w:val="正文样式1"/>
    <w:basedOn w:val="1"/>
    <w:link w:val="269"/>
    <w:qFormat/>
    <w:uiPriority w:val="0"/>
    <w:pPr>
      <w:adjustRightInd w:val="0"/>
      <w:spacing w:line="490" w:lineRule="exact"/>
      <w:ind w:firstLine="567"/>
      <w:jc w:val="left"/>
      <w:textAlignment w:val="baseline"/>
    </w:pPr>
    <w:rPr>
      <w:kern w:val="28"/>
      <w:szCs w:val="20"/>
    </w:rPr>
  </w:style>
  <w:style w:type="character" w:customStyle="1" w:styleId="269">
    <w:name w:val="正文样式1 Char"/>
    <w:link w:val="268"/>
    <w:qFormat/>
    <w:uiPriority w:val="0"/>
    <w:rPr>
      <w:kern w:val="28"/>
      <w:sz w:val="21"/>
    </w:rPr>
  </w:style>
  <w:style w:type="character" w:customStyle="1" w:styleId="270">
    <w:name w:val="上标 Char Char"/>
    <w:link w:val="271"/>
    <w:qFormat/>
    <w:uiPriority w:val="0"/>
    <w:rPr>
      <w:rFonts w:ascii="Arial" w:hAnsi="Arial" w:cs="Courier New"/>
      <w:kern w:val="2"/>
      <w:sz w:val="24"/>
      <w:szCs w:val="24"/>
      <w:vertAlign w:val="superscript"/>
    </w:rPr>
  </w:style>
  <w:style w:type="paragraph" w:customStyle="1" w:styleId="271">
    <w:name w:val="上标"/>
    <w:basedOn w:val="1"/>
    <w:next w:val="9"/>
    <w:link w:val="270"/>
    <w:qFormat/>
    <w:uiPriority w:val="0"/>
    <w:pPr>
      <w:adjustRightInd w:val="0"/>
      <w:snapToGrid w:val="0"/>
    </w:pPr>
    <w:rPr>
      <w:rFonts w:ascii="Arial" w:hAnsi="Arial" w:cs="Courier New"/>
      <w:sz w:val="24"/>
      <w:vertAlign w:val="superscript"/>
    </w:rPr>
  </w:style>
  <w:style w:type="paragraph" w:customStyle="1" w:styleId="272">
    <w:name w:val="样式 样式 正文 + 仿宋_GB2312 自动设置 首行缩进:  2 字符2"/>
    <w:basedOn w:val="1"/>
    <w:qFormat/>
    <w:uiPriority w:val="0"/>
    <w:pPr>
      <w:adjustRightInd w:val="0"/>
      <w:snapToGrid w:val="0"/>
      <w:spacing w:line="360" w:lineRule="auto"/>
      <w:ind w:firstLine="560" w:firstLineChars="200"/>
      <w:textAlignment w:val="baseline"/>
    </w:pPr>
    <w:rPr>
      <w:rFonts w:ascii="黑体" w:hAnsi="Arial" w:eastAsia="黑体" w:cs="Arial"/>
      <w:color w:val="0000FF"/>
      <w:kern w:val="0"/>
      <w:sz w:val="24"/>
      <w:szCs w:val="20"/>
    </w:rPr>
  </w:style>
  <w:style w:type="paragraph" w:customStyle="1" w:styleId="273">
    <w:name w:val="B表格文字"/>
    <w:qFormat/>
    <w:uiPriority w:val="0"/>
    <w:pPr>
      <w:jc w:val="center"/>
    </w:pPr>
    <w:rPr>
      <w:rFonts w:ascii="Times New Roman" w:hAnsi="Times New Roman" w:eastAsia="宋体" w:cs="Times New Roman"/>
      <w:kern w:val="2"/>
      <w:sz w:val="21"/>
      <w:szCs w:val="24"/>
      <w:lang w:val="en-US" w:eastAsia="zh-CN" w:bidi="ar-SA"/>
    </w:rPr>
  </w:style>
  <w:style w:type="paragraph" w:customStyle="1" w:styleId="274">
    <w:name w:val="B表头"/>
    <w:qFormat/>
    <w:uiPriority w:val="0"/>
    <w:pPr>
      <w:spacing w:before="50" w:beforeLines="50"/>
      <w:jc w:val="center"/>
    </w:pPr>
    <w:rPr>
      <w:rFonts w:ascii="Times New Roman" w:hAnsi="Times New Roman" w:eastAsia="宋体" w:cs="Times New Roman"/>
      <w:b/>
      <w:kern w:val="2"/>
      <w:sz w:val="24"/>
      <w:szCs w:val="24"/>
      <w:lang w:val="en-US" w:eastAsia="zh-CN" w:bidi="ar-SA"/>
    </w:rPr>
  </w:style>
  <w:style w:type="character" w:customStyle="1" w:styleId="275">
    <w:name w:val="表格 Char Char"/>
    <w:qFormat/>
    <w:uiPriority w:val="0"/>
    <w:rPr>
      <w:rFonts w:ascii="Calibri Light" w:hAnsi="Calibri Light" w:eastAsia="黑体"/>
      <w:sz w:val="24"/>
    </w:rPr>
  </w:style>
  <w:style w:type="character" w:customStyle="1" w:styleId="276">
    <w:name w:val="样式 (西文) Arial (中文) 宋体"/>
    <w:qFormat/>
    <w:uiPriority w:val="0"/>
    <w:rPr>
      <w:rFonts w:ascii="Times New Roman" w:hAnsi="Times New Roman" w:eastAsia="宋体"/>
      <w:kern w:val="2"/>
      <w:sz w:val="24"/>
      <w:szCs w:val="24"/>
      <w:lang w:val="en-US" w:eastAsia="zh-CN" w:bidi="ar-SA"/>
    </w:rPr>
  </w:style>
  <w:style w:type="paragraph" w:customStyle="1" w:styleId="277">
    <w:name w:val="样式 正文缩进s4标题4表正文正文非缩进图标题段1Body Text(ch)缩进ALT+Z特点四号正文不..."/>
    <w:basedOn w:val="14"/>
    <w:qFormat/>
    <w:uiPriority w:val="0"/>
    <w:pPr>
      <w:spacing w:line="360" w:lineRule="auto"/>
      <w:ind w:firstLine="200"/>
    </w:pPr>
    <w:rPr>
      <w:bCs/>
      <w:sz w:val="24"/>
    </w:rPr>
  </w:style>
  <w:style w:type="character" w:customStyle="1" w:styleId="278">
    <w:name w:val="正文缩进 Char2"/>
    <w:qFormat/>
    <w:uiPriority w:val="0"/>
    <w:rPr>
      <w:rFonts w:ascii="宋体" w:hAnsi="宋体" w:eastAsia="宋体" w:cs="宋体"/>
      <w:bCs/>
      <w:snapToGrid w:val="0"/>
      <w:color w:val="800080"/>
      <w:kern w:val="16"/>
      <w:sz w:val="24"/>
      <w:szCs w:val="32"/>
      <w:lang w:val="en-US" w:eastAsia="zh-CN" w:bidi="ar-SA"/>
    </w:rPr>
  </w:style>
  <w:style w:type="character" w:customStyle="1" w:styleId="279">
    <w:name w:val="未处理的提及1"/>
    <w:basedOn w:val="50"/>
    <w:semiHidden/>
    <w:unhideWhenUsed/>
    <w:uiPriority w:val="99"/>
    <w:rPr>
      <w:color w:val="605E5C"/>
      <w:shd w:val="clear" w:color="auto" w:fill="E1DFDD"/>
    </w:rPr>
  </w:style>
  <w:style w:type="paragraph" w:customStyle="1" w:styleId="280">
    <w:name w:val="图片题目1"/>
    <w:basedOn w:val="106"/>
    <w:link w:val="281"/>
    <w:qFormat/>
    <w:uiPriority w:val="0"/>
    <w:pPr>
      <w:ind w:firstLine="0" w:firstLineChars="0"/>
      <w:jc w:val="center"/>
    </w:pPr>
    <w:rPr>
      <w:lang w:bidi="en-US"/>
    </w:rPr>
  </w:style>
  <w:style w:type="character" w:customStyle="1" w:styleId="281">
    <w:name w:val="图片题目1 字符"/>
    <w:basedOn w:val="105"/>
    <w:link w:val="280"/>
    <w:qFormat/>
    <w:uiPriority w:val="0"/>
    <w:rPr>
      <w:rFonts w:ascii="黑体" w:hAnsi="黑体" w:eastAsia="黑体"/>
      <w:color w:val="000000"/>
      <w:kern w:val="2"/>
      <w:sz w:val="21"/>
      <w:szCs w:val="24"/>
      <w:lang w:bidi="en-US"/>
    </w:rPr>
  </w:style>
  <w:style w:type="character" w:customStyle="1" w:styleId="282">
    <w:name w:val="Unresolved Mention"/>
    <w:basedOn w:val="50"/>
    <w:semiHidden/>
    <w:unhideWhenUsed/>
    <w:uiPriority w:val="99"/>
    <w:rPr>
      <w:color w:val="605E5C"/>
      <w:shd w:val="clear" w:color="auto" w:fill="E1DFDD"/>
    </w:rPr>
  </w:style>
  <w:style w:type="character" w:customStyle="1" w:styleId="283">
    <w:name w:val="表格1 字符"/>
    <w:link w:val="284"/>
    <w:uiPriority w:val="0"/>
    <w:rPr>
      <w:color w:val="000000"/>
      <w:kern w:val="2"/>
      <w:sz w:val="21"/>
      <w:szCs w:val="21"/>
    </w:rPr>
  </w:style>
  <w:style w:type="paragraph" w:customStyle="1" w:styleId="284">
    <w:name w:val="表格1"/>
    <w:basedOn w:val="137"/>
    <w:link w:val="283"/>
    <w:qFormat/>
    <w:uiPriority w:val="0"/>
    <w:pPr>
      <w:adjustRightInd w:val="0"/>
      <w:snapToGrid w:val="0"/>
    </w:pPr>
    <w:rPr>
      <w:b w:val="0"/>
      <w:bCs w:val="0"/>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E2A1CA-742F-4B15-B1B2-EF06B233D1FB}">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39</Pages>
  <Words>4550</Words>
  <Characters>25937</Characters>
  <Lines>216</Lines>
  <Paragraphs>60</Paragraphs>
  <TotalTime>11546</TotalTime>
  <ScaleCrop>false</ScaleCrop>
  <LinksUpToDate>false</LinksUpToDate>
  <CharactersWithSpaces>30427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2022-02-27T15:17:00Z</dcterms:created>
  <dc:creator>lhj</dc:creator>
  <cp:lastModifiedBy>Administrator</cp:lastModifiedBy>
  <cp:lastPrinted>2023-09-11T09:20:00Z</cp:lastPrinted>
  <dcterms:modified xsi:type="dcterms:W3CDTF">2023-12-05T08:30:15Z</dcterms:modified>
  <dc:title>附件2</dc:title>
  <cp:revision>746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D977937D09BF404F88C9112F25E23EFE</vt:lpwstr>
  </property>
</Properties>
</file>